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FF4FB" w14:textId="77777777" w:rsidR="009B7E58" w:rsidRPr="00B3120D" w:rsidRDefault="009B7E58" w:rsidP="00E84CD0">
      <w:pPr>
        <w:spacing w:line="240" w:lineRule="auto"/>
        <w:jc w:val="both"/>
        <w:rPr>
          <w:rFonts w:cs="Calibri"/>
        </w:rPr>
      </w:pPr>
    </w:p>
    <w:p w14:paraId="35060AEA" w14:textId="77777777" w:rsidR="009B7E58" w:rsidRPr="00D30847" w:rsidRDefault="00C91FA1" w:rsidP="00E84CD0">
      <w:pPr>
        <w:spacing w:line="240" w:lineRule="auto"/>
        <w:jc w:val="both"/>
        <w:rPr>
          <w:rFonts w:cs="Calibri"/>
          <w:lang w:val="en-GB"/>
        </w:rPr>
      </w:pPr>
      <w:r w:rsidRPr="00D30847">
        <w:rPr>
          <w:rFonts w:cs="Calibri"/>
          <w:noProof/>
          <w:lang w:eastAsia="mk-MK"/>
        </w:rPr>
        <w:drawing>
          <wp:anchor distT="0" distB="0" distL="0" distR="0" simplePos="0" relativeHeight="251652096" behindDoc="0" locked="0" layoutInCell="1" allowOverlap="1" wp14:anchorId="558E2821" wp14:editId="3BE88D07">
            <wp:simplePos x="0" y="0"/>
            <wp:positionH relativeFrom="column">
              <wp:posOffset>2312670</wp:posOffset>
            </wp:positionH>
            <wp:positionV relativeFrom="paragraph">
              <wp:posOffset>658495</wp:posOffset>
            </wp:positionV>
            <wp:extent cx="937260" cy="984885"/>
            <wp:effectExtent l="0" t="0" r="0" b="0"/>
            <wp:wrapTopAndBottom/>
            <wp:docPr id="16581630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7260" cy="984885"/>
                    </a:xfrm>
                    <a:prstGeom prst="rect">
                      <a:avLst/>
                    </a:prstGeom>
                    <a:solidFill>
                      <a:srgbClr val="FFFFFF"/>
                    </a:solidFill>
                    <a:ln>
                      <a:noFill/>
                    </a:ln>
                  </pic:spPr>
                </pic:pic>
              </a:graphicData>
            </a:graphic>
          </wp:anchor>
        </w:drawing>
      </w:r>
    </w:p>
    <w:p w14:paraId="43DD8E28" w14:textId="77777777" w:rsidR="009B7E58" w:rsidRPr="00D30847" w:rsidRDefault="009B7E58" w:rsidP="00E84CD0">
      <w:pPr>
        <w:spacing w:line="240" w:lineRule="auto"/>
        <w:jc w:val="both"/>
        <w:rPr>
          <w:rFonts w:cs="Calibri"/>
          <w:lang w:val="en-GB"/>
        </w:rPr>
      </w:pPr>
    </w:p>
    <w:p w14:paraId="25A3803E" w14:textId="6912320C" w:rsidR="00577E52" w:rsidRPr="00D30847" w:rsidRDefault="00577E52" w:rsidP="00F86BB2">
      <w:pPr>
        <w:spacing w:after="120" w:line="240" w:lineRule="auto"/>
        <w:jc w:val="center"/>
        <w:rPr>
          <w:rFonts w:eastAsia="MS PGothic" w:cs="Calibri"/>
          <w:b/>
          <w:color w:val="002060"/>
          <w:lang w:val="en-GB" w:eastAsia="zh-CN"/>
        </w:rPr>
      </w:pPr>
      <w:r w:rsidRPr="00D30847">
        <w:rPr>
          <w:rFonts w:eastAsia="MS PGothic" w:cs="Calibri"/>
          <w:b/>
          <w:color w:val="002060"/>
          <w:lang w:val="en-GB" w:eastAsia="zh-CN"/>
        </w:rPr>
        <w:t>REPUBLIC OF</w:t>
      </w:r>
      <w:r w:rsidR="0048168C" w:rsidRPr="00D30847">
        <w:rPr>
          <w:rFonts w:eastAsia="MS PGothic" w:cs="Calibri"/>
          <w:b/>
          <w:color w:val="002060"/>
          <w:lang w:val="en-GB" w:eastAsia="zh-CN"/>
        </w:rPr>
        <w:t xml:space="preserve"> </w:t>
      </w:r>
      <w:r w:rsidR="00C93667" w:rsidRPr="00D30847">
        <w:rPr>
          <w:rFonts w:eastAsia="MS PGothic" w:cs="Calibri"/>
          <w:b/>
          <w:color w:val="002060"/>
          <w:lang w:val="en-GB" w:eastAsia="zh-CN"/>
        </w:rPr>
        <w:t>NORTH</w:t>
      </w:r>
      <w:r w:rsidRPr="00D30847">
        <w:rPr>
          <w:rFonts w:eastAsia="MS PGothic" w:cs="Calibri"/>
          <w:b/>
          <w:color w:val="002060"/>
          <w:lang w:val="en-GB" w:eastAsia="zh-CN"/>
        </w:rPr>
        <w:t xml:space="preserve"> MACEDONIA</w:t>
      </w:r>
    </w:p>
    <w:p w14:paraId="0C7B954E" w14:textId="77777777" w:rsidR="00577E52" w:rsidRPr="00D30847" w:rsidRDefault="00577E52" w:rsidP="00E84CD0">
      <w:pPr>
        <w:spacing w:after="120" w:line="240" w:lineRule="auto"/>
        <w:jc w:val="center"/>
        <w:rPr>
          <w:rFonts w:eastAsia="MS PGothic" w:cs="Calibri"/>
          <w:b/>
          <w:color w:val="002060"/>
          <w:lang w:val="en-GB" w:eastAsia="zh-CN"/>
        </w:rPr>
      </w:pPr>
      <w:r w:rsidRPr="00D30847">
        <w:rPr>
          <w:rFonts w:eastAsia="MS PGothic" w:cs="Calibri"/>
          <w:b/>
          <w:color w:val="002060"/>
          <w:lang w:val="en-GB" w:eastAsia="zh-CN"/>
        </w:rPr>
        <w:t>MINISTRY OF FINANCE</w:t>
      </w:r>
    </w:p>
    <w:p w14:paraId="4E3DD074" w14:textId="066B9789" w:rsidR="009B7E58" w:rsidRPr="00D30847" w:rsidRDefault="009B7E58" w:rsidP="00E84CD0">
      <w:pPr>
        <w:spacing w:line="240" w:lineRule="auto"/>
        <w:jc w:val="both"/>
        <w:rPr>
          <w:rFonts w:cs="Calibri"/>
          <w:lang w:val="en-GB"/>
        </w:rPr>
      </w:pPr>
    </w:p>
    <w:p w14:paraId="3472E2E9" w14:textId="77777777" w:rsidR="009B7E58" w:rsidRPr="00D30847" w:rsidRDefault="009B7E58" w:rsidP="00E84CD0">
      <w:pPr>
        <w:spacing w:line="240" w:lineRule="auto"/>
        <w:jc w:val="both"/>
        <w:rPr>
          <w:rFonts w:cs="Calibri"/>
          <w:lang w:val="en-GB"/>
        </w:rPr>
      </w:pPr>
    </w:p>
    <w:p w14:paraId="3677C648" w14:textId="159B2670" w:rsidR="009B7E58" w:rsidRPr="00D30847" w:rsidRDefault="00F113BE" w:rsidP="00E84CD0">
      <w:pPr>
        <w:spacing w:line="240" w:lineRule="auto"/>
        <w:jc w:val="both"/>
        <w:rPr>
          <w:rFonts w:cs="Calibri"/>
          <w:lang w:val="en-GB"/>
        </w:rPr>
      </w:pPr>
      <w:r w:rsidRPr="00D30847">
        <w:rPr>
          <w:rFonts w:cs="Calibri"/>
          <w:b/>
          <w:noProof/>
          <w:color w:val="002060"/>
          <w:lang w:eastAsia="mk-MK"/>
        </w:rPr>
        <mc:AlternateContent>
          <mc:Choice Requires="wps">
            <w:drawing>
              <wp:anchor distT="0" distB="0" distL="114300" distR="114300" simplePos="0" relativeHeight="251653120" behindDoc="0" locked="0" layoutInCell="1" allowOverlap="1" wp14:anchorId="0D4110D0" wp14:editId="064B662B">
                <wp:simplePos x="0" y="0"/>
                <wp:positionH relativeFrom="page">
                  <wp:posOffset>-266700</wp:posOffset>
                </wp:positionH>
                <wp:positionV relativeFrom="page">
                  <wp:posOffset>4189730</wp:posOffset>
                </wp:positionV>
                <wp:extent cx="7810500" cy="3940810"/>
                <wp:effectExtent l="0" t="0" r="0" b="2540"/>
                <wp:wrapNone/>
                <wp:docPr id="165365704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810500" cy="3940810"/>
                        </a:xfrm>
                        <a:prstGeom prst="rect">
                          <a:avLst/>
                        </a:prstGeom>
                        <a:gradFill rotWithShape="1">
                          <a:gsLst>
                            <a:gs pos="0">
                              <a:srgbClr val="9BD2ED">
                                <a:gamma/>
                                <a:shade val="46275"/>
                                <a:invGamma/>
                              </a:srgbClr>
                            </a:gs>
                            <a:gs pos="50000">
                              <a:srgbClr val="9BD2ED"/>
                            </a:gs>
                            <a:gs pos="100000">
                              <a:srgbClr val="9BD2ED">
                                <a:gamma/>
                                <a:shade val="46275"/>
                                <a:invGamma/>
                              </a:srgbClr>
                            </a:gs>
                          </a:gsLst>
                          <a:lin ang="5400000" scaled="1"/>
                        </a:gradFill>
                        <a:ln w="12700">
                          <a:solidFill>
                            <a:srgbClr val="1F3763"/>
                          </a:solidFill>
                          <a:miter lim="800000"/>
                          <a:headEnd/>
                          <a:tailEnd/>
                        </a:ln>
                      </wps:spPr>
                      <wps:txbx>
                        <w:txbxContent>
                          <w:p w14:paraId="63F0E162" w14:textId="5744B1CE" w:rsidR="00093CDB" w:rsidRPr="007030F8" w:rsidRDefault="00093CDB" w:rsidP="009B7E58">
                            <w:pPr>
                              <w:pStyle w:val="Ingetavstnd1"/>
                              <w:jc w:val="center"/>
                              <w:rPr>
                                <w:rFonts w:ascii="StobiSans Regular" w:hAnsi="StobiSans Regular"/>
                                <w:b/>
                                <w:color w:val="000000"/>
                                <w:sz w:val="56"/>
                                <w:szCs w:val="56"/>
                                <w:lang w:val="mk-MK"/>
                              </w:rPr>
                            </w:pPr>
                            <w:r w:rsidRPr="007030F8">
                              <w:rPr>
                                <w:rFonts w:ascii="StobiSans Regular" w:hAnsi="StobiSans Regular"/>
                                <w:b/>
                                <w:color w:val="000000"/>
                                <w:sz w:val="56"/>
                                <w:szCs w:val="56"/>
                                <w:lang w:val="mk-MK"/>
                              </w:rPr>
                              <w:t>DRAFT</w:t>
                            </w:r>
                          </w:p>
                          <w:p w14:paraId="2B0359B3" w14:textId="77777777" w:rsidR="00093CDB" w:rsidRPr="00C91FA1" w:rsidRDefault="00093CDB" w:rsidP="004F1113">
                            <w:pPr>
                              <w:pStyle w:val="Ingetavstnd1"/>
                              <w:jc w:val="center"/>
                              <w:rPr>
                                <w:rFonts w:ascii="StobiSans Regular" w:hAnsi="StobiSans Regular"/>
                                <w:b/>
                                <w:color w:val="000000"/>
                                <w:sz w:val="56"/>
                                <w:szCs w:val="56"/>
                                <w:lang w:val="mk-MK"/>
                              </w:rPr>
                            </w:pPr>
                            <w:r w:rsidRPr="00C91FA1">
                              <w:rPr>
                                <w:rFonts w:ascii="StobiSans Regular" w:hAnsi="StobiSans Regular"/>
                                <w:b/>
                                <w:color w:val="000000"/>
                                <w:sz w:val="56"/>
                                <w:szCs w:val="56"/>
                                <w:lang w:val="mk-MK"/>
                              </w:rPr>
                              <w:t xml:space="preserve">Public Financial Management </w:t>
                            </w:r>
                          </w:p>
                          <w:p w14:paraId="670567EB" w14:textId="642BAEB4" w:rsidR="00093CDB" w:rsidRPr="00C91FA1" w:rsidRDefault="00093CDB" w:rsidP="002424C1">
                            <w:pPr>
                              <w:pStyle w:val="Ingetavstnd1"/>
                              <w:jc w:val="center"/>
                              <w:rPr>
                                <w:rFonts w:ascii="StobiSans Regular" w:hAnsi="StobiSans Regular"/>
                                <w:b/>
                                <w:color w:val="000000"/>
                                <w:sz w:val="56"/>
                                <w:szCs w:val="56"/>
                              </w:rPr>
                            </w:pPr>
                            <w:r w:rsidRPr="00C91FA1">
                              <w:rPr>
                                <w:rFonts w:ascii="StobiSans Regular" w:hAnsi="StobiSans Regular"/>
                                <w:b/>
                                <w:color w:val="000000"/>
                                <w:sz w:val="56"/>
                                <w:szCs w:val="56"/>
                                <w:lang w:val="mk-MK"/>
                              </w:rPr>
                              <w:t>Reform</w:t>
                            </w:r>
                            <w:r>
                              <w:rPr>
                                <w:rFonts w:ascii="StobiSans Regular" w:hAnsi="StobiSans Regular"/>
                                <w:b/>
                                <w:color w:val="000000"/>
                                <w:sz w:val="56"/>
                                <w:szCs w:val="56"/>
                              </w:rPr>
                              <w:t xml:space="preserve"> </w:t>
                            </w:r>
                            <w:r w:rsidRPr="00C91FA1">
                              <w:rPr>
                                <w:rFonts w:ascii="StobiSans Regular" w:hAnsi="StobiSans Regular"/>
                                <w:b/>
                                <w:color w:val="000000"/>
                                <w:sz w:val="56"/>
                                <w:szCs w:val="56"/>
                                <w:lang w:val="mk-MK"/>
                              </w:rPr>
                              <w:t>202</w:t>
                            </w:r>
                            <w:r>
                              <w:rPr>
                                <w:rFonts w:ascii="StobiSans Regular" w:hAnsi="StobiSans Regular"/>
                                <w:b/>
                                <w:color w:val="000000"/>
                                <w:sz w:val="56"/>
                                <w:szCs w:val="56"/>
                              </w:rPr>
                              <w:t>5</w:t>
                            </w:r>
                            <w:r w:rsidRPr="00C91FA1">
                              <w:rPr>
                                <w:rFonts w:ascii="StobiSans Regular" w:hAnsi="StobiSans Regular"/>
                                <w:b/>
                                <w:color w:val="000000"/>
                                <w:sz w:val="56"/>
                                <w:szCs w:val="56"/>
                                <w:lang w:val="mk-MK"/>
                              </w:rPr>
                              <w:t xml:space="preserve"> – 202</w:t>
                            </w:r>
                            <w:r>
                              <w:rPr>
                                <w:rFonts w:ascii="StobiSans Regular" w:hAnsi="StobiSans Regular"/>
                                <w:b/>
                                <w:color w:val="000000"/>
                                <w:sz w:val="56"/>
                                <w:szCs w:val="56"/>
                              </w:rPr>
                              <w:t>8</w:t>
                            </w:r>
                          </w:p>
                          <w:p w14:paraId="55707DDC" w14:textId="77777777" w:rsidR="00093CDB" w:rsidRPr="00E50D10" w:rsidRDefault="00093CDB" w:rsidP="009B7E58">
                            <w:pPr>
                              <w:pStyle w:val="Ingetavstnd1"/>
                              <w:jc w:val="right"/>
                              <w:rPr>
                                <w:color w:val="FFFFFF"/>
                                <w:sz w:val="56"/>
                                <w:szCs w:val="72"/>
                                <w:lang w:val="sv-SE"/>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4110D0" id="Rectangle 5" o:spid="_x0000_s1026" style="position:absolute;left:0;text-align:left;margin-left:-21pt;margin-top:329.9pt;width:615pt;height:310.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" fillcolor="#48616e" strokecolor="#1f3763" strokeweight="1pt">
                <v:fill color2="#9bd2ed" rotate="t" focus="50%" type="gradient"/>
                <o:lock v:ext="edit" aspectratio="t"/>
                <v:textbox inset="14.4pt,,14.4pt">
                  <w:txbxContent>
                    <w:p w14:paraId="63F0E162" w14:textId="5744B1CE" w:rsidR="00093CDB" w:rsidRPr="007030F8" w:rsidRDefault="00093CDB" w:rsidP="009B7E58">
                      <w:pPr>
                        <w:pStyle w:val="Ingetavstnd1"/>
                        <w:jc w:val="center"/>
                        <w:rPr>
                          <w:rFonts w:ascii="StobiSans Regular" w:hAnsi="StobiSans Regular"/>
                          <w:b/>
                          <w:color w:val="000000"/>
                          <w:sz w:val="56"/>
                          <w:szCs w:val="56"/>
                          <w:lang w:val="mk-MK"/>
                        </w:rPr>
                      </w:pPr>
                      <w:r w:rsidRPr="007030F8">
                        <w:rPr>
                          <w:rFonts w:ascii="StobiSans Regular" w:hAnsi="StobiSans Regular"/>
                          <w:b/>
                          <w:color w:val="000000"/>
                          <w:sz w:val="56"/>
                          <w:szCs w:val="56"/>
                          <w:lang w:val="mk-MK"/>
                        </w:rPr>
                        <w:t>DRAFT</w:t>
                      </w:r>
                    </w:p>
                    <w:p w14:paraId="2B0359B3" w14:textId="77777777" w:rsidR="00093CDB" w:rsidRPr="00C91FA1" w:rsidRDefault="00093CDB" w:rsidP="004F1113">
                      <w:pPr>
                        <w:pStyle w:val="Ingetavstnd1"/>
                        <w:jc w:val="center"/>
                        <w:rPr>
                          <w:rFonts w:ascii="StobiSans Regular" w:hAnsi="StobiSans Regular"/>
                          <w:b/>
                          <w:color w:val="000000"/>
                          <w:sz w:val="56"/>
                          <w:szCs w:val="56"/>
                          <w:lang w:val="mk-MK"/>
                        </w:rPr>
                      </w:pPr>
                      <w:r w:rsidRPr="00C91FA1">
                        <w:rPr>
                          <w:rFonts w:ascii="StobiSans Regular" w:hAnsi="StobiSans Regular"/>
                          <w:b/>
                          <w:color w:val="000000"/>
                          <w:sz w:val="56"/>
                          <w:szCs w:val="56"/>
                          <w:lang w:val="mk-MK"/>
                        </w:rPr>
                        <w:t xml:space="preserve">Public Financial Management </w:t>
                      </w:r>
                    </w:p>
                    <w:p w14:paraId="670567EB" w14:textId="642BAEB4" w:rsidR="00093CDB" w:rsidRPr="00C91FA1" w:rsidRDefault="00093CDB" w:rsidP="002424C1">
                      <w:pPr>
                        <w:pStyle w:val="Ingetavstnd1"/>
                        <w:jc w:val="center"/>
                        <w:rPr>
                          <w:rFonts w:ascii="StobiSans Regular" w:hAnsi="StobiSans Regular"/>
                          <w:b/>
                          <w:color w:val="000000"/>
                          <w:sz w:val="56"/>
                          <w:szCs w:val="56"/>
                        </w:rPr>
                      </w:pPr>
                      <w:r w:rsidRPr="00C91FA1">
                        <w:rPr>
                          <w:rFonts w:ascii="StobiSans Regular" w:hAnsi="StobiSans Regular"/>
                          <w:b/>
                          <w:color w:val="000000"/>
                          <w:sz w:val="56"/>
                          <w:szCs w:val="56"/>
                          <w:lang w:val="mk-MK"/>
                        </w:rPr>
                        <w:t>Reform</w:t>
                      </w:r>
                      <w:r>
                        <w:rPr>
                          <w:rFonts w:ascii="StobiSans Regular" w:hAnsi="StobiSans Regular"/>
                          <w:b/>
                          <w:color w:val="000000"/>
                          <w:sz w:val="56"/>
                          <w:szCs w:val="56"/>
                        </w:rPr>
                        <w:t xml:space="preserve"> </w:t>
                      </w:r>
                      <w:r w:rsidRPr="00C91FA1">
                        <w:rPr>
                          <w:rFonts w:ascii="StobiSans Regular" w:hAnsi="StobiSans Regular"/>
                          <w:b/>
                          <w:color w:val="000000"/>
                          <w:sz w:val="56"/>
                          <w:szCs w:val="56"/>
                          <w:lang w:val="mk-MK"/>
                        </w:rPr>
                        <w:t>202</w:t>
                      </w:r>
                      <w:r>
                        <w:rPr>
                          <w:rFonts w:ascii="StobiSans Regular" w:hAnsi="StobiSans Regular"/>
                          <w:b/>
                          <w:color w:val="000000"/>
                          <w:sz w:val="56"/>
                          <w:szCs w:val="56"/>
                        </w:rPr>
                        <w:t>5</w:t>
                      </w:r>
                      <w:r w:rsidRPr="00C91FA1">
                        <w:rPr>
                          <w:rFonts w:ascii="StobiSans Regular" w:hAnsi="StobiSans Regular"/>
                          <w:b/>
                          <w:color w:val="000000"/>
                          <w:sz w:val="56"/>
                          <w:szCs w:val="56"/>
                          <w:lang w:val="mk-MK"/>
                        </w:rPr>
                        <w:t xml:space="preserve"> – 202</w:t>
                      </w:r>
                      <w:r>
                        <w:rPr>
                          <w:rFonts w:ascii="StobiSans Regular" w:hAnsi="StobiSans Regular"/>
                          <w:b/>
                          <w:color w:val="000000"/>
                          <w:sz w:val="56"/>
                          <w:szCs w:val="56"/>
                        </w:rPr>
                        <w:t>8</w:t>
                      </w:r>
                    </w:p>
                    <w:p w14:paraId="55707DDC" w14:textId="77777777" w:rsidR="00093CDB" w:rsidRPr="00E50D10" w:rsidRDefault="00093CDB" w:rsidP="009B7E58">
                      <w:pPr>
                        <w:pStyle w:val="Ingetavstnd1"/>
                        <w:jc w:val="right"/>
                        <w:rPr>
                          <w:color w:val="FFFFFF"/>
                          <w:sz w:val="56"/>
                          <w:szCs w:val="72"/>
                          <w:lang w:val="sv-SE"/>
                        </w:rPr>
                      </w:pPr>
                    </w:p>
                  </w:txbxContent>
                </v:textbox>
                <w10:wrap anchorx="page" anchory="page"/>
              </v:rect>
            </w:pict>
          </mc:Fallback>
        </mc:AlternateContent>
      </w:r>
    </w:p>
    <w:p w14:paraId="2BFE967E" w14:textId="77777777" w:rsidR="009B7E58" w:rsidRPr="00D30847" w:rsidRDefault="009B7E58" w:rsidP="00E84CD0">
      <w:pPr>
        <w:spacing w:line="240" w:lineRule="auto"/>
        <w:jc w:val="both"/>
        <w:rPr>
          <w:rFonts w:cs="Calibri"/>
          <w:lang w:val="en-GB"/>
        </w:rPr>
      </w:pPr>
    </w:p>
    <w:p w14:paraId="60E02D8C" w14:textId="77777777" w:rsidR="009B7E58" w:rsidRPr="00D30847" w:rsidRDefault="009B7E58" w:rsidP="00E84CD0">
      <w:pPr>
        <w:spacing w:line="240" w:lineRule="auto"/>
        <w:jc w:val="both"/>
        <w:rPr>
          <w:rFonts w:cs="Calibri"/>
          <w:lang w:val="en-GB"/>
        </w:rPr>
      </w:pPr>
    </w:p>
    <w:p w14:paraId="13404288" w14:textId="77777777" w:rsidR="009B7E58" w:rsidRPr="00D30847" w:rsidRDefault="009B7E58" w:rsidP="00E84CD0">
      <w:pPr>
        <w:spacing w:line="240" w:lineRule="auto"/>
        <w:jc w:val="both"/>
        <w:rPr>
          <w:rFonts w:cs="Calibri"/>
          <w:lang w:val="en-GB"/>
        </w:rPr>
      </w:pPr>
    </w:p>
    <w:p w14:paraId="234519C0" w14:textId="77777777" w:rsidR="009B7E58" w:rsidRPr="00D30847" w:rsidRDefault="009B7E58" w:rsidP="00E84CD0">
      <w:pPr>
        <w:spacing w:line="240" w:lineRule="auto"/>
        <w:jc w:val="both"/>
        <w:rPr>
          <w:rFonts w:cs="Calibri"/>
          <w:lang w:val="en-GB"/>
        </w:rPr>
      </w:pPr>
    </w:p>
    <w:p w14:paraId="2CF99306" w14:textId="77777777" w:rsidR="009B7E58" w:rsidRPr="00D30847" w:rsidRDefault="009B7E58" w:rsidP="00E84CD0">
      <w:pPr>
        <w:spacing w:line="240" w:lineRule="auto"/>
        <w:jc w:val="both"/>
        <w:rPr>
          <w:rFonts w:cs="Calibri"/>
          <w:lang w:val="en-GB"/>
        </w:rPr>
      </w:pPr>
    </w:p>
    <w:p w14:paraId="7D8A1076" w14:textId="77777777" w:rsidR="009B7E58" w:rsidRPr="00D30847" w:rsidRDefault="009B7E58" w:rsidP="00E84CD0">
      <w:pPr>
        <w:spacing w:line="240" w:lineRule="auto"/>
        <w:jc w:val="both"/>
        <w:rPr>
          <w:rFonts w:cs="Calibri"/>
          <w:lang w:val="en-GB"/>
        </w:rPr>
      </w:pPr>
    </w:p>
    <w:p w14:paraId="34A6836B" w14:textId="77777777" w:rsidR="009B7E58" w:rsidRPr="00D30847" w:rsidRDefault="009B7E58" w:rsidP="00E84CD0">
      <w:pPr>
        <w:spacing w:line="240" w:lineRule="auto"/>
        <w:jc w:val="both"/>
        <w:rPr>
          <w:rFonts w:cs="Calibri"/>
          <w:lang w:val="en-GB"/>
        </w:rPr>
      </w:pPr>
    </w:p>
    <w:p w14:paraId="730C5FC8" w14:textId="77777777" w:rsidR="009B7E58" w:rsidRPr="00D30847" w:rsidRDefault="00577E52" w:rsidP="00E84CD0">
      <w:pPr>
        <w:spacing w:line="240" w:lineRule="auto"/>
        <w:jc w:val="both"/>
        <w:rPr>
          <w:rFonts w:cs="Calibri"/>
          <w:b/>
          <w:color w:val="002060"/>
          <w:lang w:val="en-GB"/>
        </w:rPr>
      </w:pPr>
      <w:r w:rsidRPr="00D30847">
        <w:rPr>
          <w:rFonts w:cs="Calibri"/>
          <w:b/>
          <w:color w:val="002060"/>
          <w:lang w:val="en-GB"/>
        </w:rPr>
        <w:t xml:space="preserve">March 2022 </w:t>
      </w:r>
    </w:p>
    <w:p w14:paraId="3CC37989" w14:textId="77777777" w:rsidR="00D00A68" w:rsidRPr="00D30847" w:rsidRDefault="00D00A68" w:rsidP="00E84CD0">
      <w:pPr>
        <w:spacing w:line="240" w:lineRule="auto"/>
        <w:jc w:val="both"/>
        <w:rPr>
          <w:rFonts w:eastAsia="MS PGothic" w:cs="Calibri"/>
          <w:b/>
          <w:bCs/>
          <w:color w:val="CD0000"/>
          <w:lang w:val="en-GB" w:eastAsia="zh-CN"/>
        </w:rPr>
      </w:pPr>
    </w:p>
    <w:p w14:paraId="321A5C9B" w14:textId="7E19CCE2" w:rsidR="00CD5E4C" w:rsidRPr="00D30847" w:rsidRDefault="00CD5E4C" w:rsidP="00E84CD0">
      <w:pPr>
        <w:shd w:val="clear" w:color="auto" w:fill="FFFFFF"/>
        <w:spacing w:after="120" w:line="240" w:lineRule="auto"/>
        <w:jc w:val="both"/>
        <w:rPr>
          <w:rFonts w:eastAsia="MS PGothic" w:cs="Calibri"/>
          <w:b/>
          <w:lang w:val="en-GB" w:eastAsia="zh-CN"/>
        </w:rPr>
      </w:pPr>
    </w:p>
    <w:p w14:paraId="4C6F601C" w14:textId="77777777" w:rsidR="00CD5E4C" w:rsidRPr="00D30847" w:rsidRDefault="00CD5E4C" w:rsidP="00CD5E4C">
      <w:pPr>
        <w:rPr>
          <w:rFonts w:eastAsia="MS PGothic" w:cs="Calibri"/>
          <w:lang w:val="en-GB" w:eastAsia="zh-CN"/>
        </w:rPr>
      </w:pPr>
    </w:p>
    <w:p w14:paraId="55983DEA" w14:textId="77777777" w:rsidR="00CD5E4C" w:rsidRPr="00D30847" w:rsidRDefault="00CD5E4C" w:rsidP="00CD5E4C">
      <w:pPr>
        <w:rPr>
          <w:rFonts w:eastAsia="MS PGothic" w:cs="Calibri"/>
          <w:lang w:val="en-GB" w:eastAsia="zh-CN"/>
        </w:rPr>
      </w:pPr>
    </w:p>
    <w:p w14:paraId="3ED5F61C" w14:textId="67BEE767" w:rsidR="00CD5E4C" w:rsidRPr="00D30847" w:rsidRDefault="00CD5E4C" w:rsidP="00E84CD0">
      <w:pPr>
        <w:shd w:val="clear" w:color="auto" w:fill="FFFFFF"/>
        <w:spacing w:after="120" w:line="240" w:lineRule="auto"/>
        <w:jc w:val="both"/>
        <w:rPr>
          <w:rFonts w:eastAsia="MS PGothic" w:cs="Calibri"/>
          <w:lang w:val="en-GB" w:eastAsia="zh-CN"/>
        </w:rPr>
      </w:pPr>
    </w:p>
    <w:p w14:paraId="21C04D23" w14:textId="604420FB" w:rsidR="00CD5E4C" w:rsidRPr="00D30847" w:rsidRDefault="00CD5E4C" w:rsidP="00E84CD0">
      <w:pPr>
        <w:shd w:val="clear" w:color="auto" w:fill="FFFFFF"/>
        <w:spacing w:after="120" w:line="240" w:lineRule="auto"/>
        <w:jc w:val="both"/>
        <w:rPr>
          <w:rFonts w:eastAsia="MS PGothic" w:cs="Calibri"/>
          <w:lang w:val="en-GB" w:eastAsia="zh-CN"/>
        </w:rPr>
      </w:pPr>
    </w:p>
    <w:p w14:paraId="30B216B9" w14:textId="3B11F0B4" w:rsidR="00CD5E4C" w:rsidRPr="00D30847" w:rsidRDefault="00CD5E4C" w:rsidP="00E84CD0">
      <w:pPr>
        <w:shd w:val="clear" w:color="auto" w:fill="FFFFFF"/>
        <w:spacing w:after="120" w:line="240" w:lineRule="auto"/>
        <w:jc w:val="both"/>
        <w:rPr>
          <w:rFonts w:eastAsia="MS PGothic" w:cs="Calibri"/>
          <w:b/>
          <w:i/>
          <w:color w:val="202124"/>
          <w:lang w:val="en-GB" w:eastAsia="zh-CN"/>
        </w:rPr>
      </w:pPr>
    </w:p>
    <w:p w14:paraId="1C1C8A49" w14:textId="77777777" w:rsidR="00CD5E4C" w:rsidRPr="00D30847" w:rsidRDefault="00CD5E4C" w:rsidP="00CD5E4C">
      <w:pPr>
        <w:shd w:val="clear" w:color="auto" w:fill="FFFFFF"/>
        <w:tabs>
          <w:tab w:val="left" w:pos="3546"/>
        </w:tabs>
        <w:spacing w:after="120" w:line="240" w:lineRule="auto"/>
        <w:jc w:val="both"/>
        <w:rPr>
          <w:rFonts w:eastAsia="MS PGothic" w:cs="Calibri"/>
          <w:b/>
          <w:i/>
          <w:color w:val="202124"/>
          <w:lang w:val="en-GB" w:eastAsia="zh-CN"/>
        </w:rPr>
      </w:pPr>
      <w:r w:rsidRPr="00D30847">
        <w:rPr>
          <w:rFonts w:eastAsia="MS PGothic" w:cs="Calibri"/>
          <w:b/>
          <w:i/>
          <w:color w:val="202124"/>
          <w:lang w:val="en-GB" w:eastAsia="zh-CN"/>
        </w:rPr>
        <w:tab/>
      </w:r>
    </w:p>
    <w:p w14:paraId="3A4C0A46" w14:textId="532417B7" w:rsidR="00CD5E4C" w:rsidRPr="00D30847" w:rsidRDefault="00637A09" w:rsidP="00CD5E4C">
      <w:pPr>
        <w:shd w:val="clear" w:color="auto" w:fill="FFFFFF"/>
        <w:tabs>
          <w:tab w:val="left" w:pos="3546"/>
        </w:tabs>
        <w:spacing w:after="120" w:line="240" w:lineRule="auto"/>
        <w:jc w:val="center"/>
        <w:rPr>
          <w:rFonts w:eastAsia="MS PGothic" w:cs="Calibri"/>
          <w:b/>
          <w:i/>
          <w:color w:val="202124"/>
          <w:lang w:val="en-GB" w:eastAsia="zh-CN"/>
        </w:rPr>
      </w:pPr>
      <w:r w:rsidRPr="00D30847">
        <w:rPr>
          <w:rFonts w:eastAsia="MS PGothic" w:cs="Calibri"/>
          <w:b/>
          <w:i/>
          <w:color w:val="202124"/>
          <w:lang w:val="en-GB" w:eastAsia="zh-CN"/>
        </w:rPr>
        <w:t>January</w:t>
      </w:r>
      <w:r w:rsidR="00CD5E4C" w:rsidRPr="00D30847">
        <w:rPr>
          <w:rFonts w:eastAsia="MS PGothic" w:cs="Calibri"/>
          <w:b/>
          <w:i/>
          <w:color w:val="202124"/>
          <w:lang w:val="en-GB" w:eastAsia="zh-CN"/>
        </w:rPr>
        <w:t xml:space="preserve"> 202</w:t>
      </w:r>
      <w:r w:rsidRPr="00D30847">
        <w:rPr>
          <w:rFonts w:eastAsia="MS PGothic" w:cs="Calibri"/>
          <w:b/>
          <w:i/>
          <w:color w:val="202124"/>
          <w:lang w:val="en-GB" w:eastAsia="zh-CN"/>
        </w:rPr>
        <w:t>5</w:t>
      </w:r>
      <w:r w:rsidR="00CD5E4C" w:rsidRPr="00D30847">
        <w:rPr>
          <w:rFonts w:eastAsia="MS PGothic" w:cs="Calibri"/>
          <w:b/>
          <w:i/>
          <w:color w:val="202124"/>
          <w:lang w:val="en-GB" w:eastAsia="zh-CN"/>
        </w:rPr>
        <w:t>, Skopje</w:t>
      </w:r>
    </w:p>
    <w:p w14:paraId="55BF35CB" w14:textId="5A1A6E31" w:rsidR="00A2147E" w:rsidRPr="00D30847" w:rsidRDefault="00527D2D" w:rsidP="00E32BC1">
      <w:pPr>
        <w:shd w:val="clear" w:color="auto" w:fill="FFFFFF"/>
        <w:spacing w:after="120" w:line="240" w:lineRule="auto"/>
        <w:jc w:val="both"/>
        <w:rPr>
          <w:rFonts w:eastAsia="MS PGothic" w:cs="Calibri"/>
          <w:lang w:val="en-GB" w:eastAsia="zh-CN"/>
        </w:rPr>
      </w:pPr>
      <w:r w:rsidRPr="00D30847">
        <w:rPr>
          <w:rFonts w:eastAsia="MS PGothic" w:cs="Calibri"/>
          <w:lang w:val="en-GB" w:eastAsia="zh-CN"/>
        </w:rPr>
        <w:br w:type="page"/>
      </w:r>
    </w:p>
    <w:p w14:paraId="5E520F4B" w14:textId="47FAC4F5" w:rsidR="00577E52" w:rsidRPr="00D30847" w:rsidRDefault="00577E52" w:rsidP="00ED0A76">
      <w:pPr>
        <w:shd w:val="clear" w:color="auto" w:fill="FFFFFF"/>
        <w:spacing w:after="120" w:line="240" w:lineRule="auto"/>
        <w:jc w:val="both"/>
        <w:rPr>
          <w:rFonts w:eastAsia="MS PGothic" w:cs="Calibri"/>
          <w:b/>
          <w:color w:val="000000"/>
          <w:lang w:val="en-GB" w:eastAsia="zh-CN"/>
        </w:rPr>
      </w:pPr>
      <w:r w:rsidRPr="00D30847">
        <w:rPr>
          <w:rFonts w:eastAsia="MS PGothic" w:cs="Calibri"/>
          <w:b/>
          <w:bCs/>
          <w:color w:val="2F5496"/>
          <w:kern w:val="32"/>
          <w:sz w:val="40"/>
          <w:szCs w:val="40"/>
          <w:lang w:val="en-GB" w:eastAsia="zh-CN"/>
        </w:rPr>
        <w:lastRenderedPageBreak/>
        <w:t>ACRONYMS AND ABBREVIATIONS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7400"/>
      </w:tblGrid>
      <w:tr w:rsidR="0027559D" w:rsidRPr="00D30847" w14:paraId="41BDB9FD" w14:textId="77777777" w:rsidTr="004C6518">
        <w:tc>
          <w:tcPr>
            <w:tcW w:w="1638" w:type="dxa"/>
            <w:shd w:val="clear" w:color="auto" w:fill="auto"/>
          </w:tcPr>
          <w:p w14:paraId="0D21A5D0"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AEO</w:t>
            </w:r>
          </w:p>
        </w:tc>
        <w:tc>
          <w:tcPr>
            <w:tcW w:w="7604" w:type="dxa"/>
            <w:shd w:val="clear" w:color="auto" w:fill="auto"/>
          </w:tcPr>
          <w:p w14:paraId="5EE2E6D1"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Authorized Economic Operator</w:t>
            </w:r>
          </w:p>
        </w:tc>
      </w:tr>
      <w:tr w:rsidR="0027559D" w:rsidRPr="00D30847" w14:paraId="2E73ED0A" w14:textId="77777777" w:rsidTr="004C6518">
        <w:tc>
          <w:tcPr>
            <w:tcW w:w="1638" w:type="dxa"/>
            <w:shd w:val="clear" w:color="auto" w:fill="auto"/>
          </w:tcPr>
          <w:p w14:paraId="2695057D"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CRM</w:t>
            </w:r>
          </w:p>
        </w:tc>
        <w:tc>
          <w:tcPr>
            <w:tcW w:w="7604" w:type="dxa"/>
            <w:shd w:val="clear" w:color="auto" w:fill="auto"/>
          </w:tcPr>
          <w:p w14:paraId="3E005970"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Compliance Risk Management</w:t>
            </w:r>
          </w:p>
        </w:tc>
      </w:tr>
      <w:tr w:rsidR="0027559D" w:rsidRPr="00D30847" w14:paraId="625BACD9" w14:textId="77777777" w:rsidTr="004C6518">
        <w:tc>
          <w:tcPr>
            <w:tcW w:w="1638" w:type="dxa"/>
            <w:shd w:val="clear" w:color="auto" w:fill="auto"/>
          </w:tcPr>
          <w:p w14:paraId="305959D2"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CHU</w:t>
            </w:r>
          </w:p>
        </w:tc>
        <w:tc>
          <w:tcPr>
            <w:tcW w:w="7604" w:type="dxa"/>
            <w:shd w:val="clear" w:color="auto" w:fill="auto"/>
          </w:tcPr>
          <w:p w14:paraId="6ED7A82D"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Central Harmonisation Unit</w:t>
            </w:r>
          </w:p>
        </w:tc>
      </w:tr>
      <w:tr w:rsidR="0027559D" w:rsidRPr="00D30847" w14:paraId="4C0DCEF4" w14:textId="77777777" w:rsidTr="004C6518">
        <w:tc>
          <w:tcPr>
            <w:tcW w:w="1638" w:type="dxa"/>
            <w:shd w:val="clear" w:color="auto" w:fill="auto"/>
          </w:tcPr>
          <w:p w14:paraId="7202ED40"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CA</w:t>
            </w:r>
          </w:p>
        </w:tc>
        <w:tc>
          <w:tcPr>
            <w:tcW w:w="7604" w:type="dxa"/>
            <w:shd w:val="clear" w:color="auto" w:fill="auto"/>
          </w:tcPr>
          <w:p w14:paraId="7554AA15"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Customs Administration</w:t>
            </w:r>
          </w:p>
        </w:tc>
      </w:tr>
      <w:tr w:rsidR="00887F6F" w:rsidRPr="00D30847" w14:paraId="1CA61CAB" w14:textId="77777777" w:rsidTr="004C6518">
        <w:tc>
          <w:tcPr>
            <w:tcW w:w="1638" w:type="dxa"/>
            <w:shd w:val="clear" w:color="auto" w:fill="auto"/>
          </w:tcPr>
          <w:p w14:paraId="0B5678F6" w14:textId="33421D21" w:rsidR="00887F6F" w:rsidRPr="00D30847" w:rsidRDefault="00887F6F" w:rsidP="0027559D">
            <w:pPr>
              <w:spacing w:after="120" w:line="264" w:lineRule="auto"/>
              <w:jc w:val="both"/>
              <w:rPr>
                <w:rFonts w:eastAsia="MS PGothic" w:cs="Calibri"/>
                <w:lang w:val="en-GB" w:eastAsia="zh-CN"/>
              </w:rPr>
            </w:pPr>
            <w:r w:rsidRPr="00D30847">
              <w:rPr>
                <w:rFonts w:eastAsia="MS PGothic" w:cs="Calibri"/>
                <w:lang w:val="en-GB" w:eastAsia="zh-CN"/>
              </w:rPr>
              <w:t>CIT</w:t>
            </w:r>
          </w:p>
        </w:tc>
        <w:tc>
          <w:tcPr>
            <w:tcW w:w="7604" w:type="dxa"/>
            <w:shd w:val="clear" w:color="auto" w:fill="auto"/>
          </w:tcPr>
          <w:p w14:paraId="0F6B2639" w14:textId="40530B98" w:rsidR="00887F6F" w:rsidRPr="00D30847" w:rsidRDefault="00887F6F" w:rsidP="0027559D">
            <w:pPr>
              <w:spacing w:after="120" w:line="264" w:lineRule="auto"/>
              <w:jc w:val="both"/>
              <w:rPr>
                <w:rFonts w:eastAsia="MS PGothic" w:cs="Calibri"/>
                <w:lang w:val="en-GB" w:eastAsia="zh-CN"/>
              </w:rPr>
            </w:pPr>
            <w:r w:rsidRPr="00D30847">
              <w:rPr>
                <w:rFonts w:eastAsia="MS PGothic" w:cs="Calibri"/>
                <w:lang w:val="en-GB" w:eastAsia="zh-CN"/>
              </w:rPr>
              <w:t>Corporate Income Tax</w:t>
            </w:r>
          </w:p>
        </w:tc>
      </w:tr>
      <w:tr w:rsidR="0027559D" w:rsidRPr="00D30847" w14:paraId="2AF83591" w14:textId="77777777" w:rsidTr="004C6518">
        <w:tc>
          <w:tcPr>
            <w:tcW w:w="1638" w:type="dxa"/>
            <w:shd w:val="clear" w:color="auto" w:fill="auto"/>
          </w:tcPr>
          <w:p w14:paraId="17CA485E"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ERP</w:t>
            </w:r>
          </w:p>
        </w:tc>
        <w:tc>
          <w:tcPr>
            <w:tcW w:w="7604" w:type="dxa"/>
            <w:shd w:val="clear" w:color="auto" w:fill="auto"/>
          </w:tcPr>
          <w:p w14:paraId="4646F37F"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Economic Reform Programme</w:t>
            </w:r>
          </w:p>
        </w:tc>
      </w:tr>
      <w:tr w:rsidR="0027559D" w:rsidRPr="00D30847" w14:paraId="352BFA8C" w14:textId="77777777" w:rsidTr="004C6518">
        <w:tc>
          <w:tcPr>
            <w:tcW w:w="1638" w:type="dxa"/>
            <w:shd w:val="clear" w:color="auto" w:fill="auto"/>
          </w:tcPr>
          <w:p w14:paraId="0F2BBAC5"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ESPP</w:t>
            </w:r>
          </w:p>
        </w:tc>
        <w:tc>
          <w:tcPr>
            <w:tcW w:w="7604" w:type="dxa"/>
            <w:shd w:val="clear" w:color="auto" w:fill="auto"/>
          </w:tcPr>
          <w:p w14:paraId="1BA8C8CC"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Electronic System for Public Procurement</w:t>
            </w:r>
          </w:p>
        </w:tc>
      </w:tr>
      <w:tr w:rsidR="0027559D" w:rsidRPr="00D30847" w14:paraId="46DA42C2" w14:textId="77777777" w:rsidTr="004C6518">
        <w:tc>
          <w:tcPr>
            <w:tcW w:w="1638" w:type="dxa"/>
            <w:shd w:val="clear" w:color="auto" w:fill="auto"/>
          </w:tcPr>
          <w:p w14:paraId="7337AECA"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GDP</w:t>
            </w:r>
          </w:p>
        </w:tc>
        <w:tc>
          <w:tcPr>
            <w:tcW w:w="7604" w:type="dxa"/>
            <w:shd w:val="clear" w:color="auto" w:fill="auto"/>
          </w:tcPr>
          <w:p w14:paraId="3A3964BC" w14:textId="20D9720B"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Gross Dome</w:t>
            </w:r>
            <w:r w:rsidR="00E351AA" w:rsidRPr="00D30847">
              <w:rPr>
                <w:rFonts w:eastAsia="MS PGothic" w:cs="Calibri"/>
                <w:lang w:val="en-GB" w:eastAsia="zh-CN"/>
              </w:rPr>
              <w:t>s</w:t>
            </w:r>
            <w:r w:rsidRPr="00D30847">
              <w:rPr>
                <w:rFonts w:eastAsia="MS PGothic" w:cs="Calibri"/>
                <w:lang w:val="en-GB" w:eastAsia="zh-CN"/>
              </w:rPr>
              <w:t>tic Product</w:t>
            </w:r>
          </w:p>
        </w:tc>
      </w:tr>
      <w:tr w:rsidR="0027559D" w:rsidRPr="00D30847" w14:paraId="38B39705" w14:textId="77777777" w:rsidTr="004C6518">
        <w:tc>
          <w:tcPr>
            <w:tcW w:w="1638" w:type="dxa"/>
            <w:shd w:val="clear" w:color="auto" w:fill="auto"/>
          </w:tcPr>
          <w:p w14:paraId="3E3FEABD"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IMF</w:t>
            </w:r>
          </w:p>
        </w:tc>
        <w:tc>
          <w:tcPr>
            <w:tcW w:w="7604" w:type="dxa"/>
            <w:shd w:val="clear" w:color="auto" w:fill="auto"/>
          </w:tcPr>
          <w:p w14:paraId="351D1B78"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International Monetary Found</w:t>
            </w:r>
          </w:p>
        </w:tc>
      </w:tr>
      <w:tr w:rsidR="0027559D" w:rsidRPr="00D30847" w14:paraId="37471579" w14:textId="77777777" w:rsidTr="004C6518">
        <w:tc>
          <w:tcPr>
            <w:tcW w:w="1638" w:type="dxa"/>
            <w:shd w:val="clear" w:color="auto" w:fill="auto"/>
          </w:tcPr>
          <w:p w14:paraId="5CB57F25"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IFMIS</w:t>
            </w:r>
          </w:p>
        </w:tc>
        <w:tc>
          <w:tcPr>
            <w:tcW w:w="7604" w:type="dxa"/>
            <w:shd w:val="clear" w:color="auto" w:fill="auto"/>
          </w:tcPr>
          <w:p w14:paraId="39DB9099" w14:textId="77777777" w:rsidR="0027559D" w:rsidRPr="00D30847" w:rsidRDefault="0027559D" w:rsidP="000D19F6">
            <w:pPr>
              <w:spacing w:after="120" w:line="264" w:lineRule="auto"/>
              <w:jc w:val="both"/>
              <w:rPr>
                <w:rFonts w:eastAsia="MS PGothic" w:cs="Calibri"/>
                <w:lang w:val="en-GB" w:eastAsia="zh-CN"/>
              </w:rPr>
            </w:pPr>
            <w:r w:rsidRPr="00D30847">
              <w:rPr>
                <w:rFonts w:eastAsia="MS PGothic" w:cs="Calibri"/>
                <w:lang w:val="en-GB" w:eastAsia="zh-CN"/>
              </w:rPr>
              <w:t xml:space="preserve">Integrated Financial </w:t>
            </w:r>
            <w:r w:rsidR="000D19F6" w:rsidRPr="00D30847">
              <w:rPr>
                <w:rFonts w:eastAsia="MS PGothic" w:cs="Calibri"/>
                <w:lang w:val="en-GB" w:eastAsia="zh-CN"/>
              </w:rPr>
              <w:t xml:space="preserve">Management </w:t>
            </w:r>
            <w:r w:rsidRPr="00D30847">
              <w:rPr>
                <w:rFonts w:eastAsia="MS PGothic" w:cs="Calibri"/>
                <w:lang w:val="en-GB" w:eastAsia="zh-CN"/>
              </w:rPr>
              <w:t>Information System</w:t>
            </w:r>
          </w:p>
        </w:tc>
      </w:tr>
      <w:tr w:rsidR="0027559D" w:rsidRPr="00D30847" w14:paraId="7D20EB6F" w14:textId="77777777" w:rsidTr="004C6518">
        <w:tc>
          <w:tcPr>
            <w:tcW w:w="1638" w:type="dxa"/>
            <w:shd w:val="clear" w:color="auto" w:fill="auto"/>
          </w:tcPr>
          <w:p w14:paraId="3D0F9F45"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ITIS</w:t>
            </w:r>
          </w:p>
        </w:tc>
        <w:tc>
          <w:tcPr>
            <w:tcW w:w="7604" w:type="dxa"/>
            <w:shd w:val="clear" w:color="auto" w:fill="auto"/>
          </w:tcPr>
          <w:p w14:paraId="1B5DEB84"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Integrated Tax Information System</w:t>
            </w:r>
          </w:p>
        </w:tc>
      </w:tr>
      <w:tr w:rsidR="0027559D" w:rsidRPr="00D30847" w14:paraId="0FCF6DBA" w14:textId="77777777" w:rsidTr="004C6518">
        <w:tc>
          <w:tcPr>
            <w:tcW w:w="1638" w:type="dxa"/>
            <w:shd w:val="clear" w:color="auto" w:fill="auto"/>
          </w:tcPr>
          <w:p w14:paraId="72F50246"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 xml:space="preserve">ICT </w:t>
            </w:r>
          </w:p>
        </w:tc>
        <w:tc>
          <w:tcPr>
            <w:tcW w:w="7604" w:type="dxa"/>
            <w:shd w:val="clear" w:color="auto" w:fill="auto"/>
          </w:tcPr>
          <w:p w14:paraId="3C65287F"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Information and Communication Technology</w:t>
            </w:r>
          </w:p>
        </w:tc>
      </w:tr>
      <w:tr w:rsidR="0027559D" w:rsidRPr="00D30847" w14:paraId="65FB479F" w14:textId="77777777" w:rsidTr="004C6518">
        <w:tc>
          <w:tcPr>
            <w:tcW w:w="1638" w:type="dxa"/>
            <w:shd w:val="clear" w:color="auto" w:fill="auto"/>
          </w:tcPr>
          <w:p w14:paraId="23B12707"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INTOSAI</w:t>
            </w:r>
          </w:p>
        </w:tc>
        <w:tc>
          <w:tcPr>
            <w:tcW w:w="7604" w:type="dxa"/>
            <w:shd w:val="clear" w:color="auto" w:fill="auto"/>
          </w:tcPr>
          <w:p w14:paraId="5E3302B2"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International Organisation of Supreme Audit Institution</w:t>
            </w:r>
          </w:p>
        </w:tc>
      </w:tr>
      <w:tr w:rsidR="0027559D" w:rsidRPr="00D30847" w14:paraId="0E1F0963" w14:textId="77777777" w:rsidTr="004C6518">
        <w:tc>
          <w:tcPr>
            <w:tcW w:w="1638" w:type="dxa"/>
            <w:shd w:val="clear" w:color="auto" w:fill="auto"/>
          </w:tcPr>
          <w:p w14:paraId="73F77A3F"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MoF</w:t>
            </w:r>
          </w:p>
        </w:tc>
        <w:tc>
          <w:tcPr>
            <w:tcW w:w="7604" w:type="dxa"/>
            <w:shd w:val="clear" w:color="auto" w:fill="auto"/>
          </w:tcPr>
          <w:p w14:paraId="7819BAC5"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Ministry of Finance</w:t>
            </w:r>
          </w:p>
        </w:tc>
      </w:tr>
      <w:tr w:rsidR="0027559D" w:rsidRPr="00D30847" w14:paraId="2FC3DD69" w14:textId="77777777" w:rsidTr="004C6518">
        <w:tc>
          <w:tcPr>
            <w:tcW w:w="1638" w:type="dxa"/>
            <w:shd w:val="clear" w:color="auto" w:fill="auto"/>
          </w:tcPr>
          <w:p w14:paraId="57B7CB25" w14:textId="0163E2F1"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ME</w:t>
            </w:r>
            <w:r w:rsidR="000C713A">
              <w:rPr>
                <w:rFonts w:eastAsia="MS PGothic" w:cs="Calibri"/>
                <w:lang w:val="en-GB" w:eastAsia="zh-CN"/>
              </w:rPr>
              <w:t>MME</w:t>
            </w:r>
            <w:r w:rsidRPr="00D30847">
              <w:rPr>
                <w:rFonts w:eastAsia="MS PGothic" w:cs="Calibri"/>
                <w:lang w:val="en-GB" w:eastAsia="zh-CN"/>
              </w:rPr>
              <w:t xml:space="preserve"> </w:t>
            </w:r>
          </w:p>
        </w:tc>
        <w:tc>
          <w:tcPr>
            <w:tcW w:w="7604" w:type="dxa"/>
            <w:shd w:val="clear" w:color="auto" w:fill="auto"/>
          </w:tcPr>
          <w:p w14:paraId="40F91C6A" w14:textId="6461DF02" w:rsidR="0027559D" w:rsidRPr="00D30847" w:rsidRDefault="000C713A" w:rsidP="0027559D">
            <w:pPr>
              <w:spacing w:after="120" w:line="264" w:lineRule="auto"/>
              <w:jc w:val="both"/>
              <w:rPr>
                <w:rFonts w:eastAsia="MS PGothic" w:cs="Calibri"/>
                <w:lang w:val="en-GB" w:eastAsia="zh-CN"/>
              </w:rPr>
            </w:pPr>
            <w:r w:rsidRPr="000C713A">
              <w:rPr>
                <w:rFonts w:eastAsia="MS PGothic" w:cs="Calibri"/>
                <w:lang w:val="en-GB" w:eastAsia="zh-CN"/>
              </w:rPr>
              <w:t>Ministry of Energy, Mining and Mineral Resources</w:t>
            </w:r>
          </w:p>
        </w:tc>
      </w:tr>
      <w:tr w:rsidR="0027559D" w:rsidRPr="00D30847" w14:paraId="1E5B8FBD" w14:textId="77777777" w:rsidTr="004C6518">
        <w:tc>
          <w:tcPr>
            <w:tcW w:w="1638" w:type="dxa"/>
            <w:shd w:val="clear" w:color="auto" w:fill="auto"/>
          </w:tcPr>
          <w:p w14:paraId="0811C2E4"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MASP</w:t>
            </w:r>
          </w:p>
        </w:tc>
        <w:tc>
          <w:tcPr>
            <w:tcW w:w="7604" w:type="dxa"/>
            <w:shd w:val="clear" w:color="auto" w:fill="auto"/>
          </w:tcPr>
          <w:p w14:paraId="2C6E4BB8"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Multi</w:t>
            </w:r>
            <w:r w:rsidR="000D19F6" w:rsidRPr="00D30847">
              <w:rPr>
                <w:rFonts w:eastAsia="MS PGothic" w:cs="Calibri"/>
                <w:lang w:val="en-GB" w:eastAsia="zh-CN"/>
              </w:rPr>
              <w:t>-</w:t>
            </w:r>
            <w:r w:rsidRPr="00D30847">
              <w:rPr>
                <w:rFonts w:eastAsia="MS PGothic" w:cs="Calibri"/>
                <w:lang w:val="en-GB" w:eastAsia="zh-CN"/>
              </w:rPr>
              <w:t xml:space="preserve">annual Strategic Plan </w:t>
            </w:r>
          </w:p>
        </w:tc>
      </w:tr>
      <w:tr w:rsidR="00614B59" w:rsidRPr="00D30847" w14:paraId="49BDB772" w14:textId="77777777" w:rsidTr="004C6518">
        <w:tc>
          <w:tcPr>
            <w:tcW w:w="1638" w:type="dxa"/>
            <w:shd w:val="clear" w:color="auto" w:fill="auto"/>
          </w:tcPr>
          <w:p w14:paraId="763A3F74" w14:textId="4794656A" w:rsidR="00614B59" w:rsidRPr="00D30847" w:rsidRDefault="00614B59" w:rsidP="0027559D">
            <w:pPr>
              <w:spacing w:after="120" w:line="264" w:lineRule="auto"/>
              <w:jc w:val="both"/>
              <w:rPr>
                <w:rFonts w:eastAsia="MS PGothic" w:cs="Calibri"/>
                <w:lang w:val="en-GB" w:eastAsia="zh-CN"/>
              </w:rPr>
            </w:pPr>
            <w:r w:rsidRPr="00D30847">
              <w:rPr>
                <w:rFonts w:eastAsia="MS PGothic" w:cs="Calibri"/>
                <w:lang w:val="en-GB" w:eastAsia="zh-CN"/>
              </w:rPr>
              <w:t>NEDC</w:t>
            </w:r>
          </w:p>
        </w:tc>
        <w:tc>
          <w:tcPr>
            <w:tcW w:w="7604" w:type="dxa"/>
            <w:shd w:val="clear" w:color="auto" w:fill="auto"/>
          </w:tcPr>
          <w:p w14:paraId="33A13010" w14:textId="7D9A1AF4" w:rsidR="00614B59" w:rsidRPr="00D30847" w:rsidRDefault="00614B59" w:rsidP="0027559D">
            <w:pPr>
              <w:spacing w:after="120" w:line="264" w:lineRule="auto"/>
              <w:jc w:val="both"/>
              <w:rPr>
                <w:rFonts w:eastAsia="MS PGothic" w:cs="Calibri"/>
                <w:lang w:val="en-GB" w:eastAsia="zh-CN"/>
              </w:rPr>
            </w:pPr>
            <w:r w:rsidRPr="00D30847">
              <w:rPr>
                <w:rFonts w:eastAsia="MS PGothic" w:cs="Calibri"/>
                <w:lang w:val="en-GB" w:eastAsia="zh-CN"/>
              </w:rPr>
              <w:t>New European Driving Cycle</w:t>
            </w:r>
          </w:p>
        </w:tc>
      </w:tr>
      <w:tr w:rsidR="0027559D" w:rsidRPr="00D30847" w14:paraId="73247262" w14:textId="77777777" w:rsidTr="004C6518">
        <w:tc>
          <w:tcPr>
            <w:tcW w:w="1638" w:type="dxa"/>
            <w:shd w:val="clear" w:color="auto" w:fill="auto"/>
          </w:tcPr>
          <w:p w14:paraId="39A5FA7C"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OECD</w:t>
            </w:r>
          </w:p>
        </w:tc>
        <w:tc>
          <w:tcPr>
            <w:tcW w:w="7604" w:type="dxa"/>
            <w:shd w:val="clear" w:color="auto" w:fill="auto"/>
          </w:tcPr>
          <w:p w14:paraId="2F87430F"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Organisation for Economic Cooperation and Development</w:t>
            </w:r>
          </w:p>
        </w:tc>
      </w:tr>
      <w:tr w:rsidR="0027559D" w:rsidRPr="00D30847" w14:paraId="6EF9C276" w14:textId="77777777" w:rsidTr="004C6518">
        <w:tc>
          <w:tcPr>
            <w:tcW w:w="1638" w:type="dxa"/>
            <w:shd w:val="clear" w:color="auto" w:fill="auto"/>
          </w:tcPr>
          <w:p w14:paraId="584514EF"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OBL</w:t>
            </w:r>
          </w:p>
        </w:tc>
        <w:tc>
          <w:tcPr>
            <w:tcW w:w="7604" w:type="dxa"/>
            <w:shd w:val="clear" w:color="auto" w:fill="auto"/>
          </w:tcPr>
          <w:p w14:paraId="6D40EE10"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Organic Budget Law</w:t>
            </w:r>
          </w:p>
        </w:tc>
      </w:tr>
      <w:tr w:rsidR="0027559D" w:rsidRPr="00D30847" w14:paraId="34268643" w14:textId="77777777" w:rsidTr="004C6518">
        <w:tc>
          <w:tcPr>
            <w:tcW w:w="1638" w:type="dxa"/>
            <w:shd w:val="clear" w:color="auto" w:fill="auto"/>
          </w:tcPr>
          <w:p w14:paraId="7EA6235F"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PFM</w:t>
            </w:r>
          </w:p>
        </w:tc>
        <w:tc>
          <w:tcPr>
            <w:tcW w:w="7604" w:type="dxa"/>
            <w:shd w:val="clear" w:color="auto" w:fill="auto"/>
          </w:tcPr>
          <w:p w14:paraId="46A7F31D" w14:textId="77777777" w:rsidR="0027559D" w:rsidRPr="00D30847" w:rsidRDefault="0027559D" w:rsidP="000D19F6">
            <w:pPr>
              <w:spacing w:after="120" w:line="264" w:lineRule="auto"/>
              <w:jc w:val="both"/>
              <w:rPr>
                <w:rFonts w:eastAsia="MS PGothic" w:cs="Calibri"/>
                <w:lang w:val="en-GB" w:eastAsia="zh-CN"/>
              </w:rPr>
            </w:pPr>
            <w:r w:rsidRPr="00D30847">
              <w:rPr>
                <w:rFonts w:eastAsia="MS PGothic" w:cs="Calibri"/>
                <w:lang w:val="en-GB" w:eastAsia="zh-CN"/>
              </w:rPr>
              <w:t xml:space="preserve">Public Financial </w:t>
            </w:r>
            <w:r w:rsidR="000D19F6" w:rsidRPr="00D30847">
              <w:rPr>
                <w:rFonts w:eastAsia="MS PGothic" w:cs="Calibri"/>
                <w:lang w:val="en-GB" w:eastAsia="zh-CN"/>
              </w:rPr>
              <w:t>Management</w:t>
            </w:r>
          </w:p>
        </w:tc>
      </w:tr>
      <w:tr w:rsidR="0027559D" w:rsidRPr="00D30847" w14:paraId="2B267D5A" w14:textId="77777777" w:rsidTr="004C6518">
        <w:tc>
          <w:tcPr>
            <w:tcW w:w="1638" w:type="dxa"/>
            <w:shd w:val="clear" w:color="auto" w:fill="auto"/>
          </w:tcPr>
          <w:p w14:paraId="44F9934E"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PEFA</w:t>
            </w:r>
          </w:p>
        </w:tc>
        <w:tc>
          <w:tcPr>
            <w:tcW w:w="7604" w:type="dxa"/>
            <w:shd w:val="clear" w:color="auto" w:fill="auto"/>
          </w:tcPr>
          <w:p w14:paraId="3594DE72"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Public Expenditure and Financial Accountability</w:t>
            </w:r>
          </w:p>
        </w:tc>
      </w:tr>
      <w:tr w:rsidR="00887F6F" w:rsidRPr="00D30847" w14:paraId="5BC6C5AF" w14:textId="77777777" w:rsidTr="004C6518">
        <w:tc>
          <w:tcPr>
            <w:tcW w:w="1638" w:type="dxa"/>
            <w:shd w:val="clear" w:color="auto" w:fill="auto"/>
          </w:tcPr>
          <w:p w14:paraId="02E0E08C" w14:textId="3D0092C6" w:rsidR="00887F6F" w:rsidRPr="00D30847" w:rsidRDefault="00887F6F" w:rsidP="0027559D">
            <w:pPr>
              <w:spacing w:after="120" w:line="264" w:lineRule="auto"/>
              <w:jc w:val="both"/>
              <w:rPr>
                <w:rFonts w:eastAsia="MS PGothic" w:cs="Calibri"/>
                <w:lang w:val="en-GB" w:eastAsia="zh-CN"/>
              </w:rPr>
            </w:pPr>
            <w:r w:rsidRPr="00D30847">
              <w:rPr>
                <w:rFonts w:eastAsia="MS PGothic" w:cs="Calibri"/>
                <w:lang w:val="en-GB" w:eastAsia="zh-CN"/>
              </w:rPr>
              <w:t>PIT</w:t>
            </w:r>
          </w:p>
        </w:tc>
        <w:tc>
          <w:tcPr>
            <w:tcW w:w="7604" w:type="dxa"/>
            <w:shd w:val="clear" w:color="auto" w:fill="auto"/>
          </w:tcPr>
          <w:p w14:paraId="0812FED4" w14:textId="237C9E8B" w:rsidR="00887F6F" w:rsidRPr="00D30847" w:rsidRDefault="00887F6F" w:rsidP="0027559D">
            <w:pPr>
              <w:spacing w:after="120" w:line="264" w:lineRule="auto"/>
              <w:jc w:val="both"/>
              <w:rPr>
                <w:rFonts w:eastAsia="MS PGothic" w:cs="Calibri"/>
                <w:lang w:val="en-GB" w:eastAsia="zh-CN"/>
              </w:rPr>
            </w:pPr>
            <w:r w:rsidRPr="00D30847">
              <w:rPr>
                <w:rFonts w:eastAsia="MS PGothic" w:cs="Calibri"/>
                <w:lang w:val="en-GB" w:eastAsia="zh-CN"/>
              </w:rPr>
              <w:t>Personal Income Tax</w:t>
            </w:r>
          </w:p>
        </w:tc>
      </w:tr>
      <w:tr w:rsidR="0027559D" w:rsidRPr="00D30847" w14:paraId="4703FD56" w14:textId="77777777" w:rsidTr="004C6518">
        <w:tc>
          <w:tcPr>
            <w:tcW w:w="1638" w:type="dxa"/>
            <w:shd w:val="clear" w:color="auto" w:fill="auto"/>
          </w:tcPr>
          <w:p w14:paraId="7EA3B989"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PRO</w:t>
            </w:r>
          </w:p>
        </w:tc>
        <w:tc>
          <w:tcPr>
            <w:tcW w:w="7604" w:type="dxa"/>
            <w:shd w:val="clear" w:color="auto" w:fill="auto"/>
          </w:tcPr>
          <w:p w14:paraId="6A11C6C9"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Public Revenue Office</w:t>
            </w:r>
          </w:p>
        </w:tc>
      </w:tr>
      <w:tr w:rsidR="0027559D" w:rsidRPr="00D30847" w14:paraId="3A5E9ACD" w14:textId="77777777" w:rsidTr="004C6518">
        <w:tc>
          <w:tcPr>
            <w:tcW w:w="1638" w:type="dxa"/>
            <w:shd w:val="clear" w:color="auto" w:fill="auto"/>
          </w:tcPr>
          <w:p w14:paraId="7F1AB0CB"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PPB</w:t>
            </w:r>
          </w:p>
        </w:tc>
        <w:tc>
          <w:tcPr>
            <w:tcW w:w="7604" w:type="dxa"/>
            <w:shd w:val="clear" w:color="auto" w:fill="auto"/>
          </w:tcPr>
          <w:p w14:paraId="3DFD52CF"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Public Procurement Bureau</w:t>
            </w:r>
          </w:p>
        </w:tc>
      </w:tr>
      <w:tr w:rsidR="0027559D" w:rsidRPr="00D30847" w14:paraId="46B0D245" w14:textId="77777777" w:rsidTr="004C6518">
        <w:tc>
          <w:tcPr>
            <w:tcW w:w="1638" w:type="dxa"/>
            <w:shd w:val="clear" w:color="auto" w:fill="auto"/>
          </w:tcPr>
          <w:p w14:paraId="5A658EE0"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PPP</w:t>
            </w:r>
          </w:p>
        </w:tc>
        <w:tc>
          <w:tcPr>
            <w:tcW w:w="7604" w:type="dxa"/>
            <w:shd w:val="clear" w:color="auto" w:fill="auto"/>
          </w:tcPr>
          <w:p w14:paraId="05271081"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Public Private Partnerships</w:t>
            </w:r>
          </w:p>
        </w:tc>
      </w:tr>
      <w:tr w:rsidR="0027559D" w:rsidRPr="00D30847" w14:paraId="39350CE0" w14:textId="77777777" w:rsidTr="004C6518">
        <w:tc>
          <w:tcPr>
            <w:tcW w:w="1638" w:type="dxa"/>
            <w:shd w:val="clear" w:color="auto" w:fill="auto"/>
          </w:tcPr>
          <w:p w14:paraId="087F7DC2"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PIM</w:t>
            </w:r>
          </w:p>
        </w:tc>
        <w:tc>
          <w:tcPr>
            <w:tcW w:w="7604" w:type="dxa"/>
            <w:shd w:val="clear" w:color="auto" w:fill="auto"/>
          </w:tcPr>
          <w:p w14:paraId="1E08230B" w14:textId="77777777" w:rsidR="0027559D" w:rsidRPr="00D30847" w:rsidRDefault="0027559D" w:rsidP="000D19F6">
            <w:pPr>
              <w:spacing w:after="120" w:line="264" w:lineRule="auto"/>
              <w:jc w:val="both"/>
              <w:rPr>
                <w:rFonts w:eastAsia="MS PGothic" w:cs="Calibri"/>
                <w:lang w:val="en-GB" w:eastAsia="zh-CN"/>
              </w:rPr>
            </w:pPr>
            <w:r w:rsidRPr="00D30847">
              <w:rPr>
                <w:rFonts w:eastAsia="MS PGothic" w:cs="Calibri"/>
                <w:lang w:val="en-GB" w:eastAsia="zh-CN"/>
              </w:rPr>
              <w:t xml:space="preserve">Public Investment </w:t>
            </w:r>
            <w:r w:rsidR="000D19F6" w:rsidRPr="00D30847">
              <w:rPr>
                <w:rFonts w:eastAsia="MS PGothic" w:cs="Calibri"/>
                <w:lang w:val="en-GB" w:eastAsia="zh-CN"/>
              </w:rPr>
              <w:t>Management</w:t>
            </w:r>
          </w:p>
        </w:tc>
      </w:tr>
      <w:tr w:rsidR="0027559D" w:rsidRPr="00D30847" w14:paraId="0A810C3C" w14:textId="77777777" w:rsidTr="004C6518">
        <w:tc>
          <w:tcPr>
            <w:tcW w:w="1638" w:type="dxa"/>
            <w:shd w:val="clear" w:color="auto" w:fill="auto"/>
          </w:tcPr>
          <w:p w14:paraId="433BC9D6"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PIFC</w:t>
            </w:r>
          </w:p>
        </w:tc>
        <w:tc>
          <w:tcPr>
            <w:tcW w:w="7604" w:type="dxa"/>
            <w:shd w:val="clear" w:color="auto" w:fill="auto"/>
          </w:tcPr>
          <w:p w14:paraId="67BAF620"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Public Internal Financial Control</w:t>
            </w:r>
          </w:p>
        </w:tc>
      </w:tr>
      <w:tr w:rsidR="0027559D" w:rsidRPr="00D30847" w14:paraId="465CECA6" w14:textId="77777777" w:rsidTr="004C6518">
        <w:tc>
          <w:tcPr>
            <w:tcW w:w="1638" w:type="dxa"/>
            <w:shd w:val="clear" w:color="auto" w:fill="auto"/>
          </w:tcPr>
          <w:p w14:paraId="13BF0EC6"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PIMA</w:t>
            </w:r>
          </w:p>
        </w:tc>
        <w:tc>
          <w:tcPr>
            <w:tcW w:w="7604" w:type="dxa"/>
            <w:shd w:val="clear" w:color="auto" w:fill="auto"/>
          </w:tcPr>
          <w:p w14:paraId="23A68584" w14:textId="77777777" w:rsidR="0027559D" w:rsidRPr="00D30847" w:rsidRDefault="0027559D" w:rsidP="00B1312A">
            <w:pPr>
              <w:spacing w:after="120" w:line="264" w:lineRule="auto"/>
              <w:jc w:val="both"/>
              <w:rPr>
                <w:rFonts w:eastAsia="MS PGothic" w:cs="Calibri"/>
                <w:lang w:val="en-GB" w:eastAsia="zh-CN"/>
              </w:rPr>
            </w:pPr>
            <w:r w:rsidRPr="00D30847">
              <w:rPr>
                <w:rFonts w:eastAsia="MS PGothic" w:cs="Calibri"/>
                <w:lang w:val="en-GB" w:eastAsia="zh-CN"/>
              </w:rPr>
              <w:t xml:space="preserve">Public Investment </w:t>
            </w:r>
            <w:r w:rsidR="00B1312A" w:rsidRPr="00D30847">
              <w:rPr>
                <w:rFonts w:eastAsia="MS PGothic" w:cs="Calibri"/>
                <w:lang w:val="en-GB" w:eastAsia="zh-CN"/>
              </w:rPr>
              <w:t xml:space="preserve">Management </w:t>
            </w:r>
            <w:r w:rsidRPr="00D30847">
              <w:rPr>
                <w:rFonts w:eastAsia="MS PGothic" w:cs="Calibri"/>
                <w:lang w:val="en-GB" w:eastAsia="zh-CN"/>
              </w:rPr>
              <w:t>Assessment</w:t>
            </w:r>
          </w:p>
        </w:tc>
      </w:tr>
      <w:tr w:rsidR="0027559D" w:rsidRPr="00D30847" w14:paraId="668BE103" w14:textId="77777777" w:rsidTr="004C6518">
        <w:tc>
          <w:tcPr>
            <w:tcW w:w="1638" w:type="dxa"/>
            <w:shd w:val="clear" w:color="auto" w:fill="auto"/>
          </w:tcPr>
          <w:p w14:paraId="75EF7205"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 xml:space="preserve">PAR </w:t>
            </w:r>
          </w:p>
        </w:tc>
        <w:tc>
          <w:tcPr>
            <w:tcW w:w="7604" w:type="dxa"/>
            <w:shd w:val="clear" w:color="auto" w:fill="auto"/>
          </w:tcPr>
          <w:p w14:paraId="7DF62239"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Public Administration Reform</w:t>
            </w:r>
          </w:p>
        </w:tc>
      </w:tr>
      <w:tr w:rsidR="0027559D" w:rsidRPr="00D30847" w14:paraId="7C8FDB7F" w14:textId="77777777" w:rsidTr="004C6518">
        <w:tc>
          <w:tcPr>
            <w:tcW w:w="1638" w:type="dxa"/>
            <w:shd w:val="clear" w:color="auto" w:fill="auto"/>
          </w:tcPr>
          <w:p w14:paraId="1F44171E"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SIGMA</w:t>
            </w:r>
          </w:p>
        </w:tc>
        <w:tc>
          <w:tcPr>
            <w:tcW w:w="7604" w:type="dxa"/>
            <w:shd w:val="clear" w:color="auto" w:fill="auto"/>
          </w:tcPr>
          <w:p w14:paraId="1237AA60" w14:textId="77777777" w:rsidR="0027559D" w:rsidRPr="00D30847" w:rsidRDefault="00EC5DD8" w:rsidP="0027559D">
            <w:pPr>
              <w:spacing w:after="120" w:line="264" w:lineRule="auto"/>
              <w:jc w:val="both"/>
              <w:rPr>
                <w:rFonts w:eastAsia="MS PGothic" w:cs="Calibri"/>
                <w:lang w:val="en-GB" w:eastAsia="zh-CN"/>
              </w:rPr>
            </w:pPr>
            <w:r w:rsidRPr="00D30847">
              <w:rPr>
                <w:rFonts w:eastAsia="MS PGothic" w:cs="Calibri"/>
                <w:lang w:val="en-GB" w:eastAsia="zh-CN"/>
              </w:rPr>
              <w:t>Support for Improvement in Governance and Management</w:t>
            </w:r>
          </w:p>
        </w:tc>
      </w:tr>
      <w:tr w:rsidR="0027559D" w:rsidRPr="00D30847" w14:paraId="3AB5EDE0" w14:textId="77777777" w:rsidTr="004C6518">
        <w:tc>
          <w:tcPr>
            <w:tcW w:w="1638" w:type="dxa"/>
            <w:shd w:val="clear" w:color="auto" w:fill="auto"/>
          </w:tcPr>
          <w:p w14:paraId="35E480F0"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SWG</w:t>
            </w:r>
          </w:p>
        </w:tc>
        <w:tc>
          <w:tcPr>
            <w:tcW w:w="7604" w:type="dxa"/>
            <w:shd w:val="clear" w:color="auto" w:fill="auto"/>
          </w:tcPr>
          <w:p w14:paraId="1A333CF3"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Sector Working Group</w:t>
            </w:r>
          </w:p>
        </w:tc>
      </w:tr>
      <w:tr w:rsidR="0027559D" w:rsidRPr="00D30847" w14:paraId="05D1CF87" w14:textId="77777777" w:rsidTr="004C6518">
        <w:tc>
          <w:tcPr>
            <w:tcW w:w="1638" w:type="dxa"/>
            <w:shd w:val="clear" w:color="auto" w:fill="auto"/>
          </w:tcPr>
          <w:p w14:paraId="70737BAB"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SAC</w:t>
            </w:r>
          </w:p>
        </w:tc>
        <w:tc>
          <w:tcPr>
            <w:tcW w:w="7604" w:type="dxa"/>
            <w:shd w:val="clear" w:color="auto" w:fill="auto"/>
          </w:tcPr>
          <w:p w14:paraId="195C5266"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State Appeals Commission</w:t>
            </w:r>
          </w:p>
        </w:tc>
      </w:tr>
      <w:tr w:rsidR="0027559D" w:rsidRPr="00D30847" w14:paraId="643DF496" w14:textId="77777777" w:rsidTr="004C6518">
        <w:tc>
          <w:tcPr>
            <w:tcW w:w="1638" w:type="dxa"/>
            <w:shd w:val="clear" w:color="auto" w:fill="auto"/>
          </w:tcPr>
          <w:p w14:paraId="5D13118F"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lastRenderedPageBreak/>
              <w:t>SAO</w:t>
            </w:r>
          </w:p>
        </w:tc>
        <w:tc>
          <w:tcPr>
            <w:tcW w:w="7604" w:type="dxa"/>
            <w:shd w:val="clear" w:color="auto" w:fill="auto"/>
          </w:tcPr>
          <w:p w14:paraId="3F957889"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State Audit Office</w:t>
            </w:r>
          </w:p>
        </w:tc>
      </w:tr>
      <w:tr w:rsidR="0027559D" w:rsidRPr="00D30847" w14:paraId="64FFFE0F" w14:textId="77777777" w:rsidTr="004C6518">
        <w:tc>
          <w:tcPr>
            <w:tcW w:w="1638" w:type="dxa"/>
            <w:shd w:val="clear" w:color="auto" w:fill="auto"/>
          </w:tcPr>
          <w:p w14:paraId="37DD1002"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TADAT</w:t>
            </w:r>
          </w:p>
        </w:tc>
        <w:tc>
          <w:tcPr>
            <w:tcW w:w="7604" w:type="dxa"/>
            <w:shd w:val="clear" w:color="auto" w:fill="auto"/>
          </w:tcPr>
          <w:p w14:paraId="36BBFDAF"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Tax Administration Diagnostic Assessment Tool</w:t>
            </w:r>
          </w:p>
        </w:tc>
      </w:tr>
      <w:tr w:rsidR="0027559D" w:rsidRPr="00D30847" w14:paraId="184CDE22" w14:textId="77777777" w:rsidTr="004C6518">
        <w:tc>
          <w:tcPr>
            <w:tcW w:w="1638" w:type="dxa"/>
            <w:shd w:val="clear" w:color="auto" w:fill="auto"/>
          </w:tcPr>
          <w:p w14:paraId="4BC27D56"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UESPPP</w:t>
            </w:r>
          </w:p>
        </w:tc>
        <w:tc>
          <w:tcPr>
            <w:tcW w:w="7604" w:type="dxa"/>
            <w:shd w:val="clear" w:color="auto" w:fill="auto"/>
          </w:tcPr>
          <w:p w14:paraId="7F4F17B1"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 xml:space="preserve">Unified Electronic Public Private Partnership System </w:t>
            </w:r>
          </w:p>
        </w:tc>
      </w:tr>
      <w:tr w:rsidR="0027559D" w:rsidRPr="00D30847" w14:paraId="115025C8" w14:textId="77777777" w:rsidTr="004C6518">
        <w:tc>
          <w:tcPr>
            <w:tcW w:w="1638" w:type="dxa"/>
            <w:shd w:val="clear" w:color="auto" w:fill="auto"/>
          </w:tcPr>
          <w:p w14:paraId="57F28981"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 xml:space="preserve">VAT </w:t>
            </w:r>
          </w:p>
        </w:tc>
        <w:tc>
          <w:tcPr>
            <w:tcW w:w="7604" w:type="dxa"/>
            <w:shd w:val="clear" w:color="auto" w:fill="auto"/>
          </w:tcPr>
          <w:p w14:paraId="0E91FAD3"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Value Added Tax</w:t>
            </w:r>
          </w:p>
        </w:tc>
      </w:tr>
      <w:tr w:rsidR="00614B59" w:rsidRPr="00D30847" w14:paraId="4B189A4A" w14:textId="77777777" w:rsidTr="004C6518">
        <w:tc>
          <w:tcPr>
            <w:tcW w:w="1638" w:type="dxa"/>
            <w:shd w:val="clear" w:color="auto" w:fill="auto"/>
          </w:tcPr>
          <w:p w14:paraId="6DCCBFB5" w14:textId="03D5FEC4" w:rsidR="00614B59" w:rsidRPr="00D30847" w:rsidRDefault="00614B59" w:rsidP="0027559D">
            <w:pPr>
              <w:spacing w:after="120" w:line="264" w:lineRule="auto"/>
              <w:jc w:val="both"/>
              <w:rPr>
                <w:rFonts w:eastAsia="MS PGothic" w:cs="Calibri"/>
                <w:lang w:val="en-GB" w:eastAsia="zh-CN"/>
              </w:rPr>
            </w:pPr>
            <w:r w:rsidRPr="00D30847">
              <w:rPr>
                <w:rFonts w:eastAsia="MS PGothic" w:cs="Calibri"/>
                <w:lang w:val="en-GB" w:eastAsia="zh-CN"/>
              </w:rPr>
              <w:t>WAP</w:t>
            </w:r>
          </w:p>
        </w:tc>
        <w:tc>
          <w:tcPr>
            <w:tcW w:w="7604" w:type="dxa"/>
            <w:shd w:val="clear" w:color="auto" w:fill="auto"/>
          </w:tcPr>
          <w:p w14:paraId="62E37551" w14:textId="7FEE7162" w:rsidR="00614B59" w:rsidRPr="00D30847" w:rsidRDefault="00614B59" w:rsidP="0027559D">
            <w:pPr>
              <w:spacing w:after="120" w:line="264" w:lineRule="auto"/>
              <w:jc w:val="both"/>
              <w:rPr>
                <w:rFonts w:eastAsia="MS PGothic" w:cs="Calibri"/>
                <w:lang w:val="en-GB" w:eastAsia="zh-CN"/>
              </w:rPr>
            </w:pPr>
            <w:r w:rsidRPr="00D30847">
              <w:rPr>
                <w:rFonts w:eastAsia="MS PGothic" w:cs="Calibri"/>
                <w:lang w:val="en-GB" w:eastAsia="zh-CN"/>
              </w:rPr>
              <w:t>Weighted Average Price</w:t>
            </w:r>
          </w:p>
        </w:tc>
      </w:tr>
      <w:tr w:rsidR="00614B59" w:rsidRPr="00D30847" w14:paraId="5DB52A03" w14:textId="77777777" w:rsidTr="004C6518">
        <w:tc>
          <w:tcPr>
            <w:tcW w:w="1638" w:type="dxa"/>
            <w:shd w:val="clear" w:color="auto" w:fill="auto"/>
          </w:tcPr>
          <w:p w14:paraId="33F72E56" w14:textId="3BF3A117" w:rsidR="00614B59" w:rsidRPr="00D30847" w:rsidRDefault="00614B59" w:rsidP="0027559D">
            <w:pPr>
              <w:spacing w:after="120" w:line="264" w:lineRule="auto"/>
              <w:jc w:val="both"/>
              <w:rPr>
                <w:rFonts w:eastAsia="MS PGothic" w:cs="Calibri"/>
                <w:lang w:val="en-GB" w:eastAsia="zh-CN"/>
              </w:rPr>
            </w:pPr>
            <w:r w:rsidRPr="00D30847">
              <w:rPr>
                <w:rFonts w:eastAsia="MS PGothic" w:cs="Calibri"/>
                <w:lang w:val="en-GB" w:eastAsia="zh-CN"/>
              </w:rPr>
              <w:t>WALTP</w:t>
            </w:r>
          </w:p>
        </w:tc>
        <w:tc>
          <w:tcPr>
            <w:tcW w:w="7604" w:type="dxa"/>
            <w:shd w:val="clear" w:color="auto" w:fill="auto"/>
          </w:tcPr>
          <w:p w14:paraId="2CB959C2" w14:textId="77690ECA" w:rsidR="00614B59" w:rsidRPr="00D30847" w:rsidRDefault="00614B59" w:rsidP="0027559D">
            <w:pPr>
              <w:spacing w:after="120" w:line="264" w:lineRule="auto"/>
              <w:jc w:val="both"/>
              <w:rPr>
                <w:rFonts w:eastAsia="MS PGothic" w:cs="Calibri"/>
                <w:lang w:val="en-GB" w:eastAsia="zh-CN"/>
              </w:rPr>
            </w:pPr>
            <w:r w:rsidRPr="00D30847">
              <w:rPr>
                <w:rFonts w:eastAsia="MS PGothic" w:cs="Calibri"/>
                <w:lang w:val="en-GB" w:eastAsia="zh-CN"/>
              </w:rPr>
              <w:t xml:space="preserve">Worldwide Harmonised Light </w:t>
            </w:r>
            <w:proofErr w:type="spellStart"/>
            <w:r w:rsidRPr="00D30847">
              <w:rPr>
                <w:rFonts w:eastAsia="MS PGothic" w:cs="Calibri"/>
                <w:lang w:val="en-GB" w:eastAsia="zh-CN"/>
              </w:rPr>
              <w:t>Wehicle</w:t>
            </w:r>
            <w:proofErr w:type="spellEnd"/>
            <w:r w:rsidRPr="00D30847">
              <w:rPr>
                <w:rFonts w:eastAsia="MS PGothic" w:cs="Calibri"/>
                <w:lang w:val="en-GB" w:eastAsia="zh-CN"/>
              </w:rPr>
              <w:t xml:space="preserve"> Test Procedure</w:t>
            </w:r>
          </w:p>
        </w:tc>
      </w:tr>
      <w:tr w:rsidR="0027559D" w:rsidRPr="00D30847" w14:paraId="64B99CB4" w14:textId="77777777" w:rsidTr="004C6518">
        <w:tc>
          <w:tcPr>
            <w:tcW w:w="1638" w:type="dxa"/>
            <w:shd w:val="clear" w:color="auto" w:fill="auto"/>
          </w:tcPr>
          <w:p w14:paraId="4AC614D1"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WB</w:t>
            </w:r>
          </w:p>
        </w:tc>
        <w:tc>
          <w:tcPr>
            <w:tcW w:w="7604" w:type="dxa"/>
            <w:shd w:val="clear" w:color="auto" w:fill="auto"/>
          </w:tcPr>
          <w:p w14:paraId="2C196161" w14:textId="77777777" w:rsidR="0027559D" w:rsidRPr="00D30847" w:rsidRDefault="0027559D" w:rsidP="0027559D">
            <w:pPr>
              <w:spacing w:after="120" w:line="264" w:lineRule="auto"/>
              <w:jc w:val="both"/>
              <w:rPr>
                <w:rFonts w:eastAsia="MS PGothic" w:cs="Calibri"/>
                <w:lang w:val="en-GB" w:eastAsia="zh-CN"/>
              </w:rPr>
            </w:pPr>
            <w:r w:rsidRPr="00D30847">
              <w:rPr>
                <w:rFonts w:eastAsia="MS PGothic" w:cs="Calibri"/>
                <w:lang w:val="en-GB" w:eastAsia="zh-CN"/>
              </w:rPr>
              <w:t>World Bank</w:t>
            </w:r>
          </w:p>
        </w:tc>
      </w:tr>
    </w:tbl>
    <w:p w14:paraId="3FBD96C2" w14:textId="77777777" w:rsidR="00577E52" w:rsidRPr="00D30847" w:rsidRDefault="00577E52" w:rsidP="00E84CD0">
      <w:pPr>
        <w:shd w:val="clear" w:color="auto" w:fill="FFFFFF"/>
        <w:spacing w:after="120" w:line="240" w:lineRule="auto"/>
        <w:jc w:val="both"/>
        <w:rPr>
          <w:rFonts w:eastAsia="MS PGothic" w:cs="Calibri"/>
          <w:b/>
          <w:lang w:val="en-GB" w:eastAsia="zh-CN"/>
        </w:rPr>
      </w:pPr>
    </w:p>
    <w:p w14:paraId="674D637F" w14:textId="77777777" w:rsidR="0074523B" w:rsidRPr="00D30847" w:rsidRDefault="0074523B" w:rsidP="00E84CD0">
      <w:pPr>
        <w:spacing w:line="240" w:lineRule="auto"/>
        <w:jc w:val="both"/>
        <w:rPr>
          <w:rFonts w:cs="Calibri"/>
          <w:lang w:val="en-GB"/>
        </w:rPr>
      </w:pPr>
    </w:p>
    <w:p w14:paraId="1EEEE2DE" w14:textId="77777777" w:rsidR="00E04B56" w:rsidRPr="00D30847" w:rsidRDefault="00E04B56" w:rsidP="00E84CD0">
      <w:pPr>
        <w:pStyle w:val="TOCHeading"/>
        <w:spacing w:line="240" w:lineRule="auto"/>
        <w:jc w:val="both"/>
        <w:rPr>
          <w:rFonts w:ascii="Calibri" w:hAnsi="Calibri" w:cs="Calibri"/>
          <w:color w:val="000000"/>
          <w:lang w:val="en-GB"/>
        </w:rPr>
      </w:pPr>
      <w:r w:rsidRPr="00D30847">
        <w:rPr>
          <w:rFonts w:ascii="Calibri" w:hAnsi="Calibri" w:cs="Calibri"/>
          <w:color w:val="000000"/>
          <w:lang w:val="en-GB"/>
        </w:rPr>
        <w:lastRenderedPageBreak/>
        <w:t>Contents</w:t>
      </w:r>
    </w:p>
    <w:p w14:paraId="4D822F6C" w14:textId="77777777" w:rsidR="00504F55" w:rsidRPr="00D30847" w:rsidRDefault="00504F55" w:rsidP="00504F55">
      <w:pPr>
        <w:rPr>
          <w:lang w:val="en-GB"/>
        </w:rPr>
      </w:pPr>
    </w:p>
    <w:p w14:paraId="62B8B9BF" w14:textId="48563C2B" w:rsidR="000C713A" w:rsidRDefault="006A55CA">
      <w:pPr>
        <w:pStyle w:val="TOC1"/>
        <w:tabs>
          <w:tab w:val="right" w:leader="dot" w:pos="9016"/>
        </w:tabs>
        <w:rPr>
          <w:rFonts w:asciiTheme="minorHAnsi" w:eastAsiaTheme="minorEastAsia" w:hAnsiTheme="minorHAnsi" w:cstheme="minorBidi"/>
          <w:noProof/>
          <w:lang w:eastAsia="mk-MK"/>
        </w:rPr>
      </w:pPr>
      <w:r w:rsidRPr="00D30847">
        <w:rPr>
          <w:rFonts w:cs="Calibri"/>
          <w:lang w:val="en-GB"/>
        </w:rPr>
        <w:fldChar w:fldCharType="begin"/>
      </w:r>
      <w:r w:rsidR="00E04B56" w:rsidRPr="00D30847">
        <w:rPr>
          <w:rFonts w:cs="Calibri"/>
          <w:lang w:val="en-GB"/>
        </w:rPr>
        <w:instrText xml:space="preserve"> TOC \o "1-3" \h \z \u </w:instrText>
      </w:r>
      <w:r w:rsidRPr="00D30847">
        <w:rPr>
          <w:rFonts w:cs="Calibri"/>
          <w:lang w:val="en-GB"/>
        </w:rPr>
        <w:fldChar w:fldCharType="separate"/>
      </w:r>
      <w:hyperlink w:anchor="_Toc187841796" w:history="1">
        <w:r w:rsidR="000C713A" w:rsidRPr="00A76327">
          <w:rPr>
            <w:rStyle w:val="Hyperlink"/>
            <w:rFonts w:eastAsia="MS PGothic" w:cs="Calibri"/>
            <w:noProof/>
            <w:lang w:val="en-GB" w:eastAsia="zh-CN"/>
          </w:rPr>
          <w:t>Introduction</w:t>
        </w:r>
        <w:r w:rsidR="000C713A">
          <w:rPr>
            <w:noProof/>
            <w:webHidden/>
          </w:rPr>
          <w:tab/>
        </w:r>
        <w:r w:rsidR="000C713A">
          <w:rPr>
            <w:noProof/>
            <w:webHidden/>
          </w:rPr>
          <w:fldChar w:fldCharType="begin"/>
        </w:r>
        <w:r w:rsidR="000C713A">
          <w:rPr>
            <w:noProof/>
            <w:webHidden/>
          </w:rPr>
          <w:instrText xml:space="preserve"> PAGEREF _Toc187841796 \h </w:instrText>
        </w:r>
        <w:r w:rsidR="000C713A">
          <w:rPr>
            <w:noProof/>
            <w:webHidden/>
          </w:rPr>
        </w:r>
        <w:r w:rsidR="000C713A">
          <w:rPr>
            <w:noProof/>
            <w:webHidden/>
          </w:rPr>
          <w:fldChar w:fldCharType="separate"/>
        </w:r>
        <w:r w:rsidR="000C713A">
          <w:rPr>
            <w:noProof/>
            <w:webHidden/>
          </w:rPr>
          <w:t>6</w:t>
        </w:r>
        <w:r w:rsidR="000C713A">
          <w:rPr>
            <w:noProof/>
            <w:webHidden/>
          </w:rPr>
          <w:fldChar w:fldCharType="end"/>
        </w:r>
      </w:hyperlink>
    </w:p>
    <w:p w14:paraId="63BAACA7" w14:textId="635BDC55" w:rsidR="000C713A" w:rsidRDefault="00E669F2">
      <w:pPr>
        <w:pStyle w:val="TOC1"/>
        <w:tabs>
          <w:tab w:val="right" w:leader="dot" w:pos="9016"/>
        </w:tabs>
        <w:rPr>
          <w:rFonts w:asciiTheme="minorHAnsi" w:eastAsiaTheme="minorEastAsia" w:hAnsiTheme="minorHAnsi" w:cstheme="minorBidi"/>
          <w:noProof/>
          <w:lang w:eastAsia="mk-MK"/>
        </w:rPr>
      </w:pPr>
      <w:hyperlink w:anchor="_Toc187841797" w:history="1">
        <w:r w:rsidR="000C713A" w:rsidRPr="00A76327">
          <w:rPr>
            <w:rStyle w:val="Hyperlink"/>
            <w:rFonts w:eastAsia="MS PGothic" w:cs="Calibri"/>
            <w:noProof/>
            <w:lang w:val="en-GB" w:eastAsia="zh-CN"/>
          </w:rPr>
          <w:t>Chapter I: Background of the PFM Reform Programme</w:t>
        </w:r>
        <w:r w:rsidR="000C713A">
          <w:rPr>
            <w:noProof/>
            <w:webHidden/>
          </w:rPr>
          <w:tab/>
        </w:r>
        <w:r w:rsidR="000C713A">
          <w:rPr>
            <w:noProof/>
            <w:webHidden/>
          </w:rPr>
          <w:fldChar w:fldCharType="begin"/>
        </w:r>
        <w:r w:rsidR="000C713A">
          <w:rPr>
            <w:noProof/>
            <w:webHidden/>
          </w:rPr>
          <w:instrText xml:space="preserve"> PAGEREF _Toc187841797 \h </w:instrText>
        </w:r>
        <w:r w:rsidR="000C713A">
          <w:rPr>
            <w:noProof/>
            <w:webHidden/>
          </w:rPr>
        </w:r>
        <w:r w:rsidR="000C713A">
          <w:rPr>
            <w:noProof/>
            <w:webHidden/>
          </w:rPr>
          <w:fldChar w:fldCharType="separate"/>
        </w:r>
        <w:r w:rsidR="000C713A">
          <w:rPr>
            <w:noProof/>
            <w:webHidden/>
          </w:rPr>
          <w:t>8</w:t>
        </w:r>
        <w:r w:rsidR="000C713A">
          <w:rPr>
            <w:noProof/>
            <w:webHidden/>
          </w:rPr>
          <w:fldChar w:fldCharType="end"/>
        </w:r>
      </w:hyperlink>
    </w:p>
    <w:p w14:paraId="0B7E5B76" w14:textId="4685E3C7" w:rsidR="000C713A" w:rsidRDefault="00E669F2">
      <w:pPr>
        <w:pStyle w:val="TOC1"/>
        <w:tabs>
          <w:tab w:val="right" w:leader="dot" w:pos="9016"/>
        </w:tabs>
        <w:rPr>
          <w:rFonts w:asciiTheme="minorHAnsi" w:eastAsiaTheme="minorEastAsia" w:hAnsiTheme="minorHAnsi" w:cstheme="minorBidi"/>
          <w:noProof/>
          <w:lang w:eastAsia="mk-MK"/>
        </w:rPr>
      </w:pPr>
      <w:hyperlink w:anchor="_Toc187841798" w:history="1">
        <w:r w:rsidR="000C713A" w:rsidRPr="00A76327">
          <w:rPr>
            <w:rStyle w:val="Hyperlink"/>
            <w:rFonts w:cs="Calibri"/>
            <w:noProof/>
            <w:lang w:val="en-GB"/>
          </w:rPr>
          <w:t>Chapter II. Pillars, Priorities, Measures and Outcomes</w:t>
        </w:r>
        <w:r w:rsidR="000C713A">
          <w:rPr>
            <w:noProof/>
            <w:webHidden/>
          </w:rPr>
          <w:tab/>
        </w:r>
        <w:r w:rsidR="000C713A">
          <w:rPr>
            <w:noProof/>
            <w:webHidden/>
          </w:rPr>
          <w:fldChar w:fldCharType="begin"/>
        </w:r>
        <w:r w:rsidR="000C713A">
          <w:rPr>
            <w:noProof/>
            <w:webHidden/>
          </w:rPr>
          <w:instrText xml:space="preserve"> PAGEREF _Toc187841798 \h </w:instrText>
        </w:r>
        <w:r w:rsidR="000C713A">
          <w:rPr>
            <w:noProof/>
            <w:webHidden/>
          </w:rPr>
        </w:r>
        <w:r w:rsidR="000C713A">
          <w:rPr>
            <w:noProof/>
            <w:webHidden/>
          </w:rPr>
          <w:fldChar w:fldCharType="separate"/>
        </w:r>
        <w:r w:rsidR="000C713A">
          <w:rPr>
            <w:noProof/>
            <w:webHidden/>
          </w:rPr>
          <w:t>21</w:t>
        </w:r>
        <w:r w:rsidR="000C713A">
          <w:rPr>
            <w:noProof/>
            <w:webHidden/>
          </w:rPr>
          <w:fldChar w:fldCharType="end"/>
        </w:r>
      </w:hyperlink>
    </w:p>
    <w:p w14:paraId="09877AB6" w14:textId="693B4DCE" w:rsidR="000C713A" w:rsidRDefault="00E669F2">
      <w:pPr>
        <w:pStyle w:val="TOC1"/>
        <w:tabs>
          <w:tab w:val="right" w:leader="dot" w:pos="9016"/>
        </w:tabs>
        <w:rPr>
          <w:rFonts w:asciiTheme="minorHAnsi" w:eastAsiaTheme="minorEastAsia" w:hAnsiTheme="minorHAnsi" w:cstheme="minorBidi"/>
          <w:noProof/>
          <w:lang w:eastAsia="mk-MK"/>
        </w:rPr>
      </w:pPr>
      <w:hyperlink w:anchor="_Toc187841799" w:history="1">
        <w:r w:rsidR="000C713A" w:rsidRPr="00A76327">
          <w:rPr>
            <w:rStyle w:val="Hyperlink"/>
            <w:rFonts w:cs="Calibri"/>
            <w:noProof/>
            <w:lang w:val="en-GB"/>
          </w:rPr>
          <w:t>PILLAR I - Economic Analysis, Macroeconomic and Fiscal Framework</w:t>
        </w:r>
        <w:r w:rsidR="000C713A">
          <w:rPr>
            <w:noProof/>
            <w:webHidden/>
          </w:rPr>
          <w:tab/>
        </w:r>
        <w:r w:rsidR="000C713A">
          <w:rPr>
            <w:noProof/>
            <w:webHidden/>
          </w:rPr>
          <w:fldChar w:fldCharType="begin"/>
        </w:r>
        <w:r w:rsidR="000C713A">
          <w:rPr>
            <w:noProof/>
            <w:webHidden/>
          </w:rPr>
          <w:instrText xml:space="preserve"> PAGEREF _Toc187841799 \h </w:instrText>
        </w:r>
        <w:r w:rsidR="000C713A">
          <w:rPr>
            <w:noProof/>
            <w:webHidden/>
          </w:rPr>
        </w:r>
        <w:r w:rsidR="000C713A">
          <w:rPr>
            <w:noProof/>
            <w:webHidden/>
          </w:rPr>
          <w:fldChar w:fldCharType="separate"/>
        </w:r>
        <w:r w:rsidR="000C713A">
          <w:rPr>
            <w:noProof/>
            <w:webHidden/>
          </w:rPr>
          <w:t>22</w:t>
        </w:r>
        <w:r w:rsidR="000C713A">
          <w:rPr>
            <w:noProof/>
            <w:webHidden/>
          </w:rPr>
          <w:fldChar w:fldCharType="end"/>
        </w:r>
      </w:hyperlink>
    </w:p>
    <w:p w14:paraId="2D7B5E7A" w14:textId="0A616B56" w:rsidR="000C713A" w:rsidRDefault="00E669F2">
      <w:pPr>
        <w:pStyle w:val="TOC1"/>
        <w:tabs>
          <w:tab w:val="right" w:leader="dot" w:pos="9016"/>
        </w:tabs>
        <w:rPr>
          <w:rFonts w:asciiTheme="minorHAnsi" w:eastAsiaTheme="minorEastAsia" w:hAnsiTheme="minorHAnsi" w:cstheme="minorBidi"/>
          <w:noProof/>
          <w:lang w:eastAsia="mk-MK"/>
        </w:rPr>
      </w:pPr>
      <w:hyperlink w:anchor="_Toc187841800" w:history="1">
        <w:r w:rsidR="000C713A" w:rsidRPr="00A76327">
          <w:rPr>
            <w:rStyle w:val="Hyperlink"/>
            <w:rFonts w:cs="Calibri"/>
            <w:noProof/>
            <w:lang w:val="en-GB"/>
          </w:rPr>
          <w:t>Priority 1: Tax Revenue forecasting and reporting</w:t>
        </w:r>
        <w:r w:rsidR="000C713A">
          <w:rPr>
            <w:noProof/>
            <w:webHidden/>
          </w:rPr>
          <w:tab/>
        </w:r>
        <w:r w:rsidR="000C713A">
          <w:rPr>
            <w:noProof/>
            <w:webHidden/>
          </w:rPr>
          <w:fldChar w:fldCharType="begin"/>
        </w:r>
        <w:r w:rsidR="000C713A">
          <w:rPr>
            <w:noProof/>
            <w:webHidden/>
          </w:rPr>
          <w:instrText xml:space="preserve"> PAGEREF _Toc187841800 \h </w:instrText>
        </w:r>
        <w:r w:rsidR="000C713A">
          <w:rPr>
            <w:noProof/>
            <w:webHidden/>
          </w:rPr>
        </w:r>
        <w:r w:rsidR="000C713A">
          <w:rPr>
            <w:noProof/>
            <w:webHidden/>
          </w:rPr>
          <w:fldChar w:fldCharType="separate"/>
        </w:r>
        <w:r w:rsidR="000C713A">
          <w:rPr>
            <w:noProof/>
            <w:webHidden/>
          </w:rPr>
          <w:t>24</w:t>
        </w:r>
        <w:r w:rsidR="000C713A">
          <w:rPr>
            <w:noProof/>
            <w:webHidden/>
          </w:rPr>
          <w:fldChar w:fldCharType="end"/>
        </w:r>
      </w:hyperlink>
    </w:p>
    <w:p w14:paraId="70E4374C" w14:textId="634FAE7E" w:rsidR="000C713A" w:rsidRDefault="00E669F2">
      <w:pPr>
        <w:pStyle w:val="TOC1"/>
        <w:tabs>
          <w:tab w:val="right" w:leader="dot" w:pos="9016"/>
        </w:tabs>
        <w:rPr>
          <w:rFonts w:asciiTheme="minorHAnsi" w:eastAsiaTheme="minorEastAsia" w:hAnsiTheme="minorHAnsi" w:cstheme="minorBidi"/>
          <w:noProof/>
          <w:lang w:eastAsia="mk-MK"/>
        </w:rPr>
      </w:pPr>
      <w:hyperlink w:anchor="_Toc187841801" w:history="1">
        <w:r w:rsidR="000C713A" w:rsidRPr="00A76327">
          <w:rPr>
            <w:rStyle w:val="Hyperlink"/>
            <w:rFonts w:cs="Calibri"/>
            <w:noProof/>
            <w:lang w:val="en-GB"/>
          </w:rPr>
          <w:t>Priority 2: Economic analysis and Macroeconomic forecasting</w:t>
        </w:r>
        <w:r w:rsidR="000C713A">
          <w:rPr>
            <w:noProof/>
            <w:webHidden/>
          </w:rPr>
          <w:tab/>
        </w:r>
        <w:r w:rsidR="000C713A">
          <w:rPr>
            <w:noProof/>
            <w:webHidden/>
          </w:rPr>
          <w:fldChar w:fldCharType="begin"/>
        </w:r>
        <w:r w:rsidR="000C713A">
          <w:rPr>
            <w:noProof/>
            <w:webHidden/>
          </w:rPr>
          <w:instrText xml:space="preserve"> PAGEREF _Toc187841801 \h </w:instrText>
        </w:r>
        <w:r w:rsidR="000C713A">
          <w:rPr>
            <w:noProof/>
            <w:webHidden/>
          </w:rPr>
        </w:r>
        <w:r w:rsidR="000C713A">
          <w:rPr>
            <w:noProof/>
            <w:webHidden/>
          </w:rPr>
          <w:fldChar w:fldCharType="separate"/>
        </w:r>
        <w:r w:rsidR="000C713A">
          <w:rPr>
            <w:noProof/>
            <w:webHidden/>
          </w:rPr>
          <w:t>30</w:t>
        </w:r>
        <w:r w:rsidR="000C713A">
          <w:rPr>
            <w:noProof/>
            <w:webHidden/>
          </w:rPr>
          <w:fldChar w:fldCharType="end"/>
        </w:r>
      </w:hyperlink>
    </w:p>
    <w:p w14:paraId="7E2A5BA9" w14:textId="6A8DDA2D" w:rsidR="000C713A" w:rsidRDefault="00E669F2">
      <w:pPr>
        <w:pStyle w:val="TOC1"/>
        <w:tabs>
          <w:tab w:val="right" w:leader="dot" w:pos="9016"/>
        </w:tabs>
        <w:rPr>
          <w:rFonts w:asciiTheme="minorHAnsi" w:eastAsiaTheme="minorEastAsia" w:hAnsiTheme="minorHAnsi" w:cstheme="minorBidi"/>
          <w:noProof/>
          <w:lang w:eastAsia="mk-MK"/>
        </w:rPr>
      </w:pPr>
      <w:hyperlink w:anchor="_Toc187841802" w:history="1">
        <w:r w:rsidR="000C713A" w:rsidRPr="00A76327">
          <w:rPr>
            <w:rStyle w:val="Hyperlink"/>
            <w:rFonts w:cs="Calibri"/>
            <w:noProof/>
            <w:lang w:val="en-GB"/>
          </w:rPr>
          <w:t>Priority 3: Strengthening Debt Management</w:t>
        </w:r>
        <w:r w:rsidR="000C713A">
          <w:rPr>
            <w:noProof/>
            <w:webHidden/>
          </w:rPr>
          <w:tab/>
        </w:r>
        <w:r w:rsidR="000C713A">
          <w:rPr>
            <w:noProof/>
            <w:webHidden/>
          </w:rPr>
          <w:fldChar w:fldCharType="begin"/>
        </w:r>
        <w:r w:rsidR="000C713A">
          <w:rPr>
            <w:noProof/>
            <w:webHidden/>
          </w:rPr>
          <w:instrText xml:space="preserve"> PAGEREF _Toc187841802 \h </w:instrText>
        </w:r>
        <w:r w:rsidR="000C713A">
          <w:rPr>
            <w:noProof/>
            <w:webHidden/>
          </w:rPr>
        </w:r>
        <w:r w:rsidR="000C713A">
          <w:rPr>
            <w:noProof/>
            <w:webHidden/>
          </w:rPr>
          <w:fldChar w:fldCharType="separate"/>
        </w:r>
        <w:r w:rsidR="000C713A">
          <w:rPr>
            <w:noProof/>
            <w:webHidden/>
          </w:rPr>
          <w:t>36</w:t>
        </w:r>
        <w:r w:rsidR="000C713A">
          <w:rPr>
            <w:noProof/>
            <w:webHidden/>
          </w:rPr>
          <w:fldChar w:fldCharType="end"/>
        </w:r>
      </w:hyperlink>
    </w:p>
    <w:p w14:paraId="3A0B68BE" w14:textId="33AB3AB9" w:rsidR="000C713A" w:rsidRDefault="00E669F2">
      <w:pPr>
        <w:pStyle w:val="TOC1"/>
        <w:tabs>
          <w:tab w:val="right" w:leader="dot" w:pos="9016"/>
        </w:tabs>
        <w:rPr>
          <w:rFonts w:asciiTheme="minorHAnsi" w:eastAsiaTheme="minorEastAsia" w:hAnsiTheme="minorHAnsi" w:cstheme="minorBidi"/>
          <w:noProof/>
          <w:lang w:eastAsia="mk-MK"/>
        </w:rPr>
      </w:pPr>
      <w:hyperlink w:anchor="_Toc187841803" w:history="1">
        <w:r w:rsidR="000C713A" w:rsidRPr="00A76327">
          <w:rPr>
            <w:rStyle w:val="Hyperlink"/>
            <w:rFonts w:eastAsia="MS PGothic" w:cs="Calibri"/>
            <w:noProof/>
            <w:lang w:val="en-GB" w:eastAsia="zh-CN"/>
          </w:rPr>
          <w:t>PILLAR II - Revenue Mobilisation</w:t>
        </w:r>
        <w:r w:rsidR="000C713A">
          <w:rPr>
            <w:noProof/>
            <w:webHidden/>
          </w:rPr>
          <w:tab/>
        </w:r>
        <w:r w:rsidR="000C713A">
          <w:rPr>
            <w:noProof/>
            <w:webHidden/>
          </w:rPr>
          <w:fldChar w:fldCharType="begin"/>
        </w:r>
        <w:r w:rsidR="000C713A">
          <w:rPr>
            <w:noProof/>
            <w:webHidden/>
          </w:rPr>
          <w:instrText xml:space="preserve"> PAGEREF _Toc187841803 \h </w:instrText>
        </w:r>
        <w:r w:rsidR="000C713A">
          <w:rPr>
            <w:noProof/>
            <w:webHidden/>
          </w:rPr>
        </w:r>
        <w:r w:rsidR="000C713A">
          <w:rPr>
            <w:noProof/>
            <w:webHidden/>
          </w:rPr>
          <w:fldChar w:fldCharType="separate"/>
        </w:r>
        <w:r w:rsidR="000C713A">
          <w:rPr>
            <w:noProof/>
            <w:webHidden/>
          </w:rPr>
          <w:t>42</w:t>
        </w:r>
        <w:r w:rsidR="000C713A">
          <w:rPr>
            <w:noProof/>
            <w:webHidden/>
          </w:rPr>
          <w:fldChar w:fldCharType="end"/>
        </w:r>
      </w:hyperlink>
    </w:p>
    <w:p w14:paraId="62BE0EB9" w14:textId="6CC1BC5B" w:rsidR="000C713A" w:rsidRDefault="00E669F2">
      <w:pPr>
        <w:pStyle w:val="TOC1"/>
        <w:tabs>
          <w:tab w:val="right" w:leader="dot" w:pos="9016"/>
        </w:tabs>
        <w:rPr>
          <w:rFonts w:asciiTheme="minorHAnsi" w:eastAsiaTheme="minorEastAsia" w:hAnsiTheme="minorHAnsi" w:cstheme="minorBidi"/>
          <w:noProof/>
          <w:lang w:eastAsia="mk-MK"/>
        </w:rPr>
      </w:pPr>
      <w:hyperlink w:anchor="_Toc187841804" w:history="1">
        <w:r w:rsidR="000C713A" w:rsidRPr="00A76327">
          <w:rPr>
            <w:rStyle w:val="Hyperlink"/>
            <w:rFonts w:cs="Calibri"/>
            <w:noProof/>
            <w:lang w:val="en-GB"/>
          </w:rPr>
          <w:t>Priority 1: Tax and customs policy</w:t>
        </w:r>
        <w:r w:rsidR="000C713A">
          <w:rPr>
            <w:noProof/>
            <w:webHidden/>
          </w:rPr>
          <w:tab/>
        </w:r>
        <w:r w:rsidR="000C713A">
          <w:rPr>
            <w:noProof/>
            <w:webHidden/>
          </w:rPr>
          <w:fldChar w:fldCharType="begin"/>
        </w:r>
        <w:r w:rsidR="000C713A">
          <w:rPr>
            <w:noProof/>
            <w:webHidden/>
          </w:rPr>
          <w:instrText xml:space="preserve"> PAGEREF _Toc187841804 \h </w:instrText>
        </w:r>
        <w:r w:rsidR="000C713A">
          <w:rPr>
            <w:noProof/>
            <w:webHidden/>
          </w:rPr>
        </w:r>
        <w:r w:rsidR="000C713A">
          <w:rPr>
            <w:noProof/>
            <w:webHidden/>
          </w:rPr>
          <w:fldChar w:fldCharType="separate"/>
        </w:r>
        <w:r w:rsidR="000C713A">
          <w:rPr>
            <w:noProof/>
            <w:webHidden/>
          </w:rPr>
          <w:t>44</w:t>
        </w:r>
        <w:r w:rsidR="000C713A">
          <w:rPr>
            <w:noProof/>
            <w:webHidden/>
          </w:rPr>
          <w:fldChar w:fldCharType="end"/>
        </w:r>
      </w:hyperlink>
    </w:p>
    <w:p w14:paraId="3047B6E9" w14:textId="52FFA78E" w:rsidR="000C713A" w:rsidRDefault="00E669F2">
      <w:pPr>
        <w:pStyle w:val="TOC1"/>
        <w:tabs>
          <w:tab w:val="right" w:leader="dot" w:pos="9016"/>
        </w:tabs>
        <w:rPr>
          <w:rFonts w:asciiTheme="minorHAnsi" w:eastAsiaTheme="minorEastAsia" w:hAnsiTheme="minorHAnsi" w:cstheme="minorBidi"/>
          <w:noProof/>
          <w:lang w:eastAsia="mk-MK"/>
        </w:rPr>
      </w:pPr>
      <w:hyperlink w:anchor="_Toc187841805" w:history="1">
        <w:r w:rsidR="000C713A" w:rsidRPr="00A76327">
          <w:rPr>
            <w:rStyle w:val="Hyperlink"/>
            <w:rFonts w:cs="Calibri"/>
            <w:noProof/>
            <w:lang w:val="en-GB"/>
          </w:rPr>
          <w:t>Priority 2: Tax administration</w:t>
        </w:r>
        <w:r w:rsidR="000C713A">
          <w:rPr>
            <w:noProof/>
            <w:webHidden/>
          </w:rPr>
          <w:tab/>
        </w:r>
        <w:r w:rsidR="000C713A">
          <w:rPr>
            <w:noProof/>
            <w:webHidden/>
          </w:rPr>
          <w:fldChar w:fldCharType="begin"/>
        </w:r>
        <w:r w:rsidR="000C713A">
          <w:rPr>
            <w:noProof/>
            <w:webHidden/>
          </w:rPr>
          <w:instrText xml:space="preserve"> PAGEREF _Toc187841805 \h </w:instrText>
        </w:r>
        <w:r w:rsidR="000C713A">
          <w:rPr>
            <w:noProof/>
            <w:webHidden/>
          </w:rPr>
        </w:r>
        <w:r w:rsidR="000C713A">
          <w:rPr>
            <w:noProof/>
            <w:webHidden/>
          </w:rPr>
          <w:fldChar w:fldCharType="separate"/>
        </w:r>
        <w:r w:rsidR="000C713A">
          <w:rPr>
            <w:noProof/>
            <w:webHidden/>
          </w:rPr>
          <w:t>48</w:t>
        </w:r>
        <w:r w:rsidR="000C713A">
          <w:rPr>
            <w:noProof/>
            <w:webHidden/>
          </w:rPr>
          <w:fldChar w:fldCharType="end"/>
        </w:r>
      </w:hyperlink>
    </w:p>
    <w:p w14:paraId="4A40CB1B" w14:textId="7380CE9C" w:rsidR="000C713A" w:rsidRDefault="00E669F2">
      <w:pPr>
        <w:pStyle w:val="TOC1"/>
        <w:tabs>
          <w:tab w:val="right" w:leader="dot" w:pos="9016"/>
        </w:tabs>
        <w:rPr>
          <w:rFonts w:asciiTheme="minorHAnsi" w:eastAsiaTheme="minorEastAsia" w:hAnsiTheme="minorHAnsi" w:cstheme="minorBidi"/>
          <w:noProof/>
          <w:lang w:eastAsia="mk-MK"/>
        </w:rPr>
      </w:pPr>
      <w:hyperlink w:anchor="_Toc187841806" w:history="1">
        <w:r w:rsidR="000C713A" w:rsidRPr="00A76327">
          <w:rPr>
            <w:rStyle w:val="Hyperlink"/>
            <w:rFonts w:cs="Calibri"/>
            <w:noProof/>
            <w:lang w:val="en-GB"/>
          </w:rPr>
          <w:t>Priority 3: Customs</w:t>
        </w:r>
        <w:r w:rsidR="000C713A">
          <w:rPr>
            <w:noProof/>
            <w:webHidden/>
          </w:rPr>
          <w:tab/>
        </w:r>
        <w:r w:rsidR="000C713A">
          <w:rPr>
            <w:noProof/>
            <w:webHidden/>
          </w:rPr>
          <w:fldChar w:fldCharType="begin"/>
        </w:r>
        <w:r w:rsidR="000C713A">
          <w:rPr>
            <w:noProof/>
            <w:webHidden/>
          </w:rPr>
          <w:instrText xml:space="preserve"> PAGEREF _Toc187841806 \h </w:instrText>
        </w:r>
        <w:r w:rsidR="000C713A">
          <w:rPr>
            <w:noProof/>
            <w:webHidden/>
          </w:rPr>
        </w:r>
        <w:r w:rsidR="000C713A">
          <w:rPr>
            <w:noProof/>
            <w:webHidden/>
          </w:rPr>
          <w:fldChar w:fldCharType="separate"/>
        </w:r>
        <w:r w:rsidR="000C713A">
          <w:rPr>
            <w:noProof/>
            <w:webHidden/>
          </w:rPr>
          <w:t>58</w:t>
        </w:r>
        <w:r w:rsidR="000C713A">
          <w:rPr>
            <w:noProof/>
            <w:webHidden/>
          </w:rPr>
          <w:fldChar w:fldCharType="end"/>
        </w:r>
      </w:hyperlink>
    </w:p>
    <w:p w14:paraId="32BCA912" w14:textId="1BA8ACAD" w:rsidR="000C713A" w:rsidRDefault="00E669F2">
      <w:pPr>
        <w:pStyle w:val="TOC1"/>
        <w:tabs>
          <w:tab w:val="right" w:leader="dot" w:pos="9016"/>
        </w:tabs>
        <w:rPr>
          <w:rFonts w:asciiTheme="minorHAnsi" w:eastAsiaTheme="minorEastAsia" w:hAnsiTheme="minorHAnsi" w:cstheme="minorBidi"/>
          <w:noProof/>
          <w:lang w:eastAsia="mk-MK"/>
        </w:rPr>
      </w:pPr>
      <w:hyperlink w:anchor="_Toc187841807" w:history="1">
        <w:r w:rsidR="000C713A" w:rsidRPr="00A76327">
          <w:rPr>
            <w:rStyle w:val="Hyperlink"/>
            <w:rFonts w:eastAsia="MS PGothic" w:cs="Calibri"/>
            <w:noProof/>
            <w:lang w:val="en-GB" w:eastAsia="zh-CN"/>
          </w:rPr>
          <w:t>PILLAR III: Planning and Budget</w:t>
        </w:r>
        <w:r w:rsidR="000C713A">
          <w:rPr>
            <w:noProof/>
            <w:webHidden/>
          </w:rPr>
          <w:tab/>
        </w:r>
        <w:r w:rsidR="000C713A">
          <w:rPr>
            <w:noProof/>
            <w:webHidden/>
          </w:rPr>
          <w:fldChar w:fldCharType="begin"/>
        </w:r>
        <w:r w:rsidR="000C713A">
          <w:rPr>
            <w:noProof/>
            <w:webHidden/>
          </w:rPr>
          <w:instrText xml:space="preserve"> PAGEREF _Toc187841807 \h </w:instrText>
        </w:r>
        <w:r w:rsidR="000C713A">
          <w:rPr>
            <w:noProof/>
            <w:webHidden/>
          </w:rPr>
        </w:r>
        <w:r w:rsidR="000C713A">
          <w:rPr>
            <w:noProof/>
            <w:webHidden/>
          </w:rPr>
          <w:fldChar w:fldCharType="separate"/>
        </w:r>
        <w:r w:rsidR="000C713A">
          <w:rPr>
            <w:noProof/>
            <w:webHidden/>
          </w:rPr>
          <w:t>68</w:t>
        </w:r>
        <w:r w:rsidR="000C713A">
          <w:rPr>
            <w:noProof/>
            <w:webHidden/>
          </w:rPr>
          <w:fldChar w:fldCharType="end"/>
        </w:r>
      </w:hyperlink>
    </w:p>
    <w:p w14:paraId="0AAEDE5A" w14:textId="479DE564" w:rsidR="000C713A" w:rsidRDefault="00E669F2">
      <w:pPr>
        <w:pStyle w:val="TOC1"/>
        <w:tabs>
          <w:tab w:val="right" w:leader="dot" w:pos="9016"/>
        </w:tabs>
        <w:rPr>
          <w:rFonts w:asciiTheme="minorHAnsi" w:eastAsiaTheme="minorEastAsia" w:hAnsiTheme="minorHAnsi" w:cstheme="minorBidi"/>
          <w:noProof/>
          <w:lang w:eastAsia="mk-MK"/>
        </w:rPr>
      </w:pPr>
      <w:hyperlink w:anchor="_Toc187841808" w:history="1">
        <w:r w:rsidR="000C713A" w:rsidRPr="00A76327">
          <w:rPr>
            <w:rStyle w:val="Hyperlink"/>
            <w:rFonts w:cs="Calibri"/>
            <w:noProof/>
            <w:lang w:val="en-GB"/>
          </w:rPr>
          <w:t>Priority 1: Budget Planning</w:t>
        </w:r>
        <w:r w:rsidR="000C713A">
          <w:rPr>
            <w:noProof/>
            <w:webHidden/>
          </w:rPr>
          <w:tab/>
        </w:r>
        <w:r w:rsidR="000C713A">
          <w:rPr>
            <w:noProof/>
            <w:webHidden/>
          </w:rPr>
          <w:fldChar w:fldCharType="begin"/>
        </w:r>
        <w:r w:rsidR="000C713A">
          <w:rPr>
            <w:noProof/>
            <w:webHidden/>
          </w:rPr>
          <w:instrText xml:space="preserve"> PAGEREF _Toc187841808 \h </w:instrText>
        </w:r>
        <w:r w:rsidR="000C713A">
          <w:rPr>
            <w:noProof/>
            <w:webHidden/>
          </w:rPr>
        </w:r>
        <w:r w:rsidR="000C713A">
          <w:rPr>
            <w:noProof/>
            <w:webHidden/>
          </w:rPr>
          <w:fldChar w:fldCharType="separate"/>
        </w:r>
        <w:r w:rsidR="000C713A">
          <w:rPr>
            <w:noProof/>
            <w:webHidden/>
          </w:rPr>
          <w:t>70</w:t>
        </w:r>
        <w:r w:rsidR="000C713A">
          <w:rPr>
            <w:noProof/>
            <w:webHidden/>
          </w:rPr>
          <w:fldChar w:fldCharType="end"/>
        </w:r>
      </w:hyperlink>
    </w:p>
    <w:p w14:paraId="7194C8C2" w14:textId="02E94CC2" w:rsidR="000C713A" w:rsidRDefault="00E669F2">
      <w:pPr>
        <w:pStyle w:val="TOC1"/>
        <w:tabs>
          <w:tab w:val="right" w:leader="dot" w:pos="9016"/>
        </w:tabs>
        <w:rPr>
          <w:rFonts w:asciiTheme="minorHAnsi" w:eastAsiaTheme="minorEastAsia" w:hAnsiTheme="minorHAnsi" w:cstheme="minorBidi"/>
          <w:noProof/>
          <w:lang w:eastAsia="mk-MK"/>
        </w:rPr>
      </w:pPr>
      <w:hyperlink w:anchor="_Toc187841809" w:history="1">
        <w:r w:rsidR="000C713A" w:rsidRPr="00A76327">
          <w:rPr>
            <w:rStyle w:val="Hyperlink"/>
            <w:rFonts w:cs="Calibri"/>
            <w:noProof/>
            <w:lang w:val="en-GB"/>
          </w:rPr>
          <w:t>Priority 2: Strengthened Public Investment Management</w:t>
        </w:r>
        <w:r w:rsidR="000C713A">
          <w:rPr>
            <w:noProof/>
            <w:webHidden/>
          </w:rPr>
          <w:tab/>
        </w:r>
        <w:r w:rsidR="000C713A">
          <w:rPr>
            <w:noProof/>
            <w:webHidden/>
          </w:rPr>
          <w:fldChar w:fldCharType="begin"/>
        </w:r>
        <w:r w:rsidR="000C713A">
          <w:rPr>
            <w:noProof/>
            <w:webHidden/>
          </w:rPr>
          <w:instrText xml:space="preserve"> PAGEREF _Toc187841809 \h </w:instrText>
        </w:r>
        <w:r w:rsidR="000C713A">
          <w:rPr>
            <w:noProof/>
            <w:webHidden/>
          </w:rPr>
        </w:r>
        <w:r w:rsidR="000C713A">
          <w:rPr>
            <w:noProof/>
            <w:webHidden/>
          </w:rPr>
          <w:fldChar w:fldCharType="separate"/>
        </w:r>
        <w:r w:rsidR="000C713A">
          <w:rPr>
            <w:noProof/>
            <w:webHidden/>
          </w:rPr>
          <w:t>79</w:t>
        </w:r>
        <w:r w:rsidR="000C713A">
          <w:rPr>
            <w:noProof/>
            <w:webHidden/>
          </w:rPr>
          <w:fldChar w:fldCharType="end"/>
        </w:r>
      </w:hyperlink>
    </w:p>
    <w:p w14:paraId="73E69ECD" w14:textId="159EC497" w:rsidR="000C713A" w:rsidRDefault="00E669F2">
      <w:pPr>
        <w:pStyle w:val="TOC1"/>
        <w:tabs>
          <w:tab w:val="right" w:leader="dot" w:pos="9016"/>
        </w:tabs>
        <w:rPr>
          <w:rFonts w:asciiTheme="minorHAnsi" w:eastAsiaTheme="minorEastAsia" w:hAnsiTheme="minorHAnsi" w:cstheme="minorBidi"/>
          <w:noProof/>
          <w:lang w:eastAsia="mk-MK"/>
        </w:rPr>
      </w:pPr>
      <w:hyperlink w:anchor="_Toc187841810" w:history="1">
        <w:r w:rsidR="000C713A" w:rsidRPr="00A76327">
          <w:rPr>
            <w:rStyle w:val="Hyperlink"/>
            <w:rFonts w:cs="Calibri"/>
            <w:noProof/>
            <w:lang w:val="en-GB"/>
          </w:rPr>
          <w:t>Priority 3: Strengthen the accounting of budgets and budget users</w:t>
        </w:r>
        <w:r w:rsidR="000C713A">
          <w:rPr>
            <w:noProof/>
            <w:webHidden/>
          </w:rPr>
          <w:tab/>
        </w:r>
        <w:r w:rsidR="000C713A">
          <w:rPr>
            <w:noProof/>
            <w:webHidden/>
          </w:rPr>
          <w:fldChar w:fldCharType="begin"/>
        </w:r>
        <w:r w:rsidR="000C713A">
          <w:rPr>
            <w:noProof/>
            <w:webHidden/>
          </w:rPr>
          <w:instrText xml:space="preserve"> PAGEREF _Toc187841810 \h </w:instrText>
        </w:r>
        <w:r w:rsidR="000C713A">
          <w:rPr>
            <w:noProof/>
            <w:webHidden/>
          </w:rPr>
        </w:r>
        <w:r w:rsidR="000C713A">
          <w:rPr>
            <w:noProof/>
            <w:webHidden/>
          </w:rPr>
          <w:fldChar w:fldCharType="separate"/>
        </w:r>
        <w:r w:rsidR="000C713A">
          <w:rPr>
            <w:noProof/>
            <w:webHidden/>
          </w:rPr>
          <w:t>86</w:t>
        </w:r>
        <w:r w:rsidR="000C713A">
          <w:rPr>
            <w:noProof/>
            <w:webHidden/>
          </w:rPr>
          <w:fldChar w:fldCharType="end"/>
        </w:r>
      </w:hyperlink>
    </w:p>
    <w:p w14:paraId="71672710" w14:textId="6321A239" w:rsidR="000C713A" w:rsidRDefault="00E669F2">
      <w:pPr>
        <w:pStyle w:val="TOC1"/>
        <w:tabs>
          <w:tab w:val="right" w:leader="dot" w:pos="9016"/>
        </w:tabs>
        <w:rPr>
          <w:rFonts w:asciiTheme="minorHAnsi" w:eastAsiaTheme="minorEastAsia" w:hAnsiTheme="minorHAnsi" w:cstheme="minorBidi"/>
          <w:noProof/>
          <w:lang w:eastAsia="mk-MK"/>
        </w:rPr>
      </w:pPr>
      <w:hyperlink w:anchor="_Toc187841811" w:history="1">
        <w:r w:rsidR="000C713A" w:rsidRPr="00A76327">
          <w:rPr>
            <w:rStyle w:val="Hyperlink"/>
            <w:rFonts w:cs="Calibri"/>
            <w:noProof/>
            <w:lang w:val="en-GB"/>
          </w:rPr>
          <w:t>Priority 4: Public finance management at local level</w:t>
        </w:r>
        <w:r w:rsidR="000C713A">
          <w:rPr>
            <w:noProof/>
            <w:webHidden/>
          </w:rPr>
          <w:tab/>
        </w:r>
        <w:r w:rsidR="000C713A">
          <w:rPr>
            <w:noProof/>
            <w:webHidden/>
          </w:rPr>
          <w:fldChar w:fldCharType="begin"/>
        </w:r>
        <w:r w:rsidR="000C713A">
          <w:rPr>
            <w:noProof/>
            <w:webHidden/>
          </w:rPr>
          <w:instrText xml:space="preserve"> PAGEREF _Toc187841811 \h </w:instrText>
        </w:r>
        <w:r w:rsidR="000C713A">
          <w:rPr>
            <w:noProof/>
            <w:webHidden/>
          </w:rPr>
        </w:r>
        <w:r w:rsidR="000C713A">
          <w:rPr>
            <w:noProof/>
            <w:webHidden/>
          </w:rPr>
          <w:fldChar w:fldCharType="separate"/>
        </w:r>
        <w:r w:rsidR="000C713A">
          <w:rPr>
            <w:noProof/>
            <w:webHidden/>
          </w:rPr>
          <w:t>89</w:t>
        </w:r>
        <w:r w:rsidR="000C713A">
          <w:rPr>
            <w:noProof/>
            <w:webHidden/>
          </w:rPr>
          <w:fldChar w:fldCharType="end"/>
        </w:r>
      </w:hyperlink>
    </w:p>
    <w:p w14:paraId="1D52961D" w14:textId="211705BD" w:rsidR="000C713A" w:rsidRDefault="00E669F2">
      <w:pPr>
        <w:pStyle w:val="TOC1"/>
        <w:tabs>
          <w:tab w:val="right" w:leader="dot" w:pos="9016"/>
        </w:tabs>
        <w:rPr>
          <w:rFonts w:asciiTheme="minorHAnsi" w:eastAsiaTheme="minorEastAsia" w:hAnsiTheme="minorHAnsi" w:cstheme="minorBidi"/>
          <w:noProof/>
          <w:lang w:eastAsia="mk-MK"/>
        </w:rPr>
      </w:pPr>
      <w:hyperlink w:anchor="_Toc187841812" w:history="1">
        <w:r w:rsidR="000C713A" w:rsidRPr="00A76327">
          <w:rPr>
            <w:rStyle w:val="Hyperlink"/>
            <w:rFonts w:cs="Calibri"/>
            <w:noProof/>
            <w:lang w:val="en-GB"/>
          </w:rPr>
          <w:t>PILLAR IV - Public procurement</w:t>
        </w:r>
        <w:r w:rsidR="000C713A">
          <w:rPr>
            <w:noProof/>
            <w:webHidden/>
          </w:rPr>
          <w:tab/>
        </w:r>
        <w:r w:rsidR="000C713A">
          <w:rPr>
            <w:noProof/>
            <w:webHidden/>
          </w:rPr>
          <w:fldChar w:fldCharType="begin"/>
        </w:r>
        <w:r w:rsidR="000C713A">
          <w:rPr>
            <w:noProof/>
            <w:webHidden/>
          </w:rPr>
          <w:instrText xml:space="preserve"> PAGEREF _Toc187841812 \h </w:instrText>
        </w:r>
        <w:r w:rsidR="000C713A">
          <w:rPr>
            <w:noProof/>
            <w:webHidden/>
          </w:rPr>
        </w:r>
        <w:r w:rsidR="000C713A">
          <w:rPr>
            <w:noProof/>
            <w:webHidden/>
          </w:rPr>
          <w:fldChar w:fldCharType="separate"/>
        </w:r>
        <w:r w:rsidR="000C713A">
          <w:rPr>
            <w:noProof/>
            <w:webHidden/>
          </w:rPr>
          <w:t>93</w:t>
        </w:r>
        <w:r w:rsidR="000C713A">
          <w:rPr>
            <w:noProof/>
            <w:webHidden/>
          </w:rPr>
          <w:fldChar w:fldCharType="end"/>
        </w:r>
      </w:hyperlink>
    </w:p>
    <w:p w14:paraId="04558F69" w14:textId="72AD51C9" w:rsidR="000C713A" w:rsidRDefault="00E669F2">
      <w:pPr>
        <w:pStyle w:val="TOC1"/>
        <w:tabs>
          <w:tab w:val="right" w:leader="dot" w:pos="9016"/>
        </w:tabs>
        <w:rPr>
          <w:rFonts w:asciiTheme="minorHAnsi" w:eastAsiaTheme="minorEastAsia" w:hAnsiTheme="minorHAnsi" w:cstheme="minorBidi"/>
          <w:noProof/>
          <w:lang w:eastAsia="mk-MK"/>
        </w:rPr>
      </w:pPr>
      <w:hyperlink w:anchor="_Toc187841813" w:history="1">
        <w:r w:rsidR="000C713A" w:rsidRPr="00A76327">
          <w:rPr>
            <w:rStyle w:val="Hyperlink"/>
            <w:rFonts w:cs="Calibri"/>
            <w:noProof/>
            <w:lang w:val="en-GB"/>
          </w:rPr>
          <w:t>Priority 1: Public Procurement Policy</w:t>
        </w:r>
        <w:r w:rsidR="000C713A">
          <w:rPr>
            <w:noProof/>
            <w:webHidden/>
          </w:rPr>
          <w:tab/>
        </w:r>
        <w:r w:rsidR="000C713A">
          <w:rPr>
            <w:noProof/>
            <w:webHidden/>
          </w:rPr>
          <w:fldChar w:fldCharType="begin"/>
        </w:r>
        <w:r w:rsidR="000C713A">
          <w:rPr>
            <w:noProof/>
            <w:webHidden/>
          </w:rPr>
          <w:instrText xml:space="preserve"> PAGEREF _Toc187841813 \h </w:instrText>
        </w:r>
        <w:r w:rsidR="000C713A">
          <w:rPr>
            <w:noProof/>
            <w:webHidden/>
          </w:rPr>
        </w:r>
        <w:r w:rsidR="000C713A">
          <w:rPr>
            <w:noProof/>
            <w:webHidden/>
          </w:rPr>
          <w:fldChar w:fldCharType="separate"/>
        </w:r>
        <w:r w:rsidR="000C713A">
          <w:rPr>
            <w:noProof/>
            <w:webHidden/>
          </w:rPr>
          <w:t>94</w:t>
        </w:r>
        <w:r w:rsidR="000C713A">
          <w:rPr>
            <w:noProof/>
            <w:webHidden/>
          </w:rPr>
          <w:fldChar w:fldCharType="end"/>
        </w:r>
      </w:hyperlink>
    </w:p>
    <w:p w14:paraId="616B5D73" w14:textId="75AC3DBA" w:rsidR="000C713A" w:rsidRDefault="00E669F2">
      <w:pPr>
        <w:pStyle w:val="TOC1"/>
        <w:tabs>
          <w:tab w:val="right" w:leader="dot" w:pos="9016"/>
        </w:tabs>
        <w:rPr>
          <w:rFonts w:asciiTheme="minorHAnsi" w:eastAsiaTheme="minorEastAsia" w:hAnsiTheme="minorHAnsi" w:cstheme="minorBidi"/>
          <w:noProof/>
          <w:lang w:eastAsia="mk-MK"/>
        </w:rPr>
      </w:pPr>
      <w:hyperlink w:anchor="_Toc187841814" w:history="1">
        <w:r w:rsidR="000C713A" w:rsidRPr="00A76327">
          <w:rPr>
            <w:rStyle w:val="Hyperlink"/>
            <w:rFonts w:cs="Calibri"/>
            <w:noProof/>
            <w:lang w:val="en-GB"/>
          </w:rPr>
          <w:t>Priority 2: Public Private Partnerships (PPPs) and Concession on goods of general interest</w:t>
        </w:r>
        <w:r w:rsidR="000C713A">
          <w:rPr>
            <w:noProof/>
            <w:webHidden/>
          </w:rPr>
          <w:tab/>
        </w:r>
        <w:r w:rsidR="000C713A">
          <w:rPr>
            <w:noProof/>
            <w:webHidden/>
          </w:rPr>
          <w:fldChar w:fldCharType="begin"/>
        </w:r>
        <w:r w:rsidR="000C713A">
          <w:rPr>
            <w:noProof/>
            <w:webHidden/>
          </w:rPr>
          <w:instrText xml:space="preserve"> PAGEREF _Toc187841814 \h </w:instrText>
        </w:r>
        <w:r w:rsidR="000C713A">
          <w:rPr>
            <w:noProof/>
            <w:webHidden/>
          </w:rPr>
        </w:r>
        <w:r w:rsidR="000C713A">
          <w:rPr>
            <w:noProof/>
            <w:webHidden/>
          </w:rPr>
          <w:fldChar w:fldCharType="separate"/>
        </w:r>
        <w:r w:rsidR="000C713A">
          <w:rPr>
            <w:noProof/>
            <w:webHidden/>
          </w:rPr>
          <w:t>100</w:t>
        </w:r>
        <w:r w:rsidR="000C713A">
          <w:rPr>
            <w:noProof/>
            <w:webHidden/>
          </w:rPr>
          <w:fldChar w:fldCharType="end"/>
        </w:r>
      </w:hyperlink>
    </w:p>
    <w:p w14:paraId="6EECE85B" w14:textId="1CFA951A" w:rsidR="000C713A" w:rsidRDefault="00E669F2">
      <w:pPr>
        <w:pStyle w:val="TOC1"/>
        <w:tabs>
          <w:tab w:val="right" w:leader="dot" w:pos="9016"/>
        </w:tabs>
        <w:rPr>
          <w:rFonts w:asciiTheme="minorHAnsi" w:eastAsiaTheme="minorEastAsia" w:hAnsiTheme="minorHAnsi" w:cstheme="minorBidi"/>
          <w:noProof/>
          <w:lang w:eastAsia="mk-MK"/>
        </w:rPr>
      </w:pPr>
      <w:hyperlink w:anchor="_Toc187841815" w:history="1">
        <w:r w:rsidR="000C713A" w:rsidRPr="00A76327">
          <w:rPr>
            <w:rStyle w:val="Hyperlink"/>
            <w:rFonts w:cs="Calibri"/>
            <w:noProof/>
            <w:lang w:val="en-GB"/>
          </w:rPr>
          <w:t>Pillar V: Public finance digitalisation and continuоus learning</w:t>
        </w:r>
        <w:r w:rsidR="000C713A">
          <w:rPr>
            <w:noProof/>
            <w:webHidden/>
          </w:rPr>
          <w:tab/>
        </w:r>
        <w:r w:rsidR="000C713A">
          <w:rPr>
            <w:noProof/>
            <w:webHidden/>
          </w:rPr>
          <w:fldChar w:fldCharType="begin"/>
        </w:r>
        <w:r w:rsidR="000C713A">
          <w:rPr>
            <w:noProof/>
            <w:webHidden/>
          </w:rPr>
          <w:instrText xml:space="preserve"> PAGEREF _Toc187841815 \h </w:instrText>
        </w:r>
        <w:r w:rsidR="000C713A">
          <w:rPr>
            <w:noProof/>
            <w:webHidden/>
          </w:rPr>
        </w:r>
        <w:r w:rsidR="000C713A">
          <w:rPr>
            <w:noProof/>
            <w:webHidden/>
          </w:rPr>
          <w:fldChar w:fldCharType="separate"/>
        </w:r>
        <w:r w:rsidR="000C713A">
          <w:rPr>
            <w:noProof/>
            <w:webHidden/>
          </w:rPr>
          <w:t>106</w:t>
        </w:r>
        <w:r w:rsidR="000C713A">
          <w:rPr>
            <w:noProof/>
            <w:webHidden/>
          </w:rPr>
          <w:fldChar w:fldCharType="end"/>
        </w:r>
      </w:hyperlink>
    </w:p>
    <w:p w14:paraId="119AD443" w14:textId="010AE03F" w:rsidR="000C713A" w:rsidRDefault="00E669F2">
      <w:pPr>
        <w:pStyle w:val="TOC1"/>
        <w:tabs>
          <w:tab w:val="right" w:leader="dot" w:pos="9016"/>
        </w:tabs>
        <w:rPr>
          <w:rFonts w:asciiTheme="minorHAnsi" w:eastAsiaTheme="minorEastAsia" w:hAnsiTheme="minorHAnsi" w:cstheme="minorBidi"/>
          <w:noProof/>
          <w:lang w:eastAsia="mk-MK"/>
        </w:rPr>
      </w:pPr>
      <w:hyperlink w:anchor="_Toc187841816" w:history="1">
        <w:r w:rsidR="000C713A" w:rsidRPr="00A76327">
          <w:rPr>
            <w:rStyle w:val="Hyperlink"/>
            <w:rFonts w:cs="Calibri"/>
            <w:noProof/>
            <w:lang w:val="en-GB"/>
          </w:rPr>
          <w:t>Priority 1: Implementation of an Integrated Financial Management Information System (IFMIS)</w:t>
        </w:r>
        <w:r w:rsidR="000C713A">
          <w:rPr>
            <w:noProof/>
            <w:webHidden/>
          </w:rPr>
          <w:tab/>
        </w:r>
        <w:r w:rsidR="000C713A">
          <w:rPr>
            <w:noProof/>
            <w:webHidden/>
          </w:rPr>
          <w:fldChar w:fldCharType="begin"/>
        </w:r>
        <w:r w:rsidR="000C713A">
          <w:rPr>
            <w:noProof/>
            <w:webHidden/>
          </w:rPr>
          <w:instrText xml:space="preserve"> PAGEREF _Toc187841816 \h </w:instrText>
        </w:r>
        <w:r w:rsidR="000C713A">
          <w:rPr>
            <w:noProof/>
            <w:webHidden/>
          </w:rPr>
        </w:r>
        <w:r w:rsidR="000C713A">
          <w:rPr>
            <w:noProof/>
            <w:webHidden/>
          </w:rPr>
          <w:fldChar w:fldCharType="separate"/>
        </w:r>
        <w:r w:rsidR="000C713A">
          <w:rPr>
            <w:noProof/>
            <w:webHidden/>
          </w:rPr>
          <w:t>107</w:t>
        </w:r>
        <w:r w:rsidR="000C713A">
          <w:rPr>
            <w:noProof/>
            <w:webHidden/>
          </w:rPr>
          <w:fldChar w:fldCharType="end"/>
        </w:r>
      </w:hyperlink>
    </w:p>
    <w:p w14:paraId="7BCDC2B6" w14:textId="5E949FD7" w:rsidR="000C713A" w:rsidRDefault="00E669F2">
      <w:pPr>
        <w:pStyle w:val="TOC1"/>
        <w:tabs>
          <w:tab w:val="right" w:leader="dot" w:pos="9016"/>
        </w:tabs>
        <w:rPr>
          <w:rFonts w:asciiTheme="minorHAnsi" w:eastAsiaTheme="minorEastAsia" w:hAnsiTheme="minorHAnsi" w:cstheme="minorBidi"/>
          <w:noProof/>
          <w:lang w:eastAsia="mk-MK"/>
        </w:rPr>
      </w:pPr>
      <w:hyperlink w:anchor="_Toc187841817" w:history="1">
        <w:r w:rsidR="000C713A" w:rsidRPr="00A76327">
          <w:rPr>
            <w:rStyle w:val="Hyperlink"/>
            <w:rFonts w:cs="Calibri"/>
            <w:noProof/>
            <w:lang w:val="en-GB"/>
          </w:rPr>
          <w:t>Priority 2: Public Finance Academy (Learning organisation)</w:t>
        </w:r>
        <w:r w:rsidR="000C713A">
          <w:rPr>
            <w:noProof/>
            <w:webHidden/>
          </w:rPr>
          <w:tab/>
        </w:r>
        <w:r w:rsidR="000C713A">
          <w:rPr>
            <w:noProof/>
            <w:webHidden/>
          </w:rPr>
          <w:fldChar w:fldCharType="begin"/>
        </w:r>
        <w:r w:rsidR="000C713A">
          <w:rPr>
            <w:noProof/>
            <w:webHidden/>
          </w:rPr>
          <w:instrText xml:space="preserve"> PAGEREF _Toc187841817 \h </w:instrText>
        </w:r>
        <w:r w:rsidR="000C713A">
          <w:rPr>
            <w:noProof/>
            <w:webHidden/>
          </w:rPr>
        </w:r>
        <w:r w:rsidR="000C713A">
          <w:rPr>
            <w:noProof/>
            <w:webHidden/>
          </w:rPr>
          <w:fldChar w:fldCharType="separate"/>
        </w:r>
        <w:r w:rsidR="000C713A">
          <w:rPr>
            <w:noProof/>
            <w:webHidden/>
          </w:rPr>
          <w:t>112</w:t>
        </w:r>
        <w:r w:rsidR="000C713A">
          <w:rPr>
            <w:noProof/>
            <w:webHidden/>
          </w:rPr>
          <w:fldChar w:fldCharType="end"/>
        </w:r>
      </w:hyperlink>
    </w:p>
    <w:p w14:paraId="1FB3BF0C" w14:textId="4FABCC0E" w:rsidR="000C713A" w:rsidRDefault="00E669F2">
      <w:pPr>
        <w:pStyle w:val="TOC1"/>
        <w:tabs>
          <w:tab w:val="right" w:leader="dot" w:pos="9016"/>
        </w:tabs>
        <w:rPr>
          <w:rFonts w:asciiTheme="minorHAnsi" w:eastAsiaTheme="minorEastAsia" w:hAnsiTheme="minorHAnsi" w:cstheme="minorBidi"/>
          <w:noProof/>
          <w:lang w:eastAsia="mk-MK"/>
        </w:rPr>
      </w:pPr>
      <w:hyperlink w:anchor="_Toc187841818" w:history="1">
        <w:r w:rsidR="000C713A" w:rsidRPr="00A76327">
          <w:rPr>
            <w:rStyle w:val="Hyperlink"/>
            <w:rFonts w:cs="Calibri"/>
            <w:noProof/>
            <w:lang w:val="en-GB"/>
          </w:rPr>
          <w:t>PILLAR VI - Public Internal Financial Control</w:t>
        </w:r>
        <w:r w:rsidR="000C713A">
          <w:rPr>
            <w:noProof/>
            <w:webHidden/>
          </w:rPr>
          <w:tab/>
        </w:r>
        <w:r w:rsidR="000C713A">
          <w:rPr>
            <w:noProof/>
            <w:webHidden/>
          </w:rPr>
          <w:fldChar w:fldCharType="begin"/>
        </w:r>
        <w:r w:rsidR="000C713A">
          <w:rPr>
            <w:noProof/>
            <w:webHidden/>
          </w:rPr>
          <w:instrText xml:space="preserve"> PAGEREF _Toc187841818 \h </w:instrText>
        </w:r>
        <w:r w:rsidR="000C713A">
          <w:rPr>
            <w:noProof/>
            <w:webHidden/>
          </w:rPr>
        </w:r>
        <w:r w:rsidR="000C713A">
          <w:rPr>
            <w:noProof/>
            <w:webHidden/>
          </w:rPr>
          <w:fldChar w:fldCharType="separate"/>
        </w:r>
        <w:r w:rsidR="000C713A">
          <w:rPr>
            <w:noProof/>
            <w:webHidden/>
          </w:rPr>
          <w:t>117</w:t>
        </w:r>
        <w:r w:rsidR="000C713A">
          <w:rPr>
            <w:noProof/>
            <w:webHidden/>
          </w:rPr>
          <w:fldChar w:fldCharType="end"/>
        </w:r>
      </w:hyperlink>
    </w:p>
    <w:p w14:paraId="4DB4FDCF" w14:textId="72F790E3" w:rsidR="000C713A" w:rsidRDefault="00E669F2">
      <w:pPr>
        <w:pStyle w:val="TOC1"/>
        <w:tabs>
          <w:tab w:val="right" w:leader="dot" w:pos="9016"/>
        </w:tabs>
        <w:rPr>
          <w:rFonts w:asciiTheme="minorHAnsi" w:eastAsiaTheme="minorEastAsia" w:hAnsiTheme="minorHAnsi" w:cstheme="minorBidi"/>
          <w:noProof/>
          <w:lang w:eastAsia="mk-MK"/>
        </w:rPr>
      </w:pPr>
      <w:hyperlink w:anchor="_Toc187841819" w:history="1">
        <w:r w:rsidR="000C713A" w:rsidRPr="00A76327">
          <w:rPr>
            <w:rStyle w:val="Hyperlink"/>
            <w:rFonts w:eastAsia="MS PGothic" w:cs="Calibri"/>
            <w:noProof/>
            <w:lang w:val="en-GB"/>
          </w:rPr>
          <w:t>Priority 1: Financial Management and Control</w:t>
        </w:r>
        <w:r w:rsidR="000C713A">
          <w:rPr>
            <w:noProof/>
            <w:webHidden/>
          </w:rPr>
          <w:tab/>
        </w:r>
        <w:r w:rsidR="000C713A">
          <w:rPr>
            <w:noProof/>
            <w:webHidden/>
          </w:rPr>
          <w:fldChar w:fldCharType="begin"/>
        </w:r>
        <w:r w:rsidR="000C713A">
          <w:rPr>
            <w:noProof/>
            <w:webHidden/>
          </w:rPr>
          <w:instrText xml:space="preserve"> PAGEREF _Toc187841819 \h </w:instrText>
        </w:r>
        <w:r w:rsidR="000C713A">
          <w:rPr>
            <w:noProof/>
            <w:webHidden/>
          </w:rPr>
        </w:r>
        <w:r w:rsidR="000C713A">
          <w:rPr>
            <w:noProof/>
            <w:webHidden/>
          </w:rPr>
          <w:fldChar w:fldCharType="separate"/>
        </w:r>
        <w:r w:rsidR="000C713A">
          <w:rPr>
            <w:noProof/>
            <w:webHidden/>
          </w:rPr>
          <w:t>118</w:t>
        </w:r>
        <w:r w:rsidR="000C713A">
          <w:rPr>
            <w:noProof/>
            <w:webHidden/>
          </w:rPr>
          <w:fldChar w:fldCharType="end"/>
        </w:r>
      </w:hyperlink>
    </w:p>
    <w:p w14:paraId="3379CEDC" w14:textId="53C43D4F" w:rsidR="000C713A" w:rsidRDefault="00E669F2">
      <w:pPr>
        <w:pStyle w:val="TOC1"/>
        <w:tabs>
          <w:tab w:val="right" w:leader="dot" w:pos="9016"/>
        </w:tabs>
        <w:rPr>
          <w:rFonts w:asciiTheme="minorHAnsi" w:eastAsiaTheme="minorEastAsia" w:hAnsiTheme="minorHAnsi" w:cstheme="minorBidi"/>
          <w:noProof/>
          <w:lang w:eastAsia="mk-MK"/>
        </w:rPr>
      </w:pPr>
      <w:hyperlink w:anchor="_Toc187841820" w:history="1">
        <w:r w:rsidR="000C713A" w:rsidRPr="00A76327">
          <w:rPr>
            <w:rStyle w:val="Hyperlink"/>
            <w:rFonts w:eastAsia="MS PGothic" w:cs="Calibri"/>
            <w:noProof/>
            <w:lang w:val="en-GB"/>
          </w:rPr>
          <w:t>Priority 2: Internal Audit</w:t>
        </w:r>
        <w:r w:rsidR="000C713A">
          <w:rPr>
            <w:noProof/>
            <w:webHidden/>
          </w:rPr>
          <w:tab/>
        </w:r>
        <w:r w:rsidR="000C713A">
          <w:rPr>
            <w:noProof/>
            <w:webHidden/>
          </w:rPr>
          <w:fldChar w:fldCharType="begin"/>
        </w:r>
        <w:r w:rsidR="000C713A">
          <w:rPr>
            <w:noProof/>
            <w:webHidden/>
          </w:rPr>
          <w:instrText xml:space="preserve"> PAGEREF _Toc187841820 \h </w:instrText>
        </w:r>
        <w:r w:rsidR="000C713A">
          <w:rPr>
            <w:noProof/>
            <w:webHidden/>
          </w:rPr>
        </w:r>
        <w:r w:rsidR="000C713A">
          <w:rPr>
            <w:noProof/>
            <w:webHidden/>
          </w:rPr>
          <w:fldChar w:fldCharType="separate"/>
        </w:r>
        <w:r w:rsidR="000C713A">
          <w:rPr>
            <w:noProof/>
            <w:webHidden/>
          </w:rPr>
          <w:t>122</w:t>
        </w:r>
        <w:r w:rsidR="000C713A">
          <w:rPr>
            <w:noProof/>
            <w:webHidden/>
          </w:rPr>
          <w:fldChar w:fldCharType="end"/>
        </w:r>
      </w:hyperlink>
    </w:p>
    <w:p w14:paraId="63018D89" w14:textId="31409B4E" w:rsidR="000C713A" w:rsidRDefault="00E669F2">
      <w:pPr>
        <w:pStyle w:val="TOC1"/>
        <w:tabs>
          <w:tab w:val="right" w:leader="dot" w:pos="9016"/>
        </w:tabs>
        <w:rPr>
          <w:rFonts w:asciiTheme="minorHAnsi" w:eastAsiaTheme="minorEastAsia" w:hAnsiTheme="minorHAnsi" w:cstheme="minorBidi"/>
          <w:noProof/>
          <w:lang w:eastAsia="mk-MK"/>
        </w:rPr>
      </w:pPr>
      <w:hyperlink w:anchor="_Toc187841821" w:history="1">
        <w:r w:rsidR="000C713A" w:rsidRPr="00A76327">
          <w:rPr>
            <w:rStyle w:val="Hyperlink"/>
            <w:rFonts w:cs="Calibri"/>
            <w:noProof/>
            <w:lang w:val="en-GB"/>
          </w:rPr>
          <w:t>PILLAR VII - External Audit and Parliamentary Oversight</w:t>
        </w:r>
        <w:r w:rsidR="000C713A">
          <w:rPr>
            <w:noProof/>
            <w:webHidden/>
          </w:rPr>
          <w:tab/>
        </w:r>
        <w:r w:rsidR="000C713A">
          <w:rPr>
            <w:noProof/>
            <w:webHidden/>
          </w:rPr>
          <w:fldChar w:fldCharType="begin"/>
        </w:r>
        <w:r w:rsidR="000C713A">
          <w:rPr>
            <w:noProof/>
            <w:webHidden/>
          </w:rPr>
          <w:instrText xml:space="preserve"> PAGEREF _Toc187841821 \h </w:instrText>
        </w:r>
        <w:r w:rsidR="000C713A">
          <w:rPr>
            <w:noProof/>
            <w:webHidden/>
          </w:rPr>
        </w:r>
        <w:r w:rsidR="000C713A">
          <w:rPr>
            <w:noProof/>
            <w:webHidden/>
          </w:rPr>
          <w:fldChar w:fldCharType="separate"/>
        </w:r>
        <w:r w:rsidR="000C713A">
          <w:rPr>
            <w:noProof/>
            <w:webHidden/>
          </w:rPr>
          <w:t>127</w:t>
        </w:r>
        <w:r w:rsidR="000C713A">
          <w:rPr>
            <w:noProof/>
            <w:webHidden/>
          </w:rPr>
          <w:fldChar w:fldCharType="end"/>
        </w:r>
      </w:hyperlink>
    </w:p>
    <w:p w14:paraId="4D9FA2C6" w14:textId="71221868" w:rsidR="000C713A" w:rsidRDefault="00E669F2">
      <w:pPr>
        <w:pStyle w:val="TOC1"/>
        <w:tabs>
          <w:tab w:val="right" w:leader="dot" w:pos="9016"/>
        </w:tabs>
        <w:rPr>
          <w:rFonts w:asciiTheme="minorHAnsi" w:eastAsiaTheme="minorEastAsia" w:hAnsiTheme="minorHAnsi" w:cstheme="minorBidi"/>
          <w:noProof/>
          <w:lang w:eastAsia="mk-MK"/>
        </w:rPr>
      </w:pPr>
      <w:hyperlink w:anchor="_Toc187841822" w:history="1">
        <w:r w:rsidR="000C713A" w:rsidRPr="00A76327">
          <w:rPr>
            <w:rStyle w:val="Hyperlink"/>
            <w:rFonts w:eastAsia="MS PGothic" w:cs="Calibri"/>
            <w:noProof/>
            <w:lang w:val="en-GB"/>
          </w:rPr>
          <w:t>Priority 1: External Audit</w:t>
        </w:r>
        <w:r w:rsidR="000C713A">
          <w:rPr>
            <w:noProof/>
            <w:webHidden/>
          </w:rPr>
          <w:tab/>
        </w:r>
        <w:r w:rsidR="000C713A">
          <w:rPr>
            <w:noProof/>
            <w:webHidden/>
          </w:rPr>
          <w:fldChar w:fldCharType="begin"/>
        </w:r>
        <w:r w:rsidR="000C713A">
          <w:rPr>
            <w:noProof/>
            <w:webHidden/>
          </w:rPr>
          <w:instrText xml:space="preserve"> PAGEREF _Toc187841822 \h </w:instrText>
        </w:r>
        <w:r w:rsidR="000C713A">
          <w:rPr>
            <w:noProof/>
            <w:webHidden/>
          </w:rPr>
        </w:r>
        <w:r w:rsidR="000C713A">
          <w:rPr>
            <w:noProof/>
            <w:webHidden/>
          </w:rPr>
          <w:fldChar w:fldCharType="separate"/>
        </w:r>
        <w:r w:rsidR="000C713A">
          <w:rPr>
            <w:noProof/>
            <w:webHidden/>
          </w:rPr>
          <w:t>128</w:t>
        </w:r>
        <w:r w:rsidR="000C713A">
          <w:rPr>
            <w:noProof/>
            <w:webHidden/>
          </w:rPr>
          <w:fldChar w:fldCharType="end"/>
        </w:r>
      </w:hyperlink>
    </w:p>
    <w:p w14:paraId="00347640" w14:textId="63B0C8E4" w:rsidR="000C713A" w:rsidRDefault="00E669F2">
      <w:pPr>
        <w:pStyle w:val="TOC1"/>
        <w:tabs>
          <w:tab w:val="right" w:leader="dot" w:pos="9016"/>
        </w:tabs>
        <w:rPr>
          <w:rFonts w:asciiTheme="minorHAnsi" w:eastAsiaTheme="minorEastAsia" w:hAnsiTheme="minorHAnsi" w:cstheme="minorBidi"/>
          <w:noProof/>
          <w:lang w:eastAsia="mk-MK"/>
        </w:rPr>
      </w:pPr>
      <w:hyperlink w:anchor="_Toc187841823" w:history="1">
        <w:r w:rsidR="000C713A" w:rsidRPr="00A76327">
          <w:rPr>
            <w:rStyle w:val="Hyperlink"/>
            <w:rFonts w:eastAsia="MS PGothic" w:cs="Calibri"/>
            <w:noProof/>
            <w:lang w:val="en-GB"/>
          </w:rPr>
          <w:t>Priority 2: Parliamentary oversight</w:t>
        </w:r>
        <w:r w:rsidR="000C713A">
          <w:rPr>
            <w:noProof/>
            <w:webHidden/>
          </w:rPr>
          <w:tab/>
        </w:r>
        <w:r w:rsidR="000C713A">
          <w:rPr>
            <w:noProof/>
            <w:webHidden/>
          </w:rPr>
          <w:fldChar w:fldCharType="begin"/>
        </w:r>
        <w:r w:rsidR="000C713A">
          <w:rPr>
            <w:noProof/>
            <w:webHidden/>
          </w:rPr>
          <w:instrText xml:space="preserve"> PAGEREF _Toc187841823 \h </w:instrText>
        </w:r>
        <w:r w:rsidR="000C713A">
          <w:rPr>
            <w:noProof/>
            <w:webHidden/>
          </w:rPr>
        </w:r>
        <w:r w:rsidR="000C713A">
          <w:rPr>
            <w:noProof/>
            <w:webHidden/>
          </w:rPr>
          <w:fldChar w:fldCharType="separate"/>
        </w:r>
        <w:r w:rsidR="000C713A">
          <w:rPr>
            <w:noProof/>
            <w:webHidden/>
          </w:rPr>
          <w:t>134</w:t>
        </w:r>
        <w:r w:rsidR="000C713A">
          <w:rPr>
            <w:noProof/>
            <w:webHidden/>
          </w:rPr>
          <w:fldChar w:fldCharType="end"/>
        </w:r>
      </w:hyperlink>
    </w:p>
    <w:p w14:paraId="77A93370" w14:textId="3FA8B796" w:rsidR="000C713A" w:rsidRDefault="00E669F2">
      <w:pPr>
        <w:pStyle w:val="TOC1"/>
        <w:tabs>
          <w:tab w:val="right" w:leader="dot" w:pos="9016"/>
        </w:tabs>
        <w:rPr>
          <w:rFonts w:asciiTheme="minorHAnsi" w:eastAsiaTheme="minorEastAsia" w:hAnsiTheme="minorHAnsi" w:cstheme="minorBidi"/>
          <w:noProof/>
          <w:lang w:eastAsia="mk-MK"/>
        </w:rPr>
      </w:pPr>
      <w:hyperlink w:anchor="_Toc187841824" w:history="1">
        <w:r w:rsidR="000C713A" w:rsidRPr="00A76327">
          <w:rPr>
            <w:rStyle w:val="Hyperlink"/>
            <w:rFonts w:eastAsia="MS PGothic" w:cs="Calibri"/>
            <w:noProof/>
            <w:lang w:val="en-GB" w:eastAsia="zh-CN"/>
          </w:rPr>
          <w:t>Chapter III: Roles and Responsibilities for Implementing, Monitoring and Reporting</w:t>
        </w:r>
        <w:r w:rsidR="000C713A">
          <w:rPr>
            <w:noProof/>
            <w:webHidden/>
          </w:rPr>
          <w:tab/>
        </w:r>
        <w:r w:rsidR="000C713A">
          <w:rPr>
            <w:noProof/>
            <w:webHidden/>
          </w:rPr>
          <w:fldChar w:fldCharType="begin"/>
        </w:r>
        <w:r w:rsidR="000C713A">
          <w:rPr>
            <w:noProof/>
            <w:webHidden/>
          </w:rPr>
          <w:instrText xml:space="preserve"> PAGEREF _Toc187841824 \h </w:instrText>
        </w:r>
        <w:r w:rsidR="000C713A">
          <w:rPr>
            <w:noProof/>
            <w:webHidden/>
          </w:rPr>
        </w:r>
        <w:r w:rsidR="000C713A">
          <w:rPr>
            <w:noProof/>
            <w:webHidden/>
          </w:rPr>
          <w:fldChar w:fldCharType="separate"/>
        </w:r>
        <w:r w:rsidR="000C713A">
          <w:rPr>
            <w:noProof/>
            <w:webHidden/>
          </w:rPr>
          <w:t>138</w:t>
        </w:r>
        <w:r w:rsidR="000C713A">
          <w:rPr>
            <w:noProof/>
            <w:webHidden/>
          </w:rPr>
          <w:fldChar w:fldCharType="end"/>
        </w:r>
      </w:hyperlink>
    </w:p>
    <w:p w14:paraId="312746C0" w14:textId="50AAE1C5" w:rsidR="000C713A" w:rsidRDefault="00E669F2">
      <w:pPr>
        <w:pStyle w:val="TOC1"/>
        <w:tabs>
          <w:tab w:val="right" w:leader="dot" w:pos="9016"/>
        </w:tabs>
        <w:rPr>
          <w:rFonts w:asciiTheme="minorHAnsi" w:eastAsiaTheme="minorEastAsia" w:hAnsiTheme="minorHAnsi" w:cstheme="minorBidi"/>
          <w:noProof/>
          <w:lang w:eastAsia="mk-MK"/>
        </w:rPr>
      </w:pPr>
      <w:hyperlink w:anchor="_Toc187841825" w:history="1">
        <w:r w:rsidR="000C713A" w:rsidRPr="00A76327">
          <w:rPr>
            <w:rStyle w:val="Hyperlink"/>
            <w:rFonts w:eastAsia="MS PGothic" w:cs="Calibri"/>
            <w:noProof/>
            <w:lang w:val="en-GB" w:eastAsia="zh-CN"/>
          </w:rPr>
          <w:t>Chapter IV: Financing of the PFM Reform Programme</w:t>
        </w:r>
        <w:r w:rsidR="000C713A">
          <w:rPr>
            <w:noProof/>
            <w:webHidden/>
          </w:rPr>
          <w:tab/>
        </w:r>
        <w:r w:rsidR="000C713A">
          <w:rPr>
            <w:noProof/>
            <w:webHidden/>
          </w:rPr>
          <w:fldChar w:fldCharType="begin"/>
        </w:r>
        <w:r w:rsidR="000C713A">
          <w:rPr>
            <w:noProof/>
            <w:webHidden/>
          </w:rPr>
          <w:instrText xml:space="preserve"> PAGEREF _Toc187841825 \h </w:instrText>
        </w:r>
        <w:r w:rsidR="000C713A">
          <w:rPr>
            <w:noProof/>
            <w:webHidden/>
          </w:rPr>
        </w:r>
        <w:r w:rsidR="000C713A">
          <w:rPr>
            <w:noProof/>
            <w:webHidden/>
          </w:rPr>
          <w:fldChar w:fldCharType="separate"/>
        </w:r>
        <w:r w:rsidR="000C713A">
          <w:rPr>
            <w:noProof/>
            <w:webHidden/>
          </w:rPr>
          <w:t>144</w:t>
        </w:r>
        <w:r w:rsidR="000C713A">
          <w:rPr>
            <w:noProof/>
            <w:webHidden/>
          </w:rPr>
          <w:fldChar w:fldCharType="end"/>
        </w:r>
      </w:hyperlink>
    </w:p>
    <w:p w14:paraId="4AD20DBD" w14:textId="2A777C00" w:rsidR="000C713A" w:rsidRDefault="00E669F2">
      <w:pPr>
        <w:pStyle w:val="TOC1"/>
        <w:tabs>
          <w:tab w:val="right" w:leader="dot" w:pos="9016"/>
        </w:tabs>
        <w:rPr>
          <w:rFonts w:asciiTheme="minorHAnsi" w:eastAsiaTheme="minorEastAsia" w:hAnsiTheme="minorHAnsi" w:cstheme="minorBidi"/>
          <w:noProof/>
          <w:lang w:eastAsia="mk-MK"/>
        </w:rPr>
      </w:pPr>
      <w:hyperlink w:anchor="_Toc187841826" w:history="1">
        <w:r w:rsidR="000C713A" w:rsidRPr="00A76327">
          <w:rPr>
            <w:rStyle w:val="Hyperlink"/>
            <w:rFonts w:eastAsia="MS PGothic" w:cs="Calibri"/>
            <w:noProof/>
            <w:lang w:val="en-GB" w:eastAsia="zh-CN"/>
          </w:rPr>
          <w:t>Annex I – Time Frame of Implementation of the PFM Reform Programme</w:t>
        </w:r>
        <w:r w:rsidR="000C713A">
          <w:rPr>
            <w:noProof/>
            <w:webHidden/>
          </w:rPr>
          <w:tab/>
        </w:r>
        <w:r w:rsidR="000C713A">
          <w:rPr>
            <w:noProof/>
            <w:webHidden/>
          </w:rPr>
          <w:fldChar w:fldCharType="begin"/>
        </w:r>
        <w:r w:rsidR="000C713A">
          <w:rPr>
            <w:noProof/>
            <w:webHidden/>
          </w:rPr>
          <w:instrText xml:space="preserve"> PAGEREF _Toc187841826 \h </w:instrText>
        </w:r>
        <w:r w:rsidR="000C713A">
          <w:rPr>
            <w:noProof/>
            <w:webHidden/>
          </w:rPr>
        </w:r>
        <w:r w:rsidR="000C713A">
          <w:rPr>
            <w:noProof/>
            <w:webHidden/>
          </w:rPr>
          <w:fldChar w:fldCharType="separate"/>
        </w:r>
        <w:r w:rsidR="000C713A">
          <w:rPr>
            <w:noProof/>
            <w:webHidden/>
          </w:rPr>
          <w:t>148</w:t>
        </w:r>
        <w:r w:rsidR="000C713A">
          <w:rPr>
            <w:noProof/>
            <w:webHidden/>
          </w:rPr>
          <w:fldChar w:fldCharType="end"/>
        </w:r>
      </w:hyperlink>
    </w:p>
    <w:p w14:paraId="7765EB44" w14:textId="7DF30236" w:rsidR="000C713A" w:rsidRDefault="00E669F2">
      <w:pPr>
        <w:pStyle w:val="TOC1"/>
        <w:tabs>
          <w:tab w:val="right" w:leader="dot" w:pos="9016"/>
        </w:tabs>
        <w:rPr>
          <w:rFonts w:asciiTheme="minorHAnsi" w:eastAsiaTheme="minorEastAsia" w:hAnsiTheme="minorHAnsi" w:cstheme="minorBidi"/>
          <w:noProof/>
          <w:lang w:eastAsia="mk-MK"/>
        </w:rPr>
      </w:pPr>
      <w:hyperlink w:anchor="_Toc187841827" w:history="1">
        <w:r w:rsidR="000C713A" w:rsidRPr="00A76327">
          <w:rPr>
            <w:rStyle w:val="Hyperlink"/>
            <w:rFonts w:eastAsia="MS PGothic" w:cs="Calibri"/>
            <w:noProof/>
            <w:lang w:val="en-GB" w:eastAsia="zh-CN"/>
          </w:rPr>
          <w:t>Annex II – Logframe table for the PFM Reform Programme 2025 - 2028</w:t>
        </w:r>
        <w:r w:rsidR="000C713A">
          <w:rPr>
            <w:noProof/>
            <w:webHidden/>
          </w:rPr>
          <w:tab/>
        </w:r>
        <w:r w:rsidR="000C713A">
          <w:rPr>
            <w:noProof/>
            <w:webHidden/>
          </w:rPr>
          <w:fldChar w:fldCharType="begin"/>
        </w:r>
        <w:r w:rsidR="000C713A">
          <w:rPr>
            <w:noProof/>
            <w:webHidden/>
          </w:rPr>
          <w:instrText xml:space="preserve"> PAGEREF _Toc187841827 \h </w:instrText>
        </w:r>
        <w:r w:rsidR="000C713A">
          <w:rPr>
            <w:noProof/>
            <w:webHidden/>
          </w:rPr>
        </w:r>
        <w:r w:rsidR="000C713A">
          <w:rPr>
            <w:noProof/>
            <w:webHidden/>
          </w:rPr>
          <w:fldChar w:fldCharType="separate"/>
        </w:r>
        <w:r w:rsidR="000C713A">
          <w:rPr>
            <w:noProof/>
            <w:webHidden/>
          </w:rPr>
          <w:t>158</w:t>
        </w:r>
        <w:r w:rsidR="000C713A">
          <w:rPr>
            <w:noProof/>
            <w:webHidden/>
          </w:rPr>
          <w:fldChar w:fldCharType="end"/>
        </w:r>
      </w:hyperlink>
    </w:p>
    <w:p w14:paraId="1BFF8737" w14:textId="53AE5E39" w:rsidR="000C713A" w:rsidRDefault="00E669F2">
      <w:pPr>
        <w:pStyle w:val="TOC1"/>
        <w:tabs>
          <w:tab w:val="right" w:leader="dot" w:pos="9016"/>
        </w:tabs>
        <w:rPr>
          <w:rFonts w:asciiTheme="minorHAnsi" w:eastAsiaTheme="minorEastAsia" w:hAnsiTheme="minorHAnsi" w:cstheme="minorBidi"/>
          <w:noProof/>
          <w:lang w:eastAsia="mk-MK"/>
        </w:rPr>
      </w:pPr>
      <w:hyperlink w:anchor="_Toc187841828" w:history="1">
        <w:r w:rsidR="000C713A" w:rsidRPr="00A76327">
          <w:rPr>
            <w:rStyle w:val="Hyperlink"/>
            <w:rFonts w:eastAsia="MS PGothic" w:cs="Calibri"/>
            <w:noProof/>
            <w:lang w:val="en-GB" w:eastAsia="zh-CN"/>
          </w:rPr>
          <w:t>Annex III - Risk Management</w:t>
        </w:r>
        <w:r w:rsidR="000C713A">
          <w:rPr>
            <w:noProof/>
            <w:webHidden/>
          </w:rPr>
          <w:tab/>
        </w:r>
        <w:r w:rsidR="000C713A">
          <w:rPr>
            <w:noProof/>
            <w:webHidden/>
          </w:rPr>
          <w:fldChar w:fldCharType="begin"/>
        </w:r>
        <w:r w:rsidR="000C713A">
          <w:rPr>
            <w:noProof/>
            <w:webHidden/>
          </w:rPr>
          <w:instrText xml:space="preserve"> PAGEREF _Toc187841828 \h </w:instrText>
        </w:r>
        <w:r w:rsidR="000C713A">
          <w:rPr>
            <w:noProof/>
            <w:webHidden/>
          </w:rPr>
        </w:r>
        <w:r w:rsidR="000C713A">
          <w:rPr>
            <w:noProof/>
            <w:webHidden/>
          </w:rPr>
          <w:fldChar w:fldCharType="separate"/>
        </w:r>
        <w:r w:rsidR="000C713A">
          <w:rPr>
            <w:noProof/>
            <w:webHidden/>
          </w:rPr>
          <w:t>187</w:t>
        </w:r>
        <w:r w:rsidR="000C713A">
          <w:rPr>
            <w:noProof/>
            <w:webHidden/>
          </w:rPr>
          <w:fldChar w:fldCharType="end"/>
        </w:r>
      </w:hyperlink>
    </w:p>
    <w:p w14:paraId="42B5A3DB" w14:textId="111B632F" w:rsidR="0074523B" w:rsidRPr="00D30847" w:rsidRDefault="006A55CA" w:rsidP="00E84CD0">
      <w:pPr>
        <w:spacing w:line="240" w:lineRule="auto"/>
        <w:jc w:val="both"/>
        <w:rPr>
          <w:rFonts w:cs="Calibri"/>
          <w:b/>
          <w:bCs/>
          <w:noProof/>
          <w:lang w:val="en-GB"/>
        </w:rPr>
      </w:pPr>
      <w:r w:rsidRPr="00D30847">
        <w:rPr>
          <w:rFonts w:cs="Calibri"/>
          <w:b/>
          <w:bCs/>
          <w:noProof/>
          <w:lang w:val="en-GB"/>
        </w:rPr>
        <w:fldChar w:fldCharType="end"/>
      </w:r>
    </w:p>
    <w:p w14:paraId="4D5BE120" w14:textId="77777777" w:rsidR="000516D9" w:rsidRPr="00D30847" w:rsidRDefault="000516D9" w:rsidP="00E84CD0">
      <w:pPr>
        <w:spacing w:line="240" w:lineRule="auto"/>
        <w:jc w:val="both"/>
        <w:rPr>
          <w:rFonts w:cs="Calibri"/>
          <w:b/>
          <w:bCs/>
          <w:noProof/>
          <w:lang w:val="en-GB"/>
        </w:rPr>
      </w:pPr>
    </w:p>
    <w:p w14:paraId="58D856ED" w14:textId="77777777" w:rsidR="000516D9" w:rsidRPr="00D30847" w:rsidRDefault="000516D9" w:rsidP="00E84CD0">
      <w:pPr>
        <w:spacing w:line="240" w:lineRule="auto"/>
        <w:jc w:val="both"/>
        <w:rPr>
          <w:rFonts w:cs="Calibri"/>
          <w:b/>
          <w:bCs/>
          <w:noProof/>
          <w:lang w:val="en-GB"/>
        </w:rPr>
      </w:pPr>
    </w:p>
    <w:p w14:paraId="7E8B94D1" w14:textId="77777777" w:rsidR="000516D9" w:rsidRPr="00D30847" w:rsidRDefault="000516D9" w:rsidP="00E84CD0">
      <w:pPr>
        <w:spacing w:line="240" w:lineRule="auto"/>
        <w:jc w:val="both"/>
        <w:rPr>
          <w:rFonts w:cs="Calibri"/>
          <w:b/>
          <w:bCs/>
          <w:noProof/>
          <w:lang w:val="en-GB"/>
        </w:rPr>
      </w:pPr>
    </w:p>
    <w:p w14:paraId="4BD90425" w14:textId="77777777" w:rsidR="000516D9" w:rsidRPr="00D30847" w:rsidRDefault="000516D9" w:rsidP="00E84CD0">
      <w:pPr>
        <w:spacing w:line="240" w:lineRule="auto"/>
        <w:jc w:val="both"/>
        <w:rPr>
          <w:rFonts w:cs="Calibri"/>
          <w:b/>
          <w:bCs/>
          <w:noProof/>
          <w:lang w:val="en-GB"/>
        </w:rPr>
      </w:pPr>
    </w:p>
    <w:p w14:paraId="5F80E0C6" w14:textId="77777777" w:rsidR="000516D9" w:rsidRPr="00D30847" w:rsidRDefault="000516D9" w:rsidP="00E84CD0">
      <w:pPr>
        <w:spacing w:line="240" w:lineRule="auto"/>
        <w:jc w:val="both"/>
        <w:rPr>
          <w:rFonts w:cs="Calibri"/>
          <w:b/>
          <w:bCs/>
          <w:noProof/>
          <w:lang w:val="en-GB"/>
        </w:rPr>
      </w:pPr>
    </w:p>
    <w:p w14:paraId="6E3BE3E5" w14:textId="77777777" w:rsidR="000516D9" w:rsidRPr="00D30847" w:rsidRDefault="000516D9" w:rsidP="00E84CD0">
      <w:pPr>
        <w:spacing w:line="240" w:lineRule="auto"/>
        <w:jc w:val="both"/>
        <w:rPr>
          <w:rFonts w:cs="Calibri"/>
          <w:b/>
          <w:bCs/>
          <w:noProof/>
          <w:lang w:val="en-GB"/>
        </w:rPr>
      </w:pPr>
    </w:p>
    <w:p w14:paraId="0AA2AB7A" w14:textId="77777777" w:rsidR="000516D9" w:rsidRPr="00D30847" w:rsidRDefault="000516D9" w:rsidP="00E84CD0">
      <w:pPr>
        <w:spacing w:line="240" w:lineRule="auto"/>
        <w:jc w:val="both"/>
        <w:rPr>
          <w:rFonts w:cs="Calibri"/>
          <w:b/>
          <w:bCs/>
          <w:noProof/>
          <w:lang w:val="en-GB"/>
        </w:rPr>
      </w:pPr>
    </w:p>
    <w:p w14:paraId="1D990E5C" w14:textId="77777777" w:rsidR="000516D9" w:rsidRPr="00D30847" w:rsidRDefault="000516D9" w:rsidP="00E84CD0">
      <w:pPr>
        <w:spacing w:line="240" w:lineRule="auto"/>
        <w:jc w:val="both"/>
        <w:rPr>
          <w:rFonts w:cs="Calibri"/>
          <w:b/>
          <w:bCs/>
          <w:noProof/>
          <w:lang w:val="en-GB"/>
        </w:rPr>
      </w:pPr>
    </w:p>
    <w:p w14:paraId="13C8AB41" w14:textId="77777777" w:rsidR="000516D9" w:rsidRPr="00D30847" w:rsidRDefault="000516D9" w:rsidP="00E84CD0">
      <w:pPr>
        <w:spacing w:line="240" w:lineRule="auto"/>
        <w:jc w:val="both"/>
        <w:rPr>
          <w:rFonts w:cs="Calibri"/>
          <w:b/>
          <w:bCs/>
          <w:noProof/>
          <w:lang w:val="en-GB"/>
        </w:rPr>
      </w:pPr>
    </w:p>
    <w:p w14:paraId="145E8933" w14:textId="77777777" w:rsidR="000516D9" w:rsidRPr="00D30847" w:rsidRDefault="000516D9" w:rsidP="00E84CD0">
      <w:pPr>
        <w:spacing w:line="240" w:lineRule="auto"/>
        <w:jc w:val="both"/>
        <w:rPr>
          <w:rFonts w:cs="Calibri"/>
          <w:b/>
          <w:bCs/>
          <w:noProof/>
          <w:lang w:val="en-GB"/>
        </w:rPr>
      </w:pPr>
    </w:p>
    <w:p w14:paraId="09C21FEE" w14:textId="77777777" w:rsidR="000516D9" w:rsidRPr="00D30847" w:rsidRDefault="000516D9" w:rsidP="00E84CD0">
      <w:pPr>
        <w:spacing w:line="240" w:lineRule="auto"/>
        <w:jc w:val="both"/>
        <w:rPr>
          <w:rFonts w:cs="Calibri"/>
          <w:b/>
          <w:bCs/>
          <w:noProof/>
          <w:lang w:val="en-GB"/>
        </w:rPr>
      </w:pPr>
    </w:p>
    <w:p w14:paraId="774F9BFD" w14:textId="77777777" w:rsidR="000516D9" w:rsidRPr="00D30847" w:rsidRDefault="000516D9" w:rsidP="00E84CD0">
      <w:pPr>
        <w:spacing w:line="240" w:lineRule="auto"/>
        <w:jc w:val="both"/>
        <w:rPr>
          <w:rFonts w:cs="Calibri"/>
          <w:b/>
          <w:bCs/>
          <w:noProof/>
          <w:lang w:val="en-GB"/>
        </w:rPr>
      </w:pPr>
    </w:p>
    <w:p w14:paraId="44203165" w14:textId="77777777" w:rsidR="00CE502F" w:rsidRPr="00D30847" w:rsidRDefault="00E84CD0" w:rsidP="00E84CD0">
      <w:pPr>
        <w:pStyle w:val="Heading1"/>
        <w:spacing w:before="0" w:after="120" w:line="240" w:lineRule="auto"/>
        <w:jc w:val="both"/>
        <w:rPr>
          <w:rFonts w:ascii="Calibri" w:eastAsia="MS PGothic" w:hAnsi="Calibri" w:cs="Calibri"/>
          <w:color w:val="002060"/>
          <w:sz w:val="36"/>
          <w:szCs w:val="36"/>
          <w:lang w:val="en-GB" w:eastAsia="zh-CN"/>
        </w:rPr>
      </w:pPr>
      <w:bookmarkStart w:id="0" w:name="_Toc501546455"/>
      <w:bookmarkStart w:id="1" w:name="_Toc501546459"/>
      <w:r w:rsidRPr="00D30847">
        <w:rPr>
          <w:rFonts w:ascii="Calibri" w:eastAsia="MS PGothic" w:hAnsi="Calibri" w:cs="Calibri"/>
          <w:color w:val="002060"/>
          <w:sz w:val="36"/>
          <w:szCs w:val="36"/>
          <w:lang w:val="en-GB" w:eastAsia="zh-CN"/>
        </w:rPr>
        <w:br w:type="page"/>
      </w:r>
      <w:bookmarkStart w:id="2" w:name="_Toc187841796"/>
      <w:r w:rsidR="00CE502F" w:rsidRPr="00D30847">
        <w:rPr>
          <w:rFonts w:ascii="Calibri" w:eastAsia="MS PGothic" w:hAnsi="Calibri" w:cs="Calibri"/>
          <w:color w:val="2F5496"/>
          <w:sz w:val="40"/>
          <w:szCs w:val="40"/>
          <w:lang w:val="en-GB" w:eastAsia="zh-CN"/>
        </w:rPr>
        <w:lastRenderedPageBreak/>
        <w:t>Introduction</w:t>
      </w:r>
      <w:bookmarkEnd w:id="2"/>
    </w:p>
    <w:p w14:paraId="2213CC88" w14:textId="3E91C1AC" w:rsidR="00A2147E" w:rsidRPr="00D30847" w:rsidRDefault="00A2147E" w:rsidP="007736F7">
      <w:pPr>
        <w:pStyle w:val="NormalWeb"/>
        <w:shd w:val="clear" w:color="auto" w:fill="FFFFFF"/>
        <w:spacing w:before="0"/>
        <w:jc w:val="both"/>
        <w:rPr>
          <w:rFonts w:ascii="Calibri" w:hAnsi="Calibri" w:cs="Arial"/>
          <w:color w:val="232323"/>
          <w:sz w:val="22"/>
          <w:szCs w:val="22"/>
        </w:rPr>
      </w:pPr>
      <w:r w:rsidRPr="00D30847">
        <w:rPr>
          <w:rFonts w:ascii="Calibri" w:hAnsi="Calibri" w:cs="Calibri"/>
          <w:sz w:val="22"/>
          <w:szCs w:val="22"/>
        </w:rPr>
        <w:t>Even with managing the global price and energy crisis, the Government carried out major public finance reforms aimed at accelerated, inclusive and sustainable economic growth, higher standard and quality of life.</w:t>
      </w:r>
      <w:r w:rsidR="00212B36" w:rsidRPr="00D30847">
        <w:rPr>
          <w:rFonts w:ascii="Calibri" w:hAnsi="Calibri" w:cs="Calibri"/>
          <w:sz w:val="22"/>
          <w:szCs w:val="22"/>
        </w:rPr>
        <w:t xml:space="preserve"> </w:t>
      </w:r>
      <w:r w:rsidRPr="00D30847">
        <w:rPr>
          <w:rFonts w:ascii="Calibri" w:hAnsi="Calibri" w:cs="Calibri"/>
          <w:sz w:val="22"/>
          <w:szCs w:val="22"/>
        </w:rPr>
        <w:t>Times of crisis best show the required changes to the system.</w:t>
      </w:r>
      <w:r w:rsidR="00212B36" w:rsidRPr="00D30847">
        <w:rPr>
          <w:rFonts w:ascii="Calibri" w:hAnsi="Calibri" w:cs="Calibri"/>
          <w:sz w:val="22"/>
          <w:szCs w:val="22"/>
        </w:rPr>
        <w:t xml:space="preserve"> </w:t>
      </w:r>
      <w:r w:rsidRPr="00D30847">
        <w:rPr>
          <w:rFonts w:ascii="Calibri" w:hAnsi="Calibri" w:cs="Arial"/>
          <w:color w:val="232323"/>
          <w:sz w:val="22"/>
          <w:szCs w:val="22"/>
        </w:rPr>
        <w:t xml:space="preserve">New Organic Budget Law is among the major reforms implemented, introducing medium-term budgeting, as well as the </w:t>
      </w:r>
      <w:r w:rsidRPr="00D30847">
        <w:rPr>
          <w:rFonts w:ascii="Calibri" w:hAnsi="Calibri" w:cs="Calibri"/>
          <w:sz w:val="22"/>
          <w:szCs w:val="22"/>
        </w:rPr>
        <w:t xml:space="preserve">reform aimed at strengthening fiscal </w:t>
      </w:r>
      <w:r w:rsidR="00212B36" w:rsidRPr="00D30847">
        <w:rPr>
          <w:rFonts w:ascii="Calibri" w:hAnsi="Calibri" w:cs="Calibri"/>
          <w:sz w:val="22"/>
          <w:szCs w:val="22"/>
        </w:rPr>
        <w:t xml:space="preserve">decentralization </w:t>
      </w:r>
      <w:r w:rsidRPr="00D30847">
        <w:rPr>
          <w:rFonts w:ascii="Calibri" w:hAnsi="Calibri" w:cs="Arial"/>
          <w:color w:val="232323"/>
          <w:sz w:val="22"/>
          <w:szCs w:val="22"/>
        </w:rPr>
        <w:t>from the aspect of financing and accountability, and the reform aimed at broadening the tax base.</w:t>
      </w:r>
    </w:p>
    <w:p w14:paraId="6C9A32E7" w14:textId="4A7FFC0A" w:rsidR="00A2147E" w:rsidRPr="00D30847" w:rsidRDefault="00A2147E" w:rsidP="007736F7">
      <w:pPr>
        <w:pStyle w:val="NormalWeb"/>
        <w:shd w:val="clear" w:color="auto" w:fill="FFFFFF"/>
        <w:spacing w:before="0"/>
        <w:jc w:val="both"/>
        <w:rPr>
          <w:rFonts w:ascii="Calibri" w:hAnsi="Calibri"/>
          <w:color w:val="232323"/>
          <w:sz w:val="22"/>
          <w:szCs w:val="22"/>
        </w:rPr>
      </w:pPr>
      <w:r w:rsidRPr="00D30847">
        <w:rPr>
          <w:rFonts w:ascii="Calibri" w:hAnsi="Calibri" w:cs="Arial"/>
          <w:color w:val="232323"/>
          <w:sz w:val="22"/>
          <w:szCs w:val="22"/>
        </w:rPr>
        <w:t>Public finances reform is aimed at longer-term and better planning of budget programmes and budgets, sustainability and continuity in implementing the policies, more just model in view of revenues and expenditures and the manner of financing, as well as monitoring and measuring the performance.</w:t>
      </w:r>
      <w:r w:rsidR="00212B36" w:rsidRPr="00D30847">
        <w:rPr>
          <w:rFonts w:ascii="Calibri" w:hAnsi="Calibri" w:cs="Arial"/>
          <w:color w:val="232323"/>
          <w:sz w:val="22"/>
          <w:szCs w:val="22"/>
        </w:rPr>
        <w:t xml:space="preserve"> </w:t>
      </w:r>
      <w:r w:rsidRPr="00D30847">
        <w:rPr>
          <w:rFonts w:ascii="Calibri" w:hAnsi="Calibri" w:cs="Arial"/>
          <w:color w:val="232323"/>
          <w:sz w:val="22"/>
          <w:szCs w:val="22"/>
        </w:rPr>
        <w:t>Among the main pillars of public finances reform are transparency, accountability, allocating public funds where greater benefits are generated when prioritizing the optimal policies in support of both the citizens and the businesses, “value for money” concept and introducing so-called key performance indicators.</w:t>
      </w:r>
      <w:r w:rsidR="00212B36" w:rsidRPr="00D30847">
        <w:rPr>
          <w:rFonts w:ascii="Calibri" w:hAnsi="Calibri" w:cs="Arial"/>
          <w:color w:val="232323"/>
          <w:sz w:val="22"/>
          <w:szCs w:val="22"/>
        </w:rPr>
        <w:t xml:space="preserve"> </w:t>
      </w:r>
      <w:r w:rsidRPr="00D30847">
        <w:rPr>
          <w:rFonts w:ascii="Calibri" w:hAnsi="Calibri" w:cs="Arial"/>
          <w:color w:val="232323"/>
          <w:sz w:val="22"/>
          <w:szCs w:val="22"/>
        </w:rPr>
        <w:t xml:space="preserve">Such reforms </w:t>
      </w:r>
      <w:r w:rsidRPr="00D30847">
        <w:rPr>
          <w:rFonts w:ascii="Calibri" w:hAnsi="Calibri" w:cs="Calibri"/>
          <w:sz w:val="22"/>
          <w:szCs w:val="22"/>
        </w:rPr>
        <w:t>are essential for rapid recovery from the crisis and accelerated economic growth</w:t>
      </w:r>
      <w:r w:rsidRPr="00D30847">
        <w:rPr>
          <w:rFonts w:ascii="Calibri" w:hAnsi="Calibri" w:cs="Arial"/>
          <w:color w:val="232323"/>
          <w:sz w:val="22"/>
          <w:szCs w:val="22"/>
        </w:rPr>
        <w:t>.</w:t>
      </w:r>
      <w:r w:rsidR="00212B36" w:rsidRPr="00D30847">
        <w:rPr>
          <w:rFonts w:ascii="Calibri" w:hAnsi="Calibri" w:cs="Arial"/>
          <w:color w:val="232323"/>
          <w:sz w:val="22"/>
          <w:szCs w:val="22"/>
        </w:rPr>
        <w:t xml:space="preserve"> </w:t>
      </w:r>
      <w:r w:rsidRPr="00D30847">
        <w:rPr>
          <w:rFonts w:ascii="Calibri" w:hAnsi="Calibri" w:cs="Arial"/>
          <w:color w:val="232323"/>
          <w:sz w:val="22"/>
          <w:szCs w:val="22"/>
        </w:rPr>
        <w:t>All this encompasses maintaining stable budget over the long run, thereby continuing the rendering of quality and prompt services to the citizens and the businesses through a modern and efficient public administration based on digitalisation.</w:t>
      </w:r>
    </w:p>
    <w:p w14:paraId="729FBC47" w14:textId="233E8C91" w:rsidR="00A2147E" w:rsidRPr="00D30847" w:rsidRDefault="00A2147E" w:rsidP="007736F7">
      <w:pPr>
        <w:spacing w:after="280" w:line="240" w:lineRule="auto"/>
        <w:jc w:val="both"/>
        <w:rPr>
          <w:rFonts w:eastAsia="MS PGothic" w:cs="Calibri"/>
          <w:color w:val="202124"/>
          <w:lang w:val="en-GB" w:eastAsia="zh-CN"/>
        </w:rPr>
      </w:pPr>
      <w:r w:rsidRPr="00D30847">
        <w:rPr>
          <w:rFonts w:cs="Calibri"/>
          <w:lang w:val="en-GB"/>
        </w:rPr>
        <w:t>Public Financial Management Reform Programme is a strategic document for development of the public financial management system, always including the civil society, the development partners and other relevant stakeholder in its preparation.</w:t>
      </w:r>
      <w:r w:rsidR="00212B36" w:rsidRPr="00D30847">
        <w:rPr>
          <w:rFonts w:cs="Calibri"/>
          <w:lang w:val="en-GB"/>
        </w:rPr>
        <w:t xml:space="preserve"> </w:t>
      </w:r>
      <w:r w:rsidRPr="00D30847">
        <w:rPr>
          <w:rFonts w:eastAsia="MS PGothic" w:cs="Calibri"/>
          <w:lang w:val="en-GB" w:eastAsia="zh-CN"/>
        </w:rPr>
        <w:t xml:space="preserve">Such concept of an inclusive and open dialogue with all stakeholders about the PFM policies </w:t>
      </w:r>
      <w:r w:rsidRPr="00D30847">
        <w:rPr>
          <w:rFonts w:cs="Calibri"/>
          <w:lang w:val="en-GB"/>
        </w:rPr>
        <w:t>is applied, as a good practice, for the preparation of all PFM Programmes.</w:t>
      </w:r>
    </w:p>
    <w:p w14:paraId="7506F370" w14:textId="23463B92" w:rsidR="00A2147E" w:rsidRPr="00D30847" w:rsidRDefault="00A2147E" w:rsidP="007736F7">
      <w:pPr>
        <w:spacing w:after="280" w:line="240" w:lineRule="auto"/>
        <w:jc w:val="both"/>
        <w:rPr>
          <w:rFonts w:eastAsia="MS PGothic" w:cs="Calibri"/>
          <w:color w:val="202124"/>
          <w:lang w:val="en-GB" w:eastAsia="zh-CN"/>
        </w:rPr>
      </w:pPr>
      <w:r w:rsidRPr="00D30847">
        <w:rPr>
          <w:rFonts w:eastAsia="MS PGothic" w:cs="Calibri"/>
          <w:color w:val="202124"/>
          <w:lang w:val="en-GB" w:eastAsia="zh-CN"/>
        </w:rPr>
        <w:t xml:space="preserve">The Government adopted the </w:t>
      </w:r>
      <w:r w:rsidRPr="00D30847">
        <w:rPr>
          <w:rFonts w:cs="Calibri"/>
          <w:lang w:val="en-GB"/>
        </w:rPr>
        <w:t>Public Financial Management Reform Programme</w:t>
      </w:r>
      <w:r w:rsidR="00FC2A8C" w:rsidRPr="00D30847">
        <w:rPr>
          <w:rFonts w:cs="Calibri"/>
          <w:lang w:val="en-GB"/>
        </w:rPr>
        <w:t xml:space="preserve"> </w:t>
      </w:r>
      <w:r w:rsidRPr="00D30847">
        <w:rPr>
          <w:rFonts w:eastAsia="MS PGothic" w:cs="Calibri"/>
          <w:color w:val="202124"/>
          <w:lang w:val="en-GB" w:eastAsia="zh-CN"/>
        </w:rPr>
        <w:t xml:space="preserve">2018 - 2021 </w:t>
      </w:r>
      <w:r w:rsidRPr="00D30847">
        <w:rPr>
          <w:rFonts w:cs="Calibri"/>
          <w:lang w:val="en-GB"/>
        </w:rPr>
        <w:t>at the end of 2017, introducing a first-ever comprehensive, consistent and credible framework for improving both the efficiency and the effectiveness of public spending, fiscal discipline, debt sustainability, and efficient, transparent and modern public financial management, set as key objectives of the Government.</w:t>
      </w:r>
      <w:r w:rsidR="00212B36" w:rsidRPr="00D30847">
        <w:rPr>
          <w:rFonts w:cs="Calibri"/>
          <w:lang w:val="en-GB"/>
        </w:rPr>
        <w:t xml:space="preserve"> </w:t>
      </w:r>
      <w:r w:rsidRPr="00D30847">
        <w:rPr>
          <w:rFonts w:eastAsia="MS PGothic" w:cs="Calibri"/>
          <w:color w:val="202124"/>
          <w:lang w:val="en-GB" w:eastAsia="zh-CN"/>
        </w:rPr>
        <w:t>Public Financial Management Reform Programme 2018 - 2021 was completed in December 2021.</w:t>
      </w:r>
    </w:p>
    <w:p w14:paraId="32612602" w14:textId="6AF1E29C" w:rsidR="00A2147E" w:rsidRPr="00D30847" w:rsidRDefault="00A2147E" w:rsidP="007736F7">
      <w:pPr>
        <w:pStyle w:val="HTMLPreformatted"/>
        <w:spacing w:after="280" w:line="270" w:lineRule="atLeast"/>
        <w:jc w:val="both"/>
        <w:rPr>
          <w:rFonts w:ascii="Calibri" w:eastAsia="MS PGothic" w:hAnsi="Calibri" w:cs="Calibri"/>
          <w:color w:val="202124"/>
          <w:sz w:val="22"/>
          <w:szCs w:val="22"/>
          <w:lang w:eastAsia="zh-CN"/>
        </w:rPr>
      </w:pPr>
      <w:r w:rsidRPr="00D30847">
        <w:rPr>
          <w:rFonts w:ascii="Calibri" w:eastAsia="MS PGothic" w:hAnsi="Calibri" w:cs="Calibri"/>
          <w:color w:val="202124"/>
          <w:sz w:val="22"/>
          <w:szCs w:val="22"/>
          <w:lang w:eastAsia="zh-CN"/>
        </w:rPr>
        <w:t>PFM reforms were pursued under the PFM Programme 2022 - 2025 as well</w:t>
      </w:r>
      <w:r w:rsidR="00D64115">
        <w:rPr>
          <w:rFonts w:ascii="Calibri" w:eastAsia="MS PGothic" w:hAnsi="Calibri" w:cs="Calibri"/>
          <w:color w:val="202124"/>
          <w:sz w:val="22"/>
          <w:szCs w:val="22"/>
          <w:lang w:val="mk-MK" w:eastAsia="zh-CN"/>
        </w:rPr>
        <w:t xml:space="preserve"> (</w:t>
      </w:r>
      <w:r w:rsidR="00D64115">
        <w:rPr>
          <w:rFonts w:ascii="Calibri" w:eastAsia="MS PGothic" w:hAnsi="Calibri" w:cs="Calibri"/>
          <w:color w:val="202124"/>
          <w:sz w:val="22"/>
          <w:szCs w:val="22"/>
          <w:lang w:val="en-US" w:eastAsia="zh-CN"/>
        </w:rPr>
        <w:t xml:space="preserve">adopted by the </w:t>
      </w:r>
      <w:r w:rsidR="00D64115" w:rsidRPr="00D30847">
        <w:rPr>
          <w:rFonts w:ascii="Calibri" w:eastAsia="MS PGothic" w:hAnsi="Calibri" w:cs="Calibri"/>
          <w:color w:val="202124"/>
          <w:sz w:val="22"/>
          <w:szCs w:val="22"/>
          <w:lang w:eastAsia="zh-CN"/>
        </w:rPr>
        <w:t>the Government</w:t>
      </w:r>
      <w:r w:rsidR="00D64115">
        <w:rPr>
          <w:rFonts w:ascii="Calibri" w:eastAsia="MS PGothic" w:hAnsi="Calibri" w:cs="Calibri"/>
          <w:color w:val="202124"/>
          <w:sz w:val="22"/>
          <w:szCs w:val="22"/>
          <w:lang w:val="en-US" w:eastAsia="zh-CN"/>
        </w:rPr>
        <w:t xml:space="preserve"> in June 2022)</w:t>
      </w:r>
      <w:r w:rsidR="00E955FC">
        <w:rPr>
          <w:rFonts w:ascii="Calibri" w:eastAsia="MS PGothic" w:hAnsi="Calibri" w:cs="Calibri"/>
          <w:color w:val="202124"/>
          <w:sz w:val="22"/>
          <w:szCs w:val="22"/>
          <w:lang w:val="mk-MK" w:eastAsia="zh-CN"/>
        </w:rPr>
        <w:t xml:space="preserve"> t</w:t>
      </w:r>
      <w:r w:rsidRPr="00D30847">
        <w:rPr>
          <w:rFonts w:ascii="Calibri" w:eastAsia="MS PGothic" w:hAnsi="Calibri" w:cs="Calibri"/>
          <w:color w:val="202124"/>
          <w:sz w:val="22"/>
          <w:szCs w:val="22"/>
          <w:lang w:eastAsia="zh-CN"/>
        </w:rPr>
        <w:t>he need to continue the reforms in this area is an ambitious effort covering all aspects of PF</w:t>
      </w:r>
      <w:r w:rsidR="00FA5CF1" w:rsidRPr="00D30847">
        <w:rPr>
          <w:rFonts w:ascii="Calibri" w:eastAsia="MS PGothic" w:hAnsi="Calibri" w:cs="Calibri"/>
          <w:color w:val="202124"/>
          <w:sz w:val="22"/>
          <w:szCs w:val="22"/>
          <w:lang w:eastAsia="zh-CN"/>
        </w:rPr>
        <w:t>M</w:t>
      </w:r>
      <w:r w:rsidRPr="00D30847">
        <w:rPr>
          <w:rFonts w:ascii="Calibri" w:eastAsia="MS PGothic" w:hAnsi="Calibri" w:cs="Calibri"/>
          <w:color w:val="202124"/>
          <w:sz w:val="22"/>
          <w:szCs w:val="22"/>
          <w:lang w:eastAsia="zh-CN"/>
        </w:rPr>
        <w:t>: economic analysis, macroeconomic and fiscal framework, revenue mobilisation and collection, budget planning, public investment management, effective instruments under the Growth Acceleration Plan, public procurement, including PPP, establishment of integrated financial management information system (IFMIS), Public Finance Academy, budget accounting, public internal financial control, external control and parliamentary oversight and PFM at local level.</w:t>
      </w:r>
    </w:p>
    <w:p w14:paraId="53FBD6AB" w14:textId="79AAAF23" w:rsidR="00A2147E" w:rsidRPr="00D30847" w:rsidRDefault="00A2147E" w:rsidP="007736F7">
      <w:pPr>
        <w:pStyle w:val="HTMLPreformatted"/>
        <w:spacing w:after="280" w:line="270" w:lineRule="atLeast"/>
        <w:jc w:val="both"/>
        <w:rPr>
          <w:rFonts w:ascii="Calibri" w:eastAsia="MS PGothic" w:hAnsi="Calibri" w:cs="Calibri"/>
          <w:color w:val="202124"/>
          <w:sz w:val="22"/>
          <w:szCs w:val="22"/>
          <w:lang w:eastAsia="zh-CN"/>
        </w:rPr>
      </w:pPr>
      <w:r w:rsidRPr="00D30847">
        <w:rPr>
          <w:rFonts w:ascii="Calibri" w:eastAsia="MS PGothic" w:hAnsi="Calibri" w:cs="Calibri"/>
          <w:color w:val="202124"/>
          <w:sz w:val="22"/>
          <w:szCs w:val="22"/>
          <w:lang w:eastAsia="zh-CN"/>
        </w:rPr>
        <w:t>Legal framework supporting the PFM Programme 2022 - 2025 was not in force at the moment of preparing the Program, considering that the Organic Budget Law was not yet adopted by the Parliament.</w:t>
      </w:r>
      <w:r w:rsidR="00903D3F" w:rsidRPr="00D30847">
        <w:rPr>
          <w:rFonts w:ascii="Calibri" w:eastAsia="MS PGothic" w:hAnsi="Calibri" w:cs="Calibri"/>
          <w:color w:val="202124"/>
          <w:sz w:val="22"/>
          <w:szCs w:val="22"/>
          <w:lang w:eastAsia="zh-CN"/>
        </w:rPr>
        <w:t xml:space="preserve"> </w:t>
      </w:r>
      <w:r w:rsidRPr="00D30847">
        <w:rPr>
          <w:rFonts w:ascii="Calibri" w:eastAsia="MS PGothic" w:hAnsi="Calibri" w:cs="Calibri"/>
          <w:color w:val="202124"/>
          <w:sz w:val="22"/>
          <w:szCs w:val="22"/>
          <w:lang w:eastAsia="zh-CN"/>
        </w:rPr>
        <w:t>Adoption of the Organic Budget Law in September 2022 provides for carrying out the critical reforms in budgeting, thus strengthening the fiscal sustainability (medium–term budgeting, Integrated Financial Management Information System - IFMIS, introduction of a fiscal council and fiscal rules).The reforms are to be sped up, all to the end of implementing the comprehensive and ambitious reform incorporated in the OBL.</w:t>
      </w:r>
      <w:r w:rsidR="00903D3F" w:rsidRPr="00D30847">
        <w:rPr>
          <w:rFonts w:ascii="Calibri" w:eastAsia="MS PGothic" w:hAnsi="Calibri" w:cs="Calibri"/>
          <w:color w:val="202124"/>
          <w:sz w:val="22"/>
          <w:szCs w:val="22"/>
          <w:lang w:eastAsia="zh-CN"/>
        </w:rPr>
        <w:t xml:space="preserve"> </w:t>
      </w:r>
      <w:r w:rsidRPr="00D30847">
        <w:rPr>
          <w:rFonts w:ascii="Calibri" w:eastAsia="MS PGothic" w:hAnsi="Calibri" w:cs="Calibri"/>
          <w:color w:val="202124"/>
          <w:sz w:val="22"/>
          <w:szCs w:val="22"/>
          <w:lang w:eastAsia="zh-CN"/>
        </w:rPr>
        <w:t>Action plan is to be adopted, new institutional structures are to be established and key reform units at the Ministry of Finance, the PRO and the Customs Administration are to be timely and adequately staffed.</w:t>
      </w:r>
      <w:r w:rsidR="00903D3F" w:rsidRPr="00D30847">
        <w:rPr>
          <w:rFonts w:ascii="Calibri" w:eastAsia="MS PGothic" w:hAnsi="Calibri" w:cs="Calibri"/>
          <w:color w:val="202124"/>
          <w:sz w:val="22"/>
          <w:szCs w:val="22"/>
          <w:lang w:eastAsia="zh-CN"/>
        </w:rPr>
        <w:t xml:space="preserve"> </w:t>
      </w:r>
      <w:r w:rsidRPr="00D30847">
        <w:rPr>
          <w:rFonts w:ascii="Calibri" w:eastAsia="MS PGothic" w:hAnsi="Calibri" w:cs="Calibri"/>
          <w:sz w:val="22"/>
          <w:szCs w:val="22"/>
          <w:lang w:eastAsia="zh-CN"/>
        </w:rPr>
        <w:t xml:space="preserve">Hence, a need arose for a mid-term review of the 2022 - 2025 PFM Programme’s objectives and indicators, and the Programme is thus </w:t>
      </w:r>
      <w:r w:rsidRPr="00D30847">
        <w:rPr>
          <w:rFonts w:ascii="Calibri" w:hAnsi="Calibri" w:cs="Calibri"/>
          <w:sz w:val="22"/>
          <w:szCs w:val="22"/>
        </w:rPr>
        <w:t>extended by two years,</w:t>
      </w:r>
      <w:r w:rsidRPr="00D30847">
        <w:rPr>
          <w:rFonts w:ascii="Calibri" w:eastAsia="MS PGothic" w:hAnsi="Calibri" w:cs="Calibri"/>
          <w:sz w:val="22"/>
          <w:szCs w:val="22"/>
          <w:lang w:eastAsia="zh-CN"/>
        </w:rPr>
        <w:t xml:space="preserve"> until 2027.</w:t>
      </w:r>
      <w:r w:rsidRPr="00D30847">
        <w:rPr>
          <w:rFonts w:ascii="Calibri" w:eastAsia="MS PGothic" w:hAnsi="Calibri" w:cs="Calibri"/>
          <w:color w:val="202124"/>
          <w:sz w:val="22"/>
          <w:szCs w:val="22"/>
          <w:lang w:eastAsia="zh-CN"/>
        </w:rPr>
        <w:t>The PFM Programme covers the 2024 - 2027 period. </w:t>
      </w:r>
    </w:p>
    <w:p w14:paraId="7F6743F2" w14:textId="6E316072" w:rsidR="00A2147E" w:rsidRPr="00D30847" w:rsidRDefault="00A2147E" w:rsidP="007736F7">
      <w:pPr>
        <w:pStyle w:val="HTMLPreformatted"/>
        <w:spacing w:after="280" w:line="270" w:lineRule="atLeast"/>
        <w:jc w:val="both"/>
        <w:rPr>
          <w:rFonts w:eastAsia="MS PGothic" w:cs="Calibri"/>
          <w:color w:val="202124"/>
          <w:sz w:val="22"/>
          <w:lang w:eastAsia="zh-CN"/>
        </w:rPr>
      </w:pPr>
      <w:r w:rsidRPr="00D30847">
        <w:rPr>
          <w:rFonts w:ascii="Calibri" w:eastAsia="MS PGothic" w:hAnsi="Calibri" w:cs="Calibri"/>
          <w:color w:val="202124"/>
          <w:sz w:val="22"/>
          <w:szCs w:val="22"/>
          <w:lang w:eastAsia="zh-CN"/>
        </w:rPr>
        <w:lastRenderedPageBreak/>
        <w:t>Mid-term review of the PFM Programme was carried out at the end of 2023 by OECD - SIGMA, with EU financial support, focusing on the</w:t>
      </w:r>
      <w:r w:rsidR="00D64115" w:rsidRPr="00D30847">
        <w:rPr>
          <w:rFonts w:ascii="Calibri" w:eastAsia="MS PGothic" w:hAnsi="Calibri" w:cs="Calibri"/>
          <w:color w:val="202124"/>
          <w:sz w:val="22"/>
          <w:szCs w:val="22"/>
          <w:lang w:eastAsia="zh-CN"/>
        </w:rPr>
        <w:t xml:space="preserve"> reflecting the priorities determined on the basis of internal analyses of the relevant national institutions, also taking into account the findings an</w:t>
      </w:r>
      <w:r w:rsidR="00362F92">
        <w:rPr>
          <w:rFonts w:ascii="Calibri" w:eastAsia="MS PGothic" w:hAnsi="Calibri" w:cs="Calibri"/>
          <w:color w:val="202124"/>
          <w:sz w:val="22"/>
          <w:szCs w:val="22"/>
          <w:lang w:eastAsia="zh-CN"/>
        </w:rPr>
        <w:t>d the assessments under the 2022</w:t>
      </w:r>
      <w:r w:rsidR="00D64115" w:rsidRPr="00D30847">
        <w:rPr>
          <w:rFonts w:ascii="Calibri" w:eastAsia="MS PGothic" w:hAnsi="Calibri" w:cs="Calibri"/>
          <w:color w:val="202124"/>
          <w:sz w:val="22"/>
          <w:szCs w:val="22"/>
          <w:lang w:eastAsia="zh-CN"/>
        </w:rPr>
        <w:t xml:space="preserve"> </w:t>
      </w:r>
      <w:r w:rsidR="00D64115" w:rsidRPr="00D30847">
        <w:rPr>
          <w:rFonts w:ascii="Calibri" w:hAnsi="Calibri" w:cs="Calibri"/>
          <w:sz w:val="22"/>
          <w:szCs w:val="22"/>
        </w:rPr>
        <w:t>PEFA Assessment Report, IMF and World Bank recommendations, OECD - SIGMA assessment and other relevant assessments</w:t>
      </w:r>
      <w:r w:rsidR="00D64115">
        <w:rPr>
          <w:rFonts w:ascii="Calibri" w:hAnsi="Calibri" w:cs="Calibri"/>
          <w:sz w:val="22"/>
          <w:szCs w:val="22"/>
        </w:rPr>
        <w:t>. The mid-term review was aimed</w:t>
      </w:r>
      <w:r w:rsidR="003F3452">
        <w:rPr>
          <w:rFonts w:ascii="Calibri" w:hAnsi="Calibri" w:cs="Calibri"/>
          <w:sz w:val="22"/>
          <w:szCs w:val="22"/>
        </w:rPr>
        <w:t xml:space="preserve"> on the</w:t>
      </w:r>
      <w:r w:rsidRPr="00D30847">
        <w:rPr>
          <w:rFonts w:ascii="Calibri" w:eastAsia="MS PGothic" w:hAnsi="Calibri" w:cs="Calibri"/>
          <w:color w:val="202124"/>
          <w:sz w:val="22"/>
          <w:szCs w:val="22"/>
          <w:lang w:eastAsia="zh-CN"/>
        </w:rPr>
        <w:t xml:space="preserve"> following aspects:</w:t>
      </w:r>
      <w:r w:rsidR="00903D3F" w:rsidRPr="00D30847">
        <w:rPr>
          <w:rFonts w:ascii="Calibri" w:eastAsia="MS PGothic" w:hAnsi="Calibri" w:cs="Calibri"/>
          <w:color w:val="202124"/>
          <w:sz w:val="22"/>
          <w:szCs w:val="22"/>
          <w:lang w:eastAsia="zh-CN"/>
        </w:rPr>
        <w:t xml:space="preserve"> </w:t>
      </w:r>
      <w:r w:rsidRPr="00D30847">
        <w:rPr>
          <w:rFonts w:ascii="Calibri" w:eastAsia="MS PGothic" w:hAnsi="Calibri" w:cs="Calibri"/>
          <w:color w:val="202124"/>
          <w:sz w:val="22"/>
          <w:szCs w:val="22"/>
          <w:lang w:eastAsia="zh-CN"/>
        </w:rPr>
        <w:t>implementation of the Programme and the respective Action Plans (effectiveness); adapting the interventions so as to achieve the desired results and objectives (relevance); adaptation and efficiency of PFM managing structure (efficiency).</w:t>
      </w:r>
    </w:p>
    <w:p w14:paraId="400110E7" w14:textId="1B547B76" w:rsidR="003F3452" w:rsidRDefault="003F3452" w:rsidP="003F3452">
      <w:pPr>
        <w:spacing w:after="280" w:line="240" w:lineRule="auto"/>
        <w:jc w:val="both"/>
        <w:rPr>
          <w:rFonts w:eastAsia="MS PGothic" w:cs="Calibri"/>
          <w:color w:val="202124"/>
          <w:lang w:val="en-GB" w:eastAsia="zh-CN"/>
        </w:rPr>
      </w:pPr>
      <w:r w:rsidRPr="00D30847">
        <w:rPr>
          <w:rFonts w:eastAsia="MS PGothic" w:cs="Calibri"/>
          <w:color w:val="202124"/>
          <w:lang w:val="en-GB" w:eastAsia="zh-CN"/>
        </w:rPr>
        <w:t>PFM Reform Programme 2024-2027 has been prepared by the PFM Sector Working Group, comprising representatives from the following institutions: Ministry of Finance, Public Revenue Office, Customs Administration of North Macedonia, Public Procurement Bureau, State Appeals Commission, State Audit Office and</w:t>
      </w:r>
      <w:r>
        <w:rPr>
          <w:rFonts w:eastAsia="MS PGothic" w:cs="Calibri"/>
          <w:color w:val="202124"/>
          <w:lang w:val="en-GB" w:eastAsia="zh-CN"/>
        </w:rPr>
        <w:t xml:space="preserve"> </w:t>
      </w:r>
      <w:r w:rsidRPr="003F3452">
        <w:rPr>
          <w:rFonts w:eastAsia="MS PGothic" w:cs="Calibri"/>
          <w:color w:val="202124"/>
          <w:lang w:val="en-GB" w:eastAsia="zh-CN"/>
        </w:rPr>
        <w:t>the Ministry of Economy and Labor (competences in the area of ​​PPPs and concessions are now transferred to the Ministry of Energy, Mining and mineral resources).</w:t>
      </w:r>
      <w:r w:rsidRPr="00D30847">
        <w:rPr>
          <w:rFonts w:eastAsia="MS PGothic" w:cs="Calibri"/>
          <w:color w:val="202124"/>
          <w:lang w:val="en-GB" w:eastAsia="zh-CN"/>
        </w:rPr>
        <w:t xml:space="preserve"> </w:t>
      </w:r>
    </w:p>
    <w:p w14:paraId="459FB9DC" w14:textId="77777777" w:rsidR="003F3452" w:rsidRPr="00D30847" w:rsidRDefault="003F3452" w:rsidP="003F3452">
      <w:pPr>
        <w:spacing w:after="280" w:line="240" w:lineRule="auto"/>
        <w:jc w:val="both"/>
        <w:rPr>
          <w:rFonts w:eastAsia="MS PGothic" w:cs="Calibri"/>
          <w:color w:val="202124"/>
          <w:lang w:val="en-GB" w:eastAsia="zh-CN"/>
        </w:rPr>
      </w:pPr>
      <w:r w:rsidRPr="00D30847">
        <w:rPr>
          <w:rFonts w:eastAsia="MS PGothic" w:cs="Calibri"/>
          <w:color w:val="202124"/>
          <w:lang w:val="en-GB" w:eastAsia="zh-CN"/>
        </w:rPr>
        <w:t>In April 2024, the PJF Reform Program 2024-2027 was submitted to the Government, but it was not adopted.</w:t>
      </w:r>
    </w:p>
    <w:p w14:paraId="131122A8" w14:textId="17ED4708" w:rsidR="003F3452" w:rsidRDefault="003F3452" w:rsidP="003F3452">
      <w:pPr>
        <w:spacing w:after="280" w:line="240" w:lineRule="auto"/>
        <w:jc w:val="both"/>
        <w:rPr>
          <w:rFonts w:eastAsia="MS PGothic" w:cs="Calibri"/>
          <w:color w:val="202124"/>
          <w:lang w:val="en-GB" w:eastAsia="zh-CN"/>
        </w:rPr>
      </w:pPr>
      <w:r w:rsidRPr="00D30847">
        <w:rPr>
          <w:rFonts w:eastAsia="MS PGothic" w:cs="Calibri"/>
          <w:color w:val="202124"/>
          <w:lang w:val="en-GB" w:eastAsia="zh-CN"/>
        </w:rPr>
        <w:t>In addition, after the end of the election process, it was realized that the Program for the reform of the PFM should be aligned with the priorities of the new Government Program 2024-2028, so in November 2024, the process of its alignment and revision began. The revised Program for the PFM</w:t>
      </w:r>
      <w:r>
        <w:rPr>
          <w:rFonts w:eastAsia="MS PGothic" w:cs="Calibri"/>
          <w:color w:val="202124"/>
          <w:lang w:val="en-GB" w:eastAsia="zh-CN"/>
        </w:rPr>
        <w:t xml:space="preserve"> covers the period 2025-2028.</w:t>
      </w:r>
    </w:p>
    <w:p w14:paraId="37A69559" w14:textId="14488B76" w:rsidR="00A2147E" w:rsidRPr="00D30847" w:rsidRDefault="00A2147E" w:rsidP="007736F7">
      <w:pPr>
        <w:spacing w:after="280" w:line="240" w:lineRule="auto"/>
        <w:jc w:val="both"/>
        <w:rPr>
          <w:rFonts w:eastAsia="MS PGothic" w:cs="Calibri"/>
          <w:color w:val="202124"/>
          <w:lang w:val="en-GB" w:eastAsia="zh-CN"/>
        </w:rPr>
      </w:pPr>
      <w:r w:rsidRPr="003F3452">
        <w:rPr>
          <w:rFonts w:eastAsia="MS PGothic" w:cs="Calibri"/>
          <w:color w:val="202124"/>
          <w:lang w:val="en-GB" w:eastAsia="zh-CN"/>
        </w:rPr>
        <w:t>Preparation and implementation of the new PFM Reform Programme 202</w:t>
      </w:r>
      <w:r w:rsidR="003F3452">
        <w:rPr>
          <w:rFonts w:eastAsia="MS PGothic" w:cs="Calibri"/>
          <w:color w:val="202124"/>
          <w:lang w:val="en-GB" w:eastAsia="zh-CN"/>
        </w:rPr>
        <w:t>5</w:t>
      </w:r>
      <w:r w:rsidRPr="003F3452">
        <w:rPr>
          <w:rFonts w:eastAsia="MS PGothic" w:cs="Calibri"/>
          <w:color w:val="202124"/>
          <w:lang w:val="en-GB" w:eastAsia="zh-CN"/>
        </w:rPr>
        <w:t>-202</w:t>
      </w:r>
      <w:r w:rsidR="003F3452">
        <w:rPr>
          <w:rFonts w:eastAsia="MS PGothic" w:cs="Calibri"/>
          <w:color w:val="202124"/>
          <w:lang w:val="en-GB" w:eastAsia="zh-CN"/>
        </w:rPr>
        <w:t>8</w:t>
      </w:r>
      <w:r w:rsidRPr="003F3452">
        <w:rPr>
          <w:rFonts w:eastAsia="MS PGothic" w:cs="Calibri"/>
          <w:color w:val="202124"/>
          <w:lang w:val="en-GB" w:eastAsia="zh-CN"/>
        </w:rPr>
        <w:t xml:space="preserve"> is based on a sectoral dialogue, introduced with the previous PFM Reform Programme, on the policies with all stakeholders.</w:t>
      </w:r>
      <w:r w:rsidR="00903D3F" w:rsidRPr="003F3452">
        <w:rPr>
          <w:rFonts w:eastAsia="MS PGothic" w:cs="Calibri"/>
          <w:color w:val="202124"/>
          <w:lang w:val="en-GB" w:eastAsia="zh-CN"/>
        </w:rPr>
        <w:t xml:space="preserve"> </w:t>
      </w:r>
      <w:r w:rsidRPr="003F3452">
        <w:rPr>
          <w:rFonts w:eastAsia="MS PGothic" w:cs="Calibri"/>
          <w:color w:val="202124"/>
          <w:lang w:val="en-GB" w:eastAsia="zh-CN"/>
        </w:rPr>
        <w:t>The objective of the dialogue is to ensure joint actions as regards the priorities and the policies in the area of public finance management, establishing a synergy and coordination among different initiatives, as well as that budget funds and all other avai</w:t>
      </w:r>
      <w:r w:rsidRPr="00306591">
        <w:rPr>
          <w:rFonts w:eastAsia="MS PGothic" w:cs="Calibri"/>
          <w:color w:val="202124"/>
          <w:lang w:val="en-GB" w:eastAsia="zh-CN"/>
        </w:rPr>
        <w:t>lable resources, including donor funds, are used in an appropriate and transparent manner.</w:t>
      </w:r>
    </w:p>
    <w:p w14:paraId="28ECBC3A" w14:textId="2A322866" w:rsidR="00E47AF4" w:rsidRPr="00D30847" w:rsidRDefault="00A2147E" w:rsidP="007736F7">
      <w:pPr>
        <w:spacing w:after="280" w:line="240" w:lineRule="auto"/>
        <w:jc w:val="both"/>
        <w:rPr>
          <w:rFonts w:eastAsia="MS PGothic" w:cs="Calibri"/>
          <w:color w:val="202124"/>
          <w:lang w:val="en-GB" w:eastAsia="zh-CN"/>
        </w:rPr>
      </w:pPr>
      <w:r w:rsidRPr="00D30847">
        <w:rPr>
          <w:rFonts w:eastAsia="MS PGothic" w:cs="Calibri"/>
          <w:color w:val="202124"/>
          <w:lang w:val="en-GB" w:eastAsia="zh-CN"/>
        </w:rPr>
        <w:t>Political and institutional commitment to attaining the reform goals under the new Public Financial Management Reform Programme 202</w:t>
      </w:r>
      <w:r w:rsidR="003F3452">
        <w:rPr>
          <w:rFonts w:eastAsia="MS PGothic" w:cs="Calibri"/>
          <w:color w:val="202124"/>
          <w:lang w:val="en-GB" w:eastAsia="zh-CN"/>
        </w:rPr>
        <w:t>5</w:t>
      </w:r>
      <w:r w:rsidRPr="00D30847">
        <w:rPr>
          <w:rFonts w:eastAsia="MS PGothic" w:cs="Calibri"/>
          <w:color w:val="202124"/>
          <w:lang w:val="en-GB" w:eastAsia="zh-CN"/>
        </w:rPr>
        <w:t>-202</w:t>
      </w:r>
      <w:r w:rsidR="003F3452">
        <w:rPr>
          <w:rFonts w:eastAsia="MS PGothic" w:cs="Calibri"/>
          <w:color w:val="202124"/>
          <w:lang w:val="en-GB" w:eastAsia="zh-CN"/>
        </w:rPr>
        <w:t>8</w:t>
      </w:r>
      <w:r w:rsidRPr="00D30847">
        <w:rPr>
          <w:rFonts w:eastAsia="MS PGothic" w:cs="Calibri"/>
          <w:color w:val="202124"/>
          <w:lang w:val="en-GB" w:eastAsia="zh-CN"/>
        </w:rPr>
        <w:t xml:space="preserve"> is demonstrated through the structures of the monitoring and reporting system as regards the set results, indicators and targets, previously set under the </w:t>
      </w:r>
      <w:r w:rsidR="002829CB">
        <w:rPr>
          <w:rFonts w:eastAsia="MS PGothic" w:cs="Calibri"/>
          <w:color w:val="202124"/>
          <w:lang w:val="en-GB" w:eastAsia="zh-CN"/>
        </w:rPr>
        <w:t xml:space="preserve">first </w:t>
      </w:r>
      <w:r w:rsidRPr="00D30847">
        <w:rPr>
          <w:rFonts w:eastAsia="MS PGothic" w:cs="Calibri"/>
          <w:color w:val="202124"/>
          <w:lang w:val="en-GB" w:eastAsia="zh-CN"/>
        </w:rPr>
        <w:t>PFM Reform Programme 2018-2021 (PFM Council comprising the top management of the key institutions in the public financial management system, PFM Sector Working Group and Priority Coordinators and Measure Leaders are already functioning).These working bodies also ensure the necessary coordination among certain strategies and policies in the field of PFM, as well as with the other related national strategies, such as the Public Administration Reform Strategy.</w:t>
      </w:r>
    </w:p>
    <w:p w14:paraId="4C1DDDA3" w14:textId="25785162" w:rsidR="00343DD0" w:rsidRPr="00D30847" w:rsidRDefault="00186AC6" w:rsidP="007736F7">
      <w:pPr>
        <w:pStyle w:val="Heading1"/>
        <w:spacing w:before="0" w:after="280" w:line="240" w:lineRule="auto"/>
        <w:jc w:val="both"/>
        <w:rPr>
          <w:rFonts w:ascii="Calibri" w:eastAsia="MS PGothic" w:hAnsi="Calibri" w:cs="Calibri"/>
          <w:color w:val="2F5496"/>
          <w:sz w:val="40"/>
          <w:szCs w:val="40"/>
          <w:lang w:val="en-GB" w:eastAsia="zh-CN"/>
        </w:rPr>
      </w:pPr>
      <w:r w:rsidRPr="00D30847">
        <w:rPr>
          <w:rFonts w:ascii="Calibri" w:eastAsia="MS PGothic" w:hAnsi="Calibri" w:cs="Calibri"/>
          <w:color w:val="2F5496"/>
          <w:sz w:val="40"/>
          <w:szCs w:val="40"/>
          <w:lang w:val="en-GB" w:eastAsia="zh-CN"/>
        </w:rPr>
        <w:br w:type="page"/>
      </w:r>
      <w:bookmarkStart w:id="3" w:name="_Toc187841797"/>
      <w:r w:rsidR="00CF2B56" w:rsidRPr="00D30847">
        <w:rPr>
          <w:rFonts w:ascii="Calibri" w:eastAsia="MS PGothic" w:hAnsi="Calibri" w:cs="Calibri"/>
          <w:color w:val="2F5496"/>
          <w:sz w:val="40"/>
          <w:szCs w:val="40"/>
          <w:lang w:val="en-GB" w:eastAsia="zh-CN"/>
        </w:rPr>
        <w:lastRenderedPageBreak/>
        <w:t>Chapter I:</w:t>
      </w:r>
      <w:r w:rsidR="00FA5CF1" w:rsidRPr="00D30847">
        <w:rPr>
          <w:rFonts w:ascii="Calibri" w:eastAsia="MS PGothic" w:hAnsi="Calibri" w:cs="Calibri"/>
          <w:color w:val="2F5496"/>
          <w:sz w:val="40"/>
          <w:szCs w:val="40"/>
          <w:lang w:val="en-GB" w:eastAsia="zh-CN"/>
        </w:rPr>
        <w:t xml:space="preserve"> </w:t>
      </w:r>
      <w:r w:rsidR="00CF2B56" w:rsidRPr="00D30847">
        <w:rPr>
          <w:rFonts w:ascii="Calibri" w:eastAsia="MS PGothic" w:hAnsi="Calibri" w:cs="Calibri"/>
          <w:color w:val="2F5496"/>
          <w:sz w:val="40"/>
          <w:szCs w:val="40"/>
          <w:lang w:val="en-GB" w:eastAsia="zh-CN"/>
        </w:rPr>
        <w:t>Background of the PFM Reform Programme</w:t>
      </w:r>
      <w:bookmarkEnd w:id="0"/>
      <w:bookmarkEnd w:id="3"/>
    </w:p>
    <w:p w14:paraId="62B9DD2E" w14:textId="7BC292D1" w:rsidR="00CF2B56" w:rsidRPr="00D30847" w:rsidRDefault="00CF2B56" w:rsidP="008B435E">
      <w:pPr>
        <w:spacing w:before="240" w:line="240" w:lineRule="auto"/>
        <w:jc w:val="both"/>
        <w:rPr>
          <w:rFonts w:cs="Calibri"/>
          <w:b/>
          <w:color w:val="2E74B5"/>
          <w:lang w:val="en-GB"/>
        </w:rPr>
      </w:pPr>
      <w:bookmarkStart w:id="4" w:name="_Toc501546456"/>
      <w:r w:rsidRPr="00D30847">
        <w:rPr>
          <w:rFonts w:cs="Calibri"/>
          <w:b/>
          <w:color w:val="2E74B5"/>
          <w:lang w:val="en-GB"/>
        </w:rPr>
        <w:t>The</w:t>
      </w:r>
      <w:r w:rsidR="00AC73C6" w:rsidRPr="00D30847">
        <w:rPr>
          <w:rFonts w:cs="Calibri"/>
          <w:b/>
          <w:color w:val="2E74B5"/>
          <w:lang w:val="en-GB"/>
        </w:rPr>
        <w:t xml:space="preserve"> </w:t>
      </w:r>
      <w:r w:rsidRPr="00D30847">
        <w:rPr>
          <w:rFonts w:cs="Calibri"/>
          <w:b/>
          <w:color w:val="2E74B5"/>
          <w:lang w:val="en-GB"/>
        </w:rPr>
        <w:t>economic</w:t>
      </w:r>
      <w:r w:rsidR="00AC73C6" w:rsidRPr="00D30847">
        <w:rPr>
          <w:rFonts w:cs="Calibri"/>
          <w:b/>
          <w:color w:val="2E74B5"/>
          <w:lang w:val="en-GB"/>
        </w:rPr>
        <w:t xml:space="preserve"> </w:t>
      </w:r>
      <w:r w:rsidRPr="00D30847">
        <w:rPr>
          <w:rFonts w:cs="Calibri"/>
          <w:b/>
          <w:color w:val="2E74B5"/>
          <w:lang w:val="en-GB"/>
        </w:rPr>
        <w:t>context</w:t>
      </w:r>
      <w:bookmarkEnd w:id="4"/>
    </w:p>
    <w:p w14:paraId="049CF782" w14:textId="77777777" w:rsidR="00550A8D" w:rsidRPr="00D30847" w:rsidRDefault="00550A8D" w:rsidP="008B435E">
      <w:pPr>
        <w:spacing w:before="240"/>
        <w:jc w:val="both"/>
        <w:rPr>
          <w:lang w:val="en-GB"/>
        </w:rPr>
      </w:pPr>
      <w:bookmarkStart w:id="5" w:name="_Toc501546457"/>
      <w:r w:rsidRPr="00D30847">
        <w:rPr>
          <w:lang w:val="en-GB"/>
        </w:rPr>
        <w:t xml:space="preserve">The Macedonian economy has maintained macroeconomic stability even in the face of consecutive shocks caused by external factors (the global economic crisis of 2007–2009, the Eurozone debt crisis, the pandemic, and the energy crisis). Effective coordination of fiscal and monetary policies has contributed to maintaining a stable and </w:t>
      </w:r>
      <w:proofErr w:type="spellStart"/>
      <w:r w:rsidRPr="00D30847">
        <w:rPr>
          <w:lang w:val="en-GB"/>
        </w:rPr>
        <w:t>favorable</w:t>
      </w:r>
      <w:proofErr w:type="spellEnd"/>
      <w:r w:rsidRPr="00D30847">
        <w:rPr>
          <w:lang w:val="en-GB"/>
        </w:rPr>
        <w:t xml:space="preserve"> macroeconomic framework. However, the consecutive crises negatively impacted economic growth, prices, and the standard of living for citizens. The post-pandemic recovery was insufficient, and economic activity remained weak during the subsequent period, resulting in an average GDP growth rate of 1.2% from 2020 to 2023.</w:t>
      </w:r>
    </w:p>
    <w:p w14:paraId="14CFF851" w14:textId="77777777" w:rsidR="00550A8D" w:rsidRPr="00D30847" w:rsidRDefault="00550A8D" w:rsidP="00AB76CE">
      <w:pPr>
        <w:jc w:val="both"/>
        <w:rPr>
          <w:lang w:val="en-GB"/>
        </w:rPr>
      </w:pPr>
      <w:r w:rsidRPr="00D30847">
        <w:rPr>
          <w:lang w:val="en-GB"/>
        </w:rPr>
        <w:t xml:space="preserve">According to the Government's Work Program for the 2024–2028 period, the primary goal during its mandate will be to establish preconditions for a new cycle of economic growth. The main objective is to achieve economic growth through investments, increased competitiveness of the domestic economy, and export growth. </w:t>
      </w:r>
    </w:p>
    <w:p w14:paraId="0975F6D9" w14:textId="77777777" w:rsidR="00550A8D" w:rsidRPr="00D30847" w:rsidRDefault="00550A8D" w:rsidP="00AB76CE">
      <w:pPr>
        <w:jc w:val="both"/>
        <w:rPr>
          <w:lang w:val="en-GB"/>
        </w:rPr>
      </w:pPr>
      <w:r w:rsidRPr="00D30847">
        <w:rPr>
          <w:lang w:val="en-GB"/>
        </w:rPr>
        <w:t>The implementation of significant capital investments, increased financial support for the investment activities of domestic production companies, and the expansion of existing foreign companies while attracting new ones are expected to contribute to higher economic growth, targeting a gradual increase in GDP growth to 5%. Strategic investments in infrastructure and energy, support for innovation, competitiveness, and productivity of companies, accompanied by measures for digitalization and IT innovation, are expected to enhance overall productivity in the economy and create conditions for sustainable economic growth.</w:t>
      </w:r>
    </w:p>
    <w:p w14:paraId="0D8B97E2" w14:textId="77777777" w:rsidR="00550A8D" w:rsidRPr="00D30847" w:rsidRDefault="00550A8D" w:rsidP="00AB76CE">
      <w:pPr>
        <w:jc w:val="both"/>
        <w:rPr>
          <w:lang w:val="en-GB"/>
        </w:rPr>
      </w:pPr>
      <w:r w:rsidRPr="00D30847">
        <w:rPr>
          <w:lang w:val="en-GB"/>
        </w:rPr>
        <w:t>A key assumption for achieving accelerated growth is the normalization of global trends, stabilization of inflationary pressures, and strengthening of economic activity among Macedonia's main trading partners, which will contribute to increased external demand and an improved investment environment.</w:t>
      </w:r>
    </w:p>
    <w:p w14:paraId="3F4E83A8" w14:textId="77777777" w:rsidR="00550A8D" w:rsidRPr="00D30847" w:rsidRDefault="00550A8D" w:rsidP="00AB76CE">
      <w:pPr>
        <w:jc w:val="both"/>
        <w:rPr>
          <w:lang w:val="en-GB"/>
        </w:rPr>
      </w:pPr>
      <w:r w:rsidRPr="00D30847">
        <w:rPr>
          <w:lang w:val="en-GB"/>
        </w:rPr>
        <w:t>GDP Growth Expenditure Structure (contribution to GDP/growth, percentage points)</w:t>
      </w:r>
    </w:p>
    <w:p w14:paraId="421D939B" w14:textId="77777777" w:rsidR="00550A8D" w:rsidRPr="00D30847" w:rsidRDefault="00550A8D" w:rsidP="00F05292">
      <w:pPr>
        <w:jc w:val="center"/>
        <w:rPr>
          <w:lang w:val="en-GB"/>
        </w:rPr>
      </w:pPr>
      <w:r w:rsidRPr="00D30847">
        <w:rPr>
          <w:noProof/>
          <w:lang w:eastAsia="mk-MK"/>
        </w:rPr>
        <w:drawing>
          <wp:inline distT="0" distB="0" distL="0" distR="0" wp14:anchorId="0C53A935" wp14:editId="008F1247">
            <wp:extent cx="3413760" cy="2247900"/>
            <wp:effectExtent l="0" t="0" r="0" b="0"/>
            <wp:docPr id="158772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3760" cy="2247900"/>
                    </a:xfrm>
                    <a:prstGeom prst="rect">
                      <a:avLst/>
                    </a:prstGeom>
                    <a:noFill/>
                  </pic:spPr>
                </pic:pic>
              </a:graphicData>
            </a:graphic>
          </wp:inline>
        </w:drawing>
      </w:r>
    </w:p>
    <w:p w14:paraId="03B47768" w14:textId="77777777" w:rsidR="00550A8D" w:rsidRPr="00D30847" w:rsidRDefault="00550A8D" w:rsidP="00AB76CE">
      <w:pPr>
        <w:jc w:val="both"/>
        <w:rPr>
          <w:lang w:val="en-GB"/>
        </w:rPr>
      </w:pPr>
      <w:r w:rsidRPr="00D30847">
        <w:rPr>
          <w:lang w:val="en-GB"/>
        </w:rPr>
        <w:t>In the medium term, inflation is expected to stabilize fully at an annual level of around 2%, assuming stabilization in the prices of basic food products and energy resources on the international market.</w:t>
      </w:r>
    </w:p>
    <w:p w14:paraId="3D5578F1" w14:textId="77777777" w:rsidR="00550A8D" w:rsidRPr="00D30847" w:rsidRDefault="00550A8D" w:rsidP="00AB76CE">
      <w:pPr>
        <w:jc w:val="both"/>
        <w:rPr>
          <w:lang w:val="en-GB"/>
        </w:rPr>
      </w:pPr>
      <w:r w:rsidRPr="00D30847">
        <w:rPr>
          <w:lang w:val="en-GB"/>
        </w:rPr>
        <w:lastRenderedPageBreak/>
        <w:t xml:space="preserve">Demographic changes, such as population aging and migration trends, represent serious challenges. In the upcoming period, through better targeting of social assistance and activation measures for unemployed recipients of social support, as well as through active employment measures and programs, further improvements in </w:t>
      </w:r>
      <w:proofErr w:type="spellStart"/>
      <w:r w:rsidRPr="00D30847">
        <w:rPr>
          <w:lang w:val="en-GB"/>
        </w:rPr>
        <w:t>labor</w:t>
      </w:r>
      <w:proofErr w:type="spellEnd"/>
      <w:r w:rsidRPr="00D30847">
        <w:rPr>
          <w:lang w:val="en-GB"/>
        </w:rPr>
        <w:t xml:space="preserve"> market conditions are anticipated. This includes increased employment and a reduction in unemployment to a level of 7.5% by 2028.</w:t>
      </w:r>
    </w:p>
    <w:p w14:paraId="5B1D4F53" w14:textId="27185754" w:rsidR="0042620E" w:rsidRPr="00D30847" w:rsidRDefault="00550A8D" w:rsidP="008023E8">
      <w:pPr>
        <w:jc w:val="both"/>
        <w:rPr>
          <w:lang w:val="en-GB"/>
        </w:rPr>
      </w:pPr>
      <w:r w:rsidRPr="00D30847">
        <w:rPr>
          <w:lang w:val="en-GB"/>
        </w:rPr>
        <w:t xml:space="preserve">Economic growth support is also expected from the EU Growth Plan for the Western Balkan countries. In accordance with the third pillar of the Plan, the Reform Agenda 2024–2027 has been prepared. This agenda includes reform measures in five priority areas, the implementation of which opens the opportunity for </w:t>
      </w:r>
      <w:r w:rsidR="002829CB">
        <w:rPr>
          <w:lang w:val="en-GB"/>
        </w:rPr>
        <w:t>t</w:t>
      </w:r>
      <w:r w:rsidR="002829CB" w:rsidRPr="002829CB">
        <w:rPr>
          <w:lang w:val="en-GB"/>
        </w:rPr>
        <w:t>he Republic of North Macedonia to receive 750,354,553 euros, of which 535,012,159 euros are loans and 215,342,394 euros are grants. The funds from the loan in the amount of 535,012,159 euros will be used to support the Budget of the Republic of North Macedonia and support for investment projects through the Investment Framework for the Western Balkans (</w:t>
      </w:r>
      <w:r w:rsidR="009A1C68">
        <w:rPr>
          <w:lang w:val="en-GB"/>
        </w:rPr>
        <w:t>WBIF</w:t>
      </w:r>
      <w:r w:rsidR="002829CB" w:rsidRPr="002829CB">
        <w:rPr>
          <w:lang w:val="en-GB"/>
        </w:rPr>
        <w:t>).</w:t>
      </w:r>
      <w:r w:rsidR="002829CB">
        <w:rPr>
          <w:lang w:val="en-GB"/>
        </w:rPr>
        <w:t xml:space="preserve"> </w:t>
      </w:r>
      <w:r w:rsidRPr="00D30847">
        <w:rPr>
          <w:lang w:val="en-GB"/>
        </w:rPr>
        <w:t>Investments under the Reform Agenda focus on transport and energy infrastructure, education, and digitalization.</w:t>
      </w:r>
    </w:p>
    <w:p w14:paraId="47F79F46" w14:textId="2B92CE95" w:rsidR="00343DD0" w:rsidRPr="00D30847" w:rsidRDefault="0042620E" w:rsidP="00343DD0">
      <w:pPr>
        <w:spacing w:line="240" w:lineRule="auto"/>
        <w:jc w:val="both"/>
        <w:rPr>
          <w:rFonts w:cs="Calibri"/>
          <w:b/>
          <w:color w:val="2E74B5"/>
          <w:sz w:val="28"/>
          <w:szCs w:val="28"/>
          <w:lang w:val="en-GB" w:eastAsia="zh-CN"/>
        </w:rPr>
      </w:pPr>
      <w:r w:rsidRPr="00D30847">
        <w:rPr>
          <w:rFonts w:cs="Calibri"/>
          <w:b/>
          <w:color w:val="2E74B5"/>
          <w:sz w:val="28"/>
          <w:szCs w:val="28"/>
          <w:lang w:val="en-GB" w:eastAsia="zh-CN"/>
        </w:rPr>
        <w:t>The fiscal context</w:t>
      </w:r>
    </w:p>
    <w:p w14:paraId="0A7F8460" w14:textId="33DAC748" w:rsidR="007736F7" w:rsidRPr="00D30847" w:rsidRDefault="004C7828" w:rsidP="008B435E">
      <w:pPr>
        <w:spacing w:before="240" w:line="240" w:lineRule="auto"/>
        <w:jc w:val="both"/>
        <w:rPr>
          <w:rFonts w:eastAsia="MS PGothic" w:cs="Calibri"/>
          <w:b/>
          <w:color w:val="2E74B5"/>
          <w:lang w:val="en-GB" w:eastAsia="zh-CN"/>
        </w:rPr>
      </w:pPr>
      <w:r w:rsidRPr="00D30847">
        <w:rPr>
          <w:rFonts w:eastAsia="MS PGothic" w:cs="Calibri"/>
          <w:b/>
          <w:color w:val="2E74B5"/>
          <w:lang w:val="en-GB" w:eastAsia="zh-CN"/>
        </w:rPr>
        <w:t>Budget implementation in the 2024</w:t>
      </w:r>
    </w:p>
    <w:p w14:paraId="2A694332" w14:textId="23943558" w:rsidR="002F289A" w:rsidRPr="00D30847" w:rsidRDefault="002F289A" w:rsidP="002F289A">
      <w:pPr>
        <w:spacing w:before="240" w:line="240" w:lineRule="auto"/>
        <w:jc w:val="both"/>
        <w:rPr>
          <w:rFonts w:eastAsia="MS PGothic" w:cs="Calibri"/>
          <w:color w:val="202124"/>
          <w:lang w:val="en-GB" w:eastAsia="zh-CN"/>
        </w:rPr>
      </w:pPr>
      <w:r w:rsidRPr="00D30847">
        <w:rPr>
          <w:rFonts w:eastAsia="MS PGothic" w:cs="Calibri"/>
          <w:color w:val="202124"/>
          <w:lang w:val="en-GB" w:eastAsia="zh-CN"/>
        </w:rPr>
        <w:t>In the  2024, total revenues of the Budget of the Republic of North Macedonia</w:t>
      </w:r>
      <w:r w:rsidRPr="00D30847">
        <w:rPr>
          <w:rFonts w:eastAsia="MS PGothic" w:cs="Calibri"/>
          <w:color w:val="202124"/>
          <w:vertAlign w:val="superscript"/>
          <w:lang w:val="en-GB" w:eastAsia="zh-CN"/>
        </w:rPr>
        <w:footnoteReference w:id="1"/>
      </w:r>
      <w:r w:rsidRPr="00D30847">
        <w:rPr>
          <w:rFonts w:eastAsia="MS PGothic" w:cs="Calibri"/>
          <w:color w:val="202124"/>
          <w:lang w:val="en-GB" w:eastAsia="zh-CN"/>
        </w:rPr>
        <w:t xml:space="preserve"> were collected in the amount of Denar </w:t>
      </w:r>
      <w:r>
        <w:rPr>
          <w:rFonts w:eastAsia="MS PGothic" w:cs="Calibri"/>
          <w:color w:val="202124"/>
          <w:lang w:val="en-GB" w:eastAsia="zh-CN"/>
        </w:rPr>
        <w:t xml:space="preserve">306,3 </w:t>
      </w:r>
      <w:r w:rsidRPr="00D30847">
        <w:rPr>
          <w:rFonts w:eastAsia="MS PGothic" w:cs="Calibri"/>
          <w:color w:val="202124"/>
          <w:lang w:val="en-GB" w:eastAsia="zh-CN"/>
        </w:rPr>
        <w:t xml:space="preserve"> billion or approximately </w:t>
      </w:r>
      <w:r>
        <w:rPr>
          <w:rFonts w:eastAsia="MS PGothic" w:cs="Calibri"/>
          <w:color w:val="202124"/>
          <w:lang w:val="en-GB" w:eastAsia="zh-CN"/>
        </w:rPr>
        <w:t>96,3</w:t>
      </w:r>
      <w:r w:rsidRPr="00D30847">
        <w:rPr>
          <w:rFonts w:eastAsia="MS PGothic" w:cs="Calibri"/>
          <w:color w:val="202124"/>
          <w:lang w:val="en-GB" w:eastAsia="zh-CN"/>
        </w:rPr>
        <w:t>% of the 2024 Budget, i.e. they were higher by 1</w:t>
      </w:r>
      <w:r>
        <w:rPr>
          <w:rFonts w:eastAsia="MS PGothic" w:cs="Calibri"/>
          <w:color w:val="202124"/>
          <w:lang w:val="en-GB" w:eastAsia="zh-CN"/>
        </w:rPr>
        <w:t>0</w:t>
      </w:r>
      <w:r w:rsidRPr="00D30847">
        <w:rPr>
          <w:rFonts w:eastAsia="MS PGothic" w:cs="Calibri"/>
          <w:color w:val="202124"/>
          <w:lang w:val="en-GB" w:eastAsia="zh-CN"/>
        </w:rPr>
        <w:t xml:space="preserve">5% compared to the collected ones in the last year. Denar </w:t>
      </w:r>
      <w:r>
        <w:rPr>
          <w:rFonts w:eastAsia="MS PGothic" w:cs="Calibri"/>
          <w:color w:val="202124"/>
          <w:lang w:val="en-GB" w:eastAsia="zh-CN"/>
        </w:rPr>
        <w:t xml:space="preserve">178 </w:t>
      </w:r>
      <w:r w:rsidRPr="00D30847">
        <w:rPr>
          <w:rFonts w:eastAsia="MS PGothic" w:cs="Calibri"/>
          <w:color w:val="202124"/>
          <w:lang w:val="en-GB" w:eastAsia="zh-CN"/>
        </w:rPr>
        <w:t xml:space="preserve">billion out of this amount was tax revenues, being higher by </w:t>
      </w:r>
      <w:r>
        <w:rPr>
          <w:rFonts w:eastAsia="MS PGothic" w:cs="Calibri"/>
          <w:color w:val="202124"/>
          <w:lang w:val="en-GB" w:eastAsia="zh-CN"/>
        </w:rPr>
        <w:t xml:space="preserve">12,8 </w:t>
      </w:r>
      <w:r w:rsidRPr="00D30847">
        <w:rPr>
          <w:rFonts w:eastAsia="MS PGothic" w:cs="Calibri"/>
          <w:color w:val="202124"/>
          <w:lang w:val="en-GB" w:eastAsia="zh-CN"/>
        </w:rPr>
        <w:t xml:space="preserve">% compared to last year. All types of tax revenues experienced growth compared to the last year, except other tax revenues. Revenues on the basis of social contributions were collected in the amount of Denar </w:t>
      </w:r>
      <w:r>
        <w:rPr>
          <w:rFonts w:eastAsia="MS PGothic" w:cs="Calibri"/>
          <w:color w:val="202124"/>
          <w:lang w:val="en-GB" w:eastAsia="zh-CN"/>
        </w:rPr>
        <w:t xml:space="preserve">105,7 </w:t>
      </w:r>
      <w:r w:rsidRPr="00D30847">
        <w:rPr>
          <w:rFonts w:eastAsia="MS PGothic" w:cs="Calibri"/>
          <w:color w:val="202124"/>
          <w:lang w:val="en-GB" w:eastAsia="zh-CN"/>
        </w:rPr>
        <w:t xml:space="preserve">billion, being higher by </w:t>
      </w:r>
      <w:r>
        <w:rPr>
          <w:rFonts w:eastAsia="MS PGothic" w:cs="Calibri"/>
          <w:color w:val="202124"/>
          <w:lang w:val="en-GB" w:eastAsia="zh-CN"/>
        </w:rPr>
        <w:t xml:space="preserve">14,1 </w:t>
      </w:r>
      <w:r w:rsidRPr="00D30847">
        <w:rPr>
          <w:rFonts w:eastAsia="MS PGothic" w:cs="Calibri"/>
          <w:color w:val="202124"/>
          <w:lang w:val="en-GB" w:eastAsia="zh-CN"/>
        </w:rPr>
        <w:t xml:space="preserve">% than last year. </w:t>
      </w:r>
    </w:p>
    <w:p w14:paraId="2343A736" w14:textId="191D05FC" w:rsidR="002F289A" w:rsidRPr="00D30847" w:rsidRDefault="002F289A" w:rsidP="002F289A">
      <w:pPr>
        <w:spacing w:before="240" w:line="240" w:lineRule="auto"/>
        <w:jc w:val="both"/>
        <w:rPr>
          <w:rFonts w:eastAsia="MS PGothic" w:cs="Calibri"/>
          <w:color w:val="202124"/>
          <w:lang w:val="en-GB" w:eastAsia="zh-CN"/>
        </w:rPr>
      </w:pPr>
      <w:r w:rsidRPr="00D30847">
        <w:rPr>
          <w:rFonts w:eastAsia="MS PGothic" w:cs="Calibri"/>
          <w:color w:val="202124"/>
          <w:lang w:val="en-GB" w:eastAsia="zh-CN"/>
        </w:rPr>
        <w:t xml:space="preserve">In the2024, total expenditures of the Budget of Republic of North Macedonia were executed in the amount of Denar </w:t>
      </w:r>
      <w:r w:rsidR="00906266">
        <w:rPr>
          <w:rFonts w:eastAsia="MS PGothic" w:cs="Calibri"/>
          <w:color w:val="202124"/>
          <w:lang w:val="en-GB" w:eastAsia="zh-CN"/>
        </w:rPr>
        <w:t>348,5</w:t>
      </w:r>
      <w:r w:rsidRPr="00D30847">
        <w:rPr>
          <w:rFonts w:eastAsia="MS PGothic" w:cs="Calibri"/>
          <w:color w:val="202124"/>
          <w:lang w:val="en-GB" w:eastAsia="zh-CN"/>
        </w:rPr>
        <w:t xml:space="preserve"> billion, or around </w:t>
      </w:r>
      <w:r>
        <w:rPr>
          <w:rFonts w:eastAsia="MS PGothic" w:cs="Calibri"/>
          <w:color w:val="202124"/>
          <w:lang w:val="en-GB" w:eastAsia="zh-CN"/>
        </w:rPr>
        <w:t xml:space="preserve">96,1 </w:t>
      </w:r>
      <w:r w:rsidRPr="00D30847">
        <w:rPr>
          <w:rFonts w:eastAsia="MS PGothic" w:cs="Calibri"/>
          <w:color w:val="202124"/>
          <w:lang w:val="en-GB" w:eastAsia="zh-CN"/>
        </w:rPr>
        <w:t xml:space="preserve">% of the 2024 Budget, i.e. execution was higher by </w:t>
      </w:r>
      <w:r>
        <w:rPr>
          <w:rFonts w:eastAsia="MS PGothic" w:cs="Calibri"/>
          <w:color w:val="202124"/>
          <w:lang w:val="en-GB" w:eastAsia="zh-CN"/>
        </w:rPr>
        <w:t xml:space="preserve">9,4 </w:t>
      </w:r>
      <w:r w:rsidRPr="00D30847">
        <w:rPr>
          <w:rFonts w:eastAsia="MS PGothic" w:cs="Calibri"/>
          <w:color w:val="202124"/>
          <w:lang w:val="en-GB" w:eastAsia="zh-CN"/>
        </w:rPr>
        <w:t xml:space="preserve">% in relation to the last year. Within these frameworks, current expenditures amounted to Denar </w:t>
      </w:r>
      <w:r>
        <w:rPr>
          <w:rFonts w:eastAsia="MS PGothic" w:cs="Calibri"/>
          <w:color w:val="202124"/>
          <w:lang w:val="en-GB" w:eastAsia="zh-CN"/>
        </w:rPr>
        <w:t xml:space="preserve">319,9 </w:t>
      </w:r>
      <w:r w:rsidRPr="00D30847">
        <w:rPr>
          <w:rFonts w:eastAsia="MS PGothic" w:cs="Calibri"/>
          <w:color w:val="202124"/>
          <w:lang w:val="en-GB" w:eastAsia="zh-CN"/>
        </w:rPr>
        <w:t xml:space="preserve">billion or </w:t>
      </w:r>
      <w:r>
        <w:rPr>
          <w:rFonts w:eastAsia="MS PGothic" w:cs="Calibri"/>
          <w:color w:val="202124"/>
          <w:lang w:val="en-GB" w:eastAsia="zh-CN"/>
        </w:rPr>
        <w:t xml:space="preserve">98,3 </w:t>
      </w:r>
      <w:r w:rsidRPr="00D30847">
        <w:rPr>
          <w:rFonts w:eastAsia="MS PGothic" w:cs="Calibri"/>
          <w:color w:val="202124"/>
          <w:lang w:val="en-GB" w:eastAsia="zh-CN"/>
        </w:rPr>
        <w:t>% of the projections, i.e. by 16.</w:t>
      </w:r>
      <w:r>
        <w:rPr>
          <w:rFonts w:eastAsia="MS PGothic" w:cs="Calibri"/>
          <w:color w:val="202124"/>
          <w:lang w:val="en-GB" w:eastAsia="zh-CN"/>
        </w:rPr>
        <w:t xml:space="preserve">3 </w:t>
      </w:r>
      <w:r w:rsidRPr="00D30847">
        <w:rPr>
          <w:rFonts w:eastAsia="MS PGothic" w:cs="Calibri"/>
          <w:color w:val="202124"/>
          <w:lang w:val="en-GB" w:eastAsia="zh-CN"/>
        </w:rPr>
        <w:t xml:space="preserve">% more compared to 2023, and capital expenditures were executed in the amount of Denar </w:t>
      </w:r>
      <w:r>
        <w:rPr>
          <w:rFonts w:eastAsia="MS PGothic" w:cs="Calibri"/>
          <w:color w:val="202124"/>
          <w:lang w:val="en-GB" w:eastAsia="zh-CN"/>
        </w:rPr>
        <w:t xml:space="preserve">28,7 </w:t>
      </w:r>
      <w:r w:rsidRPr="00D30847">
        <w:rPr>
          <w:rFonts w:eastAsia="MS PGothic" w:cs="Calibri"/>
          <w:color w:val="202124"/>
          <w:lang w:val="en-GB" w:eastAsia="zh-CN"/>
        </w:rPr>
        <w:t>billion (</w:t>
      </w:r>
      <w:r>
        <w:rPr>
          <w:rFonts w:eastAsia="MS PGothic" w:cs="Calibri"/>
          <w:color w:val="202124"/>
          <w:lang w:val="en-GB" w:eastAsia="zh-CN"/>
        </w:rPr>
        <w:t xml:space="preserve">76,8 </w:t>
      </w:r>
      <w:r w:rsidRPr="00D30847">
        <w:rPr>
          <w:rFonts w:eastAsia="MS PGothic" w:cs="Calibri"/>
          <w:color w:val="202124"/>
          <w:lang w:val="en-GB" w:eastAsia="zh-CN"/>
        </w:rPr>
        <w:t xml:space="preserve">%), being lower by </w:t>
      </w:r>
      <w:r>
        <w:rPr>
          <w:rFonts w:eastAsia="MS PGothic" w:cs="Calibri"/>
          <w:color w:val="202124"/>
          <w:lang w:val="en-GB" w:eastAsia="zh-CN"/>
        </w:rPr>
        <w:t xml:space="preserve">34,1 </w:t>
      </w:r>
      <w:r w:rsidRPr="00D30847">
        <w:rPr>
          <w:rFonts w:eastAsia="MS PGothic" w:cs="Calibri"/>
          <w:color w:val="202124"/>
          <w:lang w:val="en-GB" w:eastAsia="zh-CN"/>
        </w:rPr>
        <w:t xml:space="preserve">% compared to the last year. </w:t>
      </w:r>
    </w:p>
    <w:p w14:paraId="7572987B" w14:textId="1AED46E5" w:rsidR="002F289A" w:rsidRPr="00D30847" w:rsidRDefault="002F289A" w:rsidP="002F289A">
      <w:pPr>
        <w:spacing w:before="240" w:line="240" w:lineRule="auto"/>
        <w:jc w:val="both"/>
        <w:rPr>
          <w:rFonts w:eastAsia="MS PGothic" w:cs="Calibri"/>
          <w:color w:val="202124"/>
          <w:lang w:val="en-GB" w:eastAsia="zh-CN"/>
        </w:rPr>
      </w:pPr>
      <w:r w:rsidRPr="00D30847">
        <w:rPr>
          <w:rFonts w:eastAsia="MS PGothic" w:cs="Calibri"/>
          <w:color w:val="202124"/>
          <w:lang w:val="en-GB" w:eastAsia="zh-CN"/>
        </w:rPr>
        <w:t xml:space="preserve">During this period, the State Budget deficit amounted to Denar </w:t>
      </w:r>
      <w:r>
        <w:rPr>
          <w:rFonts w:eastAsia="MS PGothic" w:cs="Calibri"/>
          <w:color w:val="202124"/>
          <w:lang w:val="en-GB" w:eastAsia="zh-CN"/>
        </w:rPr>
        <w:t xml:space="preserve">42,2 </w:t>
      </w:r>
      <w:r w:rsidRPr="00D30847">
        <w:rPr>
          <w:rFonts w:eastAsia="MS PGothic" w:cs="Calibri"/>
          <w:color w:val="202124"/>
          <w:lang w:val="en-GB" w:eastAsia="zh-CN"/>
        </w:rPr>
        <w:t xml:space="preserve">billion or </w:t>
      </w:r>
      <w:r>
        <w:rPr>
          <w:rFonts w:eastAsia="MS PGothic" w:cs="Calibri"/>
          <w:color w:val="202124"/>
          <w:lang w:val="en-GB" w:eastAsia="zh-CN"/>
        </w:rPr>
        <w:t xml:space="preserve">4,4 </w:t>
      </w:r>
      <w:r w:rsidRPr="00D30847">
        <w:rPr>
          <w:rFonts w:eastAsia="MS PGothic" w:cs="Calibri"/>
          <w:color w:val="202124"/>
          <w:lang w:val="en-GB" w:eastAsia="zh-CN"/>
        </w:rPr>
        <w:t xml:space="preserve">% compared to the GDP projected in 2024, while the primary budget deficit accounted for </w:t>
      </w:r>
      <w:r>
        <w:rPr>
          <w:rFonts w:eastAsia="MS PGothic" w:cs="Calibri"/>
          <w:color w:val="202124"/>
          <w:lang w:val="en-GB" w:eastAsia="zh-CN"/>
        </w:rPr>
        <w:t xml:space="preserve">2,5 </w:t>
      </w:r>
      <w:r w:rsidRPr="00D30847">
        <w:rPr>
          <w:rFonts w:eastAsia="MS PGothic" w:cs="Calibri"/>
          <w:color w:val="202124"/>
          <w:lang w:val="en-GB" w:eastAsia="zh-CN"/>
        </w:rPr>
        <w:t>%.</w:t>
      </w:r>
    </w:p>
    <w:p w14:paraId="4850AD08" w14:textId="77777777" w:rsidR="002F289A" w:rsidRPr="00D30847" w:rsidRDefault="002F289A" w:rsidP="002F289A">
      <w:pPr>
        <w:spacing w:before="240" w:line="240" w:lineRule="auto"/>
        <w:jc w:val="both"/>
        <w:rPr>
          <w:rFonts w:eastAsia="MS PGothic" w:cs="Calibri"/>
          <w:lang w:val="en-GB" w:eastAsia="zh-CN"/>
        </w:rPr>
      </w:pPr>
      <w:r w:rsidRPr="00D30847">
        <w:rPr>
          <w:rFonts w:eastAsia="Arial Narrow" w:cs="Calibri"/>
          <w:lang w:val="en-GB" w:eastAsia="mk-MK"/>
        </w:rPr>
        <w:t xml:space="preserve">On 30 December 2023, general government debt of the Republic of North Macedonia amounted to EUR 7,256.2million, i.e. 50.0% of GDP, while public debt, on 30 December 2023, amounted to EUR 8,476.8million, i.e. 58.4% of GDP.  </w:t>
      </w:r>
    </w:p>
    <w:p w14:paraId="5A0AD99B" w14:textId="77777777" w:rsidR="002F289A" w:rsidRPr="00D30847" w:rsidRDefault="002F289A" w:rsidP="002F289A">
      <w:pPr>
        <w:spacing w:before="240" w:line="240" w:lineRule="auto"/>
        <w:jc w:val="both"/>
        <w:rPr>
          <w:rFonts w:eastAsia="Arial Narrow" w:cs="Calibri"/>
          <w:lang w:val="en-GB" w:eastAsia="mk-MK"/>
        </w:rPr>
      </w:pPr>
      <w:r w:rsidRPr="00D30847">
        <w:rPr>
          <w:rFonts w:eastAsia="Arial Narrow" w:cs="Calibri"/>
          <w:lang w:val="en-GB" w:eastAsia="mk-MK"/>
        </w:rPr>
        <w:t>On 30</w:t>
      </w:r>
      <w:r w:rsidRPr="00D30847">
        <w:rPr>
          <w:rFonts w:eastAsia="Arial Narrow" w:cs="Calibri"/>
          <w:vertAlign w:val="superscript"/>
          <w:lang w:val="en-GB" w:eastAsia="mk-MK"/>
        </w:rPr>
        <w:t>th</w:t>
      </w:r>
      <w:r w:rsidRPr="00D30847">
        <w:rPr>
          <w:rFonts w:eastAsia="Arial Narrow" w:cs="Calibri"/>
          <w:lang w:val="en-GB" w:eastAsia="mk-MK"/>
        </w:rPr>
        <w:t xml:space="preserve"> September 2024, general government debt of the Republic of North Macedonia amounted to EUR </w:t>
      </w:r>
      <w:r w:rsidRPr="00D30847">
        <w:rPr>
          <w:rFonts w:eastAsia="Arial" w:cs="Calibri"/>
          <w:lang w:val="en-GB"/>
        </w:rPr>
        <w:t>7,659.8</w:t>
      </w:r>
      <w:r w:rsidRPr="00D30847">
        <w:rPr>
          <w:rFonts w:eastAsia="Arial Narrow" w:cs="Calibri"/>
          <w:lang w:val="en-GB" w:eastAsia="mk-MK"/>
        </w:rPr>
        <w:t xml:space="preserve"> million, i.e. </w:t>
      </w:r>
      <w:r w:rsidRPr="00D30847">
        <w:rPr>
          <w:rFonts w:eastAsia="Arial" w:cs="Calibri"/>
          <w:lang w:val="en-GB"/>
        </w:rPr>
        <w:t xml:space="preserve">49,3% </w:t>
      </w:r>
      <w:r w:rsidRPr="00D30847">
        <w:rPr>
          <w:rFonts w:eastAsia="Arial Narrow" w:cs="Calibri"/>
          <w:lang w:val="en-GB" w:eastAsia="mk-MK"/>
        </w:rPr>
        <w:t>of GDP, while public debt, on 30</w:t>
      </w:r>
      <w:r w:rsidRPr="00D30847">
        <w:rPr>
          <w:rFonts w:eastAsia="Arial Narrow" w:cs="Calibri"/>
          <w:vertAlign w:val="superscript"/>
          <w:lang w:val="en-GB" w:eastAsia="mk-MK"/>
        </w:rPr>
        <w:t>th</w:t>
      </w:r>
      <w:r w:rsidRPr="00D30847">
        <w:rPr>
          <w:rFonts w:eastAsia="Arial Narrow" w:cs="Calibri"/>
          <w:lang w:val="en-GB" w:eastAsia="mk-MK"/>
        </w:rPr>
        <w:t xml:space="preserve"> September 2024, amounted to EUR </w:t>
      </w:r>
      <w:r w:rsidRPr="00D30847">
        <w:rPr>
          <w:rFonts w:eastAsia="Arial" w:cs="Calibri"/>
          <w:lang w:val="en-GB"/>
        </w:rPr>
        <w:t xml:space="preserve">8,847.0 </w:t>
      </w:r>
      <w:r w:rsidRPr="00D30847">
        <w:rPr>
          <w:rFonts w:eastAsia="Arial Narrow" w:cs="Calibri"/>
          <w:lang w:val="en-GB" w:eastAsia="mk-MK"/>
        </w:rPr>
        <w:t xml:space="preserve">million, i.e. </w:t>
      </w:r>
      <w:r w:rsidRPr="00D30847">
        <w:rPr>
          <w:rFonts w:eastAsia="Arial" w:cs="Calibri"/>
          <w:lang w:val="en-GB"/>
        </w:rPr>
        <w:t xml:space="preserve">56,9% </w:t>
      </w:r>
      <w:r w:rsidRPr="00D30847">
        <w:rPr>
          <w:rFonts w:eastAsia="Arial Narrow" w:cs="Calibri"/>
          <w:lang w:val="en-GB" w:eastAsia="mk-MK"/>
        </w:rPr>
        <w:t>of GDP.</w:t>
      </w:r>
    </w:p>
    <w:p w14:paraId="30F34F73" w14:textId="7C21D48C" w:rsidR="00343DD0" w:rsidRPr="00D30847" w:rsidRDefault="00ED1634" w:rsidP="008B435E">
      <w:pPr>
        <w:spacing w:before="240" w:line="240" w:lineRule="auto"/>
        <w:jc w:val="both"/>
        <w:rPr>
          <w:rFonts w:eastAsia="MS PGothic" w:cs="Calibri"/>
          <w:b/>
          <w:color w:val="2E74B5"/>
          <w:lang w:val="en-GB" w:eastAsia="zh-CN"/>
        </w:rPr>
      </w:pPr>
      <w:r w:rsidRPr="00D30847">
        <w:rPr>
          <w:rFonts w:eastAsia="MS PGothic" w:cs="Calibri"/>
          <w:b/>
          <w:color w:val="2E74B5"/>
          <w:lang w:val="en-GB" w:eastAsia="zh-CN"/>
        </w:rPr>
        <w:t>Budget 2024</w:t>
      </w:r>
    </w:p>
    <w:p w14:paraId="2E966854" w14:textId="6687185F" w:rsidR="00ED1634" w:rsidRPr="00D30847" w:rsidRDefault="00ED1634" w:rsidP="008B435E">
      <w:pPr>
        <w:spacing w:before="240" w:line="240" w:lineRule="auto"/>
        <w:jc w:val="both"/>
        <w:rPr>
          <w:rFonts w:eastAsia="Arial Narrow" w:cs="Calibri"/>
          <w:lang w:val="en-GB" w:eastAsia="mk-MK"/>
        </w:rPr>
      </w:pPr>
      <w:r w:rsidRPr="00D30847">
        <w:rPr>
          <w:rFonts w:eastAsia="Arial Narrow" w:cs="Calibri"/>
          <w:lang w:val="en-GB" w:eastAsia="mk-MK"/>
        </w:rPr>
        <w:t xml:space="preserve">In 2024, the Republic of North Macedonia implemented a Supplementary Budget designed to revise the initial fiscal projections in response to macroeconomic developments observed in the first half of </w:t>
      </w:r>
      <w:r w:rsidRPr="00D30847">
        <w:rPr>
          <w:rFonts w:eastAsia="Arial Narrow" w:cs="Calibri"/>
          <w:lang w:val="en-GB" w:eastAsia="mk-MK"/>
        </w:rPr>
        <w:lastRenderedPageBreak/>
        <w:t>the year. The revision also involved reallocating budgetary expenditures to prioritize the most critical obligations, while optimizing financing strategies to address the budget deficit.</w:t>
      </w:r>
    </w:p>
    <w:p w14:paraId="5B2D1DD4" w14:textId="77777777" w:rsidR="00ED1634" w:rsidRPr="00D30847" w:rsidRDefault="00ED1634" w:rsidP="008B435E">
      <w:pPr>
        <w:spacing w:before="240" w:line="240" w:lineRule="auto"/>
        <w:jc w:val="both"/>
        <w:rPr>
          <w:rFonts w:eastAsia="Arial Narrow" w:cs="Calibri"/>
          <w:lang w:val="en-GB" w:eastAsia="mk-MK"/>
        </w:rPr>
      </w:pPr>
      <w:r w:rsidRPr="00D30847">
        <w:rPr>
          <w:rFonts w:eastAsia="Arial Narrow" w:cs="Calibri"/>
          <w:lang w:val="en-GB" w:eastAsia="mk-MK"/>
        </w:rPr>
        <w:t xml:space="preserve">The revised projections on the expenditure side reduced non-essential spending and projects with slower implementation dynamics, while at the same time providing funds for due legal obligations, as well as for the new Government policies for linear pension growth and local infrastructure projects. </w:t>
      </w:r>
    </w:p>
    <w:p w14:paraId="6CDE3A82" w14:textId="77777777" w:rsidR="00ED1634" w:rsidRPr="00D30847" w:rsidRDefault="00ED1634" w:rsidP="00343DD0">
      <w:pPr>
        <w:spacing w:line="240" w:lineRule="auto"/>
        <w:jc w:val="both"/>
        <w:rPr>
          <w:rFonts w:eastAsia="Arial Narrow" w:cs="Calibri"/>
          <w:lang w:val="en-GB" w:eastAsia="mk-MK"/>
        </w:rPr>
      </w:pPr>
      <w:r w:rsidRPr="00D30847">
        <w:rPr>
          <w:rFonts w:eastAsia="Arial Narrow" w:cs="Calibri"/>
          <w:lang w:val="en-GB" w:eastAsia="mk-MK"/>
        </w:rPr>
        <w:t xml:space="preserve">Total revenues were planned at a level of Denar 318.2 billion, or 2.6% higher, or about Denar 8 billion more than the initial projections in the 2024 plan. </w:t>
      </w:r>
    </w:p>
    <w:p w14:paraId="2A85F6F3" w14:textId="6046FF06" w:rsidR="00ED1634" w:rsidRDefault="00ED1634" w:rsidP="008B435E">
      <w:pPr>
        <w:spacing w:before="240" w:line="240" w:lineRule="auto"/>
        <w:jc w:val="both"/>
        <w:rPr>
          <w:rFonts w:eastAsia="Arial Narrow" w:cs="Calibri"/>
          <w:lang w:val="en-GB" w:eastAsia="mk-MK"/>
        </w:rPr>
      </w:pPr>
      <w:r w:rsidRPr="00D30847">
        <w:rPr>
          <w:rFonts w:eastAsia="Arial Narrow" w:cs="Calibri"/>
          <w:lang w:val="en-GB" w:eastAsia="mk-MK"/>
        </w:rPr>
        <w:t>Total expenditures were planned at a level of Denar 362.8 billion or higher by 5.6%, or about Denar 19.2 billion more than the initial projections in the 2024 plan. The revision and increase of the expenditure side was imposed by already undertaken commitments, which were not planned in the initial budget.</w:t>
      </w:r>
    </w:p>
    <w:p w14:paraId="0B8A05CE" w14:textId="77777777" w:rsidR="00A475BD" w:rsidRPr="009A1C68" w:rsidRDefault="00A475BD" w:rsidP="00A475BD">
      <w:pPr>
        <w:spacing w:before="240" w:line="240" w:lineRule="auto"/>
        <w:jc w:val="both"/>
        <w:rPr>
          <w:rFonts w:eastAsia="Arial Narrow" w:cs="Calibri"/>
          <w:lang w:val="en-GB" w:eastAsia="mk-MK"/>
        </w:rPr>
      </w:pPr>
      <w:r w:rsidRPr="009A1C68">
        <w:rPr>
          <w:rFonts w:eastAsia="Arial Narrow" w:cs="Calibri"/>
          <w:lang w:val="en-GB" w:eastAsia="mk-MK"/>
        </w:rPr>
        <w:t>During December, the Parliament of the Republic of North Macedonia adopted a Decision on the reallocation of funds between the budget users of the central government and between the funds, which aimed at changes in the expenditure side that were ultimately aimed at settling the obligations based on the already concluded contracts of the budget users, without changing the total amount of planned expenditures and revenues.</w:t>
      </w:r>
    </w:p>
    <w:p w14:paraId="03F4F632" w14:textId="01FCA1F2" w:rsidR="00E351AA" w:rsidRPr="00D30847" w:rsidRDefault="00CF2B56" w:rsidP="008B435E">
      <w:pPr>
        <w:spacing w:before="240" w:after="0" w:line="240" w:lineRule="auto"/>
        <w:jc w:val="both"/>
        <w:rPr>
          <w:rFonts w:eastAsia="MS PGothic" w:cs="Calibri"/>
          <w:b/>
          <w:color w:val="2E74B5"/>
          <w:lang w:val="en-GB" w:eastAsia="zh-CN"/>
        </w:rPr>
      </w:pPr>
      <w:bookmarkStart w:id="6" w:name="_Toc94534670"/>
      <w:bookmarkStart w:id="7" w:name="_Toc94534673"/>
      <w:bookmarkEnd w:id="5"/>
      <w:r w:rsidRPr="00D30847">
        <w:rPr>
          <w:rFonts w:eastAsia="MS PGothic" w:cs="Calibri"/>
          <w:b/>
          <w:color w:val="2E74B5"/>
          <w:lang w:val="en-GB" w:eastAsia="zh-CN"/>
        </w:rPr>
        <w:t xml:space="preserve">Policy strategy and medium-term </w:t>
      </w:r>
      <w:bookmarkEnd w:id="6"/>
      <w:r w:rsidR="00881767" w:rsidRPr="00D30847">
        <w:rPr>
          <w:rFonts w:eastAsia="MS PGothic" w:cs="Calibri"/>
          <w:b/>
          <w:color w:val="2E74B5"/>
          <w:lang w:val="en-GB" w:eastAsia="zh-CN"/>
        </w:rPr>
        <w:t>budgetary outlook</w:t>
      </w:r>
    </w:p>
    <w:p w14:paraId="63999A97" w14:textId="104A9105" w:rsidR="00ED1634" w:rsidRPr="00D30847" w:rsidRDefault="00ED1634" w:rsidP="008B435E">
      <w:pPr>
        <w:spacing w:before="240" w:after="0" w:line="240" w:lineRule="auto"/>
        <w:jc w:val="both"/>
        <w:rPr>
          <w:rFonts w:eastAsia="Arial Narrow" w:cs="Calibri"/>
          <w:lang w:val="en-GB" w:eastAsia="mk-MK"/>
        </w:rPr>
      </w:pPr>
      <w:r w:rsidRPr="00D30847">
        <w:rPr>
          <w:rFonts w:eastAsia="Arial Narrow" w:cs="Calibri"/>
          <w:lang w:val="en-GB" w:eastAsia="mk-MK"/>
        </w:rPr>
        <w:t>The Fiscal Strategy is a document that presents the assumptions for the macroeconomic projections and the fiscal policy guidelines for the current and the next five years. The basis for the preparation of the Fiscal Strategy of the Republic of North Macedonia 2025-2029 is the Fiscal Policy Statement 2024-2028, which the Government of the Republic of North Macedonia adopted in September 2024, in accordance with Article 12 of the Law on Budgets. The Fiscal Strategy contains the medium-term directions and objectives of the fiscal policy, the basic macroeconomic projections, the amounts for the main categories of estimated revenues and expenditures, as well as the projections for the budget deficit and debt.</w:t>
      </w:r>
      <w:r w:rsidR="00A754B7" w:rsidRPr="00D30847">
        <w:rPr>
          <w:rFonts w:eastAsia="Arial Narrow" w:cs="Calibri"/>
          <w:lang w:val="en-GB" w:eastAsia="mk-MK"/>
        </w:rPr>
        <w:t xml:space="preserve"> </w:t>
      </w:r>
      <w:r w:rsidRPr="00D30847">
        <w:rPr>
          <w:rFonts w:eastAsia="Arial Narrow" w:cs="Calibri"/>
          <w:lang w:val="en-GB" w:eastAsia="mk-MK"/>
        </w:rPr>
        <w:t>Fiscal policy in the period 2025-2029 will focus on improving macroeconomic stability and supporting economic activity through gradual fiscal consolidation, improving public finance management and maintaining a high level of capital expenditure. Fiscal consolidation measures will be taken in order to achieve a moderate level of indebtedness.</w:t>
      </w:r>
    </w:p>
    <w:p w14:paraId="16CC7550" w14:textId="60FBCAD0" w:rsidR="00ED1634" w:rsidRPr="00D30847" w:rsidRDefault="00ED1634" w:rsidP="008B435E">
      <w:pPr>
        <w:spacing w:before="240" w:after="0" w:line="240" w:lineRule="auto"/>
        <w:jc w:val="both"/>
        <w:rPr>
          <w:rFonts w:eastAsia="Arial Narrow" w:cs="Calibri"/>
          <w:lang w:val="en-GB" w:eastAsia="mk-MK"/>
        </w:rPr>
      </w:pPr>
      <w:r w:rsidRPr="00D30847">
        <w:rPr>
          <w:rFonts w:eastAsia="Arial Narrow" w:cs="Calibri"/>
          <w:lang w:val="en-GB" w:eastAsia="mk-MK"/>
        </w:rPr>
        <w:t xml:space="preserve">Key elements of fiscal policy during the mandate of the Government of the Republic of North Macedonia will </w:t>
      </w:r>
      <w:r w:rsidR="00AC5DE9" w:rsidRPr="00D30847">
        <w:rPr>
          <w:rFonts w:eastAsia="Arial Narrow" w:cs="Calibri"/>
          <w:lang w:val="en-GB" w:eastAsia="mk-MK"/>
        </w:rPr>
        <w:t>be disciplined</w:t>
      </w:r>
      <w:r w:rsidRPr="00D30847">
        <w:rPr>
          <w:rFonts w:eastAsia="Arial Narrow" w:cs="Calibri"/>
          <w:lang w:val="en-GB" w:eastAsia="mk-MK"/>
        </w:rPr>
        <w:t xml:space="preserve"> fiscal policy, reduction of the grey economy,</w:t>
      </w:r>
      <w:r w:rsidRPr="00D30847">
        <w:rPr>
          <w:lang w:val="en-GB"/>
        </w:rPr>
        <w:t xml:space="preserve"> </w:t>
      </w:r>
      <w:r w:rsidRPr="00D30847">
        <w:rPr>
          <w:rFonts w:eastAsia="Arial Narrow" w:cs="Calibri"/>
          <w:lang w:val="en-GB" w:eastAsia="mk-MK"/>
        </w:rPr>
        <w:t>increase state budget revenue, and continue fiscal consolidation efforts.</w:t>
      </w:r>
      <w:r w:rsidR="00A754B7" w:rsidRPr="00D30847">
        <w:rPr>
          <w:rFonts w:eastAsia="Arial Narrow" w:cs="Calibri"/>
          <w:lang w:val="en-GB" w:eastAsia="mk-MK"/>
        </w:rPr>
        <w:t xml:space="preserve"> </w:t>
      </w:r>
      <w:r w:rsidRPr="00D30847">
        <w:rPr>
          <w:rFonts w:eastAsia="Arial Narrow" w:cs="Calibri"/>
          <w:lang w:val="en-GB" w:eastAsia="mk-MK"/>
        </w:rPr>
        <w:t>In addition to the commitment to fiscal consolidation and budget savings, the economy will continue to be supported by investments in infrastructure projects, redesigning the structure of public finances by maintaining a high level of capital expenditure and strengthening transparency and accountability.</w:t>
      </w:r>
    </w:p>
    <w:p w14:paraId="3CBD4B77" w14:textId="77777777" w:rsidR="00ED1634" w:rsidRPr="00D30847" w:rsidRDefault="00ED1634" w:rsidP="008B435E">
      <w:pPr>
        <w:spacing w:before="240" w:after="0" w:line="240" w:lineRule="auto"/>
        <w:jc w:val="both"/>
        <w:rPr>
          <w:rFonts w:eastAsia="Arial Narrow" w:cs="Calibri"/>
          <w:lang w:val="en-GB" w:eastAsia="mk-MK"/>
        </w:rPr>
      </w:pPr>
      <w:r w:rsidRPr="00D30847">
        <w:rPr>
          <w:rFonts w:eastAsia="Arial Narrow" w:cs="Calibri"/>
          <w:lang w:val="en-GB" w:eastAsia="mk-MK"/>
        </w:rPr>
        <w:t xml:space="preserve">Over the medium-term, fiscal policy envisages gradual fiscal consolidation, thereby, budget deficit is reduced as a percentage share of GDP, as follows: 4.0% in 2025, 3.5% in 2026, 3.0% in 2027, 3.0% in 2028 and 2.8% in 2029. </w:t>
      </w:r>
    </w:p>
    <w:p w14:paraId="732E6232" w14:textId="76BC56DC" w:rsidR="00ED1634" w:rsidRPr="00D30847" w:rsidRDefault="00ED1634" w:rsidP="008B435E">
      <w:pPr>
        <w:spacing w:before="240" w:after="0" w:line="240" w:lineRule="auto"/>
        <w:jc w:val="both"/>
        <w:rPr>
          <w:rFonts w:eastAsia="MS PGothic" w:cs="Calibri"/>
          <w:color w:val="202124"/>
          <w:lang w:val="en-GB" w:eastAsia="zh-CN"/>
        </w:rPr>
      </w:pPr>
      <w:r w:rsidRPr="00D30847">
        <w:rPr>
          <w:rFonts w:eastAsia="MS PGothic" w:cs="Calibri"/>
          <w:color w:val="202124"/>
          <w:lang w:val="en-GB" w:eastAsia="zh-CN"/>
        </w:rPr>
        <w:t xml:space="preserve">The tax policy will be based on reducing the grey economy and increasing the collection of funds in the state budget, increased digitalization to reduce the grey economy and establish an efficient tax system, so that everyone can pay their tax obligations fairly and in a fair manner, as well as maintaining low tax rates, and at the same time a larger amount of funds for capital investments, tax exemptions, subsidies and incentives for the operation of the domestic private sector and citizens. The total revenues of the RSM Budget (central budget and funds) for the period 2025 - 2029 are planned at a level of about 36% of GDP. </w:t>
      </w:r>
      <w:r w:rsidRPr="00D30847">
        <w:rPr>
          <w:rFonts w:eastAsia="Arial Narrow" w:cs="Calibri"/>
          <w:lang w:val="en-GB" w:eastAsia="mk-MK"/>
        </w:rPr>
        <w:t>Over the medium-term</w:t>
      </w:r>
      <w:r w:rsidRPr="00D30847">
        <w:rPr>
          <w:rFonts w:eastAsia="MS PGothic" w:cs="Calibri"/>
          <w:color w:val="202124"/>
          <w:lang w:val="en-GB" w:eastAsia="zh-CN"/>
        </w:rPr>
        <w:t xml:space="preserve"> the revenue projections are prepared based on the realized revenues in previous years, the projections of macroeconomic indicators and the effects of </w:t>
      </w:r>
      <w:r w:rsidRPr="00D30847">
        <w:rPr>
          <w:rFonts w:eastAsia="MS PGothic" w:cs="Calibri"/>
          <w:color w:val="202124"/>
          <w:lang w:val="en-GB" w:eastAsia="zh-CN"/>
        </w:rPr>
        <w:lastRenderedPageBreak/>
        <w:t>the planned reforms in the tax sphere.</w:t>
      </w:r>
      <w:r w:rsidR="00A754B7" w:rsidRPr="00D30847">
        <w:rPr>
          <w:rFonts w:eastAsia="MS PGothic" w:cs="Calibri"/>
          <w:color w:val="202124"/>
          <w:lang w:val="en-GB" w:eastAsia="zh-CN"/>
        </w:rPr>
        <w:t xml:space="preserve"> </w:t>
      </w:r>
      <w:r w:rsidRPr="00D30847">
        <w:rPr>
          <w:rFonts w:eastAsia="MS PGothic" w:cs="Calibri"/>
          <w:color w:val="202124"/>
          <w:lang w:val="en-GB" w:eastAsia="zh-CN"/>
        </w:rPr>
        <w:t xml:space="preserve">The expenditure side of the Budget of the Republic of North Macedonia for the coming period is fully designed to achieve strategic priorities, economic revival of the country, promotion of the energy transition, stimulating strong economic growth, stable public finances, improving the overall transport infrastructure and increasing the living standard. The average share of total expenditures of the Budget of the Republic of North Macedonia in the period 2025 - 2029 is about 39.3% of GDP. </w:t>
      </w:r>
    </w:p>
    <w:p w14:paraId="557A191D" w14:textId="77777777" w:rsidR="00ED1634" w:rsidRPr="00D30847" w:rsidRDefault="00ED1634" w:rsidP="008B435E">
      <w:pPr>
        <w:spacing w:before="240" w:after="0" w:line="240" w:lineRule="auto"/>
        <w:jc w:val="both"/>
        <w:rPr>
          <w:rFonts w:eastAsia="MS PGothic" w:cs="Calibri"/>
          <w:color w:val="202124"/>
          <w:lang w:val="en-GB" w:eastAsia="zh-CN"/>
        </w:rPr>
      </w:pPr>
      <w:r w:rsidRPr="00D30847">
        <w:rPr>
          <w:rFonts w:eastAsia="MS PGothic" w:cs="Calibri"/>
          <w:color w:val="202124"/>
          <w:lang w:val="en-GB" w:eastAsia="zh-CN"/>
        </w:rPr>
        <w:t>When creating the medium-term fiscal framework, the existence of quality medium-term budget planning is of great importance. In this direction, it should be taken into account that in the coming period, medium-term fiscal projections are based on a medium-term baseline scenario, which means that the determination of fiscal projections results from the exercise of the competences of budget users defined in the existing legislation, the existing obligations and tasks, which are the result of already approved multi-year obligations, contracts and ongoing projects. Everything that is not covered by the baseline scenario and requires the provision of additional funds, the new financing is shown through new initiatives.</w:t>
      </w:r>
    </w:p>
    <w:p w14:paraId="48225E9A" w14:textId="77777777" w:rsidR="00ED1634" w:rsidRPr="00D30847" w:rsidRDefault="00ED1634" w:rsidP="00ED1634">
      <w:pPr>
        <w:spacing w:before="120" w:after="0" w:line="240" w:lineRule="auto"/>
        <w:jc w:val="both"/>
        <w:rPr>
          <w:rFonts w:eastAsia="MS PGothic" w:cs="Calibri"/>
          <w:color w:val="202124"/>
          <w:lang w:val="en-GB" w:eastAsia="zh-CN"/>
        </w:rPr>
      </w:pPr>
      <w:r w:rsidRPr="00D30847">
        <w:rPr>
          <w:rFonts w:eastAsia="MS PGothic" w:cs="Calibri"/>
          <w:color w:val="202124"/>
          <w:lang w:val="en-GB" w:eastAsia="zh-CN"/>
        </w:rPr>
        <w:t>The medium-term fiscal projections have a strong development component, with a significant share of capital expenditures of around 5% of GDP annually and represent key elements of public finances.</w:t>
      </w:r>
    </w:p>
    <w:p w14:paraId="69941774" w14:textId="77777777" w:rsidR="00ED1634" w:rsidRPr="00D30847" w:rsidRDefault="00ED1634" w:rsidP="00ED1634">
      <w:pPr>
        <w:spacing w:before="120" w:after="0" w:line="240" w:lineRule="auto"/>
        <w:jc w:val="both"/>
        <w:rPr>
          <w:rFonts w:eastAsia="MS PGothic" w:cs="Calibri"/>
          <w:color w:val="202124"/>
          <w:lang w:val="en-GB" w:eastAsia="zh-CN"/>
        </w:rPr>
      </w:pPr>
      <w:r w:rsidRPr="00D30847">
        <w:rPr>
          <w:rFonts w:eastAsia="MS PGothic" w:cs="Calibri"/>
          <w:color w:val="202124"/>
          <w:lang w:val="en-GB" w:eastAsia="zh-CN"/>
        </w:rPr>
        <w:t>Fiscal policy in the period 2025-2029 will be aimed at creating the prerequisites for a new cycle of economic growth by ensuring a significant level of public investments, which are the basis for improving economic prospects, as well as a better life for citizens.</w:t>
      </w:r>
    </w:p>
    <w:p w14:paraId="7154B15A" w14:textId="77777777" w:rsidR="00ED1634" w:rsidRPr="00D30847" w:rsidRDefault="00ED1634" w:rsidP="00ED1634">
      <w:pPr>
        <w:spacing w:before="120" w:after="0" w:line="240" w:lineRule="auto"/>
        <w:jc w:val="both"/>
        <w:rPr>
          <w:rFonts w:eastAsia="MS PGothic" w:cs="Calibri"/>
          <w:color w:val="202124"/>
          <w:lang w:val="en-GB" w:eastAsia="zh-CN"/>
        </w:rPr>
      </w:pPr>
      <w:r w:rsidRPr="00D30847">
        <w:rPr>
          <w:rFonts w:eastAsia="MS PGothic" w:cs="Calibri"/>
          <w:color w:val="202124"/>
          <w:lang w:val="en-GB" w:eastAsia="zh-CN"/>
        </w:rPr>
        <w:t>In order to ensure sustainable and inclusive growth, in accordance with the priorities of the Program of the Government of the Republic of North Macedonia, the Government will focus on the implementation of capital investments exclusively for productive projects: infrastructure and energy projects that will serve the business sector, capital projects of communal and other local infrastructure to improve the general living conditions of citizens (improving conditions in the health, education and social systems, agriculture and environmental protection), strategic planning of large infrastructure projects, as well as an increased amount of capital investments with a significantly improved structure and a significant amount of funds as capital transfers to municipalities.</w:t>
      </w:r>
    </w:p>
    <w:p w14:paraId="71F10C08" w14:textId="096350A3" w:rsidR="00C63C13" w:rsidRPr="00D30847" w:rsidRDefault="00C63C13" w:rsidP="00C63C13">
      <w:pPr>
        <w:shd w:val="clear" w:color="auto" w:fill="FFFFFF"/>
        <w:tabs>
          <w:tab w:val="left" w:pos="0"/>
          <w:tab w:val="left" w:pos="3481"/>
          <w:tab w:val="center" w:pos="4677"/>
          <w:tab w:val="right" w:pos="9356"/>
        </w:tabs>
        <w:spacing w:after="0" w:line="240" w:lineRule="auto"/>
        <w:jc w:val="both"/>
        <w:rPr>
          <w:lang w:val="en-GB"/>
        </w:rPr>
      </w:pPr>
    </w:p>
    <w:p w14:paraId="48207245" w14:textId="7203709B" w:rsidR="00B10FB1" w:rsidRPr="00D30847" w:rsidRDefault="00B10FB1" w:rsidP="00015266">
      <w:pPr>
        <w:shd w:val="clear" w:color="auto" w:fill="FFFFFF"/>
        <w:tabs>
          <w:tab w:val="left" w:pos="0"/>
          <w:tab w:val="left" w:pos="3481"/>
          <w:tab w:val="center" w:pos="4677"/>
          <w:tab w:val="right" w:pos="9356"/>
        </w:tabs>
        <w:spacing w:after="0" w:line="240" w:lineRule="auto"/>
        <w:jc w:val="both"/>
        <w:rPr>
          <w:lang w:val="en-GB"/>
        </w:rPr>
      </w:pPr>
      <w:r w:rsidRPr="00D30847">
        <w:rPr>
          <w:rFonts w:eastAsia="Arial Narrow" w:cs="Calibri"/>
          <w:b/>
          <w:color w:val="000000"/>
          <w:sz w:val="18"/>
          <w:szCs w:val="18"/>
          <w:lang w:val="en-GB" w:eastAsia="mk-MK"/>
        </w:rPr>
        <w:t>Table 1. 202</w:t>
      </w:r>
      <w:r w:rsidR="00ED1634" w:rsidRPr="00D30847">
        <w:rPr>
          <w:rFonts w:eastAsia="Arial Narrow" w:cs="Calibri"/>
          <w:b/>
          <w:color w:val="000000"/>
          <w:sz w:val="18"/>
          <w:szCs w:val="18"/>
          <w:lang w:val="en-GB" w:eastAsia="mk-MK"/>
        </w:rPr>
        <w:t>3</w:t>
      </w:r>
      <w:r w:rsidRPr="00D30847">
        <w:rPr>
          <w:rFonts w:eastAsia="Arial Narrow" w:cs="Calibri"/>
          <w:b/>
          <w:color w:val="000000"/>
          <w:sz w:val="18"/>
          <w:szCs w:val="18"/>
          <w:lang w:val="en-GB" w:eastAsia="mk-MK"/>
        </w:rPr>
        <w:t>-202</w:t>
      </w:r>
      <w:r w:rsidR="00ED1634" w:rsidRPr="00D30847">
        <w:rPr>
          <w:rFonts w:eastAsia="Arial Narrow" w:cs="Calibri"/>
          <w:b/>
          <w:color w:val="000000"/>
          <w:sz w:val="18"/>
          <w:szCs w:val="18"/>
          <w:lang w:val="en-GB" w:eastAsia="mk-MK"/>
        </w:rPr>
        <w:t>9</w:t>
      </w:r>
      <w:r w:rsidRPr="00D30847">
        <w:rPr>
          <w:rFonts w:eastAsia="Arial Narrow" w:cs="Calibri"/>
          <w:b/>
          <w:color w:val="000000"/>
          <w:sz w:val="18"/>
          <w:szCs w:val="18"/>
          <w:lang w:val="en-GB" w:eastAsia="mk-MK"/>
        </w:rPr>
        <w:t xml:space="preserve"> Budget of the Republic of North Macedonia (Denar million)</w:t>
      </w:r>
    </w:p>
    <w:p w14:paraId="1FCCAF97" w14:textId="77777777" w:rsidR="00B10FB1" w:rsidRPr="00D30847" w:rsidRDefault="00B10FB1" w:rsidP="00B10FB1">
      <w:pPr>
        <w:pBdr>
          <w:top w:val="nil"/>
          <w:left w:val="nil"/>
          <w:bottom w:val="nil"/>
          <w:right w:val="nil"/>
          <w:between w:val="nil"/>
        </w:pBdr>
        <w:tabs>
          <w:tab w:val="left" w:pos="850"/>
          <w:tab w:val="left" w:pos="1191"/>
          <w:tab w:val="left" w:pos="1531"/>
        </w:tabs>
        <w:spacing w:before="120" w:after="0" w:line="240" w:lineRule="auto"/>
        <w:jc w:val="both"/>
        <w:rPr>
          <w:rFonts w:eastAsia="Arial Narrow" w:cs="Calibri"/>
          <w:b/>
          <w:color w:val="000000"/>
          <w:sz w:val="18"/>
          <w:szCs w:val="18"/>
          <w:lang w:val="en-GB" w:eastAsia="mk-MK"/>
        </w:rPr>
      </w:pPr>
    </w:p>
    <w:tbl>
      <w:tblPr>
        <w:tblW w:w="10860" w:type="dxa"/>
        <w:tblLook w:val="04A0" w:firstRow="1" w:lastRow="0" w:firstColumn="1" w:lastColumn="0" w:noHBand="0" w:noVBand="1"/>
      </w:tblPr>
      <w:tblGrid>
        <w:gridCol w:w="2681"/>
        <w:gridCol w:w="845"/>
        <w:gridCol w:w="845"/>
        <w:gridCol w:w="809"/>
        <w:gridCol w:w="809"/>
        <w:gridCol w:w="809"/>
        <w:gridCol w:w="809"/>
        <w:gridCol w:w="809"/>
        <w:gridCol w:w="809"/>
        <w:gridCol w:w="271"/>
        <w:gridCol w:w="273"/>
        <w:gridCol w:w="273"/>
        <w:gridCol w:w="273"/>
        <w:gridCol w:w="273"/>
        <w:gridCol w:w="272"/>
      </w:tblGrid>
      <w:tr w:rsidR="00ED1634" w:rsidRPr="00D30847" w14:paraId="1282796A" w14:textId="77777777" w:rsidTr="00EE7A4D">
        <w:trPr>
          <w:gridAfter w:val="6"/>
          <w:wAfter w:w="2208" w:type="dxa"/>
          <w:trHeight w:val="765"/>
        </w:trPr>
        <w:tc>
          <w:tcPr>
            <w:tcW w:w="2681" w:type="dxa"/>
            <w:tcBorders>
              <w:top w:val="single" w:sz="8" w:space="0" w:color="auto"/>
              <w:left w:val="nil"/>
              <w:bottom w:val="single" w:sz="4" w:space="0" w:color="auto"/>
              <w:right w:val="single" w:sz="4" w:space="0" w:color="auto"/>
            </w:tcBorders>
            <w:shd w:val="clear" w:color="000000" w:fill="FFFFFF"/>
            <w:noWrap/>
            <w:hideMark/>
          </w:tcPr>
          <w:p w14:paraId="0F0A97D2" w14:textId="77777777" w:rsidR="00ED1634" w:rsidRPr="00D30847" w:rsidRDefault="00ED1634" w:rsidP="00EE7A4D">
            <w:pPr>
              <w:spacing w:after="0" w:line="240" w:lineRule="auto"/>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 </w:t>
            </w:r>
          </w:p>
        </w:tc>
        <w:tc>
          <w:tcPr>
            <w:tcW w:w="741" w:type="dxa"/>
            <w:tcBorders>
              <w:top w:val="single" w:sz="8" w:space="0" w:color="auto"/>
              <w:left w:val="nil"/>
              <w:bottom w:val="single" w:sz="4" w:space="0" w:color="auto"/>
              <w:right w:val="nil"/>
            </w:tcBorders>
            <w:shd w:val="clear" w:color="000000" w:fill="FFFFFF"/>
            <w:hideMark/>
          </w:tcPr>
          <w:p w14:paraId="246EFD53"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Final account 2022</w:t>
            </w:r>
          </w:p>
        </w:tc>
        <w:tc>
          <w:tcPr>
            <w:tcW w:w="741" w:type="dxa"/>
            <w:tcBorders>
              <w:top w:val="single" w:sz="8" w:space="0" w:color="auto"/>
              <w:left w:val="nil"/>
              <w:bottom w:val="single" w:sz="4" w:space="0" w:color="auto"/>
              <w:right w:val="nil"/>
            </w:tcBorders>
            <w:shd w:val="clear" w:color="000000" w:fill="FFFFFF"/>
            <w:hideMark/>
          </w:tcPr>
          <w:p w14:paraId="50F92F2B"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Final account 2023</w:t>
            </w:r>
          </w:p>
        </w:tc>
        <w:tc>
          <w:tcPr>
            <w:tcW w:w="698" w:type="dxa"/>
            <w:tcBorders>
              <w:top w:val="single" w:sz="8" w:space="0" w:color="auto"/>
              <w:left w:val="nil"/>
              <w:bottom w:val="single" w:sz="4" w:space="0" w:color="auto"/>
              <w:right w:val="nil"/>
            </w:tcBorders>
            <w:shd w:val="clear" w:color="000000" w:fill="FFFFFF"/>
            <w:hideMark/>
          </w:tcPr>
          <w:p w14:paraId="0293728C"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2024</w:t>
            </w:r>
          </w:p>
        </w:tc>
        <w:tc>
          <w:tcPr>
            <w:tcW w:w="775" w:type="dxa"/>
            <w:tcBorders>
              <w:top w:val="single" w:sz="8" w:space="0" w:color="auto"/>
              <w:left w:val="nil"/>
              <w:bottom w:val="single" w:sz="4" w:space="0" w:color="auto"/>
              <w:right w:val="nil"/>
            </w:tcBorders>
            <w:shd w:val="clear" w:color="000000" w:fill="FFFFFF"/>
            <w:hideMark/>
          </w:tcPr>
          <w:p w14:paraId="6D9E03E1"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2025*</w:t>
            </w:r>
          </w:p>
        </w:tc>
        <w:tc>
          <w:tcPr>
            <w:tcW w:w="769" w:type="dxa"/>
            <w:tcBorders>
              <w:top w:val="single" w:sz="8" w:space="0" w:color="auto"/>
              <w:left w:val="nil"/>
              <w:bottom w:val="single" w:sz="4" w:space="0" w:color="auto"/>
              <w:right w:val="nil"/>
            </w:tcBorders>
            <w:shd w:val="clear" w:color="000000" w:fill="FFFFFF"/>
            <w:hideMark/>
          </w:tcPr>
          <w:p w14:paraId="6207B038"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2026*</w:t>
            </w:r>
          </w:p>
        </w:tc>
        <w:tc>
          <w:tcPr>
            <w:tcW w:w="751" w:type="dxa"/>
            <w:tcBorders>
              <w:top w:val="single" w:sz="8" w:space="0" w:color="auto"/>
              <w:left w:val="nil"/>
              <w:bottom w:val="single" w:sz="4" w:space="0" w:color="auto"/>
              <w:right w:val="nil"/>
            </w:tcBorders>
            <w:shd w:val="clear" w:color="000000" w:fill="FFFFFF"/>
            <w:hideMark/>
          </w:tcPr>
          <w:p w14:paraId="5C00513F"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2027*</w:t>
            </w:r>
          </w:p>
        </w:tc>
        <w:tc>
          <w:tcPr>
            <w:tcW w:w="751" w:type="dxa"/>
            <w:tcBorders>
              <w:top w:val="single" w:sz="8" w:space="0" w:color="auto"/>
              <w:left w:val="nil"/>
              <w:bottom w:val="single" w:sz="4" w:space="0" w:color="auto"/>
              <w:right w:val="nil"/>
            </w:tcBorders>
            <w:shd w:val="clear" w:color="000000" w:fill="FFFFFF"/>
            <w:hideMark/>
          </w:tcPr>
          <w:p w14:paraId="1339D63A"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2028*</w:t>
            </w:r>
          </w:p>
        </w:tc>
        <w:tc>
          <w:tcPr>
            <w:tcW w:w="745" w:type="dxa"/>
            <w:tcBorders>
              <w:top w:val="single" w:sz="8" w:space="0" w:color="auto"/>
              <w:left w:val="nil"/>
              <w:bottom w:val="single" w:sz="4" w:space="0" w:color="auto"/>
              <w:right w:val="nil"/>
            </w:tcBorders>
            <w:shd w:val="clear" w:color="000000" w:fill="FFFFFF"/>
            <w:hideMark/>
          </w:tcPr>
          <w:p w14:paraId="2CDC179C"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2029*</w:t>
            </w:r>
          </w:p>
        </w:tc>
      </w:tr>
      <w:tr w:rsidR="00ED1634" w:rsidRPr="00D30847" w14:paraId="66AE9543" w14:textId="77777777" w:rsidTr="00EE7A4D">
        <w:trPr>
          <w:gridAfter w:val="6"/>
          <w:wAfter w:w="2208" w:type="dxa"/>
          <w:trHeight w:val="345"/>
        </w:trPr>
        <w:tc>
          <w:tcPr>
            <w:tcW w:w="2681" w:type="dxa"/>
            <w:tcBorders>
              <w:top w:val="nil"/>
              <w:left w:val="nil"/>
              <w:bottom w:val="nil"/>
              <w:right w:val="single" w:sz="4" w:space="0" w:color="auto"/>
            </w:tcBorders>
            <w:shd w:val="clear" w:color="000000" w:fill="FFFFFF"/>
            <w:noWrap/>
            <w:hideMark/>
          </w:tcPr>
          <w:p w14:paraId="3278A4C3" w14:textId="77777777" w:rsidR="00ED1634" w:rsidRPr="00D30847" w:rsidRDefault="00ED1634" w:rsidP="00EE7A4D">
            <w:pPr>
              <w:spacing w:after="0" w:line="240" w:lineRule="auto"/>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Total revenues</w:t>
            </w:r>
          </w:p>
        </w:tc>
        <w:tc>
          <w:tcPr>
            <w:tcW w:w="741" w:type="dxa"/>
            <w:tcBorders>
              <w:top w:val="nil"/>
              <w:left w:val="nil"/>
              <w:bottom w:val="nil"/>
              <w:right w:val="nil"/>
            </w:tcBorders>
            <w:shd w:val="clear" w:color="000000" w:fill="FFFFFF"/>
            <w:hideMark/>
          </w:tcPr>
          <w:p w14:paraId="59558ABB"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243.085</w:t>
            </w:r>
          </w:p>
        </w:tc>
        <w:tc>
          <w:tcPr>
            <w:tcW w:w="741" w:type="dxa"/>
            <w:tcBorders>
              <w:top w:val="nil"/>
              <w:left w:val="nil"/>
              <w:bottom w:val="nil"/>
              <w:right w:val="nil"/>
            </w:tcBorders>
            <w:shd w:val="clear" w:color="000000" w:fill="FFFFFF"/>
            <w:hideMark/>
          </w:tcPr>
          <w:p w14:paraId="41B8031F"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277.129</w:t>
            </w:r>
          </w:p>
        </w:tc>
        <w:tc>
          <w:tcPr>
            <w:tcW w:w="698" w:type="dxa"/>
            <w:tcBorders>
              <w:top w:val="nil"/>
              <w:left w:val="nil"/>
              <w:bottom w:val="nil"/>
              <w:right w:val="nil"/>
            </w:tcBorders>
            <w:shd w:val="clear" w:color="000000" w:fill="FFFFFF"/>
            <w:hideMark/>
          </w:tcPr>
          <w:p w14:paraId="4B5C9846"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318.151</w:t>
            </w:r>
          </w:p>
        </w:tc>
        <w:tc>
          <w:tcPr>
            <w:tcW w:w="775" w:type="dxa"/>
            <w:tcBorders>
              <w:top w:val="nil"/>
              <w:left w:val="nil"/>
              <w:bottom w:val="nil"/>
              <w:right w:val="nil"/>
            </w:tcBorders>
            <w:shd w:val="clear" w:color="000000" w:fill="FFFFFF"/>
            <w:hideMark/>
          </w:tcPr>
          <w:p w14:paraId="3A4A915E"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348.553</w:t>
            </w:r>
          </w:p>
        </w:tc>
        <w:tc>
          <w:tcPr>
            <w:tcW w:w="769" w:type="dxa"/>
            <w:tcBorders>
              <w:top w:val="nil"/>
              <w:left w:val="nil"/>
              <w:bottom w:val="nil"/>
              <w:right w:val="nil"/>
            </w:tcBorders>
            <w:shd w:val="clear" w:color="000000" w:fill="FFFFFF"/>
            <w:hideMark/>
          </w:tcPr>
          <w:p w14:paraId="59B7981E"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376.121</w:t>
            </w:r>
          </w:p>
        </w:tc>
        <w:tc>
          <w:tcPr>
            <w:tcW w:w="751" w:type="dxa"/>
            <w:tcBorders>
              <w:top w:val="nil"/>
              <w:left w:val="nil"/>
              <w:bottom w:val="nil"/>
              <w:right w:val="nil"/>
            </w:tcBorders>
            <w:shd w:val="clear" w:color="000000" w:fill="FFFFFF"/>
            <w:hideMark/>
          </w:tcPr>
          <w:p w14:paraId="73538FFC"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405.219</w:t>
            </w:r>
          </w:p>
        </w:tc>
        <w:tc>
          <w:tcPr>
            <w:tcW w:w="751" w:type="dxa"/>
            <w:tcBorders>
              <w:top w:val="nil"/>
              <w:left w:val="nil"/>
              <w:bottom w:val="nil"/>
              <w:right w:val="nil"/>
            </w:tcBorders>
            <w:shd w:val="clear" w:color="000000" w:fill="FFFFFF"/>
            <w:hideMark/>
          </w:tcPr>
          <w:p w14:paraId="67C7B5A0"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437.230</w:t>
            </w:r>
          </w:p>
        </w:tc>
        <w:tc>
          <w:tcPr>
            <w:tcW w:w="745" w:type="dxa"/>
            <w:tcBorders>
              <w:top w:val="nil"/>
              <w:left w:val="nil"/>
              <w:bottom w:val="nil"/>
              <w:right w:val="nil"/>
            </w:tcBorders>
            <w:shd w:val="clear" w:color="000000" w:fill="FFFFFF"/>
            <w:hideMark/>
          </w:tcPr>
          <w:p w14:paraId="738F975C"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471.785</w:t>
            </w:r>
          </w:p>
        </w:tc>
      </w:tr>
      <w:tr w:rsidR="00ED1634" w:rsidRPr="00D30847" w14:paraId="43220327"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hideMark/>
          </w:tcPr>
          <w:p w14:paraId="52A11A75" w14:textId="77777777" w:rsidR="00ED1634" w:rsidRPr="00D30847" w:rsidRDefault="00ED1634" w:rsidP="00EE7A4D">
            <w:pPr>
              <w:spacing w:after="0" w:line="240" w:lineRule="auto"/>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 xml:space="preserve"> Tax revenues and contributions</w:t>
            </w:r>
          </w:p>
        </w:tc>
        <w:tc>
          <w:tcPr>
            <w:tcW w:w="741" w:type="dxa"/>
            <w:tcBorders>
              <w:top w:val="nil"/>
              <w:left w:val="nil"/>
              <w:bottom w:val="nil"/>
              <w:right w:val="nil"/>
            </w:tcBorders>
            <w:shd w:val="clear" w:color="000000" w:fill="FFFFFF"/>
            <w:noWrap/>
            <w:vAlign w:val="bottom"/>
            <w:hideMark/>
          </w:tcPr>
          <w:p w14:paraId="0980E2A8"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220.186</w:t>
            </w:r>
          </w:p>
        </w:tc>
        <w:tc>
          <w:tcPr>
            <w:tcW w:w="741" w:type="dxa"/>
            <w:tcBorders>
              <w:top w:val="nil"/>
              <w:left w:val="nil"/>
              <w:bottom w:val="nil"/>
              <w:right w:val="nil"/>
            </w:tcBorders>
            <w:shd w:val="clear" w:color="000000" w:fill="FFFFFF"/>
            <w:noWrap/>
            <w:vAlign w:val="bottom"/>
            <w:hideMark/>
          </w:tcPr>
          <w:p w14:paraId="30840CF1"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250.355</w:t>
            </w:r>
          </w:p>
        </w:tc>
        <w:tc>
          <w:tcPr>
            <w:tcW w:w="698" w:type="dxa"/>
            <w:tcBorders>
              <w:top w:val="nil"/>
              <w:left w:val="nil"/>
              <w:bottom w:val="nil"/>
              <w:right w:val="nil"/>
            </w:tcBorders>
            <w:shd w:val="clear" w:color="000000" w:fill="FFFFFF"/>
            <w:noWrap/>
            <w:vAlign w:val="bottom"/>
            <w:hideMark/>
          </w:tcPr>
          <w:p w14:paraId="54F13F15"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284.469</w:t>
            </w:r>
          </w:p>
        </w:tc>
        <w:tc>
          <w:tcPr>
            <w:tcW w:w="775" w:type="dxa"/>
            <w:tcBorders>
              <w:top w:val="nil"/>
              <w:left w:val="nil"/>
              <w:bottom w:val="nil"/>
              <w:right w:val="nil"/>
            </w:tcBorders>
            <w:shd w:val="clear" w:color="000000" w:fill="FFFFFF"/>
            <w:noWrap/>
            <w:vAlign w:val="bottom"/>
            <w:hideMark/>
          </w:tcPr>
          <w:p w14:paraId="460DF80C"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311.134</w:t>
            </w:r>
          </w:p>
        </w:tc>
        <w:tc>
          <w:tcPr>
            <w:tcW w:w="769" w:type="dxa"/>
            <w:tcBorders>
              <w:top w:val="nil"/>
              <w:left w:val="nil"/>
              <w:bottom w:val="nil"/>
              <w:right w:val="nil"/>
            </w:tcBorders>
            <w:shd w:val="clear" w:color="000000" w:fill="FFFFFF"/>
            <w:noWrap/>
            <w:vAlign w:val="bottom"/>
            <w:hideMark/>
          </w:tcPr>
          <w:p w14:paraId="20F1C206"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339.537</w:t>
            </w:r>
          </w:p>
        </w:tc>
        <w:tc>
          <w:tcPr>
            <w:tcW w:w="751" w:type="dxa"/>
            <w:tcBorders>
              <w:top w:val="nil"/>
              <w:left w:val="nil"/>
              <w:bottom w:val="nil"/>
              <w:right w:val="nil"/>
            </w:tcBorders>
            <w:shd w:val="clear" w:color="000000" w:fill="FFFFFF"/>
            <w:noWrap/>
            <w:vAlign w:val="bottom"/>
            <w:hideMark/>
          </w:tcPr>
          <w:p w14:paraId="75AD159A"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367.211</w:t>
            </w:r>
          </w:p>
        </w:tc>
        <w:tc>
          <w:tcPr>
            <w:tcW w:w="751" w:type="dxa"/>
            <w:tcBorders>
              <w:top w:val="nil"/>
              <w:left w:val="nil"/>
              <w:bottom w:val="nil"/>
              <w:right w:val="nil"/>
            </w:tcBorders>
            <w:shd w:val="clear" w:color="000000" w:fill="FFFFFF"/>
            <w:noWrap/>
            <w:vAlign w:val="bottom"/>
            <w:hideMark/>
          </w:tcPr>
          <w:p w14:paraId="0C22A258"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399.772</w:t>
            </w:r>
          </w:p>
        </w:tc>
        <w:tc>
          <w:tcPr>
            <w:tcW w:w="745" w:type="dxa"/>
            <w:tcBorders>
              <w:top w:val="nil"/>
              <w:left w:val="nil"/>
              <w:bottom w:val="nil"/>
              <w:right w:val="nil"/>
            </w:tcBorders>
            <w:shd w:val="clear" w:color="000000" w:fill="FFFFFF"/>
            <w:noWrap/>
            <w:vAlign w:val="bottom"/>
            <w:hideMark/>
          </w:tcPr>
          <w:p w14:paraId="27BAC4F0"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433.936</w:t>
            </w:r>
          </w:p>
        </w:tc>
      </w:tr>
      <w:tr w:rsidR="00ED1634" w:rsidRPr="00D30847" w14:paraId="59814E8E"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hideMark/>
          </w:tcPr>
          <w:p w14:paraId="0ADFD274" w14:textId="77777777" w:rsidR="00ED1634" w:rsidRPr="00D30847" w:rsidRDefault="00ED1634" w:rsidP="00EE7A4D">
            <w:pPr>
              <w:spacing w:after="0" w:line="240" w:lineRule="auto"/>
              <w:ind w:firstLineChars="100" w:firstLine="200"/>
              <w:rPr>
                <w:rFonts w:ascii="Arial Narrow" w:eastAsia="Times New Roman" w:hAnsi="Arial Narrow"/>
                <w:sz w:val="20"/>
                <w:szCs w:val="20"/>
                <w:lang w:val="en-GB"/>
              </w:rPr>
            </w:pPr>
            <w:r w:rsidRPr="00D30847">
              <w:rPr>
                <w:rFonts w:ascii="Arial Narrow" w:eastAsia="Times New Roman" w:hAnsi="Arial Narrow"/>
                <w:sz w:val="20"/>
                <w:szCs w:val="20"/>
                <w:lang w:val="en-GB"/>
              </w:rPr>
              <w:t xml:space="preserve"> Tax revenues</w:t>
            </w:r>
          </w:p>
        </w:tc>
        <w:tc>
          <w:tcPr>
            <w:tcW w:w="741" w:type="dxa"/>
            <w:tcBorders>
              <w:top w:val="nil"/>
              <w:left w:val="nil"/>
              <w:bottom w:val="nil"/>
              <w:right w:val="nil"/>
            </w:tcBorders>
            <w:shd w:val="clear" w:color="000000" w:fill="FFFFFF"/>
            <w:noWrap/>
            <w:vAlign w:val="bottom"/>
            <w:hideMark/>
          </w:tcPr>
          <w:p w14:paraId="4799531A"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142.567</w:t>
            </w:r>
          </w:p>
        </w:tc>
        <w:tc>
          <w:tcPr>
            <w:tcW w:w="741" w:type="dxa"/>
            <w:tcBorders>
              <w:top w:val="nil"/>
              <w:left w:val="nil"/>
              <w:bottom w:val="nil"/>
              <w:right w:val="nil"/>
            </w:tcBorders>
            <w:shd w:val="clear" w:color="000000" w:fill="FFFFFF"/>
            <w:noWrap/>
            <w:vAlign w:val="bottom"/>
            <w:hideMark/>
          </w:tcPr>
          <w:p w14:paraId="6015F7AB"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157.733</w:t>
            </w:r>
          </w:p>
        </w:tc>
        <w:tc>
          <w:tcPr>
            <w:tcW w:w="698" w:type="dxa"/>
            <w:tcBorders>
              <w:top w:val="nil"/>
              <w:left w:val="nil"/>
              <w:bottom w:val="nil"/>
              <w:right w:val="nil"/>
            </w:tcBorders>
            <w:shd w:val="clear" w:color="000000" w:fill="FFFFFF"/>
            <w:noWrap/>
            <w:vAlign w:val="bottom"/>
            <w:hideMark/>
          </w:tcPr>
          <w:p w14:paraId="45CB3230"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179.257</w:t>
            </w:r>
          </w:p>
        </w:tc>
        <w:tc>
          <w:tcPr>
            <w:tcW w:w="775" w:type="dxa"/>
            <w:tcBorders>
              <w:top w:val="nil"/>
              <w:left w:val="nil"/>
              <w:bottom w:val="nil"/>
              <w:right w:val="nil"/>
            </w:tcBorders>
            <w:shd w:val="clear" w:color="000000" w:fill="FFFFFF"/>
            <w:noWrap/>
            <w:vAlign w:val="bottom"/>
            <w:hideMark/>
          </w:tcPr>
          <w:p w14:paraId="1F5137D4"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196.539</w:t>
            </w:r>
          </w:p>
        </w:tc>
        <w:tc>
          <w:tcPr>
            <w:tcW w:w="769" w:type="dxa"/>
            <w:tcBorders>
              <w:top w:val="nil"/>
              <w:left w:val="nil"/>
              <w:bottom w:val="nil"/>
              <w:right w:val="nil"/>
            </w:tcBorders>
            <w:shd w:val="clear" w:color="000000" w:fill="FFFFFF"/>
            <w:noWrap/>
            <w:vAlign w:val="bottom"/>
            <w:hideMark/>
          </w:tcPr>
          <w:p w14:paraId="09D77212"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214.690</w:t>
            </w:r>
          </w:p>
        </w:tc>
        <w:tc>
          <w:tcPr>
            <w:tcW w:w="751" w:type="dxa"/>
            <w:tcBorders>
              <w:top w:val="nil"/>
              <w:left w:val="nil"/>
              <w:bottom w:val="nil"/>
              <w:right w:val="nil"/>
            </w:tcBorders>
            <w:shd w:val="clear" w:color="000000" w:fill="FFFFFF"/>
            <w:noWrap/>
            <w:vAlign w:val="bottom"/>
            <w:hideMark/>
          </w:tcPr>
          <w:p w14:paraId="293FDCE7"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231.792</w:t>
            </w:r>
          </w:p>
        </w:tc>
        <w:tc>
          <w:tcPr>
            <w:tcW w:w="751" w:type="dxa"/>
            <w:tcBorders>
              <w:top w:val="nil"/>
              <w:left w:val="nil"/>
              <w:bottom w:val="nil"/>
              <w:right w:val="nil"/>
            </w:tcBorders>
            <w:shd w:val="clear" w:color="000000" w:fill="FFFFFF"/>
            <w:noWrap/>
            <w:vAlign w:val="bottom"/>
            <w:hideMark/>
          </w:tcPr>
          <w:p w14:paraId="120A64E2"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252.884</w:t>
            </w:r>
          </w:p>
        </w:tc>
        <w:tc>
          <w:tcPr>
            <w:tcW w:w="745" w:type="dxa"/>
            <w:tcBorders>
              <w:top w:val="nil"/>
              <w:left w:val="nil"/>
              <w:bottom w:val="nil"/>
              <w:right w:val="nil"/>
            </w:tcBorders>
            <w:shd w:val="clear" w:color="000000" w:fill="FFFFFF"/>
            <w:noWrap/>
            <w:vAlign w:val="bottom"/>
            <w:hideMark/>
          </w:tcPr>
          <w:p w14:paraId="33CCF936"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274.606</w:t>
            </w:r>
          </w:p>
        </w:tc>
      </w:tr>
      <w:tr w:rsidR="00ED1634" w:rsidRPr="00D30847" w14:paraId="58B675F8"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hideMark/>
          </w:tcPr>
          <w:p w14:paraId="50AF716E" w14:textId="77777777" w:rsidR="00ED1634" w:rsidRPr="00D30847" w:rsidRDefault="00ED1634" w:rsidP="00EE7A4D">
            <w:pPr>
              <w:spacing w:after="0" w:line="240" w:lineRule="auto"/>
              <w:rPr>
                <w:rFonts w:ascii="Arial Narrow" w:eastAsia="Times New Roman" w:hAnsi="Arial Narrow"/>
                <w:sz w:val="20"/>
                <w:szCs w:val="20"/>
                <w:lang w:val="en-GB"/>
              </w:rPr>
            </w:pPr>
            <w:r w:rsidRPr="00D30847">
              <w:rPr>
                <w:rFonts w:ascii="Arial Narrow" w:eastAsia="Times New Roman" w:hAnsi="Arial Narrow"/>
                <w:sz w:val="20"/>
                <w:szCs w:val="20"/>
                <w:lang w:val="en-GB"/>
              </w:rPr>
              <w:t xml:space="preserve"> Contributions</w:t>
            </w:r>
          </w:p>
        </w:tc>
        <w:tc>
          <w:tcPr>
            <w:tcW w:w="741" w:type="dxa"/>
            <w:tcBorders>
              <w:top w:val="nil"/>
              <w:left w:val="nil"/>
              <w:bottom w:val="nil"/>
              <w:right w:val="nil"/>
            </w:tcBorders>
            <w:shd w:val="clear" w:color="000000" w:fill="FFFFFF"/>
            <w:noWrap/>
            <w:vAlign w:val="bottom"/>
            <w:hideMark/>
          </w:tcPr>
          <w:p w14:paraId="759F6C9D"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77.619</w:t>
            </w:r>
          </w:p>
        </w:tc>
        <w:tc>
          <w:tcPr>
            <w:tcW w:w="741" w:type="dxa"/>
            <w:tcBorders>
              <w:top w:val="nil"/>
              <w:left w:val="nil"/>
              <w:bottom w:val="nil"/>
              <w:right w:val="nil"/>
            </w:tcBorders>
            <w:shd w:val="clear" w:color="000000" w:fill="FFFFFF"/>
            <w:noWrap/>
            <w:vAlign w:val="bottom"/>
            <w:hideMark/>
          </w:tcPr>
          <w:p w14:paraId="0016B335"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92.622</w:t>
            </w:r>
          </w:p>
        </w:tc>
        <w:tc>
          <w:tcPr>
            <w:tcW w:w="698" w:type="dxa"/>
            <w:tcBorders>
              <w:top w:val="nil"/>
              <w:left w:val="nil"/>
              <w:bottom w:val="nil"/>
              <w:right w:val="nil"/>
            </w:tcBorders>
            <w:shd w:val="clear" w:color="000000" w:fill="FFFFFF"/>
            <w:noWrap/>
            <w:vAlign w:val="bottom"/>
            <w:hideMark/>
          </w:tcPr>
          <w:p w14:paraId="01E5A896"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105.212</w:t>
            </w:r>
          </w:p>
        </w:tc>
        <w:tc>
          <w:tcPr>
            <w:tcW w:w="775" w:type="dxa"/>
            <w:tcBorders>
              <w:top w:val="nil"/>
              <w:left w:val="nil"/>
              <w:bottom w:val="nil"/>
              <w:right w:val="nil"/>
            </w:tcBorders>
            <w:shd w:val="clear" w:color="000000" w:fill="FFFFFF"/>
            <w:noWrap/>
            <w:vAlign w:val="bottom"/>
            <w:hideMark/>
          </w:tcPr>
          <w:p w14:paraId="62813C09"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114.595</w:t>
            </w:r>
          </w:p>
        </w:tc>
        <w:tc>
          <w:tcPr>
            <w:tcW w:w="769" w:type="dxa"/>
            <w:tcBorders>
              <w:top w:val="nil"/>
              <w:left w:val="nil"/>
              <w:bottom w:val="nil"/>
              <w:right w:val="nil"/>
            </w:tcBorders>
            <w:shd w:val="clear" w:color="000000" w:fill="FFFFFF"/>
            <w:noWrap/>
            <w:vAlign w:val="bottom"/>
            <w:hideMark/>
          </w:tcPr>
          <w:p w14:paraId="12E91FF3"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124.847</w:t>
            </w:r>
          </w:p>
        </w:tc>
        <w:tc>
          <w:tcPr>
            <w:tcW w:w="751" w:type="dxa"/>
            <w:tcBorders>
              <w:top w:val="nil"/>
              <w:left w:val="nil"/>
              <w:bottom w:val="nil"/>
              <w:right w:val="nil"/>
            </w:tcBorders>
            <w:shd w:val="clear" w:color="000000" w:fill="FFFFFF"/>
            <w:noWrap/>
            <w:vAlign w:val="bottom"/>
            <w:hideMark/>
          </w:tcPr>
          <w:p w14:paraId="147B6627"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135.419</w:t>
            </w:r>
          </w:p>
        </w:tc>
        <w:tc>
          <w:tcPr>
            <w:tcW w:w="751" w:type="dxa"/>
            <w:tcBorders>
              <w:top w:val="nil"/>
              <w:left w:val="nil"/>
              <w:bottom w:val="nil"/>
              <w:right w:val="nil"/>
            </w:tcBorders>
            <w:shd w:val="clear" w:color="000000" w:fill="FFFFFF"/>
            <w:noWrap/>
            <w:vAlign w:val="bottom"/>
            <w:hideMark/>
          </w:tcPr>
          <w:p w14:paraId="5D0A9479"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146.888</w:t>
            </w:r>
          </w:p>
        </w:tc>
        <w:tc>
          <w:tcPr>
            <w:tcW w:w="745" w:type="dxa"/>
            <w:tcBorders>
              <w:top w:val="nil"/>
              <w:left w:val="nil"/>
              <w:bottom w:val="nil"/>
              <w:right w:val="nil"/>
            </w:tcBorders>
            <w:shd w:val="clear" w:color="000000" w:fill="FFFFFF"/>
            <w:noWrap/>
            <w:vAlign w:val="bottom"/>
            <w:hideMark/>
          </w:tcPr>
          <w:p w14:paraId="79EEC989"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159.330</w:t>
            </w:r>
          </w:p>
        </w:tc>
      </w:tr>
      <w:tr w:rsidR="00ED1634" w:rsidRPr="00D30847" w14:paraId="3F1C60FF"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hideMark/>
          </w:tcPr>
          <w:p w14:paraId="6AD885D4" w14:textId="77777777" w:rsidR="00ED1634" w:rsidRPr="00D30847" w:rsidRDefault="00ED1634" w:rsidP="00EE7A4D">
            <w:pPr>
              <w:spacing w:after="0" w:line="240" w:lineRule="auto"/>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 xml:space="preserve"> Non-tax income</w:t>
            </w:r>
          </w:p>
        </w:tc>
        <w:tc>
          <w:tcPr>
            <w:tcW w:w="741" w:type="dxa"/>
            <w:tcBorders>
              <w:top w:val="nil"/>
              <w:left w:val="nil"/>
              <w:bottom w:val="nil"/>
              <w:right w:val="nil"/>
            </w:tcBorders>
            <w:shd w:val="clear" w:color="000000" w:fill="FFFFFF"/>
            <w:noWrap/>
            <w:vAlign w:val="bottom"/>
            <w:hideMark/>
          </w:tcPr>
          <w:p w14:paraId="0F9314F3"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17.189</w:t>
            </w:r>
          </w:p>
        </w:tc>
        <w:tc>
          <w:tcPr>
            <w:tcW w:w="741" w:type="dxa"/>
            <w:tcBorders>
              <w:top w:val="nil"/>
              <w:left w:val="nil"/>
              <w:bottom w:val="nil"/>
              <w:right w:val="nil"/>
            </w:tcBorders>
            <w:shd w:val="clear" w:color="000000" w:fill="FFFFFF"/>
            <w:noWrap/>
            <w:vAlign w:val="bottom"/>
            <w:hideMark/>
          </w:tcPr>
          <w:p w14:paraId="1897565E"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16.866</w:t>
            </w:r>
          </w:p>
        </w:tc>
        <w:tc>
          <w:tcPr>
            <w:tcW w:w="698" w:type="dxa"/>
            <w:tcBorders>
              <w:top w:val="nil"/>
              <w:left w:val="nil"/>
              <w:bottom w:val="nil"/>
              <w:right w:val="nil"/>
            </w:tcBorders>
            <w:shd w:val="clear" w:color="000000" w:fill="FFFFFF"/>
            <w:noWrap/>
            <w:vAlign w:val="bottom"/>
            <w:hideMark/>
          </w:tcPr>
          <w:p w14:paraId="00D90E72"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22.541</w:t>
            </w:r>
          </w:p>
        </w:tc>
        <w:tc>
          <w:tcPr>
            <w:tcW w:w="775" w:type="dxa"/>
            <w:tcBorders>
              <w:top w:val="nil"/>
              <w:left w:val="nil"/>
              <w:bottom w:val="nil"/>
              <w:right w:val="nil"/>
            </w:tcBorders>
            <w:shd w:val="clear" w:color="000000" w:fill="FFFFFF"/>
            <w:noWrap/>
            <w:vAlign w:val="bottom"/>
            <w:hideMark/>
          </w:tcPr>
          <w:p w14:paraId="220BEB08"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24.520</w:t>
            </w:r>
          </w:p>
        </w:tc>
        <w:tc>
          <w:tcPr>
            <w:tcW w:w="769" w:type="dxa"/>
            <w:tcBorders>
              <w:top w:val="nil"/>
              <w:left w:val="nil"/>
              <w:bottom w:val="nil"/>
              <w:right w:val="nil"/>
            </w:tcBorders>
            <w:shd w:val="clear" w:color="000000" w:fill="FFFFFF"/>
            <w:noWrap/>
            <w:vAlign w:val="bottom"/>
            <w:hideMark/>
          </w:tcPr>
          <w:p w14:paraId="3E444D8D"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24.228</w:t>
            </w:r>
          </w:p>
        </w:tc>
        <w:tc>
          <w:tcPr>
            <w:tcW w:w="751" w:type="dxa"/>
            <w:tcBorders>
              <w:top w:val="nil"/>
              <w:left w:val="nil"/>
              <w:bottom w:val="nil"/>
              <w:right w:val="nil"/>
            </w:tcBorders>
            <w:shd w:val="clear" w:color="000000" w:fill="FFFFFF"/>
            <w:noWrap/>
            <w:vAlign w:val="bottom"/>
            <w:hideMark/>
          </w:tcPr>
          <w:p w14:paraId="5D5FEFAD"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24.778</w:t>
            </w:r>
          </w:p>
        </w:tc>
        <w:tc>
          <w:tcPr>
            <w:tcW w:w="751" w:type="dxa"/>
            <w:tcBorders>
              <w:top w:val="nil"/>
              <w:left w:val="nil"/>
              <w:bottom w:val="nil"/>
              <w:right w:val="nil"/>
            </w:tcBorders>
            <w:shd w:val="clear" w:color="000000" w:fill="FFFFFF"/>
            <w:noWrap/>
            <w:vAlign w:val="bottom"/>
            <w:hideMark/>
          </w:tcPr>
          <w:p w14:paraId="447AB316"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24.228</w:t>
            </w:r>
          </w:p>
        </w:tc>
        <w:tc>
          <w:tcPr>
            <w:tcW w:w="745" w:type="dxa"/>
            <w:tcBorders>
              <w:top w:val="nil"/>
              <w:left w:val="nil"/>
              <w:bottom w:val="nil"/>
              <w:right w:val="nil"/>
            </w:tcBorders>
            <w:shd w:val="clear" w:color="000000" w:fill="FFFFFF"/>
            <w:noWrap/>
            <w:vAlign w:val="bottom"/>
            <w:hideMark/>
          </w:tcPr>
          <w:p w14:paraId="32353AC5"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24.619</w:t>
            </w:r>
          </w:p>
        </w:tc>
      </w:tr>
      <w:tr w:rsidR="00ED1634" w:rsidRPr="00D30847" w14:paraId="520FABE9"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hideMark/>
          </w:tcPr>
          <w:p w14:paraId="3EC1F0C7" w14:textId="77777777" w:rsidR="00ED1634" w:rsidRPr="00D30847" w:rsidRDefault="00ED1634" w:rsidP="00EE7A4D">
            <w:pPr>
              <w:spacing w:after="0" w:line="240" w:lineRule="auto"/>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 xml:space="preserve"> Capital income</w:t>
            </w:r>
          </w:p>
        </w:tc>
        <w:tc>
          <w:tcPr>
            <w:tcW w:w="741" w:type="dxa"/>
            <w:tcBorders>
              <w:top w:val="nil"/>
              <w:left w:val="nil"/>
              <w:bottom w:val="nil"/>
              <w:right w:val="nil"/>
            </w:tcBorders>
            <w:shd w:val="clear" w:color="000000" w:fill="FFFFFF"/>
            <w:noWrap/>
            <w:vAlign w:val="bottom"/>
            <w:hideMark/>
          </w:tcPr>
          <w:p w14:paraId="313EC97A"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2.273</w:t>
            </w:r>
          </w:p>
        </w:tc>
        <w:tc>
          <w:tcPr>
            <w:tcW w:w="741" w:type="dxa"/>
            <w:tcBorders>
              <w:top w:val="nil"/>
              <w:left w:val="nil"/>
              <w:bottom w:val="nil"/>
              <w:right w:val="nil"/>
            </w:tcBorders>
            <w:shd w:val="clear" w:color="000000" w:fill="FFFFFF"/>
            <w:noWrap/>
            <w:vAlign w:val="bottom"/>
            <w:hideMark/>
          </w:tcPr>
          <w:p w14:paraId="50C4163A"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2.071</w:t>
            </w:r>
          </w:p>
        </w:tc>
        <w:tc>
          <w:tcPr>
            <w:tcW w:w="698" w:type="dxa"/>
            <w:tcBorders>
              <w:top w:val="nil"/>
              <w:left w:val="nil"/>
              <w:bottom w:val="nil"/>
              <w:right w:val="nil"/>
            </w:tcBorders>
            <w:shd w:val="clear" w:color="000000" w:fill="FFFFFF"/>
            <w:noWrap/>
            <w:vAlign w:val="bottom"/>
            <w:hideMark/>
          </w:tcPr>
          <w:p w14:paraId="0D957ECC"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3.240</w:t>
            </w:r>
          </w:p>
        </w:tc>
        <w:tc>
          <w:tcPr>
            <w:tcW w:w="775" w:type="dxa"/>
            <w:tcBorders>
              <w:top w:val="nil"/>
              <w:left w:val="nil"/>
              <w:bottom w:val="nil"/>
              <w:right w:val="nil"/>
            </w:tcBorders>
            <w:shd w:val="clear" w:color="000000" w:fill="FFFFFF"/>
            <w:noWrap/>
            <w:vAlign w:val="bottom"/>
            <w:hideMark/>
          </w:tcPr>
          <w:p w14:paraId="3B2E15C7"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3.510</w:t>
            </w:r>
          </w:p>
        </w:tc>
        <w:tc>
          <w:tcPr>
            <w:tcW w:w="769" w:type="dxa"/>
            <w:tcBorders>
              <w:top w:val="nil"/>
              <w:left w:val="nil"/>
              <w:bottom w:val="nil"/>
              <w:right w:val="nil"/>
            </w:tcBorders>
            <w:shd w:val="clear" w:color="000000" w:fill="FFFFFF"/>
            <w:noWrap/>
            <w:vAlign w:val="bottom"/>
            <w:hideMark/>
          </w:tcPr>
          <w:p w14:paraId="72063993"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3.530</w:t>
            </w:r>
          </w:p>
        </w:tc>
        <w:tc>
          <w:tcPr>
            <w:tcW w:w="751" w:type="dxa"/>
            <w:tcBorders>
              <w:top w:val="nil"/>
              <w:left w:val="nil"/>
              <w:bottom w:val="nil"/>
              <w:right w:val="nil"/>
            </w:tcBorders>
            <w:shd w:val="clear" w:color="000000" w:fill="FFFFFF"/>
            <w:noWrap/>
            <w:vAlign w:val="bottom"/>
            <w:hideMark/>
          </w:tcPr>
          <w:p w14:paraId="73DBA4C6"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3.730</w:t>
            </w:r>
          </w:p>
        </w:tc>
        <w:tc>
          <w:tcPr>
            <w:tcW w:w="751" w:type="dxa"/>
            <w:tcBorders>
              <w:top w:val="nil"/>
              <w:left w:val="nil"/>
              <w:bottom w:val="nil"/>
              <w:right w:val="nil"/>
            </w:tcBorders>
            <w:shd w:val="clear" w:color="000000" w:fill="FFFFFF"/>
            <w:noWrap/>
            <w:vAlign w:val="bottom"/>
            <w:hideMark/>
          </w:tcPr>
          <w:p w14:paraId="4C4D412E"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3.730</w:t>
            </w:r>
          </w:p>
        </w:tc>
        <w:tc>
          <w:tcPr>
            <w:tcW w:w="745" w:type="dxa"/>
            <w:tcBorders>
              <w:top w:val="nil"/>
              <w:left w:val="nil"/>
              <w:bottom w:val="nil"/>
              <w:right w:val="nil"/>
            </w:tcBorders>
            <w:shd w:val="clear" w:color="000000" w:fill="FFFFFF"/>
            <w:noWrap/>
            <w:vAlign w:val="bottom"/>
            <w:hideMark/>
          </w:tcPr>
          <w:p w14:paraId="4ACA684A"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3.730</w:t>
            </w:r>
          </w:p>
        </w:tc>
      </w:tr>
      <w:tr w:rsidR="00ED1634" w:rsidRPr="00D30847" w14:paraId="2EF935AB"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hideMark/>
          </w:tcPr>
          <w:p w14:paraId="3E42D8FE" w14:textId="77777777" w:rsidR="00ED1634" w:rsidRPr="00D30847" w:rsidRDefault="00ED1634" w:rsidP="00EE7A4D">
            <w:pPr>
              <w:spacing w:after="0" w:line="240" w:lineRule="auto"/>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 xml:space="preserve"> Donations</w:t>
            </w:r>
          </w:p>
        </w:tc>
        <w:tc>
          <w:tcPr>
            <w:tcW w:w="741" w:type="dxa"/>
            <w:tcBorders>
              <w:top w:val="nil"/>
              <w:left w:val="nil"/>
              <w:bottom w:val="nil"/>
              <w:right w:val="nil"/>
            </w:tcBorders>
            <w:shd w:val="clear" w:color="000000" w:fill="FFFFFF"/>
            <w:noWrap/>
            <w:vAlign w:val="bottom"/>
            <w:hideMark/>
          </w:tcPr>
          <w:p w14:paraId="258B6FD4"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3.437</w:t>
            </w:r>
          </w:p>
        </w:tc>
        <w:tc>
          <w:tcPr>
            <w:tcW w:w="741" w:type="dxa"/>
            <w:tcBorders>
              <w:top w:val="nil"/>
              <w:left w:val="nil"/>
              <w:bottom w:val="nil"/>
              <w:right w:val="nil"/>
            </w:tcBorders>
            <w:shd w:val="clear" w:color="000000" w:fill="FFFFFF"/>
            <w:noWrap/>
            <w:vAlign w:val="bottom"/>
            <w:hideMark/>
          </w:tcPr>
          <w:p w14:paraId="714DCC8A"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7.836</w:t>
            </w:r>
          </w:p>
        </w:tc>
        <w:tc>
          <w:tcPr>
            <w:tcW w:w="698" w:type="dxa"/>
            <w:tcBorders>
              <w:top w:val="nil"/>
              <w:left w:val="nil"/>
              <w:bottom w:val="nil"/>
              <w:right w:val="nil"/>
            </w:tcBorders>
            <w:shd w:val="clear" w:color="000000" w:fill="FFFFFF"/>
            <w:noWrap/>
            <w:vAlign w:val="bottom"/>
            <w:hideMark/>
          </w:tcPr>
          <w:p w14:paraId="50ACB0A2"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7.900</w:t>
            </w:r>
          </w:p>
        </w:tc>
        <w:tc>
          <w:tcPr>
            <w:tcW w:w="775" w:type="dxa"/>
            <w:tcBorders>
              <w:top w:val="nil"/>
              <w:left w:val="nil"/>
              <w:bottom w:val="nil"/>
              <w:right w:val="nil"/>
            </w:tcBorders>
            <w:shd w:val="clear" w:color="000000" w:fill="FFFFFF"/>
            <w:noWrap/>
            <w:vAlign w:val="bottom"/>
            <w:hideMark/>
          </w:tcPr>
          <w:p w14:paraId="0C012347"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9.389</w:t>
            </w:r>
          </w:p>
        </w:tc>
        <w:tc>
          <w:tcPr>
            <w:tcW w:w="769" w:type="dxa"/>
            <w:tcBorders>
              <w:top w:val="nil"/>
              <w:left w:val="nil"/>
              <w:bottom w:val="nil"/>
              <w:right w:val="nil"/>
            </w:tcBorders>
            <w:shd w:val="clear" w:color="000000" w:fill="FFFFFF"/>
            <w:noWrap/>
            <w:vAlign w:val="bottom"/>
            <w:hideMark/>
          </w:tcPr>
          <w:p w14:paraId="22B307E7"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8.826</w:t>
            </w:r>
          </w:p>
        </w:tc>
        <w:tc>
          <w:tcPr>
            <w:tcW w:w="751" w:type="dxa"/>
            <w:tcBorders>
              <w:top w:val="nil"/>
              <w:left w:val="nil"/>
              <w:bottom w:val="nil"/>
              <w:right w:val="nil"/>
            </w:tcBorders>
            <w:shd w:val="clear" w:color="000000" w:fill="FFFFFF"/>
            <w:noWrap/>
            <w:vAlign w:val="bottom"/>
            <w:hideMark/>
          </w:tcPr>
          <w:p w14:paraId="4942E9BB"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9.500</w:t>
            </w:r>
          </w:p>
        </w:tc>
        <w:tc>
          <w:tcPr>
            <w:tcW w:w="751" w:type="dxa"/>
            <w:tcBorders>
              <w:top w:val="nil"/>
              <w:left w:val="nil"/>
              <w:bottom w:val="nil"/>
              <w:right w:val="nil"/>
            </w:tcBorders>
            <w:shd w:val="clear" w:color="000000" w:fill="FFFFFF"/>
            <w:noWrap/>
            <w:vAlign w:val="bottom"/>
            <w:hideMark/>
          </w:tcPr>
          <w:p w14:paraId="270D8958"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9.500</w:t>
            </w:r>
          </w:p>
        </w:tc>
        <w:tc>
          <w:tcPr>
            <w:tcW w:w="745" w:type="dxa"/>
            <w:tcBorders>
              <w:top w:val="nil"/>
              <w:left w:val="nil"/>
              <w:bottom w:val="nil"/>
              <w:right w:val="nil"/>
            </w:tcBorders>
            <w:shd w:val="clear" w:color="000000" w:fill="FFFFFF"/>
            <w:noWrap/>
            <w:vAlign w:val="bottom"/>
            <w:hideMark/>
          </w:tcPr>
          <w:p w14:paraId="4D5AC9B6"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9.500</w:t>
            </w:r>
          </w:p>
        </w:tc>
      </w:tr>
      <w:tr w:rsidR="00ED1634" w:rsidRPr="00D30847" w14:paraId="591A8AC5"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vAlign w:val="center"/>
            <w:hideMark/>
          </w:tcPr>
          <w:p w14:paraId="298C9FD6" w14:textId="77777777" w:rsidR="00ED1634" w:rsidRPr="00D30847" w:rsidRDefault="00ED1634" w:rsidP="00EE7A4D">
            <w:pPr>
              <w:spacing w:after="0" w:line="240" w:lineRule="auto"/>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Total expenses</w:t>
            </w:r>
          </w:p>
        </w:tc>
        <w:tc>
          <w:tcPr>
            <w:tcW w:w="741" w:type="dxa"/>
            <w:tcBorders>
              <w:top w:val="nil"/>
              <w:left w:val="nil"/>
              <w:bottom w:val="nil"/>
              <w:right w:val="nil"/>
            </w:tcBorders>
            <w:shd w:val="clear" w:color="000000" w:fill="FFFFFF"/>
            <w:hideMark/>
          </w:tcPr>
          <w:p w14:paraId="12DCAFDC"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278.597</w:t>
            </w:r>
          </w:p>
        </w:tc>
        <w:tc>
          <w:tcPr>
            <w:tcW w:w="741" w:type="dxa"/>
            <w:tcBorders>
              <w:top w:val="nil"/>
              <w:left w:val="nil"/>
              <w:bottom w:val="nil"/>
              <w:right w:val="nil"/>
            </w:tcBorders>
            <w:shd w:val="clear" w:color="000000" w:fill="FFFFFF"/>
            <w:hideMark/>
          </w:tcPr>
          <w:p w14:paraId="3753399A"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318.539</w:t>
            </w:r>
          </w:p>
        </w:tc>
        <w:tc>
          <w:tcPr>
            <w:tcW w:w="698" w:type="dxa"/>
            <w:tcBorders>
              <w:top w:val="nil"/>
              <w:left w:val="nil"/>
              <w:bottom w:val="nil"/>
              <w:right w:val="nil"/>
            </w:tcBorders>
            <w:shd w:val="clear" w:color="000000" w:fill="FFFFFF"/>
            <w:hideMark/>
          </w:tcPr>
          <w:p w14:paraId="0ED5A902"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362.816</w:t>
            </w:r>
          </w:p>
        </w:tc>
        <w:tc>
          <w:tcPr>
            <w:tcW w:w="775" w:type="dxa"/>
            <w:tcBorders>
              <w:top w:val="nil"/>
              <w:left w:val="nil"/>
              <w:bottom w:val="nil"/>
              <w:right w:val="nil"/>
            </w:tcBorders>
            <w:shd w:val="clear" w:color="000000" w:fill="FFFFFF"/>
            <w:hideMark/>
          </w:tcPr>
          <w:p w14:paraId="35C15FF5"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387.923</w:t>
            </w:r>
          </w:p>
        </w:tc>
        <w:tc>
          <w:tcPr>
            <w:tcW w:w="769" w:type="dxa"/>
            <w:tcBorders>
              <w:top w:val="nil"/>
              <w:left w:val="nil"/>
              <w:bottom w:val="nil"/>
              <w:right w:val="nil"/>
            </w:tcBorders>
            <w:shd w:val="clear" w:color="000000" w:fill="FFFFFF"/>
            <w:hideMark/>
          </w:tcPr>
          <w:p w14:paraId="568B169D"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413.146</w:t>
            </w:r>
          </w:p>
        </w:tc>
        <w:tc>
          <w:tcPr>
            <w:tcW w:w="751" w:type="dxa"/>
            <w:tcBorders>
              <w:top w:val="nil"/>
              <w:left w:val="nil"/>
              <w:bottom w:val="nil"/>
              <w:right w:val="nil"/>
            </w:tcBorders>
            <w:shd w:val="clear" w:color="000000" w:fill="FFFFFF"/>
            <w:hideMark/>
          </w:tcPr>
          <w:p w14:paraId="30EF725B"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439.274</w:t>
            </w:r>
          </w:p>
        </w:tc>
        <w:tc>
          <w:tcPr>
            <w:tcW w:w="751" w:type="dxa"/>
            <w:tcBorders>
              <w:top w:val="nil"/>
              <w:left w:val="nil"/>
              <w:bottom w:val="nil"/>
              <w:right w:val="nil"/>
            </w:tcBorders>
            <w:shd w:val="clear" w:color="000000" w:fill="FFFFFF"/>
            <w:hideMark/>
          </w:tcPr>
          <w:p w14:paraId="6D02E76B"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473.630</w:t>
            </w:r>
          </w:p>
        </w:tc>
        <w:tc>
          <w:tcPr>
            <w:tcW w:w="745" w:type="dxa"/>
            <w:tcBorders>
              <w:top w:val="nil"/>
              <w:left w:val="nil"/>
              <w:bottom w:val="nil"/>
              <w:right w:val="nil"/>
            </w:tcBorders>
            <w:shd w:val="clear" w:color="000000" w:fill="FFFFFF"/>
            <w:hideMark/>
          </w:tcPr>
          <w:p w14:paraId="2374F653"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508.311</w:t>
            </w:r>
          </w:p>
        </w:tc>
      </w:tr>
      <w:tr w:rsidR="00ED1634" w:rsidRPr="00D30847" w14:paraId="4E9EB39F"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vAlign w:val="bottom"/>
            <w:hideMark/>
          </w:tcPr>
          <w:p w14:paraId="6A4A7F61" w14:textId="77777777" w:rsidR="00ED1634" w:rsidRPr="00D30847" w:rsidRDefault="00ED1634" w:rsidP="00EE7A4D">
            <w:pPr>
              <w:spacing w:after="0" w:line="240" w:lineRule="auto"/>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 xml:space="preserve"> Current expenses</w:t>
            </w:r>
          </w:p>
        </w:tc>
        <w:tc>
          <w:tcPr>
            <w:tcW w:w="741" w:type="dxa"/>
            <w:tcBorders>
              <w:top w:val="nil"/>
              <w:left w:val="nil"/>
              <w:bottom w:val="nil"/>
              <w:right w:val="nil"/>
            </w:tcBorders>
            <w:shd w:val="clear" w:color="000000" w:fill="FFFFFF"/>
            <w:noWrap/>
            <w:vAlign w:val="bottom"/>
            <w:hideMark/>
          </w:tcPr>
          <w:p w14:paraId="4705A7F2"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249.960</w:t>
            </w:r>
          </w:p>
        </w:tc>
        <w:tc>
          <w:tcPr>
            <w:tcW w:w="741" w:type="dxa"/>
            <w:tcBorders>
              <w:top w:val="nil"/>
              <w:left w:val="nil"/>
              <w:bottom w:val="nil"/>
              <w:right w:val="nil"/>
            </w:tcBorders>
            <w:shd w:val="clear" w:color="000000" w:fill="FFFFFF"/>
            <w:noWrap/>
            <w:vAlign w:val="bottom"/>
            <w:hideMark/>
          </w:tcPr>
          <w:p w14:paraId="3F08C47C"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275.015</w:t>
            </w:r>
          </w:p>
        </w:tc>
        <w:tc>
          <w:tcPr>
            <w:tcW w:w="698" w:type="dxa"/>
            <w:tcBorders>
              <w:top w:val="nil"/>
              <w:left w:val="nil"/>
              <w:bottom w:val="nil"/>
              <w:right w:val="nil"/>
            </w:tcBorders>
            <w:shd w:val="clear" w:color="000000" w:fill="FFFFFF"/>
            <w:noWrap/>
            <w:vAlign w:val="bottom"/>
            <w:hideMark/>
          </w:tcPr>
          <w:p w14:paraId="4E668D28"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318.118</w:t>
            </w:r>
          </w:p>
        </w:tc>
        <w:tc>
          <w:tcPr>
            <w:tcW w:w="775" w:type="dxa"/>
            <w:tcBorders>
              <w:top w:val="nil"/>
              <w:left w:val="nil"/>
              <w:bottom w:val="nil"/>
              <w:right w:val="nil"/>
            </w:tcBorders>
            <w:shd w:val="clear" w:color="000000" w:fill="FFFFFF"/>
            <w:noWrap/>
            <w:vAlign w:val="bottom"/>
            <w:hideMark/>
          </w:tcPr>
          <w:p w14:paraId="4F4215A4"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342.672</w:t>
            </w:r>
          </w:p>
        </w:tc>
        <w:tc>
          <w:tcPr>
            <w:tcW w:w="769" w:type="dxa"/>
            <w:tcBorders>
              <w:top w:val="nil"/>
              <w:left w:val="nil"/>
              <w:bottom w:val="nil"/>
              <w:right w:val="nil"/>
            </w:tcBorders>
            <w:shd w:val="clear" w:color="000000" w:fill="FFFFFF"/>
            <w:noWrap/>
            <w:vAlign w:val="bottom"/>
            <w:hideMark/>
          </w:tcPr>
          <w:p w14:paraId="354513D0"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364.759</w:t>
            </w:r>
          </w:p>
        </w:tc>
        <w:tc>
          <w:tcPr>
            <w:tcW w:w="751" w:type="dxa"/>
            <w:tcBorders>
              <w:top w:val="nil"/>
              <w:left w:val="nil"/>
              <w:bottom w:val="nil"/>
              <w:right w:val="nil"/>
            </w:tcBorders>
            <w:shd w:val="clear" w:color="000000" w:fill="FFFFFF"/>
            <w:noWrap/>
            <w:vAlign w:val="bottom"/>
            <w:hideMark/>
          </w:tcPr>
          <w:p w14:paraId="3615E73B"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386.413</w:t>
            </w:r>
          </w:p>
        </w:tc>
        <w:tc>
          <w:tcPr>
            <w:tcW w:w="751" w:type="dxa"/>
            <w:tcBorders>
              <w:top w:val="nil"/>
              <w:left w:val="nil"/>
              <w:bottom w:val="nil"/>
              <w:right w:val="nil"/>
            </w:tcBorders>
            <w:shd w:val="clear" w:color="000000" w:fill="FFFFFF"/>
            <w:noWrap/>
            <w:vAlign w:val="bottom"/>
            <w:hideMark/>
          </w:tcPr>
          <w:p w14:paraId="0154A604"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413.643</w:t>
            </w:r>
          </w:p>
        </w:tc>
        <w:tc>
          <w:tcPr>
            <w:tcW w:w="745" w:type="dxa"/>
            <w:tcBorders>
              <w:top w:val="nil"/>
              <w:left w:val="nil"/>
              <w:bottom w:val="nil"/>
              <w:right w:val="nil"/>
            </w:tcBorders>
            <w:shd w:val="clear" w:color="000000" w:fill="FFFFFF"/>
            <w:noWrap/>
            <w:vAlign w:val="bottom"/>
            <w:hideMark/>
          </w:tcPr>
          <w:p w14:paraId="2771AA4A"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443.009</w:t>
            </w:r>
          </w:p>
        </w:tc>
      </w:tr>
      <w:tr w:rsidR="00ED1634" w:rsidRPr="00D30847" w14:paraId="26C2C7AF"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vAlign w:val="bottom"/>
            <w:hideMark/>
          </w:tcPr>
          <w:p w14:paraId="395DBED4" w14:textId="77777777" w:rsidR="00ED1634" w:rsidRPr="00D30847" w:rsidRDefault="00ED1634" w:rsidP="00EE7A4D">
            <w:pPr>
              <w:spacing w:after="0" w:line="240" w:lineRule="auto"/>
              <w:rPr>
                <w:rFonts w:ascii="Arial Narrow" w:eastAsia="Times New Roman" w:hAnsi="Arial Narrow"/>
                <w:sz w:val="20"/>
                <w:szCs w:val="20"/>
                <w:lang w:val="en-GB"/>
              </w:rPr>
            </w:pPr>
            <w:r w:rsidRPr="00D30847">
              <w:rPr>
                <w:rFonts w:ascii="Arial Narrow" w:eastAsia="Times New Roman" w:hAnsi="Arial Narrow"/>
                <w:sz w:val="20"/>
                <w:szCs w:val="20"/>
                <w:lang w:val="en-GB"/>
              </w:rPr>
              <w:t xml:space="preserve"> Wages and allowances</w:t>
            </w:r>
          </w:p>
        </w:tc>
        <w:tc>
          <w:tcPr>
            <w:tcW w:w="741" w:type="dxa"/>
            <w:tcBorders>
              <w:top w:val="nil"/>
              <w:left w:val="nil"/>
              <w:bottom w:val="nil"/>
              <w:right w:val="nil"/>
            </w:tcBorders>
            <w:shd w:val="clear" w:color="000000" w:fill="FFFFFF"/>
            <w:noWrap/>
            <w:vAlign w:val="bottom"/>
            <w:hideMark/>
          </w:tcPr>
          <w:p w14:paraId="5C6EA7ED"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32.159</w:t>
            </w:r>
          </w:p>
        </w:tc>
        <w:tc>
          <w:tcPr>
            <w:tcW w:w="741" w:type="dxa"/>
            <w:tcBorders>
              <w:top w:val="nil"/>
              <w:left w:val="nil"/>
              <w:bottom w:val="nil"/>
              <w:right w:val="nil"/>
            </w:tcBorders>
            <w:shd w:val="clear" w:color="000000" w:fill="FFFFFF"/>
            <w:noWrap/>
            <w:vAlign w:val="bottom"/>
            <w:hideMark/>
          </w:tcPr>
          <w:p w14:paraId="1C2D11EE"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36.877</w:t>
            </w:r>
          </w:p>
        </w:tc>
        <w:tc>
          <w:tcPr>
            <w:tcW w:w="698" w:type="dxa"/>
            <w:tcBorders>
              <w:top w:val="nil"/>
              <w:left w:val="nil"/>
              <w:bottom w:val="nil"/>
              <w:right w:val="nil"/>
            </w:tcBorders>
            <w:shd w:val="clear" w:color="000000" w:fill="FFFFFF"/>
            <w:noWrap/>
            <w:vAlign w:val="bottom"/>
            <w:hideMark/>
          </w:tcPr>
          <w:p w14:paraId="0815A158"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44.537</w:t>
            </w:r>
          </w:p>
        </w:tc>
        <w:tc>
          <w:tcPr>
            <w:tcW w:w="775" w:type="dxa"/>
            <w:tcBorders>
              <w:top w:val="nil"/>
              <w:left w:val="nil"/>
              <w:bottom w:val="nil"/>
              <w:right w:val="nil"/>
            </w:tcBorders>
            <w:shd w:val="clear" w:color="000000" w:fill="FFFFFF"/>
            <w:noWrap/>
            <w:vAlign w:val="bottom"/>
            <w:hideMark/>
          </w:tcPr>
          <w:p w14:paraId="40DB6431"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49.585</w:t>
            </w:r>
          </w:p>
        </w:tc>
        <w:tc>
          <w:tcPr>
            <w:tcW w:w="769" w:type="dxa"/>
            <w:tcBorders>
              <w:top w:val="nil"/>
              <w:left w:val="nil"/>
              <w:bottom w:val="nil"/>
              <w:right w:val="nil"/>
            </w:tcBorders>
            <w:shd w:val="clear" w:color="000000" w:fill="FFFFFF"/>
            <w:noWrap/>
            <w:vAlign w:val="bottom"/>
            <w:hideMark/>
          </w:tcPr>
          <w:p w14:paraId="3B9F809F"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53.294</w:t>
            </w:r>
          </w:p>
        </w:tc>
        <w:tc>
          <w:tcPr>
            <w:tcW w:w="751" w:type="dxa"/>
            <w:tcBorders>
              <w:top w:val="nil"/>
              <w:left w:val="nil"/>
              <w:bottom w:val="nil"/>
              <w:right w:val="nil"/>
            </w:tcBorders>
            <w:shd w:val="clear" w:color="000000" w:fill="FFFFFF"/>
            <w:noWrap/>
            <w:vAlign w:val="bottom"/>
            <w:hideMark/>
          </w:tcPr>
          <w:p w14:paraId="71161EEA"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56.560</w:t>
            </w:r>
          </w:p>
        </w:tc>
        <w:tc>
          <w:tcPr>
            <w:tcW w:w="751" w:type="dxa"/>
            <w:tcBorders>
              <w:top w:val="nil"/>
              <w:left w:val="nil"/>
              <w:bottom w:val="nil"/>
              <w:right w:val="nil"/>
            </w:tcBorders>
            <w:shd w:val="clear" w:color="000000" w:fill="FFFFFF"/>
            <w:noWrap/>
            <w:vAlign w:val="bottom"/>
            <w:hideMark/>
          </w:tcPr>
          <w:p w14:paraId="78ACD7F6"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59.925</w:t>
            </w:r>
          </w:p>
        </w:tc>
        <w:tc>
          <w:tcPr>
            <w:tcW w:w="745" w:type="dxa"/>
            <w:tcBorders>
              <w:top w:val="nil"/>
              <w:left w:val="nil"/>
              <w:bottom w:val="nil"/>
              <w:right w:val="nil"/>
            </w:tcBorders>
            <w:shd w:val="clear" w:color="000000" w:fill="FFFFFF"/>
            <w:noWrap/>
            <w:vAlign w:val="bottom"/>
            <w:hideMark/>
          </w:tcPr>
          <w:p w14:paraId="19E5FA5F"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63.327</w:t>
            </w:r>
          </w:p>
        </w:tc>
      </w:tr>
      <w:tr w:rsidR="00ED1634" w:rsidRPr="00D30847" w14:paraId="1584B20F"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vAlign w:val="bottom"/>
            <w:hideMark/>
          </w:tcPr>
          <w:p w14:paraId="19734EC2" w14:textId="77777777" w:rsidR="00ED1634" w:rsidRPr="00D30847" w:rsidRDefault="00ED1634" w:rsidP="00EE7A4D">
            <w:pPr>
              <w:spacing w:after="0" w:line="240" w:lineRule="auto"/>
              <w:rPr>
                <w:rFonts w:ascii="Arial Narrow" w:eastAsia="Times New Roman" w:hAnsi="Arial Narrow"/>
                <w:sz w:val="20"/>
                <w:szCs w:val="20"/>
                <w:lang w:val="en-GB"/>
              </w:rPr>
            </w:pPr>
            <w:r w:rsidRPr="00D30847">
              <w:rPr>
                <w:rFonts w:ascii="Arial Narrow" w:eastAsia="Times New Roman" w:hAnsi="Arial Narrow"/>
                <w:sz w:val="20"/>
                <w:szCs w:val="20"/>
                <w:lang w:val="en-GB"/>
              </w:rPr>
              <w:t xml:space="preserve"> Goods and services</w:t>
            </w:r>
          </w:p>
        </w:tc>
        <w:tc>
          <w:tcPr>
            <w:tcW w:w="741" w:type="dxa"/>
            <w:tcBorders>
              <w:top w:val="nil"/>
              <w:left w:val="nil"/>
              <w:bottom w:val="nil"/>
              <w:right w:val="nil"/>
            </w:tcBorders>
            <w:shd w:val="clear" w:color="000000" w:fill="FFFFFF"/>
            <w:noWrap/>
            <w:vAlign w:val="bottom"/>
            <w:hideMark/>
          </w:tcPr>
          <w:p w14:paraId="77A11535"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21.001</w:t>
            </w:r>
          </w:p>
        </w:tc>
        <w:tc>
          <w:tcPr>
            <w:tcW w:w="741" w:type="dxa"/>
            <w:tcBorders>
              <w:top w:val="nil"/>
              <w:left w:val="nil"/>
              <w:bottom w:val="nil"/>
              <w:right w:val="nil"/>
            </w:tcBorders>
            <w:shd w:val="clear" w:color="000000" w:fill="FFFFFF"/>
            <w:noWrap/>
            <w:vAlign w:val="bottom"/>
            <w:hideMark/>
          </w:tcPr>
          <w:p w14:paraId="79B77CF3"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21.117</w:t>
            </w:r>
          </w:p>
        </w:tc>
        <w:tc>
          <w:tcPr>
            <w:tcW w:w="698" w:type="dxa"/>
            <w:tcBorders>
              <w:top w:val="nil"/>
              <w:left w:val="nil"/>
              <w:bottom w:val="nil"/>
              <w:right w:val="nil"/>
            </w:tcBorders>
            <w:shd w:val="clear" w:color="000000" w:fill="FFFFFF"/>
            <w:noWrap/>
            <w:vAlign w:val="bottom"/>
            <w:hideMark/>
          </w:tcPr>
          <w:p w14:paraId="0F41694C"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25.509</w:t>
            </w:r>
          </w:p>
        </w:tc>
        <w:tc>
          <w:tcPr>
            <w:tcW w:w="775" w:type="dxa"/>
            <w:tcBorders>
              <w:top w:val="nil"/>
              <w:left w:val="nil"/>
              <w:bottom w:val="nil"/>
              <w:right w:val="nil"/>
            </w:tcBorders>
            <w:shd w:val="clear" w:color="000000" w:fill="FFFFFF"/>
            <w:noWrap/>
            <w:vAlign w:val="bottom"/>
            <w:hideMark/>
          </w:tcPr>
          <w:p w14:paraId="5B713531"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26.797</w:t>
            </w:r>
          </w:p>
        </w:tc>
        <w:tc>
          <w:tcPr>
            <w:tcW w:w="769" w:type="dxa"/>
            <w:tcBorders>
              <w:top w:val="nil"/>
              <w:left w:val="nil"/>
              <w:bottom w:val="nil"/>
              <w:right w:val="nil"/>
            </w:tcBorders>
            <w:shd w:val="clear" w:color="000000" w:fill="FFFFFF"/>
            <w:noWrap/>
            <w:vAlign w:val="bottom"/>
            <w:hideMark/>
          </w:tcPr>
          <w:p w14:paraId="21127590"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26.612</w:t>
            </w:r>
          </w:p>
        </w:tc>
        <w:tc>
          <w:tcPr>
            <w:tcW w:w="751" w:type="dxa"/>
            <w:tcBorders>
              <w:top w:val="nil"/>
              <w:left w:val="nil"/>
              <w:bottom w:val="nil"/>
              <w:right w:val="nil"/>
            </w:tcBorders>
            <w:shd w:val="clear" w:color="000000" w:fill="FFFFFF"/>
            <w:noWrap/>
            <w:vAlign w:val="bottom"/>
            <w:hideMark/>
          </w:tcPr>
          <w:p w14:paraId="5C34EA34"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28.512</w:t>
            </w:r>
          </w:p>
        </w:tc>
        <w:tc>
          <w:tcPr>
            <w:tcW w:w="751" w:type="dxa"/>
            <w:tcBorders>
              <w:top w:val="nil"/>
              <w:left w:val="nil"/>
              <w:bottom w:val="nil"/>
              <w:right w:val="nil"/>
            </w:tcBorders>
            <w:shd w:val="clear" w:color="000000" w:fill="FFFFFF"/>
            <w:noWrap/>
            <w:vAlign w:val="bottom"/>
            <w:hideMark/>
          </w:tcPr>
          <w:p w14:paraId="7509C55F"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30.012</w:t>
            </w:r>
          </w:p>
        </w:tc>
        <w:tc>
          <w:tcPr>
            <w:tcW w:w="745" w:type="dxa"/>
            <w:tcBorders>
              <w:top w:val="nil"/>
              <w:left w:val="nil"/>
              <w:bottom w:val="nil"/>
              <w:right w:val="nil"/>
            </w:tcBorders>
            <w:shd w:val="clear" w:color="000000" w:fill="FFFFFF"/>
            <w:noWrap/>
            <w:vAlign w:val="bottom"/>
            <w:hideMark/>
          </w:tcPr>
          <w:p w14:paraId="12E5D0B7"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33.112</w:t>
            </w:r>
          </w:p>
        </w:tc>
      </w:tr>
      <w:tr w:rsidR="00ED1634" w:rsidRPr="00D30847" w14:paraId="0C7711C7"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vAlign w:val="bottom"/>
            <w:hideMark/>
          </w:tcPr>
          <w:p w14:paraId="1EAF980F" w14:textId="77777777" w:rsidR="00ED1634" w:rsidRPr="00D30847" w:rsidRDefault="00ED1634" w:rsidP="00EE7A4D">
            <w:pPr>
              <w:spacing w:after="0" w:line="240" w:lineRule="auto"/>
              <w:rPr>
                <w:rFonts w:ascii="Arial Narrow" w:eastAsia="Times New Roman" w:hAnsi="Arial Narrow"/>
                <w:sz w:val="20"/>
                <w:szCs w:val="20"/>
                <w:lang w:val="en-GB"/>
              </w:rPr>
            </w:pPr>
            <w:r w:rsidRPr="00D30847">
              <w:rPr>
                <w:rFonts w:ascii="Arial Narrow" w:eastAsia="Times New Roman" w:hAnsi="Arial Narrow"/>
                <w:sz w:val="20"/>
                <w:szCs w:val="20"/>
                <w:lang w:val="en-GB"/>
              </w:rPr>
              <w:t xml:space="preserve"> Transfers to LGUs</w:t>
            </w:r>
          </w:p>
        </w:tc>
        <w:tc>
          <w:tcPr>
            <w:tcW w:w="741" w:type="dxa"/>
            <w:tcBorders>
              <w:top w:val="nil"/>
              <w:left w:val="nil"/>
              <w:bottom w:val="nil"/>
              <w:right w:val="nil"/>
            </w:tcBorders>
            <w:shd w:val="clear" w:color="000000" w:fill="FFFFFF"/>
            <w:noWrap/>
            <w:vAlign w:val="bottom"/>
            <w:hideMark/>
          </w:tcPr>
          <w:p w14:paraId="51692A2D"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23.365</w:t>
            </w:r>
          </w:p>
        </w:tc>
        <w:tc>
          <w:tcPr>
            <w:tcW w:w="741" w:type="dxa"/>
            <w:tcBorders>
              <w:top w:val="nil"/>
              <w:left w:val="nil"/>
              <w:bottom w:val="nil"/>
              <w:right w:val="nil"/>
            </w:tcBorders>
            <w:shd w:val="clear" w:color="000000" w:fill="FFFFFF"/>
            <w:noWrap/>
            <w:vAlign w:val="bottom"/>
            <w:hideMark/>
          </w:tcPr>
          <w:p w14:paraId="4A83D910"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27.459</w:t>
            </w:r>
          </w:p>
        </w:tc>
        <w:tc>
          <w:tcPr>
            <w:tcW w:w="698" w:type="dxa"/>
            <w:tcBorders>
              <w:top w:val="nil"/>
              <w:left w:val="nil"/>
              <w:bottom w:val="nil"/>
              <w:right w:val="nil"/>
            </w:tcBorders>
            <w:shd w:val="clear" w:color="000000" w:fill="FFFFFF"/>
            <w:noWrap/>
            <w:vAlign w:val="bottom"/>
            <w:hideMark/>
          </w:tcPr>
          <w:p w14:paraId="3F2B170D"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30.787</w:t>
            </w:r>
          </w:p>
        </w:tc>
        <w:tc>
          <w:tcPr>
            <w:tcW w:w="775" w:type="dxa"/>
            <w:tcBorders>
              <w:top w:val="nil"/>
              <w:left w:val="nil"/>
              <w:bottom w:val="nil"/>
              <w:right w:val="nil"/>
            </w:tcBorders>
            <w:shd w:val="clear" w:color="000000" w:fill="FFFFFF"/>
            <w:noWrap/>
            <w:vAlign w:val="bottom"/>
            <w:hideMark/>
          </w:tcPr>
          <w:p w14:paraId="73201833"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33.297</w:t>
            </w:r>
          </w:p>
        </w:tc>
        <w:tc>
          <w:tcPr>
            <w:tcW w:w="769" w:type="dxa"/>
            <w:tcBorders>
              <w:top w:val="nil"/>
              <w:left w:val="nil"/>
              <w:bottom w:val="nil"/>
              <w:right w:val="nil"/>
            </w:tcBorders>
            <w:shd w:val="clear" w:color="000000" w:fill="FFFFFF"/>
            <w:noWrap/>
            <w:vAlign w:val="bottom"/>
            <w:hideMark/>
          </w:tcPr>
          <w:p w14:paraId="314D4B7F"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36.292</w:t>
            </w:r>
          </w:p>
        </w:tc>
        <w:tc>
          <w:tcPr>
            <w:tcW w:w="751" w:type="dxa"/>
            <w:tcBorders>
              <w:top w:val="nil"/>
              <w:left w:val="nil"/>
              <w:bottom w:val="nil"/>
              <w:right w:val="nil"/>
            </w:tcBorders>
            <w:shd w:val="clear" w:color="000000" w:fill="FFFFFF"/>
            <w:noWrap/>
            <w:vAlign w:val="bottom"/>
            <w:hideMark/>
          </w:tcPr>
          <w:p w14:paraId="7D56216C"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39.509</w:t>
            </w:r>
          </w:p>
        </w:tc>
        <w:tc>
          <w:tcPr>
            <w:tcW w:w="751" w:type="dxa"/>
            <w:tcBorders>
              <w:top w:val="nil"/>
              <w:left w:val="nil"/>
              <w:bottom w:val="nil"/>
              <w:right w:val="nil"/>
            </w:tcBorders>
            <w:shd w:val="clear" w:color="000000" w:fill="FFFFFF"/>
            <w:noWrap/>
            <w:vAlign w:val="bottom"/>
            <w:hideMark/>
          </w:tcPr>
          <w:p w14:paraId="6C4D27B7"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43.527</w:t>
            </w:r>
          </w:p>
        </w:tc>
        <w:tc>
          <w:tcPr>
            <w:tcW w:w="745" w:type="dxa"/>
            <w:tcBorders>
              <w:top w:val="nil"/>
              <w:left w:val="nil"/>
              <w:bottom w:val="nil"/>
              <w:right w:val="nil"/>
            </w:tcBorders>
            <w:shd w:val="clear" w:color="000000" w:fill="FFFFFF"/>
            <w:noWrap/>
            <w:vAlign w:val="bottom"/>
            <w:hideMark/>
          </w:tcPr>
          <w:p w14:paraId="66F97E81"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48.603</w:t>
            </w:r>
          </w:p>
        </w:tc>
      </w:tr>
      <w:tr w:rsidR="00ED1634" w:rsidRPr="00D30847" w14:paraId="44676B33"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vAlign w:val="bottom"/>
            <w:hideMark/>
          </w:tcPr>
          <w:p w14:paraId="4EF1BCE2" w14:textId="77777777" w:rsidR="00ED1634" w:rsidRPr="00D30847" w:rsidRDefault="00ED1634" w:rsidP="00EE7A4D">
            <w:pPr>
              <w:spacing w:after="0" w:line="240" w:lineRule="auto"/>
              <w:rPr>
                <w:rFonts w:ascii="Arial Narrow" w:eastAsia="Times New Roman" w:hAnsi="Arial Narrow"/>
                <w:sz w:val="20"/>
                <w:szCs w:val="20"/>
                <w:lang w:val="en-GB"/>
              </w:rPr>
            </w:pPr>
            <w:r w:rsidRPr="00D30847">
              <w:rPr>
                <w:rFonts w:ascii="Arial Narrow" w:eastAsia="Times New Roman" w:hAnsi="Arial Narrow"/>
                <w:sz w:val="20"/>
                <w:szCs w:val="20"/>
                <w:lang w:val="en-GB"/>
              </w:rPr>
              <w:t xml:space="preserve"> Subsidies and transfers</w:t>
            </w:r>
          </w:p>
        </w:tc>
        <w:tc>
          <w:tcPr>
            <w:tcW w:w="741" w:type="dxa"/>
            <w:tcBorders>
              <w:top w:val="nil"/>
              <w:left w:val="nil"/>
              <w:bottom w:val="nil"/>
              <w:right w:val="nil"/>
            </w:tcBorders>
            <w:shd w:val="clear" w:color="000000" w:fill="FFFFFF"/>
            <w:noWrap/>
            <w:vAlign w:val="bottom"/>
            <w:hideMark/>
          </w:tcPr>
          <w:p w14:paraId="2AE80FC8"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32.536</w:t>
            </w:r>
          </w:p>
        </w:tc>
        <w:tc>
          <w:tcPr>
            <w:tcW w:w="741" w:type="dxa"/>
            <w:tcBorders>
              <w:top w:val="nil"/>
              <w:left w:val="nil"/>
              <w:bottom w:val="nil"/>
              <w:right w:val="nil"/>
            </w:tcBorders>
            <w:shd w:val="clear" w:color="000000" w:fill="FFFFFF"/>
            <w:noWrap/>
            <w:vAlign w:val="bottom"/>
            <w:hideMark/>
          </w:tcPr>
          <w:p w14:paraId="23B231CB"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27.754</w:t>
            </w:r>
          </w:p>
        </w:tc>
        <w:tc>
          <w:tcPr>
            <w:tcW w:w="698" w:type="dxa"/>
            <w:tcBorders>
              <w:top w:val="nil"/>
              <w:left w:val="nil"/>
              <w:bottom w:val="nil"/>
              <w:right w:val="nil"/>
            </w:tcBorders>
            <w:shd w:val="clear" w:color="000000" w:fill="FFFFFF"/>
            <w:noWrap/>
            <w:vAlign w:val="bottom"/>
            <w:hideMark/>
          </w:tcPr>
          <w:p w14:paraId="062CECD3"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29.858</w:t>
            </w:r>
          </w:p>
        </w:tc>
        <w:tc>
          <w:tcPr>
            <w:tcW w:w="775" w:type="dxa"/>
            <w:tcBorders>
              <w:top w:val="nil"/>
              <w:left w:val="nil"/>
              <w:bottom w:val="nil"/>
              <w:right w:val="nil"/>
            </w:tcBorders>
            <w:shd w:val="clear" w:color="000000" w:fill="FFFFFF"/>
            <w:noWrap/>
            <w:vAlign w:val="bottom"/>
            <w:hideMark/>
          </w:tcPr>
          <w:p w14:paraId="04861759"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26.115</w:t>
            </w:r>
          </w:p>
        </w:tc>
        <w:tc>
          <w:tcPr>
            <w:tcW w:w="769" w:type="dxa"/>
            <w:tcBorders>
              <w:top w:val="nil"/>
              <w:left w:val="nil"/>
              <w:bottom w:val="nil"/>
              <w:right w:val="nil"/>
            </w:tcBorders>
            <w:shd w:val="clear" w:color="000000" w:fill="FFFFFF"/>
            <w:noWrap/>
            <w:vAlign w:val="bottom"/>
            <w:hideMark/>
          </w:tcPr>
          <w:p w14:paraId="273A69C1"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28.655</w:t>
            </w:r>
          </w:p>
        </w:tc>
        <w:tc>
          <w:tcPr>
            <w:tcW w:w="751" w:type="dxa"/>
            <w:tcBorders>
              <w:top w:val="nil"/>
              <w:left w:val="nil"/>
              <w:bottom w:val="nil"/>
              <w:right w:val="nil"/>
            </w:tcBorders>
            <w:shd w:val="clear" w:color="000000" w:fill="FFFFFF"/>
            <w:noWrap/>
            <w:vAlign w:val="bottom"/>
            <w:hideMark/>
          </w:tcPr>
          <w:p w14:paraId="06F7E257"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30.155</w:t>
            </w:r>
          </w:p>
        </w:tc>
        <w:tc>
          <w:tcPr>
            <w:tcW w:w="751" w:type="dxa"/>
            <w:tcBorders>
              <w:top w:val="nil"/>
              <w:left w:val="nil"/>
              <w:bottom w:val="nil"/>
              <w:right w:val="nil"/>
            </w:tcBorders>
            <w:shd w:val="clear" w:color="000000" w:fill="FFFFFF"/>
            <w:noWrap/>
            <w:vAlign w:val="bottom"/>
            <w:hideMark/>
          </w:tcPr>
          <w:p w14:paraId="6EB2D32F"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37.155</w:t>
            </w:r>
          </w:p>
        </w:tc>
        <w:tc>
          <w:tcPr>
            <w:tcW w:w="745" w:type="dxa"/>
            <w:tcBorders>
              <w:top w:val="nil"/>
              <w:left w:val="nil"/>
              <w:bottom w:val="nil"/>
              <w:right w:val="nil"/>
            </w:tcBorders>
            <w:shd w:val="clear" w:color="000000" w:fill="FFFFFF"/>
            <w:noWrap/>
            <w:vAlign w:val="bottom"/>
            <w:hideMark/>
          </w:tcPr>
          <w:p w14:paraId="5D5C9906"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42.155</w:t>
            </w:r>
          </w:p>
        </w:tc>
      </w:tr>
      <w:tr w:rsidR="00ED1634" w:rsidRPr="00D30847" w14:paraId="6212B2A6"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vAlign w:val="bottom"/>
            <w:hideMark/>
          </w:tcPr>
          <w:p w14:paraId="4E884C35" w14:textId="77777777" w:rsidR="00ED1634" w:rsidRPr="00D30847" w:rsidRDefault="00ED1634" w:rsidP="00EE7A4D">
            <w:pPr>
              <w:spacing w:after="0" w:line="240" w:lineRule="auto"/>
              <w:rPr>
                <w:rFonts w:ascii="Arial Narrow" w:eastAsia="Times New Roman" w:hAnsi="Arial Narrow"/>
                <w:sz w:val="20"/>
                <w:szCs w:val="20"/>
                <w:lang w:val="en-GB"/>
              </w:rPr>
            </w:pPr>
            <w:r w:rsidRPr="00D30847">
              <w:rPr>
                <w:rFonts w:ascii="Arial Narrow" w:eastAsia="Times New Roman" w:hAnsi="Arial Narrow"/>
                <w:sz w:val="20"/>
                <w:szCs w:val="20"/>
                <w:lang w:val="en-GB"/>
              </w:rPr>
              <w:t xml:space="preserve"> Social transfers</w:t>
            </w:r>
          </w:p>
        </w:tc>
        <w:tc>
          <w:tcPr>
            <w:tcW w:w="741" w:type="dxa"/>
            <w:tcBorders>
              <w:top w:val="nil"/>
              <w:left w:val="nil"/>
              <w:bottom w:val="nil"/>
              <w:right w:val="nil"/>
            </w:tcBorders>
            <w:shd w:val="clear" w:color="000000" w:fill="FFFFFF"/>
            <w:noWrap/>
            <w:vAlign w:val="bottom"/>
            <w:hideMark/>
          </w:tcPr>
          <w:p w14:paraId="5DE06E6F"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131.758</w:t>
            </w:r>
          </w:p>
        </w:tc>
        <w:tc>
          <w:tcPr>
            <w:tcW w:w="741" w:type="dxa"/>
            <w:tcBorders>
              <w:top w:val="nil"/>
              <w:left w:val="nil"/>
              <w:bottom w:val="nil"/>
              <w:right w:val="nil"/>
            </w:tcBorders>
            <w:shd w:val="clear" w:color="000000" w:fill="FFFFFF"/>
            <w:noWrap/>
            <w:vAlign w:val="bottom"/>
            <w:hideMark/>
          </w:tcPr>
          <w:p w14:paraId="05F988B8"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148.867</w:t>
            </w:r>
          </w:p>
        </w:tc>
        <w:tc>
          <w:tcPr>
            <w:tcW w:w="698" w:type="dxa"/>
            <w:tcBorders>
              <w:top w:val="nil"/>
              <w:left w:val="nil"/>
              <w:bottom w:val="nil"/>
              <w:right w:val="nil"/>
            </w:tcBorders>
            <w:shd w:val="clear" w:color="000000" w:fill="FFFFFF"/>
            <w:noWrap/>
            <w:vAlign w:val="bottom"/>
            <w:hideMark/>
          </w:tcPr>
          <w:p w14:paraId="50FEC000"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169.794</w:t>
            </w:r>
          </w:p>
        </w:tc>
        <w:tc>
          <w:tcPr>
            <w:tcW w:w="775" w:type="dxa"/>
            <w:tcBorders>
              <w:top w:val="nil"/>
              <w:left w:val="nil"/>
              <w:bottom w:val="nil"/>
              <w:right w:val="nil"/>
            </w:tcBorders>
            <w:shd w:val="clear" w:color="000000" w:fill="FFFFFF"/>
            <w:noWrap/>
            <w:vAlign w:val="bottom"/>
            <w:hideMark/>
          </w:tcPr>
          <w:p w14:paraId="5818B2F0"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187.544</w:t>
            </w:r>
          </w:p>
        </w:tc>
        <w:tc>
          <w:tcPr>
            <w:tcW w:w="769" w:type="dxa"/>
            <w:tcBorders>
              <w:top w:val="nil"/>
              <w:left w:val="nil"/>
              <w:bottom w:val="nil"/>
              <w:right w:val="nil"/>
            </w:tcBorders>
            <w:shd w:val="clear" w:color="000000" w:fill="FFFFFF"/>
            <w:noWrap/>
            <w:vAlign w:val="bottom"/>
            <w:hideMark/>
          </w:tcPr>
          <w:p w14:paraId="46959374"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198.533</w:t>
            </w:r>
          </w:p>
        </w:tc>
        <w:tc>
          <w:tcPr>
            <w:tcW w:w="751" w:type="dxa"/>
            <w:tcBorders>
              <w:top w:val="nil"/>
              <w:left w:val="nil"/>
              <w:bottom w:val="nil"/>
              <w:right w:val="nil"/>
            </w:tcBorders>
            <w:shd w:val="clear" w:color="000000" w:fill="FFFFFF"/>
            <w:noWrap/>
            <w:vAlign w:val="bottom"/>
            <w:hideMark/>
          </w:tcPr>
          <w:p w14:paraId="7346A30D"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208.145</w:t>
            </w:r>
          </w:p>
        </w:tc>
        <w:tc>
          <w:tcPr>
            <w:tcW w:w="751" w:type="dxa"/>
            <w:tcBorders>
              <w:top w:val="nil"/>
              <w:left w:val="nil"/>
              <w:bottom w:val="nil"/>
              <w:right w:val="nil"/>
            </w:tcBorders>
            <w:shd w:val="clear" w:color="000000" w:fill="FFFFFF"/>
            <w:noWrap/>
            <w:vAlign w:val="bottom"/>
            <w:hideMark/>
          </w:tcPr>
          <w:p w14:paraId="77EA28B9"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218.069</w:t>
            </w:r>
          </w:p>
        </w:tc>
        <w:tc>
          <w:tcPr>
            <w:tcW w:w="745" w:type="dxa"/>
            <w:tcBorders>
              <w:top w:val="nil"/>
              <w:left w:val="nil"/>
              <w:bottom w:val="nil"/>
              <w:right w:val="nil"/>
            </w:tcBorders>
            <w:shd w:val="clear" w:color="000000" w:fill="FFFFFF"/>
            <w:noWrap/>
            <w:vAlign w:val="bottom"/>
            <w:hideMark/>
          </w:tcPr>
          <w:p w14:paraId="6D293CE9"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227.732</w:t>
            </w:r>
          </w:p>
        </w:tc>
      </w:tr>
      <w:tr w:rsidR="00ED1634" w:rsidRPr="00D30847" w14:paraId="71805597"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vAlign w:val="bottom"/>
            <w:hideMark/>
          </w:tcPr>
          <w:p w14:paraId="025C7BD3" w14:textId="77777777" w:rsidR="00ED1634" w:rsidRPr="00D30847" w:rsidRDefault="00ED1634" w:rsidP="00EE7A4D">
            <w:pPr>
              <w:spacing w:after="0" w:line="240" w:lineRule="auto"/>
              <w:rPr>
                <w:rFonts w:ascii="Arial Narrow" w:eastAsia="Times New Roman" w:hAnsi="Arial Narrow"/>
                <w:sz w:val="20"/>
                <w:szCs w:val="20"/>
                <w:lang w:val="en-GB"/>
              </w:rPr>
            </w:pPr>
            <w:r w:rsidRPr="00D30847">
              <w:rPr>
                <w:rFonts w:ascii="Arial Narrow" w:eastAsia="Times New Roman" w:hAnsi="Arial Narrow"/>
                <w:sz w:val="20"/>
                <w:szCs w:val="20"/>
                <w:lang w:val="en-GB"/>
              </w:rPr>
              <w:t xml:space="preserve"> Interest payments</w:t>
            </w:r>
          </w:p>
        </w:tc>
        <w:tc>
          <w:tcPr>
            <w:tcW w:w="741" w:type="dxa"/>
            <w:tcBorders>
              <w:top w:val="nil"/>
              <w:left w:val="nil"/>
              <w:bottom w:val="nil"/>
              <w:right w:val="nil"/>
            </w:tcBorders>
            <w:shd w:val="clear" w:color="000000" w:fill="FFFFFF"/>
            <w:noWrap/>
            <w:vAlign w:val="bottom"/>
            <w:hideMark/>
          </w:tcPr>
          <w:p w14:paraId="3107083F"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9.140</w:t>
            </w:r>
          </w:p>
        </w:tc>
        <w:tc>
          <w:tcPr>
            <w:tcW w:w="741" w:type="dxa"/>
            <w:tcBorders>
              <w:top w:val="nil"/>
              <w:left w:val="nil"/>
              <w:bottom w:val="nil"/>
              <w:right w:val="nil"/>
            </w:tcBorders>
            <w:shd w:val="clear" w:color="000000" w:fill="FFFFFF"/>
            <w:noWrap/>
            <w:vAlign w:val="bottom"/>
            <w:hideMark/>
          </w:tcPr>
          <w:p w14:paraId="75D43460"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12.941</w:t>
            </w:r>
          </w:p>
        </w:tc>
        <w:tc>
          <w:tcPr>
            <w:tcW w:w="698" w:type="dxa"/>
            <w:tcBorders>
              <w:top w:val="nil"/>
              <w:left w:val="nil"/>
              <w:bottom w:val="nil"/>
              <w:right w:val="nil"/>
            </w:tcBorders>
            <w:shd w:val="clear" w:color="000000" w:fill="FFFFFF"/>
            <w:noWrap/>
            <w:vAlign w:val="bottom"/>
            <w:hideMark/>
          </w:tcPr>
          <w:p w14:paraId="68EA2F66"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17.632</w:t>
            </w:r>
          </w:p>
        </w:tc>
        <w:tc>
          <w:tcPr>
            <w:tcW w:w="775" w:type="dxa"/>
            <w:tcBorders>
              <w:top w:val="nil"/>
              <w:left w:val="nil"/>
              <w:bottom w:val="nil"/>
              <w:right w:val="nil"/>
            </w:tcBorders>
            <w:shd w:val="clear" w:color="000000" w:fill="FFFFFF"/>
            <w:noWrap/>
            <w:vAlign w:val="bottom"/>
            <w:hideMark/>
          </w:tcPr>
          <w:p w14:paraId="7B2944E0"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19.333</w:t>
            </w:r>
          </w:p>
        </w:tc>
        <w:tc>
          <w:tcPr>
            <w:tcW w:w="769" w:type="dxa"/>
            <w:tcBorders>
              <w:top w:val="nil"/>
              <w:left w:val="nil"/>
              <w:bottom w:val="nil"/>
              <w:right w:val="nil"/>
            </w:tcBorders>
            <w:shd w:val="clear" w:color="000000" w:fill="FFFFFF"/>
            <w:noWrap/>
            <w:vAlign w:val="bottom"/>
            <w:hideMark/>
          </w:tcPr>
          <w:p w14:paraId="794449FF"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21.373</w:t>
            </w:r>
          </w:p>
        </w:tc>
        <w:tc>
          <w:tcPr>
            <w:tcW w:w="751" w:type="dxa"/>
            <w:tcBorders>
              <w:top w:val="nil"/>
              <w:left w:val="nil"/>
              <w:bottom w:val="nil"/>
              <w:right w:val="nil"/>
            </w:tcBorders>
            <w:shd w:val="clear" w:color="000000" w:fill="FFFFFF"/>
            <w:noWrap/>
            <w:vAlign w:val="bottom"/>
            <w:hideMark/>
          </w:tcPr>
          <w:p w14:paraId="4BD7A8F5"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23.532</w:t>
            </w:r>
          </w:p>
        </w:tc>
        <w:tc>
          <w:tcPr>
            <w:tcW w:w="751" w:type="dxa"/>
            <w:tcBorders>
              <w:top w:val="nil"/>
              <w:left w:val="nil"/>
              <w:bottom w:val="nil"/>
              <w:right w:val="nil"/>
            </w:tcBorders>
            <w:shd w:val="clear" w:color="000000" w:fill="FFFFFF"/>
            <w:noWrap/>
            <w:vAlign w:val="bottom"/>
            <w:hideMark/>
          </w:tcPr>
          <w:p w14:paraId="2B799972"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24.955</w:t>
            </w:r>
          </w:p>
        </w:tc>
        <w:tc>
          <w:tcPr>
            <w:tcW w:w="745" w:type="dxa"/>
            <w:tcBorders>
              <w:top w:val="nil"/>
              <w:left w:val="nil"/>
              <w:bottom w:val="nil"/>
              <w:right w:val="nil"/>
            </w:tcBorders>
            <w:shd w:val="clear" w:color="000000" w:fill="FFFFFF"/>
            <w:noWrap/>
            <w:vAlign w:val="bottom"/>
            <w:hideMark/>
          </w:tcPr>
          <w:p w14:paraId="7300671A"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28.080</w:t>
            </w:r>
          </w:p>
        </w:tc>
      </w:tr>
      <w:tr w:rsidR="00ED1634" w:rsidRPr="00D30847" w14:paraId="1AD7959B"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vAlign w:val="bottom"/>
            <w:hideMark/>
          </w:tcPr>
          <w:p w14:paraId="63607984" w14:textId="77777777" w:rsidR="00ED1634" w:rsidRPr="00D30847" w:rsidRDefault="00ED1634" w:rsidP="00EE7A4D">
            <w:pPr>
              <w:spacing w:after="0" w:line="240" w:lineRule="auto"/>
              <w:rPr>
                <w:rFonts w:ascii="Arial Narrow" w:eastAsia="Times New Roman" w:hAnsi="Arial Narrow"/>
                <w:sz w:val="20"/>
                <w:szCs w:val="20"/>
                <w:lang w:val="en-GB"/>
              </w:rPr>
            </w:pPr>
            <w:r w:rsidRPr="00D30847">
              <w:rPr>
                <w:rFonts w:ascii="Arial Narrow" w:eastAsia="Times New Roman" w:hAnsi="Arial Narrow"/>
                <w:sz w:val="20"/>
                <w:szCs w:val="20"/>
                <w:lang w:val="en-GB"/>
              </w:rPr>
              <w:t>Homemade</w:t>
            </w:r>
          </w:p>
        </w:tc>
        <w:tc>
          <w:tcPr>
            <w:tcW w:w="741" w:type="dxa"/>
            <w:tcBorders>
              <w:top w:val="nil"/>
              <w:left w:val="nil"/>
              <w:bottom w:val="nil"/>
              <w:right w:val="nil"/>
            </w:tcBorders>
            <w:shd w:val="clear" w:color="000000" w:fill="FFFFFF"/>
            <w:noWrap/>
            <w:vAlign w:val="bottom"/>
            <w:hideMark/>
          </w:tcPr>
          <w:p w14:paraId="072299F1"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3.413</w:t>
            </w:r>
          </w:p>
        </w:tc>
        <w:tc>
          <w:tcPr>
            <w:tcW w:w="741" w:type="dxa"/>
            <w:tcBorders>
              <w:top w:val="nil"/>
              <w:left w:val="nil"/>
              <w:bottom w:val="nil"/>
              <w:right w:val="nil"/>
            </w:tcBorders>
            <w:shd w:val="clear" w:color="000000" w:fill="FFFFFF"/>
            <w:noWrap/>
            <w:vAlign w:val="bottom"/>
            <w:hideMark/>
          </w:tcPr>
          <w:p w14:paraId="557875FC"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4.181</w:t>
            </w:r>
          </w:p>
        </w:tc>
        <w:tc>
          <w:tcPr>
            <w:tcW w:w="698" w:type="dxa"/>
            <w:tcBorders>
              <w:top w:val="nil"/>
              <w:left w:val="nil"/>
              <w:bottom w:val="nil"/>
              <w:right w:val="nil"/>
            </w:tcBorders>
            <w:shd w:val="clear" w:color="000000" w:fill="FFFFFF"/>
            <w:noWrap/>
            <w:vAlign w:val="bottom"/>
            <w:hideMark/>
          </w:tcPr>
          <w:p w14:paraId="095330AC"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7.066</w:t>
            </w:r>
          </w:p>
        </w:tc>
        <w:tc>
          <w:tcPr>
            <w:tcW w:w="775" w:type="dxa"/>
            <w:tcBorders>
              <w:top w:val="nil"/>
              <w:left w:val="nil"/>
              <w:bottom w:val="nil"/>
              <w:right w:val="nil"/>
            </w:tcBorders>
            <w:shd w:val="clear" w:color="000000" w:fill="FFFFFF"/>
            <w:noWrap/>
            <w:vAlign w:val="bottom"/>
            <w:hideMark/>
          </w:tcPr>
          <w:p w14:paraId="577EEE14"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8.624</w:t>
            </w:r>
          </w:p>
        </w:tc>
        <w:tc>
          <w:tcPr>
            <w:tcW w:w="769" w:type="dxa"/>
            <w:tcBorders>
              <w:top w:val="nil"/>
              <w:left w:val="nil"/>
              <w:bottom w:val="nil"/>
              <w:right w:val="nil"/>
            </w:tcBorders>
            <w:shd w:val="clear" w:color="000000" w:fill="FFFFFF"/>
            <w:noWrap/>
            <w:vAlign w:val="bottom"/>
            <w:hideMark/>
          </w:tcPr>
          <w:p w14:paraId="3B806CED"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10.747</w:t>
            </w:r>
          </w:p>
        </w:tc>
        <w:tc>
          <w:tcPr>
            <w:tcW w:w="751" w:type="dxa"/>
            <w:tcBorders>
              <w:top w:val="nil"/>
              <w:left w:val="nil"/>
              <w:bottom w:val="nil"/>
              <w:right w:val="nil"/>
            </w:tcBorders>
            <w:shd w:val="clear" w:color="000000" w:fill="FFFFFF"/>
            <w:noWrap/>
            <w:vAlign w:val="bottom"/>
            <w:hideMark/>
          </w:tcPr>
          <w:p w14:paraId="48DF9D02"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12.211</w:t>
            </w:r>
          </w:p>
        </w:tc>
        <w:tc>
          <w:tcPr>
            <w:tcW w:w="751" w:type="dxa"/>
            <w:tcBorders>
              <w:top w:val="nil"/>
              <w:left w:val="nil"/>
              <w:bottom w:val="nil"/>
              <w:right w:val="nil"/>
            </w:tcBorders>
            <w:shd w:val="clear" w:color="000000" w:fill="FFFFFF"/>
            <w:noWrap/>
            <w:vAlign w:val="bottom"/>
            <w:hideMark/>
          </w:tcPr>
          <w:p w14:paraId="4597388F"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13.936</w:t>
            </w:r>
          </w:p>
        </w:tc>
        <w:tc>
          <w:tcPr>
            <w:tcW w:w="745" w:type="dxa"/>
            <w:tcBorders>
              <w:top w:val="nil"/>
              <w:left w:val="nil"/>
              <w:bottom w:val="nil"/>
              <w:right w:val="nil"/>
            </w:tcBorders>
            <w:shd w:val="clear" w:color="000000" w:fill="FFFFFF"/>
            <w:noWrap/>
            <w:vAlign w:val="bottom"/>
            <w:hideMark/>
          </w:tcPr>
          <w:p w14:paraId="55618FD4"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15.906</w:t>
            </w:r>
          </w:p>
        </w:tc>
      </w:tr>
      <w:tr w:rsidR="00ED1634" w:rsidRPr="00D30847" w14:paraId="4D9060F8"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vAlign w:val="bottom"/>
            <w:hideMark/>
          </w:tcPr>
          <w:p w14:paraId="5B9309C3" w14:textId="77777777" w:rsidR="00ED1634" w:rsidRPr="00D30847" w:rsidRDefault="00ED1634" w:rsidP="00EE7A4D">
            <w:pPr>
              <w:spacing w:after="0" w:line="240" w:lineRule="auto"/>
              <w:rPr>
                <w:rFonts w:ascii="Arial Narrow" w:eastAsia="Times New Roman" w:hAnsi="Arial Narrow"/>
                <w:sz w:val="20"/>
                <w:szCs w:val="20"/>
                <w:lang w:val="en-GB"/>
              </w:rPr>
            </w:pPr>
            <w:r w:rsidRPr="00D30847">
              <w:rPr>
                <w:rFonts w:ascii="Arial Narrow" w:eastAsia="Times New Roman" w:hAnsi="Arial Narrow"/>
                <w:sz w:val="20"/>
                <w:szCs w:val="20"/>
                <w:lang w:val="en-GB"/>
              </w:rPr>
              <w:t xml:space="preserve"> Foreign</w:t>
            </w:r>
          </w:p>
        </w:tc>
        <w:tc>
          <w:tcPr>
            <w:tcW w:w="741" w:type="dxa"/>
            <w:tcBorders>
              <w:top w:val="nil"/>
              <w:left w:val="nil"/>
              <w:bottom w:val="nil"/>
              <w:right w:val="nil"/>
            </w:tcBorders>
            <w:shd w:val="clear" w:color="000000" w:fill="FFFFFF"/>
            <w:noWrap/>
            <w:vAlign w:val="bottom"/>
            <w:hideMark/>
          </w:tcPr>
          <w:p w14:paraId="32EA6F5B"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5.727</w:t>
            </w:r>
          </w:p>
        </w:tc>
        <w:tc>
          <w:tcPr>
            <w:tcW w:w="741" w:type="dxa"/>
            <w:tcBorders>
              <w:top w:val="nil"/>
              <w:left w:val="nil"/>
              <w:bottom w:val="nil"/>
              <w:right w:val="nil"/>
            </w:tcBorders>
            <w:shd w:val="clear" w:color="000000" w:fill="FFFFFF"/>
            <w:noWrap/>
            <w:vAlign w:val="bottom"/>
            <w:hideMark/>
          </w:tcPr>
          <w:p w14:paraId="66BED704"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8.760</w:t>
            </w:r>
          </w:p>
        </w:tc>
        <w:tc>
          <w:tcPr>
            <w:tcW w:w="698" w:type="dxa"/>
            <w:tcBorders>
              <w:top w:val="nil"/>
              <w:left w:val="nil"/>
              <w:bottom w:val="nil"/>
              <w:right w:val="nil"/>
            </w:tcBorders>
            <w:shd w:val="clear" w:color="000000" w:fill="FFFFFF"/>
            <w:noWrap/>
            <w:vAlign w:val="bottom"/>
            <w:hideMark/>
          </w:tcPr>
          <w:p w14:paraId="424B8FF1"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10.566</w:t>
            </w:r>
          </w:p>
        </w:tc>
        <w:tc>
          <w:tcPr>
            <w:tcW w:w="775" w:type="dxa"/>
            <w:tcBorders>
              <w:top w:val="nil"/>
              <w:left w:val="nil"/>
              <w:bottom w:val="nil"/>
              <w:right w:val="nil"/>
            </w:tcBorders>
            <w:shd w:val="clear" w:color="000000" w:fill="FFFFFF"/>
            <w:noWrap/>
            <w:vAlign w:val="bottom"/>
            <w:hideMark/>
          </w:tcPr>
          <w:p w14:paraId="67DDE212"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10.709</w:t>
            </w:r>
          </w:p>
        </w:tc>
        <w:tc>
          <w:tcPr>
            <w:tcW w:w="769" w:type="dxa"/>
            <w:tcBorders>
              <w:top w:val="nil"/>
              <w:left w:val="nil"/>
              <w:bottom w:val="nil"/>
              <w:right w:val="nil"/>
            </w:tcBorders>
            <w:shd w:val="clear" w:color="000000" w:fill="FFFFFF"/>
            <w:noWrap/>
            <w:vAlign w:val="bottom"/>
            <w:hideMark/>
          </w:tcPr>
          <w:p w14:paraId="4636BE5B"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10.626</w:t>
            </w:r>
          </w:p>
        </w:tc>
        <w:tc>
          <w:tcPr>
            <w:tcW w:w="751" w:type="dxa"/>
            <w:tcBorders>
              <w:top w:val="nil"/>
              <w:left w:val="nil"/>
              <w:bottom w:val="nil"/>
              <w:right w:val="nil"/>
            </w:tcBorders>
            <w:shd w:val="clear" w:color="000000" w:fill="FFFFFF"/>
            <w:noWrap/>
            <w:vAlign w:val="bottom"/>
            <w:hideMark/>
          </w:tcPr>
          <w:p w14:paraId="3D317F87"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11.321</w:t>
            </w:r>
          </w:p>
        </w:tc>
        <w:tc>
          <w:tcPr>
            <w:tcW w:w="751" w:type="dxa"/>
            <w:tcBorders>
              <w:top w:val="nil"/>
              <w:left w:val="nil"/>
              <w:bottom w:val="nil"/>
              <w:right w:val="nil"/>
            </w:tcBorders>
            <w:shd w:val="clear" w:color="000000" w:fill="FFFFFF"/>
            <w:noWrap/>
            <w:vAlign w:val="bottom"/>
            <w:hideMark/>
          </w:tcPr>
          <w:p w14:paraId="2EF6290C"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11.019</w:t>
            </w:r>
          </w:p>
        </w:tc>
        <w:tc>
          <w:tcPr>
            <w:tcW w:w="745" w:type="dxa"/>
            <w:tcBorders>
              <w:top w:val="nil"/>
              <w:left w:val="nil"/>
              <w:bottom w:val="nil"/>
              <w:right w:val="nil"/>
            </w:tcBorders>
            <w:shd w:val="clear" w:color="000000" w:fill="FFFFFF"/>
            <w:noWrap/>
            <w:vAlign w:val="bottom"/>
            <w:hideMark/>
          </w:tcPr>
          <w:p w14:paraId="34918462" w14:textId="77777777" w:rsidR="00ED1634" w:rsidRPr="00D30847" w:rsidRDefault="00ED1634" w:rsidP="00EE7A4D">
            <w:pPr>
              <w:spacing w:after="0" w:line="240" w:lineRule="auto"/>
              <w:jc w:val="center"/>
              <w:rPr>
                <w:rFonts w:ascii="Arial Narrow" w:eastAsia="Times New Roman" w:hAnsi="Arial Narrow"/>
                <w:sz w:val="20"/>
                <w:szCs w:val="20"/>
                <w:lang w:val="en-GB"/>
              </w:rPr>
            </w:pPr>
            <w:r w:rsidRPr="00D30847">
              <w:rPr>
                <w:rFonts w:ascii="Arial Narrow" w:eastAsia="Times New Roman" w:hAnsi="Arial Narrow"/>
                <w:sz w:val="20"/>
                <w:szCs w:val="20"/>
                <w:lang w:val="en-GB"/>
              </w:rPr>
              <w:t>12.174</w:t>
            </w:r>
          </w:p>
        </w:tc>
      </w:tr>
      <w:tr w:rsidR="00ED1634" w:rsidRPr="00D30847" w14:paraId="65D8E2D9"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vAlign w:val="bottom"/>
            <w:hideMark/>
          </w:tcPr>
          <w:p w14:paraId="36E4DADE" w14:textId="77777777" w:rsidR="00ED1634" w:rsidRPr="00D30847" w:rsidRDefault="00ED1634" w:rsidP="00EE7A4D">
            <w:pPr>
              <w:spacing w:after="0" w:line="240" w:lineRule="auto"/>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 xml:space="preserve"> Capital expenditure</w:t>
            </w:r>
          </w:p>
        </w:tc>
        <w:tc>
          <w:tcPr>
            <w:tcW w:w="741" w:type="dxa"/>
            <w:tcBorders>
              <w:top w:val="nil"/>
              <w:left w:val="nil"/>
              <w:bottom w:val="nil"/>
              <w:right w:val="nil"/>
            </w:tcBorders>
            <w:shd w:val="clear" w:color="000000" w:fill="FFFFFF"/>
            <w:noWrap/>
            <w:vAlign w:val="bottom"/>
            <w:hideMark/>
          </w:tcPr>
          <w:p w14:paraId="04AD4926"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28.637</w:t>
            </w:r>
          </w:p>
        </w:tc>
        <w:tc>
          <w:tcPr>
            <w:tcW w:w="741" w:type="dxa"/>
            <w:tcBorders>
              <w:top w:val="nil"/>
              <w:left w:val="nil"/>
              <w:bottom w:val="nil"/>
              <w:right w:val="nil"/>
            </w:tcBorders>
            <w:shd w:val="clear" w:color="000000" w:fill="FFFFFF"/>
            <w:noWrap/>
            <w:vAlign w:val="bottom"/>
            <w:hideMark/>
          </w:tcPr>
          <w:p w14:paraId="06DBE9C2"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43.524</w:t>
            </w:r>
          </w:p>
        </w:tc>
        <w:tc>
          <w:tcPr>
            <w:tcW w:w="698" w:type="dxa"/>
            <w:tcBorders>
              <w:top w:val="nil"/>
              <w:left w:val="nil"/>
              <w:bottom w:val="nil"/>
              <w:right w:val="nil"/>
            </w:tcBorders>
            <w:shd w:val="clear" w:color="000000" w:fill="FFFFFF"/>
            <w:noWrap/>
            <w:vAlign w:val="bottom"/>
            <w:hideMark/>
          </w:tcPr>
          <w:p w14:paraId="3DA37EBC"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44.698</w:t>
            </w:r>
          </w:p>
        </w:tc>
        <w:tc>
          <w:tcPr>
            <w:tcW w:w="775" w:type="dxa"/>
            <w:tcBorders>
              <w:top w:val="nil"/>
              <w:left w:val="nil"/>
              <w:bottom w:val="nil"/>
              <w:right w:val="nil"/>
            </w:tcBorders>
            <w:shd w:val="clear" w:color="000000" w:fill="FFFFFF"/>
            <w:noWrap/>
            <w:vAlign w:val="bottom"/>
            <w:hideMark/>
          </w:tcPr>
          <w:p w14:paraId="4441C22C"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45.251</w:t>
            </w:r>
          </w:p>
        </w:tc>
        <w:tc>
          <w:tcPr>
            <w:tcW w:w="769" w:type="dxa"/>
            <w:tcBorders>
              <w:top w:val="nil"/>
              <w:left w:val="nil"/>
              <w:bottom w:val="nil"/>
              <w:right w:val="nil"/>
            </w:tcBorders>
            <w:shd w:val="clear" w:color="000000" w:fill="FFFFFF"/>
            <w:noWrap/>
            <w:vAlign w:val="bottom"/>
            <w:hideMark/>
          </w:tcPr>
          <w:p w14:paraId="29C2DD97"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48.387</w:t>
            </w:r>
          </w:p>
        </w:tc>
        <w:tc>
          <w:tcPr>
            <w:tcW w:w="751" w:type="dxa"/>
            <w:tcBorders>
              <w:top w:val="nil"/>
              <w:left w:val="nil"/>
              <w:bottom w:val="nil"/>
              <w:right w:val="nil"/>
            </w:tcBorders>
            <w:shd w:val="clear" w:color="000000" w:fill="FFFFFF"/>
            <w:noWrap/>
            <w:vAlign w:val="bottom"/>
            <w:hideMark/>
          </w:tcPr>
          <w:p w14:paraId="33BBA7E6"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52.861</w:t>
            </w:r>
          </w:p>
        </w:tc>
        <w:tc>
          <w:tcPr>
            <w:tcW w:w="751" w:type="dxa"/>
            <w:tcBorders>
              <w:top w:val="nil"/>
              <w:left w:val="nil"/>
              <w:bottom w:val="nil"/>
              <w:right w:val="nil"/>
            </w:tcBorders>
            <w:shd w:val="clear" w:color="000000" w:fill="FFFFFF"/>
            <w:noWrap/>
            <w:vAlign w:val="bottom"/>
            <w:hideMark/>
          </w:tcPr>
          <w:p w14:paraId="4124E551"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59.987</w:t>
            </w:r>
          </w:p>
        </w:tc>
        <w:tc>
          <w:tcPr>
            <w:tcW w:w="745" w:type="dxa"/>
            <w:tcBorders>
              <w:top w:val="nil"/>
              <w:left w:val="nil"/>
              <w:bottom w:val="nil"/>
              <w:right w:val="nil"/>
            </w:tcBorders>
            <w:shd w:val="clear" w:color="000000" w:fill="FFFFFF"/>
            <w:noWrap/>
            <w:vAlign w:val="bottom"/>
            <w:hideMark/>
          </w:tcPr>
          <w:p w14:paraId="3F7E2832"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65.302</w:t>
            </w:r>
          </w:p>
        </w:tc>
      </w:tr>
      <w:tr w:rsidR="00ED1634" w:rsidRPr="00D30847" w14:paraId="46FF17B2"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vAlign w:val="center"/>
            <w:hideMark/>
          </w:tcPr>
          <w:p w14:paraId="4C83931F" w14:textId="77777777" w:rsidR="00ED1634" w:rsidRPr="00D30847" w:rsidRDefault="00ED1634" w:rsidP="00EE7A4D">
            <w:pPr>
              <w:spacing w:after="0" w:line="240" w:lineRule="auto"/>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lastRenderedPageBreak/>
              <w:t>Budget balance</w:t>
            </w:r>
          </w:p>
        </w:tc>
        <w:tc>
          <w:tcPr>
            <w:tcW w:w="741" w:type="dxa"/>
            <w:tcBorders>
              <w:top w:val="nil"/>
              <w:left w:val="nil"/>
              <w:bottom w:val="nil"/>
              <w:right w:val="nil"/>
            </w:tcBorders>
            <w:shd w:val="clear" w:color="000000" w:fill="FFFFFF"/>
            <w:hideMark/>
          </w:tcPr>
          <w:p w14:paraId="6EAFE280"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-35.512</w:t>
            </w:r>
          </w:p>
        </w:tc>
        <w:tc>
          <w:tcPr>
            <w:tcW w:w="741" w:type="dxa"/>
            <w:tcBorders>
              <w:top w:val="nil"/>
              <w:left w:val="nil"/>
              <w:bottom w:val="nil"/>
              <w:right w:val="nil"/>
            </w:tcBorders>
            <w:shd w:val="clear" w:color="000000" w:fill="FFFFFF"/>
            <w:hideMark/>
          </w:tcPr>
          <w:p w14:paraId="6C914B53"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-41.410</w:t>
            </w:r>
          </w:p>
        </w:tc>
        <w:tc>
          <w:tcPr>
            <w:tcW w:w="698" w:type="dxa"/>
            <w:tcBorders>
              <w:top w:val="nil"/>
              <w:left w:val="nil"/>
              <w:bottom w:val="nil"/>
              <w:right w:val="nil"/>
            </w:tcBorders>
            <w:shd w:val="clear" w:color="000000" w:fill="FFFFFF"/>
            <w:hideMark/>
          </w:tcPr>
          <w:p w14:paraId="1D038EB0"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-44.666</w:t>
            </w:r>
          </w:p>
        </w:tc>
        <w:tc>
          <w:tcPr>
            <w:tcW w:w="775" w:type="dxa"/>
            <w:tcBorders>
              <w:top w:val="nil"/>
              <w:left w:val="nil"/>
              <w:bottom w:val="nil"/>
              <w:right w:val="nil"/>
            </w:tcBorders>
            <w:shd w:val="clear" w:color="000000" w:fill="FFFFFF"/>
            <w:hideMark/>
          </w:tcPr>
          <w:p w14:paraId="2C85C031"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-39.370</w:t>
            </w:r>
          </w:p>
        </w:tc>
        <w:tc>
          <w:tcPr>
            <w:tcW w:w="769" w:type="dxa"/>
            <w:tcBorders>
              <w:top w:val="nil"/>
              <w:left w:val="nil"/>
              <w:bottom w:val="nil"/>
              <w:right w:val="nil"/>
            </w:tcBorders>
            <w:shd w:val="clear" w:color="000000" w:fill="FFFFFF"/>
            <w:hideMark/>
          </w:tcPr>
          <w:p w14:paraId="222AF1DE"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-37.025</w:t>
            </w:r>
          </w:p>
        </w:tc>
        <w:tc>
          <w:tcPr>
            <w:tcW w:w="751" w:type="dxa"/>
            <w:tcBorders>
              <w:top w:val="nil"/>
              <w:left w:val="nil"/>
              <w:bottom w:val="nil"/>
              <w:right w:val="nil"/>
            </w:tcBorders>
            <w:shd w:val="clear" w:color="000000" w:fill="FFFFFF"/>
            <w:hideMark/>
          </w:tcPr>
          <w:p w14:paraId="648D91DC"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-34.055</w:t>
            </w:r>
          </w:p>
        </w:tc>
        <w:tc>
          <w:tcPr>
            <w:tcW w:w="751" w:type="dxa"/>
            <w:tcBorders>
              <w:top w:val="nil"/>
              <w:left w:val="nil"/>
              <w:bottom w:val="nil"/>
              <w:right w:val="nil"/>
            </w:tcBorders>
            <w:shd w:val="clear" w:color="000000" w:fill="FFFFFF"/>
            <w:hideMark/>
          </w:tcPr>
          <w:p w14:paraId="26219850"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-36.400</w:t>
            </w:r>
          </w:p>
        </w:tc>
        <w:tc>
          <w:tcPr>
            <w:tcW w:w="745" w:type="dxa"/>
            <w:tcBorders>
              <w:top w:val="nil"/>
              <w:left w:val="nil"/>
              <w:bottom w:val="nil"/>
              <w:right w:val="nil"/>
            </w:tcBorders>
            <w:shd w:val="clear" w:color="000000" w:fill="FFFFFF"/>
            <w:hideMark/>
          </w:tcPr>
          <w:p w14:paraId="71DD0469"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-36.526</w:t>
            </w:r>
          </w:p>
        </w:tc>
      </w:tr>
      <w:tr w:rsidR="00ED1634" w:rsidRPr="00D30847" w14:paraId="775D70AC"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vAlign w:val="center"/>
            <w:hideMark/>
          </w:tcPr>
          <w:p w14:paraId="433CE2B4" w14:textId="77777777" w:rsidR="00ED1634" w:rsidRPr="00D30847" w:rsidRDefault="00ED1634" w:rsidP="00EE7A4D">
            <w:pPr>
              <w:spacing w:after="0" w:line="240" w:lineRule="auto"/>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Primary budget balance</w:t>
            </w:r>
          </w:p>
        </w:tc>
        <w:tc>
          <w:tcPr>
            <w:tcW w:w="741" w:type="dxa"/>
            <w:tcBorders>
              <w:top w:val="nil"/>
              <w:left w:val="nil"/>
              <w:bottom w:val="nil"/>
              <w:right w:val="nil"/>
            </w:tcBorders>
            <w:shd w:val="clear" w:color="000000" w:fill="FFFFFF"/>
            <w:hideMark/>
          </w:tcPr>
          <w:p w14:paraId="11D1E178"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-26.372</w:t>
            </w:r>
          </w:p>
        </w:tc>
        <w:tc>
          <w:tcPr>
            <w:tcW w:w="741" w:type="dxa"/>
            <w:tcBorders>
              <w:top w:val="nil"/>
              <w:left w:val="nil"/>
              <w:bottom w:val="nil"/>
              <w:right w:val="nil"/>
            </w:tcBorders>
            <w:shd w:val="clear" w:color="000000" w:fill="FFFFFF"/>
            <w:hideMark/>
          </w:tcPr>
          <w:p w14:paraId="3BC37669"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-28.469</w:t>
            </w:r>
          </w:p>
        </w:tc>
        <w:tc>
          <w:tcPr>
            <w:tcW w:w="698" w:type="dxa"/>
            <w:tcBorders>
              <w:top w:val="nil"/>
              <w:left w:val="nil"/>
              <w:bottom w:val="nil"/>
              <w:right w:val="nil"/>
            </w:tcBorders>
            <w:shd w:val="clear" w:color="000000" w:fill="FFFFFF"/>
            <w:hideMark/>
          </w:tcPr>
          <w:p w14:paraId="54A26E5D"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-27.033</w:t>
            </w:r>
          </w:p>
        </w:tc>
        <w:tc>
          <w:tcPr>
            <w:tcW w:w="775" w:type="dxa"/>
            <w:tcBorders>
              <w:top w:val="nil"/>
              <w:left w:val="nil"/>
              <w:bottom w:val="nil"/>
              <w:right w:val="nil"/>
            </w:tcBorders>
            <w:shd w:val="clear" w:color="000000" w:fill="FFFFFF"/>
            <w:hideMark/>
          </w:tcPr>
          <w:p w14:paraId="7670C5EA"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-20.037</w:t>
            </w:r>
          </w:p>
        </w:tc>
        <w:tc>
          <w:tcPr>
            <w:tcW w:w="769" w:type="dxa"/>
            <w:tcBorders>
              <w:top w:val="nil"/>
              <w:left w:val="nil"/>
              <w:bottom w:val="nil"/>
              <w:right w:val="nil"/>
            </w:tcBorders>
            <w:shd w:val="clear" w:color="000000" w:fill="FFFFFF"/>
            <w:hideMark/>
          </w:tcPr>
          <w:p w14:paraId="5F65A3EF"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-15.652</w:t>
            </w:r>
          </w:p>
        </w:tc>
        <w:tc>
          <w:tcPr>
            <w:tcW w:w="751" w:type="dxa"/>
            <w:tcBorders>
              <w:top w:val="nil"/>
              <w:left w:val="nil"/>
              <w:bottom w:val="nil"/>
              <w:right w:val="nil"/>
            </w:tcBorders>
            <w:shd w:val="clear" w:color="000000" w:fill="FFFFFF"/>
            <w:hideMark/>
          </w:tcPr>
          <w:p w14:paraId="594EE077"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-10.523</w:t>
            </w:r>
          </w:p>
        </w:tc>
        <w:tc>
          <w:tcPr>
            <w:tcW w:w="751" w:type="dxa"/>
            <w:tcBorders>
              <w:top w:val="nil"/>
              <w:left w:val="nil"/>
              <w:bottom w:val="nil"/>
              <w:right w:val="nil"/>
            </w:tcBorders>
            <w:shd w:val="clear" w:color="000000" w:fill="FFFFFF"/>
            <w:hideMark/>
          </w:tcPr>
          <w:p w14:paraId="42060A80"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-11.445</w:t>
            </w:r>
          </w:p>
        </w:tc>
        <w:tc>
          <w:tcPr>
            <w:tcW w:w="745" w:type="dxa"/>
            <w:tcBorders>
              <w:top w:val="nil"/>
              <w:left w:val="nil"/>
              <w:bottom w:val="nil"/>
              <w:right w:val="nil"/>
            </w:tcBorders>
            <w:shd w:val="clear" w:color="000000" w:fill="FFFFFF"/>
            <w:hideMark/>
          </w:tcPr>
          <w:p w14:paraId="7CCD9F19"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-8.446</w:t>
            </w:r>
          </w:p>
        </w:tc>
      </w:tr>
      <w:tr w:rsidR="00ED1634" w:rsidRPr="00D30847" w14:paraId="79CAFA58"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vAlign w:val="center"/>
            <w:hideMark/>
          </w:tcPr>
          <w:p w14:paraId="56B87A95" w14:textId="77777777" w:rsidR="00ED1634" w:rsidRPr="00D30847" w:rsidRDefault="00ED1634" w:rsidP="00EE7A4D">
            <w:pPr>
              <w:spacing w:after="0" w:line="240" w:lineRule="auto"/>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 </w:t>
            </w:r>
          </w:p>
        </w:tc>
        <w:tc>
          <w:tcPr>
            <w:tcW w:w="741" w:type="dxa"/>
            <w:tcBorders>
              <w:top w:val="nil"/>
              <w:left w:val="nil"/>
              <w:bottom w:val="nil"/>
              <w:right w:val="nil"/>
            </w:tcBorders>
            <w:shd w:val="clear" w:color="000000" w:fill="FFFFFF"/>
            <w:hideMark/>
          </w:tcPr>
          <w:p w14:paraId="7E4388F5"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 </w:t>
            </w:r>
          </w:p>
        </w:tc>
        <w:tc>
          <w:tcPr>
            <w:tcW w:w="741" w:type="dxa"/>
            <w:tcBorders>
              <w:top w:val="nil"/>
              <w:left w:val="nil"/>
              <w:bottom w:val="nil"/>
              <w:right w:val="nil"/>
            </w:tcBorders>
            <w:shd w:val="clear" w:color="000000" w:fill="FFFFFF"/>
            <w:hideMark/>
          </w:tcPr>
          <w:p w14:paraId="7FEA0F3E"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 </w:t>
            </w:r>
          </w:p>
        </w:tc>
        <w:tc>
          <w:tcPr>
            <w:tcW w:w="698" w:type="dxa"/>
            <w:tcBorders>
              <w:top w:val="nil"/>
              <w:left w:val="nil"/>
              <w:bottom w:val="nil"/>
              <w:right w:val="nil"/>
            </w:tcBorders>
            <w:shd w:val="clear" w:color="000000" w:fill="FFFFFF"/>
            <w:hideMark/>
          </w:tcPr>
          <w:p w14:paraId="5157C19F"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 </w:t>
            </w:r>
          </w:p>
        </w:tc>
        <w:tc>
          <w:tcPr>
            <w:tcW w:w="775" w:type="dxa"/>
            <w:tcBorders>
              <w:top w:val="nil"/>
              <w:left w:val="nil"/>
              <w:bottom w:val="nil"/>
              <w:right w:val="nil"/>
            </w:tcBorders>
            <w:shd w:val="clear" w:color="000000" w:fill="FFFFFF"/>
            <w:hideMark/>
          </w:tcPr>
          <w:p w14:paraId="2EABD398"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 </w:t>
            </w:r>
          </w:p>
        </w:tc>
        <w:tc>
          <w:tcPr>
            <w:tcW w:w="769" w:type="dxa"/>
            <w:tcBorders>
              <w:top w:val="nil"/>
              <w:left w:val="nil"/>
              <w:bottom w:val="nil"/>
              <w:right w:val="nil"/>
            </w:tcBorders>
            <w:shd w:val="clear" w:color="000000" w:fill="FFFFFF"/>
            <w:hideMark/>
          </w:tcPr>
          <w:p w14:paraId="10E1381A"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 </w:t>
            </w:r>
          </w:p>
        </w:tc>
        <w:tc>
          <w:tcPr>
            <w:tcW w:w="751" w:type="dxa"/>
            <w:tcBorders>
              <w:top w:val="nil"/>
              <w:left w:val="nil"/>
              <w:bottom w:val="nil"/>
              <w:right w:val="nil"/>
            </w:tcBorders>
            <w:shd w:val="clear" w:color="000000" w:fill="FFFFFF"/>
            <w:hideMark/>
          </w:tcPr>
          <w:p w14:paraId="2B31F4AB"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 </w:t>
            </w:r>
          </w:p>
        </w:tc>
        <w:tc>
          <w:tcPr>
            <w:tcW w:w="751" w:type="dxa"/>
            <w:tcBorders>
              <w:top w:val="nil"/>
              <w:left w:val="nil"/>
              <w:bottom w:val="nil"/>
              <w:right w:val="nil"/>
            </w:tcBorders>
            <w:shd w:val="clear" w:color="000000" w:fill="FFFFFF"/>
            <w:hideMark/>
          </w:tcPr>
          <w:p w14:paraId="368418F1"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 </w:t>
            </w:r>
          </w:p>
        </w:tc>
        <w:tc>
          <w:tcPr>
            <w:tcW w:w="745" w:type="dxa"/>
            <w:tcBorders>
              <w:top w:val="nil"/>
              <w:left w:val="nil"/>
              <w:bottom w:val="nil"/>
              <w:right w:val="nil"/>
            </w:tcBorders>
            <w:shd w:val="clear" w:color="000000" w:fill="FFFFFF"/>
            <w:hideMark/>
          </w:tcPr>
          <w:p w14:paraId="04BDA0B5"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 </w:t>
            </w:r>
          </w:p>
        </w:tc>
      </w:tr>
      <w:tr w:rsidR="00ED1634" w:rsidRPr="00D30847" w14:paraId="7D44A956"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vAlign w:val="center"/>
            <w:hideMark/>
          </w:tcPr>
          <w:p w14:paraId="7AF303D1" w14:textId="77777777" w:rsidR="00ED1634" w:rsidRPr="00D30847" w:rsidRDefault="00ED1634" w:rsidP="00EE7A4D">
            <w:pPr>
              <w:spacing w:after="0" w:line="240" w:lineRule="auto"/>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Total revenues, % of GDP**</w:t>
            </w:r>
          </w:p>
        </w:tc>
        <w:tc>
          <w:tcPr>
            <w:tcW w:w="741" w:type="dxa"/>
            <w:tcBorders>
              <w:top w:val="nil"/>
              <w:left w:val="nil"/>
              <w:bottom w:val="nil"/>
              <w:right w:val="nil"/>
            </w:tcBorders>
            <w:shd w:val="clear" w:color="000000" w:fill="FFFFFF"/>
            <w:hideMark/>
          </w:tcPr>
          <w:p w14:paraId="57E660E3"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30,3</w:t>
            </w:r>
          </w:p>
        </w:tc>
        <w:tc>
          <w:tcPr>
            <w:tcW w:w="741" w:type="dxa"/>
            <w:tcBorders>
              <w:top w:val="nil"/>
              <w:left w:val="nil"/>
              <w:bottom w:val="nil"/>
              <w:right w:val="nil"/>
            </w:tcBorders>
            <w:shd w:val="clear" w:color="000000" w:fill="FFFFFF"/>
            <w:hideMark/>
          </w:tcPr>
          <w:p w14:paraId="3C1FB6F6"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33,0</w:t>
            </w:r>
          </w:p>
        </w:tc>
        <w:tc>
          <w:tcPr>
            <w:tcW w:w="698" w:type="dxa"/>
            <w:tcBorders>
              <w:top w:val="nil"/>
              <w:left w:val="nil"/>
              <w:bottom w:val="nil"/>
              <w:right w:val="nil"/>
            </w:tcBorders>
            <w:shd w:val="clear" w:color="000000" w:fill="FFFFFF"/>
            <w:hideMark/>
          </w:tcPr>
          <w:p w14:paraId="27BAD4AF"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35,2</w:t>
            </w:r>
          </w:p>
        </w:tc>
        <w:tc>
          <w:tcPr>
            <w:tcW w:w="775" w:type="dxa"/>
            <w:tcBorders>
              <w:top w:val="nil"/>
              <w:left w:val="nil"/>
              <w:bottom w:val="nil"/>
              <w:right w:val="nil"/>
            </w:tcBorders>
            <w:shd w:val="clear" w:color="000000" w:fill="FFFFFF"/>
            <w:hideMark/>
          </w:tcPr>
          <w:p w14:paraId="457E04D5"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35,8</w:t>
            </w:r>
          </w:p>
        </w:tc>
        <w:tc>
          <w:tcPr>
            <w:tcW w:w="769" w:type="dxa"/>
            <w:tcBorders>
              <w:top w:val="nil"/>
              <w:left w:val="nil"/>
              <w:bottom w:val="nil"/>
              <w:right w:val="nil"/>
            </w:tcBorders>
            <w:shd w:val="clear" w:color="000000" w:fill="FFFFFF"/>
            <w:hideMark/>
          </w:tcPr>
          <w:p w14:paraId="0E8C2F41"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36,0</w:t>
            </w:r>
          </w:p>
        </w:tc>
        <w:tc>
          <w:tcPr>
            <w:tcW w:w="751" w:type="dxa"/>
            <w:tcBorders>
              <w:top w:val="nil"/>
              <w:left w:val="nil"/>
              <w:bottom w:val="nil"/>
              <w:right w:val="nil"/>
            </w:tcBorders>
            <w:shd w:val="clear" w:color="000000" w:fill="FFFFFF"/>
            <w:hideMark/>
          </w:tcPr>
          <w:p w14:paraId="32FD9C38"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36,1</w:t>
            </w:r>
          </w:p>
        </w:tc>
        <w:tc>
          <w:tcPr>
            <w:tcW w:w="751" w:type="dxa"/>
            <w:tcBorders>
              <w:top w:val="nil"/>
              <w:left w:val="nil"/>
              <w:bottom w:val="nil"/>
              <w:right w:val="nil"/>
            </w:tcBorders>
            <w:shd w:val="clear" w:color="000000" w:fill="FFFFFF"/>
            <w:hideMark/>
          </w:tcPr>
          <w:p w14:paraId="465ECE62"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36,1</w:t>
            </w:r>
          </w:p>
        </w:tc>
        <w:tc>
          <w:tcPr>
            <w:tcW w:w="745" w:type="dxa"/>
            <w:tcBorders>
              <w:top w:val="nil"/>
              <w:left w:val="nil"/>
              <w:bottom w:val="nil"/>
              <w:right w:val="nil"/>
            </w:tcBorders>
            <w:shd w:val="clear" w:color="000000" w:fill="FFFFFF"/>
            <w:hideMark/>
          </w:tcPr>
          <w:p w14:paraId="3E206EBA"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36,2</w:t>
            </w:r>
          </w:p>
        </w:tc>
      </w:tr>
      <w:tr w:rsidR="00ED1634" w:rsidRPr="00D30847" w14:paraId="56C5A434"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vAlign w:val="center"/>
            <w:hideMark/>
          </w:tcPr>
          <w:p w14:paraId="4E214B4B" w14:textId="77777777" w:rsidR="00ED1634" w:rsidRPr="00D30847" w:rsidRDefault="00ED1634" w:rsidP="00EE7A4D">
            <w:pPr>
              <w:spacing w:after="0" w:line="240" w:lineRule="auto"/>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Total expenditure, % of GDP**</w:t>
            </w:r>
          </w:p>
        </w:tc>
        <w:tc>
          <w:tcPr>
            <w:tcW w:w="741" w:type="dxa"/>
            <w:tcBorders>
              <w:top w:val="nil"/>
              <w:left w:val="nil"/>
              <w:bottom w:val="nil"/>
              <w:right w:val="nil"/>
            </w:tcBorders>
            <w:shd w:val="clear" w:color="000000" w:fill="FFFFFF"/>
            <w:hideMark/>
          </w:tcPr>
          <w:p w14:paraId="6E524A3E"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34,7</w:t>
            </w:r>
          </w:p>
        </w:tc>
        <w:tc>
          <w:tcPr>
            <w:tcW w:w="741" w:type="dxa"/>
            <w:tcBorders>
              <w:top w:val="nil"/>
              <w:left w:val="nil"/>
              <w:bottom w:val="nil"/>
              <w:right w:val="nil"/>
            </w:tcBorders>
            <w:shd w:val="clear" w:color="000000" w:fill="FFFFFF"/>
            <w:hideMark/>
          </w:tcPr>
          <w:p w14:paraId="65F73018"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37,9</w:t>
            </w:r>
          </w:p>
        </w:tc>
        <w:tc>
          <w:tcPr>
            <w:tcW w:w="698" w:type="dxa"/>
            <w:tcBorders>
              <w:top w:val="nil"/>
              <w:left w:val="nil"/>
              <w:bottom w:val="nil"/>
              <w:right w:val="nil"/>
            </w:tcBorders>
            <w:shd w:val="clear" w:color="000000" w:fill="FFFFFF"/>
            <w:hideMark/>
          </w:tcPr>
          <w:p w14:paraId="56FD076C"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40,1</w:t>
            </w:r>
          </w:p>
        </w:tc>
        <w:tc>
          <w:tcPr>
            <w:tcW w:w="775" w:type="dxa"/>
            <w:tcBorders>
              <w:top w:val="nil"/>
              <w:left w:val="nil"/>
              <w:bottom w:val="nil"/>
              <w:right w:val="nil"/>
            </w:tcBorders>
            <w:shd w:val="clear" w:color="000000" w:fill="FFFFFF"/>
            <w:hideMark/>
          </w:tcPr>
          <w:p w14:paraId="441299FE"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39,8</w:t>
            </w:r>
          </w:p>
        </w:tc>
        <w:tc>
          <w:tcPr>
            <w:tcW w:w="769" w:type="dxa"/>
            <w:tcBorders>
              <w:top w:val="nil"/>
              <w:left w:val="nil"/>
              <w:bottom w:val="nil"/>
              <w:right w:val="nil"/>
            </w:tcBorders>
            <w:shd w:val="clear" w:color="000000" w:fill="FFFFFF"/>
            <w:hideMark/>
          </w:tcPr>
          <w:p w14:paraId="18AA845C"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39,5</w:t>
            </w:r>
          </w:p>
        </w:tc>
        <w:tc>
          <w:tcPr>
            <w:tcW w:w="751" w:type="dxa"/>
            <w:tcBorders>
              <w:top w:val="nil"/>
              <w:left w:val="nil"/>
              <w:bottom w:val="nil"/>
              <w:right w:val="nil"/>
            </w:tcBorders>
            <w:shd w:val="clear" w:color="000000" w:fill="FFFFFF"/>
            <w:hideMark/>
          </w:tcPr>
          <w:p w14:paraId="60A48427"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39,1</w:t>
            </w:r>
          </w:p>
        </w:tc>
        <w:tc>
          <w:tcPr>
            <w:tcW w:w="751" w:type="dxa"/>
            <w:tcBorders>
              <w:top w:val="nil"/>
              <w:left w:val="nil"/>
              <w:bottom w:val="nil"/>
              <w:right w:val="nil"/>
            </w:tcBorders>
            <w:shd w:val="clear" w:color="000000" w:fill="FFFFFF"/>
            <w:hideMark/>
          </w:tcPr>
          <w:p w14:paraId="226EB7FE"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39,1</w:t>
            </w:r>
          </w:p>
        </w:tc>
        <w:tc>
          <w:tcPr>
            <w:tcW w:w="745" w:type="dxa"/>
            <w:tcBorders>
              <w:top w:val="nil"/>
              <w:left w:val="nil"/>
              <w:bottom w:val="nil"/>
              <w:right w:val="nil"/>
            </w:tcBorders>
            <w:shd w:val="clear" w:color="000000" w:fill="FFFFFF"/>
            <w:hideMark/>
          </w:tcPr>
          <w:p w14:paraId="0C954D5D"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39,1</w:t>
            </w:r>
          </w:p>
        </w:tc>
      </w:tr>
      <w:tr w:rsidR="00ED1634" w:rsidRPr="00D30847" w14:paraId="3A2442A2" w14:textId="77777777" w:rsidTr="00EE7A4D">
        <w:trPr>
          <w:gridAfter w:val="6"/>
          <w:wAfter w:w="2208" w:type="dxa"/>
          <w:trHeight w:val="255"/>
        </w:trPr>
        <w:tc>
          <w:tcPr>
            <w:tcW w:w="2681" w:type="dxa"/>
            <w:tcBorders>
              <w:top w:val="nil"/>
              <w:left w:val="nil"/>
              <w:bottom w:val="nil"/>
              <w:right w:val="single" w:sz="4" w:space="0" w:color="auto"/>
            </w:tcBorders>
            <w:shd w:val="clear" w:color="000000" w:fill="FFFFFF"/>
            <w:noWrap/>
            <w:vAlign w:val="center"/>
            <w:hideMark/>
          </w:tcPr>
          <w:p w14:paraId="77393A4D" w14:textId="77777777" w:rsidR="00ED1634" w:rsidRPr="00D30847" w:rsidRDefault="00ED1634" w:rsidP="00EE7A4D">
            <w:pPr>
              <w:spacing w:after="0" w:line="240" w:lineRule="auto"/>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Budget balance, % of GDP**</w:t>
            </w:r>
          </w:p>
        </w:tc>
        <w:tc>
          <w:tcPr>
            <w:tcW w:w="741" w:type="dxa"/>
            <w:tcBorders>
              <w:top w:val="nil"/>
              <w:left w:val="nil"/>
              <w:bottom w:val="nil"/>
              <w:right w:val="nil"/>
            </w:tcBorders>
            <w:shd w:val="clear" w:color="000000" w:fill="FFFFFF"/>
            <w:hideMark/>
          </w:tcPr>
          <w:p w14:paraId="697E8CE3"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-4,4</w:t>
            </w:r>
          </w:p>
        </w:tc>
        <w:tc>
          <w:tcPr>
            <w:tcW w:w="741" w:type="dxa"/>
            <w:tcBorders>
              <w:top w:val="nil"/>
              <w:left w:val="nil"/>
              <w:bottom w:val="nil"/>
              <w:right w:val="nil"/>
            </w:tcBorders>
            <w:shd w:val="clear" w:color="000000" w:fill="FFFFFF"/>
            <w:hideMark/>
          </w:tcPr>
          <w:p w14:paraId="36EFD67A"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-4,9</w:t>
            </w:r>
          </w:p>
        </w:tc>
        <w:tc>
          <w:tcPr>
            <w:tcW w:w="698" w:type="dxa"/>
            <w:tcBorders>
              <w:top w:val="nil"/>
              <w:left w:val="nil"/>
              <w:bottom w:val="nil"/>
              <w:right w:val="nil"/>
            </w:tcBorders>
            <w:shd w:val="clear" w:color="000000" w:fill="FFFFFF"/>
            <w:hideMark/>
          </w:tcPr>
          <w:p w14:paraId="2A03E362"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-4,9</w:t>
            </w:r>
          </w:p>
        </w:tc>
        <w:tc>
          <w:tcPr>
            <w:tcW w:w="775" w:type="dxa"/>
            <w:tcBorders>
              <w:top w:val="nil"/>
              <w:left w:val="nil"/>
              <w:bottom w:val="nil"/>
              <w:right w:val="nil"/>
            </w:tcBorders>
            <w:shd w:val="clear" w:color="000000" w:fill="FFFFFF"/>
            <w:hideMark/>
          </w:tcPr>
          <w:p w14:paraId="7236F101"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-4,0</w:t>
            </w:r>
          </w:p>
        </w:tc>
        <w:tc>
          <w:tcPr>
            <w:tcW w:w="769" w:type="dxa"/>
            <w:tcBorders>
              <w:top w:val="nil"/>
              <w:left w:val="nil"/>
              <w:bottom w:val="nil"/>
              <w:right w:val="nil"/>
            </w:tcBorders>
            <w:shd w:val="clear" w:color="000000" w:fill="FFFFFF"/>
            <w:hideMark/>
          </w:tcPr>
          <w:p w14:paraId="40C89B5D"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-3,5</w:t>
            </w:r>
          </w:p>
        </w:tc>
        <w:tc>
          <w:tcPr>
            <w:tcW w:w="751" w:type="dxa"/>
            <w:tcBorders>
              <w:top w:val="nil"/>
              <w:left w:val="nil"/>
              <w:bottom w:val="nil"/>
              <w:right w:val="nil"/>
            </w:tcBorders>
            <w:shd w:val="clear" w:color="000000" w:fill="FFFFFF"/>
            <w:hideMark/>
          </w:tcPr>
          <w:p w14:paraId="6AFD1D1E"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-3,0</w:t>
            </w:r>
          </w:p>
        </w:tc>
        <w:tc>
          <w:tcPr>
            <w:tcW w:w="751" w:type="dxa"/>
            <w:tcBorders>
              <w:top w:val="nil"/>
              <w:left w:val="nil"/>
              <w:bottom w:val="nil"/>
              <w:right w:val="nil"/>
            </w:tcBorders>
            <w:shd w:val="clear" w:color="000000" w:fill="FFFFFF"/>
            <w:hideMark/>
          </w:tcPr>
          <w:p w14:paraId="0B52FC0A"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-3,0</w:t>
            </w:r>
          </w:p>
        </w:tc>
        <w:tc>
          <w:tcPr>
            <w:tcW w:w="745" w:type="dxa"/>
            <w:tcBorders>
              <w:top w:val="nil"/>
              <w:left w:val="nil"/>
              <w:bottom w:val="nil"/>
              <w:right w:val="nil"/>
            </w:tcBorders>
            <w:shd w:val="clear" w:color="000000" w:fill="FFFFFF"/>
            <w:hideMark/>
          </w:tcPr>
          <w:p w14:paraId="099BD418"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-2,8</w:t>
            </w:r>
          </w:p>
        </w:tc>
      </w:tr>
      <w:tr w:rsidR="00ED1634" w:rsidRPr="00D30847" w14:paraId="62D63D0B" w14:textId="77777777" w:rsidTr="00EE7A4D">
        <w:trPr>
          <w:gridAfter w:val="6"/>
          <w:wAfter w:w="2208" w:type="dxa"/>
          <w:trHeight w:val="525"/>
        </w:trPr>
        <w:tc>
          <w:tcPr>
            <w:tcW w:w="2681" w:type="dxa"/>
            <w:tcBorders>
              <w:top w:val="nil"/>
              <w:left w:val="nil"/>
              <w:bottom w:val="single" w:sz="8" w:space="0" w:color="auto"/>
              <w:right w:val="single" w:sz="4" w:space="0" w:color="auto"/>
            </w:tcBorders>
            <w:shd w:val="clear" w:color="000000" w:fill="FFFFFF"/>
            <w:vAlign w:val="center"/>
            <w:hideMark/>
          </w:tcPr>
          <w:p w14:paraId="1C1D173F" w14:textId="77777777" w:rsidR="00ED1634" w:rsidRPr="00D30847" w:rsidRDefault="00ED1634" w:rsidP="00EE7A4D">
            <w:pPr>
              <w:spacing w:after="0" w:line="240" w:lineRule="auto"/>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Primary budget balance, % of GDP**</w:t>
            </w:r>
          </w:p>
        </w:tc>
        <w:tc>
          <w:tcPr>
            <w:tcW w:w="741" w:type="dxa"/>
            <w:tcBorders>
              <w:top w:val="nil"/>
              <w:left w:val="nil"/>
              <w:bottom w:val="single" w:sz="8" w:space="0" w:color="auto"/>
              <w:right w:val="nil"/>
            </w:tcBorders>
            <w:shd w:val="clear" w:color="000000" w:fill="FFFFFF"/>
            <w:vAlign w:val="center"/>
            <w:hideMark/>
          </w:tcPr>
          <w:p w14:paraId="23118FEC"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-3,3</w:t>
            </w:r>
          </w:p>
        </w:tc>
        <w:tc>
          <w:tcPr>
            <w:tcW w:w="741" w:type="dxa"/>
            <w:tcBorders>
              <w:top w:val="nil"/>
              <w:left w:val="nil"/>
              <w:bottom w:val="single" w:sz="8" w:space="0" w:color="auto"/>
              <w:right w:val="nil"/>
            </w:tcBorders>
            <w:shd w:val="clear" w:color="000000" w:fill="FFFFFF"/>
            <w:vAlign w:val="center"/>
            <w:hideMark/>
          </w:tcPr>
          <w:p w14:paraId="73CB27E0"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-3,4</w:t>
            </w:r>
          </w:p>
        </w:tc>
        <w:tc>
          <w:tcPr>
            <w:tcW w:w="698" w:type="dxa"/>
            <w:tcBorders>
              <w:top w:val="nil"/>
              <w:left w:val="nil"/>
              <w:bottom w:val="single" w:sz="8" w:space="0" w:color="auto"/>
              <w:right w:val="nil"/>
            </w:tcBorders>
            <w:shd w:val="clear" w:color="000000" w:fill="FFFFFF"/>
            <w:vAlign w:val="center"/>
            <w:hideMark/>
          </w:tcPr>
          <w:p w14:paraId="53C59FBB"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-3,0</w:t>
            </w:r>
          </w:p>
        </w:tc>
        <w:tc>
          <w:tcPr>
            <w:tcW w:w="775" w:type="dxa"/>
            <w:tcBorders>
              <w:top w:val="nil"/>
              <w:left w:val="nil"/>
              <w:bottom w:val="single" w:sz="8" w:space="0" w:color="auto"/>
              <w:right w:val="nil"/>
            </w:tcBorders>
            <w:shd w:val="clear" w:color="000000" w:fill="FFFFFF"/>
            <w:vAlign w:val="center"/>
            <w:hideMark/>
          </w:tcPr>
          <w:p w14:paraId="5F8D9D60"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-2,1</w:t>
            </w:r>
          </w:p>
        </w:tc>
        <w:tc>
          <w:tcPr>
            <w:tcW w:w="769" w:type="dxa"/>
            <w:tcBorders>
              <w:top w:val="nil"/>
              <w:left w:val="nil"/>
              <w:bottom w:val="single" w:sz="8" w:space="0" w:color="auto"/>
              <w:right w:val="nil"/>
            </w:tcBorders>
            <w:shd w:val="clear" w:color="000000" w:fill="FFFFFF"/>
            <w:vAlign w:val="center"/>
            <w:hideMark/>
          </w:tcPr>
          <w:p w14:paraId="56DB60E9"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-1,5</w:t>
            </w:r>
          </w:p>
        </w:tc>
        <w:tc>
          <w:tcPr>
            <w:tcW w:w="751" w:type="dxa"/>
            <w:tcBorders>
              <w:top w:val="nil"/>
              <w:left w:val="nil"/>
              <w:bottom w:val="single" w:sz="8" w:space="0" w:color="auto"/>
              <w:right w:val="nil"/>
            </w:tcBorders>
            <w:shd w:val="clear" w:color="000000" w:fill="FFFFFF"/>
            <w:vAlign w:val="center"/>
            <w:hideMark/>
          </w:tcPr>
          <w:p w14:paraId="3921C035"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-0,9</w:t>
            </w:r>
          </w:p>
        </w:tc>
        <w:tc>
          <w:tcPr>
            <w:tcW w:w="751" w:type="dxa"/>
            <w:tcBorders>
              <w:top w:val="nil"/>
              <w:left w:val="nil"/>
              <w:bottom w:val="single" w:sz="8" w:space="0" w:color="auto"/>
              <w:right w:val="nil"/>
            </w:tcBorders>
            <w:shd w:val="clear" w:color="000000" w:fill="FFFFFF"/>
            <w:vAlign w:val="center"/>
            <w:hideMark/>
          </w:tcPr>
          <w:p w14:paraId="5ED78ADE"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-0,9</w:t>
            </w:r>
          </w:p>
        </w:tc>
        <w:tc>
          <w:tcPr>
            <w:tcW w:w="745" w:type="dxa"/>
            <w:tcBorders>
              <w:top w:val="nil"/>
              <w:left w:val="nil"/>
              <w:bottom w:val="single" w:sz="8" w:space="0" w:color="auto"/>
              <w:right w:val="nil"/>
            </w:tcBorders>
            <w:shd w:val="clear" w:color="000000" w:fill="FFFFFF"/>
            <w:vAlign w:val="center"/>
            <w:hideMark/>
          </w:tcPr>
          <w:p w14:paraId="0DF749C8" w14:textId="77777777" w:rsidR="00ED1634" w:rsidRPr="00D30847" w:rsidRDefault="00ED1634" w:rsidP="00EE7A4D">
            <w:pPr>
              <w:spacing w:after="0" w:line="240" w:lineRule="auto"/>
              <w:jc w:val="center"/>
              <w:rPr>
                <w:rFonts w:ascii="Arial Narrow" w:eastAsia="Times New Roman" w:hAnsi="Arial Narrow"/>
                <w:b/>
                <w:bCs/>
                <w:sz w:val="20"/>
                <w:szCs w:val="20"/>
                <w:lang w:val="en-GB"/>
              </w:rPr>
            </w:pPr>
            <w:r w:rsidRPr="00D30847">
              <w:rPr>
                <w:rFonts w:ascii="Arial Narrow" w:eastAsia="Times New Roman" w:hAnsi="Arial Narrow"/>
                <w:b/>
                <w:bCs/>
                <w:sz w:val="20"/>
                <w:szCs w:val="20"/>
                <w:lang w:val="en-GB"/>
              </w:rPr>
              <w:t>-0,6</w:t>
            </w:r>
          </w:p>
        </w:tc>
      </w:tr>
      <w:tr w:rsidR="00ED1634" w:rsidRPr="00D30847" w14:paraId="282B8D1C" w14:textId="77777777" w:rsidTr="00EE7A4D">
        <w:trPr>
          <w:trHeight w:val="315"/>
        </w:trPr>
        <w:tc>
          <w:tcPr>
            <w:tcW w:w="8652" w:type="dxa"/>
            <w:gridSpan w:val="9"/>
            <w:tcBorders>
              <w:top w:val="nil"/>
              <w:left w:val="nil"/>
              <w:bottom w:val="nil"/>
              <w:right w:val="nil"/>
            </w:tcBorders>
            <w:shd w:val="clear" w:color="000000" w:fill="FFFFFF"/>
            <w:noWrap/>
            <w:vAlign w:val="bottom"/>
            <w:hideMark/>
          </w:tcPr>
          <w:p w14:paraId="4FF0C276" w14:textId="77777777" w:rsidR="00ED1634" w:rsidRPr="00D30847" w:rsidRDefault="00ED1634" w:rsidP="00EE7A4D">
            <w:pPr>
              <w:spacing w:after="0" w:line="240" w:lineRule="auto"/>
              <w:rPr>
                <w:rFonts w:ascii="Arial Narrow" w:eastAsia="Times New Roman" w:hAnsi="Arial Narrow"/>
                <w:sz w:val="18"/>
                <w:szCs w:val="18"/>
                <w:lang w:val="en-GB"/>
              </w:rPr>
            </w:pPr>
            <w:r w:rsidRPr="00D30847">
              <w:rPr>
                <w:rFonts w:ascii="Arial Narrow" w:eastAsia="Times New Roman" w:hAnsi="Arial Narrow"/>
                <w:sz w:val="18"/>
                <w:szCs w:val="18"/>
                <w:lang w:val="en-GB"/>
              </w:rPr>
              <w:t>Source: Ministry of Finance and Ministry of Finance projections (*)</w:t>
            </w:r>
          </w:p>
        </w:tc>
        <w:tc>
          <w:tcPr>
            <w:tcW w:w="318" w:type="dxa"/>
            <w:tcBorders>
              <w:top w:val="nil"/>
              <w:left w:val="nil"/>
              <w:bottom w:val="nil"/>
              <w:right w:val="nil"/>
            </w:tcBorders>
            <w:shd w:val="clear" w:color="000000" w:fill="FFFFFF"/>
            <w:hideMark/>
          </w:tcPr>
          <w:p w14:paraId="6260FF2F" w14:textId="77777777" w:rsidR="00ED1634" w:rsidRPr="00D30847" w:rsidRDefault="00ED1634" w:rsidP="00EE7A4D">
            <w:pPr>
              <w:spacing w:after="0" w:line="240" w:lineRule="auto"/>
              <w:jc w:val="center"/>
              <w:rPr>
                <w:rFonts w:ascii="Arial Narrow" w:eastAsia="Times New Roman" w:hAnsi="Arial Narrow"/>
                <w:b/>
                <w:bCs/>
                <w:color w:val="000000"/>
                <w:sz w:val="24"/>
                <w:szCs w:val="24"/>
                <w:lang w:val="en-GB"/>
              </w:rPr>
            </w:pPr>
            <w:r w:rsidRPr="00D30847">
              <w:rPr>
                <w:rFonts w:ascii="Arial Narrow" w:eastAsia="Times New Roman" w:hAnsi="Arial Narrow"/>
                <w:b/>
                <w:bCs/>
                <w:color w:val="000000"/>
                <w:sz w:val="24"/>
                <w:szCs w:val="24"/>
                <w:lang w:val="en-GB"/>
              </w:rPr>
              <w:t> </w:t>
            </w:r>
          </w:p>
        </w:tc>
        <w:tc>
          <w:tcPr>
            <w:tcW w:w="394" w:type="dxa"/>
            <w:tcBorders>
              <w:top w:val="nil"/>
              <w:left w:val="nil"/>
              <w:bottom w:val="nil"/>
              <w:right w:val="nil"/>
            </w:tcBorders>
            <w:shd w:val="clear" w:color="000000" w:fill="FFFFFF"/>
            <w:hideMark/>
          </w:tcPr>
          <w:p w14:paraId="3E2A9181" w14:textId="77777777" w:rsidR="00ED1634" w:rsidRPr="00D30847" w:rsidRDefault="00ED1634" w:rsidP="00EE7A4D">
            <w:pPr>
              <w:spacing w:after="0" w:line="240" w:lineRule="auto"/>
              <w:jc w:val="center"/>
              <w:rPr>
                <w:rFonts w:ascii="Arial Narrow" w:eastAsia="Times New Roman" w:hAnsi="Arial Narrow"/>
                <w:b/>
                <w:bCs/>
                <w:color w:val="000000"/>
                <w:sz w:val="24"/>
                <w:szCs w:val="24"/>
                <w:lang w:val="en-GB"/>
              </w:rPr>
            </w:pPr>
            <w:r w:rsidRPr="00D30847">
              <w:rPr>
                <w:rFonts w:ascii="Arial Narrow" w:eastAsia="Times New Roman" w:hAnsi="Arial Narrow"/>
                <w:b/>
                <w:bCs/>
                <w:color w:val="000000"/>
                <w:sz w:val="24"/>
                <w:szCs w:val="24"/>
                <w:lang w:val="en-GB"/>
              </w:rPr>
              <w:t> </w:t>
            </w:r>
          </w:p>
        </w:tc>
        <w:tc>
          <w:tcPr>
            <w:tcW w:w="389" w:type="dxa"/>
            <w:tcBorders>
              <w:top w:val="nil"/>
              <w:left w:val="nil"/>
              <w:bottom w:val="nil"/>
              <w:right w:val="nil"/>
            </w:tcBorders>
            <w:shd w:val="clear" w:color="000000" w:fill="FFFFFF"/>
            <w:hideMark/>
          </w:tcPr>
          <w:p w14:paraId="021CDD21" w14:textId="77777777" w:rsidR="00ED1634" w:rsidRPr="00D30847" w:rsidRDefault="00ED1634" w:rsidP="00EE7A4D">
            <w:pPr>
              <w:spacing w:after="0" w:line="240" w:lineRule="auto"/>
              <w:jc w:val="center"/>
              <w:rPr>
                <w:rFonts w:ascii="Arial Narrow" w:eastAsia="Times New Roman" w:hAnsi="Arial Narrow"/>
                <w:b/>
                <w:bCs/>
                <w:color w:val="000000"/>
                <w:sz w:val="24"/>
                <w:szCs w:val="24"/>
                <w:lang w:val="en-GB"/>
              </w:rPr>
            </w:pPr>
            <w:r w:rsidRPr="00D30847">
              <w:rPr>
                <w:rFonts w:ascii="Arial Narrow" w:eastAsia="Times New Roman" w:hAnsi="Arial Narrow"/>
                <w:b/>
                <w:bCs/>
                <w:color w:val="000000"/>
                <w:sz w:val="24"/>
                <w:szCs w:val="24"/>
                <w:lang w:val="en-GB"/>
              </w:rPr>
              <w:t> </w:t>
            </w:r>
          </w:p>
        </w:tc>
        <w:tc>
          <w:tcPr>
            <w:tcW w:w="371" w:type="dxa"/>
            <w:tcBorders>
              <w:top w:val="nil"/>
              <w:left w:val="nil"/>
              <w:bottom w:val="nil"/>
              <w:right w:val="nil"/>
            </w:tcBorders>
            <w:shd w:val="clear" w:color="000000" w:fill="FFFFFF"/>
            <w:hideMark/>
          </w:tcPr>
          <w:p w14:paraId="285BF79B" w14:textId="77777777" w:rsidR="00ED1634" w:rsidRPr="00D30847" w:rsidRDefault="00ED1634" w:rsidP="00EE7A4D">
            <w:pPr>
              <w:spacing w:after="0" w:line="240" w:lineRule="auto"/>
              <w:jc w:val="center"/>
              <w:rPr>
                <w:rFonts w:ascii="Arial Narrow" w:eastAsia="Times New Roman" w:hAnsi="Arial Narrow"/>
                <w:b/>
                <w:bCs/>
                <w:color w:val="000000"/>
                <w:sz w:val="24"/>
                <w:szCs w:val="24"/>
                <w:lang w:val="en-GB"/>
              </w:rPr>
            </w:pPr>
            <w:r w:rsidRPr="00D30847">
              <w:rPr>
                <w:rFonts w:ascii="Arial Narrow" w:eastAsia="Times New Roman" w:hAnsi="Arial Narrow"/>
                <w:b/>
                <w:bCs/>
                <w:color w:val="000000"/>
                <w:sz w:val="24"/>
                <w:szCs w:val="24"/>
                <w:lang w:val="en-GB"/>
              </w:rPr>
              <w:t> </w:t>
            </w:r>
          </w:p>
        </w:tc>
        <w:tc>
          <w:tcPr>
            <w:tcW w:w="371" w:type="dxa"/>
            <w:tcBorders>
              <w:top w:val="nil"/>
              <w:left w:val="nil"/>
              <w:bottom w:val="nil"/>
              <w:right w:val="nil"/>
            </w:tcBorders>
            <w:shd w:val="clear" w:color="000000" w:fill="FFFFFF"/>
            <w:hideMark/>
          </w:tcPr>
          <w:p w14:paraId="6B36CD20" w14:textId="77777777" w:rsidR="00ED1634" w:rsidRPr="00D30847" w:rsidRDefault="00ED1634" w:rsidP="00EE7A4D">
            <w:pPr>
              <w:spacing w:after="0" w:line="240" w:lineRule="auto"/>
              <w:jc w:val="center"/>
              <w:rPr>
                <w:rFonts w:ascii="Arial Narrow" w:eastAsia="Times New Roman" w:hAnsi="Arial Narrow"/>
                <w:b/>
                <w:bCs/>
                <w:color w:val="000000"/>
                <w:sz w:val="24"/>
                <w:szCs w:val="24"/>
                <w:lang w:val="en-GB"/>
              </w:rPr>
            </w:pPr>
            <w:r w:rsidRPr="00D30847">
              <w:rPr>
                <w:rFonts w:ascii="Arial Narrow" w:eastAsia="Times New Roman" w:hAnsi="Arial Narrow"/>
                <w:b/>
                <w:bCs/>
                <w:color w:val="000000"/>
                <w:sz w:val="24"/>
                <w:szCs w:val="24"/>
                <w:lang w:val="en-GB"/>
              </w:rPr>
              <w:t> </w:t>
            </w:r>
          </w:p>
        </w:tc>
        <w:tc>
          <w:tcPr>
            <w:tcW w:w="365" w:type="dxa"/>
            <w:tcBorders>
              <w:top w:val="nil"/>
              <w:left w:val="nil"/>
              <w:bottom w:val="nil"/>
              <w:right w:val="nil"/>
            </w:tcBorders>
            <w:shd w:val="clear" w:color="000000" w:fill="FFFFFF"/>
            <w:hideMark/>
          </w:tcPr>
          <w:p w14:paraId="306830F9" w14:textId="77777777" w:rsidR="00ED1634" w:rsidRPr="00D30847" w:rsidRDefault="00ED1634" w:rsidP="00EE7A4D">
            <w:pPr>
              <w:spacing w:after="0" w:line="240" w:lineRule="auto"/>
              <w:jc w:val="center"/>
              <w:rPr>
                <w:rFonts w:ascii="Arial Narrow" w:eastAsia="Times New Roman" w:hAnsi="Arial Narrow"/>
                <w:b/>
                <w:bCs/>
                <w:color w:val="000000"/>
                <w:sz w:val="24"/>
                <w:szCs w:val="24"/>
                <w:lang w:val="en-GB"/>
              </w:rPr>
            </w:pPr>
            <w:r w:rsidRPr="00D30847">
              <w:rPr>
                <w:rFonts w:ascii="Arial Narrow" w:eastAsia="Times New Roman" w:hAnsi="Arial Narrow"/>
                <w:b/>
                <w:bCs/>
                <w:color w:val="000000"/>
                <w:sz w:val="24"/>
                <w:szCs w:val="24"/>
                <w:lang w:val="en-GB"/>
              </w:rPr>
              <w:t> </w:t>
            </w:r>
          </w:p>
        </w:tc>
      </w:tr>
    </w:tbl>
    <w:p w14:paraId="398AC488" w14:textId="77777777" w:rsidR="00205854" w:rsidRPr="00D30847" w:rsidRDefault="00205854" w:rsidP="004126F8">
      <w:pPr>
        <w:spacing w:before="240" w:after="0" w:line="240" w:lineRule="auto"/>
        <w:jc w:val="both"/>
        <w:rPr>
          <w:rFonts w:eastAsia="MS PGothic" w:cs="Calibri"/>
          <w:color w:val="202124"/>
          <w:lang w:val="en-GB" w:eastAsia="zh-CN"/>
        </w:rPr>
      </w:pPr>
      <w:bookmarkStart w:id="8" w:name="_nscvbjj0139l" w:colFirst="0" w:colLast="0"/>
      <w:bookmarkEnd w:id="8"/>
      <w:r w:rsidRPr="00D30847">
        <w:rPr>
          <w:rFonts w:eastAsia="MS PGothic" w:cs="Calibri"/>
          <w:color w:val="202124"/>
          <w:lang w:val="en-GB" w:eastAsia="zh-CN"/>
        </w:rPr>
        <w:t>Public debt management policy is aimed at ensuring the funds necessary to finance the budget deficit and repay the due debt liabilities from the previous years, as well as funds for project financing, thereby not increasing the debt to a level that can jeopardise the stability of the economy and the economic growth of the country.</w:t>
      </w:r>
    </w:p>
    <w:p w14:paraId="1BA271B8" w14:textId="6B1BF763" w:rsidR="00205854" w:rsidRPr="00D30847" w:rsidRDefault="00205854" w:rsidP="004126F8">
      <w:pPr>
        <w:spacing w:before="240" w:after="0" w:line="240" w:lineRule="auto"/>
        <w:jc w:val="both"/>
        <w:rPr>
          <w:rFonts w:eastAsia="Arial Narrow" w:cs="Calibri"/>
          <w:lang w:val="en-GB"/>
        </w:rPr>
      </w:pPr>
      <w:r w:rsidRPr="00D30847">
        <w:rPr>
          <w:rFonts w:eastAsia="Arial Narrow" w:cs="Calibri"/>
          <w:lang w:val="en-GB"/>
        </w:rPr>
        <w:t>The medium-term projections presented in the Public Debt Management Strategy 2025–2027 (with 2029 prospects)</w:t>
      </w:r>
      <w:r w:rsidR="00960F0F">
        <w:rPr>
          <w:rFonts w:eastAsia="Arial Narrow" w:cs="Calibri"/>
          <w:lang w:val="en-GB"/>
        </w:rPr>
        <w:t xml:space="preserve">, </w:t>
      </w:r>
      <w:r w:rsidR="00960F0F">
        <w:rPr>
          <w:rFonts w:eastAsia="Arial Narrow" w:cs="Calibri"/>
        </w:rPr>
        <w:t xml:space="preserve">, </w:t>
      </w:r>
      <w:r w:rsidR="00960F0F">
        <w:rPr>
          <w:rFonts w:eastAsia="Arial Narrow" w:cs="Calibri"/>
          <w:lang w:val="en-US"/>
        </w:rPr>
        <w:t>as well as Economic Reform Program 2025-2027</w:t>
      </w:r>
      <w:r w:rsidR="00960F0F" w:rsidRPr="00D30847">
        <w:rPr>
          <w:rFonts w:eastAsia="Arial Narrow" w:cs="Calibri"/>
          <w:lang w:val="en-GB"/>
        </w:rPr>
        <w:t xml:space="preserve"> </w:t>
      </w:r>
      <w:r w:rsidRPr="00D30847">
        <w:rPr>
          <w:rFonts w:eastAsia="Arial Narrow" w:cs="Calibri"/>
          <w:lang w:val="en-GB"/>
        </w:rPr>
        <w:t>indicate that public debt will exceed the maximum threshold of 60% of GDP by the end of 2024, and this trend is expected to continue until 2028. However, as a result of fiscal consolidation measures, public debt is projected to return to a level below 60% of GDP by 2029.</w:t>
      </w:r>
    </w:p>
    <w:p w14:paraId="41F1714A" w14:textId="77777777" w:rsidR="00205854" w:rsidRPr="00D30847" w:rsidRDefault="00205854" w:rsidP="004126F8">
      <w:pPr>
        <w:spacing w:before="240" w:after="0" w:line="240" w:lineRule="auto"/>
        <w:jc w:val="both"/>
        <w:rPr>
          <w:rFonts w:eastAsia="Arial Narrow" w:cs="Calibri"/>
          <w:lang w:val="en-GB"/>
        </w:rPr>
      </w:pPr>
      <w:r w:rsidRPr="00D30847">
        <w:rPr>
          <w:rFonts w:eastAsia="Arial Narrow" w:cs="Calibri"/>
          <w:lang w:val="en-GB"/>
        </w:rPr>
        <w:t xml:space="preserve">Limits on the general government debt are the following: </w:t>
      </w:r>
    </w:p>
    <w:p w14:paraId="66940EBB" w14:textId="77777777" w:rsidR="00205854" w:rsidRPr="00D30847" w:rsidRDefault="00205854" w:rsidP="004126F8">
      <w:pPr>
        <w:numPr>
          <w:ilvl w:val="0"/>
          <w:numId w:val="81"/>
        </w:numPr>
        <w:spacing w:before="240" w:after="0" w:line="240" w:lineRule="auto"/>
        <w:jc w:val="both"/>
        <w:rPr>
          <w:rFonts w:eastAsia="Arial Narrow" w:cs="Calibri"/>
          <w:lang w:val="en-GB"/>
        </w:rPr>
      </w:pPr>
      <w:r w:rsidRPr="00D30847">
        <w:rPr>
          <w:rFonts w:eastAsia="Arial Narrow" w:cs="Calibri"/>
          <w:lang w:val="en-GB"/>
        </w:rPr>
        <w:t>in the period 2025 - 2029, the minimum threshold of euro-denominated debt in the debt portfolio denominated in foreign currency should be 80%;</w:t>
      </w:r>
    </w:p>
    <w:p w14:paraId="5905F685" w14:textId="77777777" w:rsidR="00205854" w:rsidRPr="00D30847" w:rsidRDefault="00205854" w:rsidP="004126F8">
      <w:pPr>
        <w:numPr>
          <w:ilvl w:val="0"/>
          <w:numId w:val="81"/>
        </w:numPr>
        <w:spacing w:before="240" w:after="0" w:line="240" w:lineRule="auto"/>
        <w:jc w:val="both"/>
        <w:rPr>
          <w:rFonts w:eastAsia="Arial Narrow" w:cs="Calibri"/>
          <w:lang w:val="en-GB"/>
        </w:rPr>
      </w:pPr>
      <w:r w:rsidRPr="00D30847">
        <w:rPr>
          <w:rFonts w:eastAsia="Arial Narrow" w:cs="Calibri"/>
          <w:lang w:val="en-GB"/>
        </w:rPr>
        <w:t>in the period 2025 - 2029, limit on the interest rate structure of general government debt, i.e. fixed interest rate debt should account for at least 60% of the total debt portfolio;</w:t>
      </w:r>
    </w:p>
    <w:p w14:paraId="54CF3D4F" w14:textId="77777777" w:rsidR="00205854" w:rsidRPr="00D30847" w:rsidRDefault="00205854" w:rsidP="004126F8">
      <w:pPr>
        <w:numPr>
          <w:ilvl w:val="0"/>
          <w:numId w:val="81"/>
        </w:numPr>
        <w:spacing w:before="240" w:after="0" w:line="240" w:lineRule="auto"/>
        <w:jc w:val="both"/>
        <w:rPr>
          <w:rFonts w:eastAsia="Arial Narrow" w:cs="Calibri"/>
          <w:lang w:val="en-GB"/>
        </w:rPr>
      </w:pPr>
      <w:r w:rsidRPr="00D30847">
        <w:rPr>
          <w:rFonts w:eastAsia="Arial Narrow" w:cs="Calibri"/>
          <w:lang w:val="en-GB"/>
        </w:rPr>
        <w:t>in order to protect the central government debt portfolio against the re-financing risk, the minimum threshold of "average time to maturity” indicator in 2025 should be 4 years;</w:t>
      </w:r>
    </w:p>
    <w:p w14:paraId="2D6FD63E" w14:textId="77777777" w:rsidR="00205854" w:rsidRPr="00D30847" w:rsidRDefault="00205854" w:rsidP="004126F8">
      <w:pPr>
        <w:numPr>
          <w:ilvl w:val="0"/>
          <w:numId w:val="81"/>
        </w:numPr>
        <w:spacing w:before="240" w:after="0" w:line="240" w:lineRule="auto"/>
        <w:jc w:val="both"/>
        <w:rPr>
          <w:rFonts w:eastAsia="Arial Narrow" w:cs="Calibri"/>
          <w:lang w:val="en-GB"/>
        </w:rPr>
      </w:pPr>
      <w:r w:rsidRPr="00D30847">
        <w:rPr>
          <w:rFonts w:eastAsia="Arial Narrow" w:cs="Calibri"/>
          <w:lang w:val="en-GB"/>
        </w:rPr>
        <w:t>in order to protect the central government debt portfolio against the interest rate risk, the minimum threshold of "average time to re-fixing” indicator in 2025 should be 3 years;</w:t>
      </w:r>
    </w:p>
    <w:p w14:paraId="367ADA7F" w14:textId="77777777" w:rsidR="00205854" w:rsidRPr="00D30847" w:rsidRDefault="00205854" w:rsidP="004126F8">
      <w:pPr>
        <w:numPr>
          <w:ilvl w:val="0"/>
          <w:numId w:val="81"/>
        </w:numPr>
        <w:spacing w:before="240" w:after="0" w:line="240" w:lineRule="auto"/>
        <w:jc w:val="both"/>
        <w:rPr>
          <w:rFonts w:eastAsia="Arial Narrow" w:cs="Calibri"/>
          <w:lang w:val="en-GB"/>
        </w:rPr>
      </w:pPr>
      <w:r w:rsidRPr="00D30847">
        <w:rPr>
          <w:rFonts w:eastAsia="Arial Narrow" w:cs="Calibri"/>
          <w:lang w:val="en-GB"/>
        </w:rPr>
        <w:t>the limit for maximum net borrowing on the basis of general government debt is set to amount to up to EUR 600 million in 2025;</w:t>
      </w:r>
    </w:p>
    <w:p w14:paraId="221D090A" w14:textId="77777777" w:rsidR="00205854" w:rsidRPr="00D30847" w:rsidRDefault="00205854" w:rsidP="004126F8">
      <w:pPr>
        <w:numPr>
          <w:ilvl w:val="0"/>
          <w:numId w:val="81"/>
        </w:numPr>
        <w:spacing w:before="240" w:after="0" w:line="240" w:lineRule="auto"/>
        <w:jc w:val="both"/>
        <w:rPr>
          <w:rFonts w:eastAsia="Arial Narrow" w:cs="Calibri"/>
          <w:lang w:val="en-GB"/>
        </w:rPr>
      </w:pPr>
      <w:r w:rsidRPr="00D30847">
        <w:rPr>
          <w:rFonts w:eastAsia="Arial Narrow" w:cs="Calibri"/>
          <w:lang w:val="en-GB"/>
        </w:rPr>
        <w:t>the limit for maximum net borrowing on the basis of guaranteed debt is set to amount to up to EUR 250 million in 2025.</w:t>
      </w:r>
    </w:p>
    <w:p w14:paraId="4217EFC1" w14:textId="4743245A" w:rsidR="002F640E" w:rsidRPr="00D30847" w:rsidRDefault="00B10FB1" w:rsidP="008023E8">
      <w:pPr>
        <w:spacing w:before="240" w:after="0" w:line="240" w:lineRule="auto"/>
        <w:jc w:val="both"/>
        <w:rPr>
          <w:rFonts w:eastAsia="MS PGothic" w:cs="Calibri"/>
          <w:color w:val="202124"/>
          <w:lang w:val="en-GB" w:eastAsia="zh-CN"/>
        </w:rPr>
      </w:pPr>
      <w:bookmarkStart w:id="9" w:name="_gwy7guk8tui4" w:colFirst="0" w:colLast="0"/>
      <w:bookmarkEnd w:id="9"/>
      <w:r w:rsidRPr="00D30847">
        <w:rPr>
          <w:rFonts w:eastAsia="Arial Narrow" w:cs="Calibri"/>
          <w:lang w:val="en-GB" w:eastAsia="mk-MK"/>
        </w:rPr>
        <w:t>Fiscal decentralisation reform offers a systemic solution for stable finances of the municipalities, implying accountable municipalities and delivery of quality and efficient services to the citizens. Reform rests on three pillars: enhanced fiscal capacity of municipalities and increased municipal revenues, strengthened financial discipline of municipalities, reduced arrears and cost-effective operations, as well as increased transparency and accountability.</w:t>
      </w:r>
    </w:p>
    <w:p w14:paraId="0706D552" w14:textId="77777777" w:rsidR="008023E8" w:rsidRPr="00D30847" w:rsidRDefault="008023E8" w:rsidP="008023E8">
      <w:pPr>
        <w:spacing w:before="240" w:after="0" w:line="240" w:lineRule="auto"/>
        <w:jc w:val="both"/>
        <w:rPr>
          <w:rFonts w:eastAsia="MS PGothic" w:cs="Calibri"/>
          <w:color w:val="202124"/>
          <w:lang w:val="en-GB" w:eastAsia="zh-CN"/>
        </w:rPr>
      </w:pPr>
    </w:p>
    <w:bookmarkEnd w:id="1"/>
    <w:bookmarkEnd w:id="7"/>
    <w:p w14:paraId="2B55A491" w14:textId="0CACA721" w:rsidR="003E0F1C" w:rsidRPr="00D30847" w:rsidRDefault="003E0F1C" w:rsidP="003E0F1C">
      <w:pPr>
        <w:spacing w:line="240" w:lineRule="auto"/>
        <w:jc w:val="both"/>
        <w:rPr>
          <w:b/>
          <w:color w:val="0070C0"/>
          <w:sz w:val="28"/>
          <w:szCs w:val="28"/>
          <w:lang w:val="en-GB" w:eastAsia="zh-CN"/>
        </w:rPr>
      </w:pPr>
      <w:r w:rsidRPr="00D30847">
        <w:rPr>
          <w:b/>
          <w:color w:val="0070C0"/>
          <w:sz w:val="28"/>
          <w:szCs w:val="28"/>
          <w:lang w:val="en-GB" w:eastAsia="zh-CN"/>
        </w:rPr>
        <w:t>Strategic Framework of the PFM Reform Programme 202</w:t>
      </w:r>
      <w:r w:rsidR="002A58D1" w:rsidRPr="00D30847">
        <w:rPr>
          <w:b/>
          <w:color w:val="0070C0"/>
          <w:sz w:val="28"/>
          <w:szCs w:val="28"/>
          <w:lang w:val="en-GB" w:eastAsia="zh-CN"/>
        </w:rPr>
        <w:t>5</w:t>
      </w:r>
      <w:r w:rsidRPr="00D30847">
        <w:rPr>
          <w:b/>
          <w:color w:val="0070C0"/>
          <w:sz w:val="28"/>
          <w:szCs w:val="28"/>
          <w:lang w:val="en-GB" w:eastAsia="zh-CN"/>
        </w:rPr>
        <w:t>-202</w:t>
      </w:r>
      <w:r w:rsidR="002A58D1" w:rsidRPr="00D30847">
        <w:rPr>
          <w:b/>
          <w:color w:val="0070C0"/>
          <w:sz w:val="28"/>
          <w:szCs w:val="28"/>
          <w:lang w:val="en-GB" w:eastAsia="zh-CN"/>
        </w:rPr>
        <w:t>8</w:t>
      </w:r>
      <w:r w:rsidRPr="00D30847">
        <w:rPr>
          <w:b/>
          <w:color w:val="0070C0"/>
          <w:sz w:val="28"/>
          <w:szCs w:val="28"/>
          <w:lang w:val="en-GB" w:eastAsia="zh-CN"/>
        </w:rPr>
        <w:t xml:space="preserve">  </w:t>
      </w:r>
    </w:p>
    <w:p w14:paraId="0F972645" w14:textId="77777777" w:rsidR="003E0F1C" w:rsidRPr="00D30847" w:rsidRDefault="003E0F1C" w:rsidP="003E0F1C">
      <w:pPr>
        <w:spacing w:after="120" w:line="240" w:lineRule="auto"/>
        <w:jc w:val="both"/>
        <w:rPr>
          <w:lang w:val="en-GB" w:eastAsia="zh-CN"/>
        </w:rPr>
      </w:pPr>
      <w:r w:rsidRPr="00D30847">
        <w:rPr>
          <w:lang w:val="en-GB" w:eastAsia="zh-CN"/>
        </w:rPr>
        <w:t>PFM Reform Programme has been prepared in line with the existing national programmes and commitments, as well as with the national strategies:</w:t>
      </w:r>
    </w:p>
    <w:p w14:paraId="34A3E581" w14:textId="13F68A5C" w:rsidR="003E0F1C" w:rsidRPr="00D30847" w:rsidRDefault="003E0F1C" w:rsidP="00AD2AD5">
      <w:pPr>
        <w:numPr>
          <w:ilvl w:val="0"/>
          <w:numId w:val="57"/>
        </w:numPr>
        <w:spacing w:after="120" w:line="240" w:lineRule="auto"/>
        <w:ind w:left="714" w:hanging="357"/>
        <w:jc w:val="both"/>
        <w:rPr>
          <w:lang w:val="en-GB" w:eastAsia="zh-CN"/>
        </w:rPr>
      </w:pPr>
      <w:r w:rsidRPr="00D30847">
        <w:rPr>
          <w:lang w:val="en-GB" w:eastAsia="zh-CN"/>
        </w:rPr>
        <w:t>Fiscal Strategy/Revised Fiscal Strategy of the Republic of North Macedonia 202</w:t>
      </w:r>
      <w:r w:rsidR="0060408E" w:rsidRPr="00D30847">
        <w:rPr>
          <w:lang w:val="en-GB" w:eastAsia="zh-CN"/>
        </w:rPr>
        <w:t>5</w:t>
      </w:r>
      <w:r w:rsidRPr="00D30847">
        <w:rPr>
          <w:lang w:val="en-GB" w:eastAsia="zh-CN"/>
        </w:rPr>
        <w:t xml:space="preserve"> - 202</w:t>
      </w:r>
      <w:r w:rsidR="0060408E" w:rsidRPr="00D30847">
        <w:rPr>
          <w:lang w:val="en-GB" w:eastAsia="zh-CN"/>
        </w:rPr>
        <w:t>9</w:t>
      </w:r>
      <w:r w:rsidRPr="00D30847">
        <w:rPr>
          <w:lang w:val="en-GB" w:eastAsia="zh-CN"/>
        </w:rPr>
        <w:t>;</w:t>
      </w:r>
    </w:p>
    <w:p w14:paraId="0EA867CC" w14:textId="0BEF2999" w:rsidR="003E0F1C" w:rsidRPr="00D30847" w:rsidRDefault="003E0F1C" w:rsidP="00AD2AD5">
      <w:pPr>
        <w:numPr>
          <w:ilvl w:val="0"/>
          <w:numId w:val="57"/>
        </w:numPr>
        <w:spacing w:after="120" w:line="240" w:lineRule="auto"/>
        <w:ind w:left="714" w:hanging="357"/>
        <w:jc w:val="both"/>
        <w:rPr>
          <w:lang w:val="en-GB" w:eastAsia="zh-CN"/>
        </w:rPr>
      </w:pPr>
      <w:r w:rsidRPr="00D30847">
        <w:rPr>
          <w:lang w:val="en-GB" w:eastAsia="zh-CN"/>
        </w:rPr>
        <w:lastRenderedPageBreak/>
        <w:t xml:space="preserve">Public Debt Management Strategy </w:t>
      </w:r>
      <w:r w:rsidR="00DF2197" w:rsidRPr="00D30847">
        <w:rPr>
          <w:lang w:val="en-GB" w:eastAsia="zh-CN"/>
        </w:rPr>
        <w:t>2025</w:t>
      </w:r>
      <w:r w:rsidRPr="00D30847">
        <w:rPr>
          <w:lang w:val="en-GB" w:eastAsia="zh-CN"/>
        </w:rPr>
        <w:t>-202</w:t>
      </w:r>
      <w:r w:rsidR="00DF2197" w:rsidRPr="00D30847">
        <w:rPr>
          <w:lang w:val="en-GB" w:eastAsia="zh-CN"/>
        </w:rPr>
        <w:t>7</w:t>
      </w:r>
      <w:r w:rsidRPr="00D30847">
        <w:rPr>
          <w:lang w:val="en-GB" w:eastAsia="zh-CN"/>
        </w:rPr>
        <w:t>;</w:t>
      </w:r>
    </w:p>
    <w:p w14:paraId="6DA2C018" w14:textId="466610F8" w:rsidR="003E0F1C" w:rsidRPr="00D30847" w:rsidRDefault="003E0F1C" w:rsidP="00AD2AD5">
      <w:pPr>
        <w:numPr>
          <w:ilvl w:val="0"/>
          <w:numId w:val="57"/>
        </w:numPr>
        <w:spacing w:after="120" w:line="240" w:lineRule="auto"/>
        <w:ind w:left="714" w:hanging="357"/>
        <w:jc w:val="both"/>
        <w:rPr>
          <w:lang w:val="en-GB" w:eastAsia="zh-CN"/>
        </w:rPr>
      </w:pPr>
      <w:r w:rsidRPr="00D30847">
        <w:rPr>
          <w:lang w:val="en-GB" w:eastAsia="zh-CN"/>
        </w:rPr>
        <w:t>Economic Reform Programme 202</w:t>
      </w:r>
      <w:r w:rsidR="0060408E" w:rsidRPr="00D30847">
        <w:rPr>
          <w:lang w:val="en-GB" w:eastAsia="zh-CN"/>
        </w:rPr>
        <w:t>4</w:t>
      </w:r>
      <w:r w:rsidRPr="00D30847">
        <w:rPr>
          <w:lang w:val="en-GB" w:eastAsia="zh-CN"/>
        </w:rPr>
        <w:t xml:space="preserve"> – 202</w:t>
      </w:r>
      <w:r w:rsidR="0060408E" w:rsidRPr="00D30847">
        <w:rPr>
          <w:lang w:val="en-GB" w:eastAsia="zh-CN"/>
        </w:rPr>
        <w:t>6</w:t>
      </w:r>
      <w:r w:rsidRPr="00D30847">
        <w:rPr>
          <w:lang w:val="en-GB" w:eastAsia="zh-CN"/>
        </w:rPr>
        <w:t>;</w:t>
      </w:r>
    </w:p>
    <w:p w14:paraId="17B04165" w14:textId="77777777" w:rsidR="003E0F1C" w:rsidRPr="00D30847" w:rsidRDefault="003E0F1C" w:rsidP="00AD2AD5">
      <w:pPr>
        <w:numPr>
          <w:ilvl w:val="0"/>
          <w:numId w:val="57"/>
        </w:numPr>
        <w:spacing w:after="120" w:line="240" w:lineRule="auto"/>
        <w:ind w:left="714" w:hanging="357"/>
        <w:jc w:val="both"/>
        <w:rPr>
          <w:lang w:val="en-GB" w:eastAsia="zh-CN"/>
        </w:rPr>
      </w:pPr>
      <w:r w:rsidRPr="00D30847">
        <w:rPr>
          <w:lang w:val="en-GB" w:eastAsia="zh-CN"/>
        </w:rPr>
        <w:t>IPA III Strategic Response for the period 2021 - 2027;</w:t>
      </w:r>
    </w:p>
    <w:p w14:paraId="5FC99016" w14:textId="77777777" w:rsidR="003E0F1C" w:rsidRPr="00D30847" w:rsidRDefault="003E0F1C" w:rsidP="00AD2AD5">
      <w:pPr>
        <w:numPr>
          <w:ilvl w:val="0"/>
          <w:numId w:val="57"/>
        </w:numPr>
        <w:spacing w:after="120" w:line="240" w:lineRule="auto"/>
        <w:ind w:left="714" w:hanging="357"/>
        <w:jc w:val="both"/>
        <w:rPr>
          <w:lang w:val="en-GB" w:eastAsia="zh-CN"/>
        </w:rPr>
      </w:pPr>
      <w:r w:rsidRPr="00D30847">
        <w:rPr>
          <w:lang w:val="en-GB" w:eastAsia="zh-CN"/>
        </w:rPr>
        <w:t>National Strategy for Prevention of Corruption and Conflict of Interests 2021 - 2025;</w:t>
      </w:r>
    </w:p>
    <w:p w14:paraId="52A9985F" w14:textId="77777777" w:rsidR="003E0F1C" w:rsidRPr="00D30847" w:rsidRDefault="003E0F1C" w:rsidP="00AD2AD5">
      <w:pPr>
        <w:numPr>
          <w:ilvl w:val="0"/>
          <w:numId w:val="57"/>
        </w:numPr>
        <w:spacing w:after="120" w:line="240" w:lineRule="auto"/>
        <w:ind w:left="714" w:hanging="357"/>
        <w:jc w:val="both"/>
        <w:rPr>
          <w:lang w:val="en-GB" w:eastAsia="zh-CN"/>
        </w:rPr>
      </w:pPr>
      <w:r w:rsidRPr="00D30847">
        <w:rPr>
          <w:lang w:val="en-GB" w:eastAsia="zh-CN"/>
        </w:rPr>
        <w:t>Public Administration Reform (PAR) Strategy 2023 - 2030.</w:t>
      </w:r>
    </w:p>
    <w:p w14:paraId="4F47626E" w14:textId="77777777" w:rsidR="003E0F1C" w:rsidRPr="00D30847" w:rsidRDefault="003E0F1C" w:rsidP="003E0F1C">
      <w:pPr>
        <w:spacing w:after="120" w:line="240" w:lineRule="auto"/>
        <w:jc w:val="both"/>
        <w:rPr>
          <w:lang w:val="en-GB" w:eastAsia="zh-CN"/>
        </w:rPr>
      </w:pPr>
      <w:r w:rsidRPr="00D30847">
        <w:rPr>
          <w:lang w:val="en-GB" w:eastAsia="zh-CN"/>
        </w:rPr>
        <w:t>PFM sub-systems’ strategies:</w:t>
      </w:r>
    </w:p>
    <w:p w14:paraId="009801B6" w14:textId="77777777" w:rsidR="003E0F1C" w:rsidRPr="00D30847" w:rsidRDefault="003E0F1C" w:rsidP="00AD2AD5">
      <w:pPr>
        <w:numPr>
          <w:ilvl w:val="0"/>
          <w:numId w:val="58"/>
        </w:numPr>
        <w:spacing w:after="120" w:line="240" w:lineRule="auto"/>
        <w:jc w:val="both"/>
        <w:rPr>
          <w:lang w:val="en-GB" w:eastAsia="zh-CN"/>
        </w:rPr>
      </w:pPr>
      <w:r w:rsidRPr="00D30847">
        <w:rPr>
          <w:lang w:val="en-GB" w:eastAsia="zh-CN"/>
        </w:rPr>
        <w:t>Tax System Reform Strategy 2021 - 2025;</w:t>
      </w:r>
    </w:p>
    <w:p w14:paraId="65EE0F2B" w14:textId="77777777" w:rsidR="00A13E48" w:rsidRPr="00D30847" w:rsidRDefault="003E0F1C" w:rsidP="00AD2AD5">
      <w:pPr>
        <w:numPr>
          <w:ilvl w:val="0"/>
          <w:numId w:val="58"/>
        </w:numPr>
        <w:spacing w:after="120" w:line="240" w:lineRule="auto"/>
        <w:jc w:val="both"/>
        <w:rPr>
          <w:lang w:val="en-GB" w:eastAsia="zh-CN"/>
        </w:rPr>
      </w:pPr>
      <w:r w:rsidRPr="00D30847">
        <w:rPr>
          <w:lang w:val="en-GB"/>
        </w:rPr>
        <w:t xml:space="preserve">Strategy for Strengthening Public Procurement System in the Republic of North Macedonia 2022 - 2026; </w:t>
      </w:r>
    </w:p>
    <w:p w14:paraId="62865E3C" w14:textId="77AC55E9" w:rsidR="003E0F1C" w:rsidRPr="00D30847" w:rsidRDefault="003E0F1C" w:rsidP="00AD2AD5">
      <w:pPr>
        <w:numPr>
          <w:ilvl w:val="0"/>
          <w:numId w:val="58"/>
        </w:numPr>
        <w:spacing w:after="120" w:line="240" w:lineRule="auto"/>
        <w:jc w:val="both"/>
        <w:rPr>
          <w:lang w:val="en-GB" w:eastAsia="zh-CN"/>
        </w:rPr>
      </w:pPr>
      <w:r w:rsidRPr="00D30847">
        <w:rPr>
          <w:lang w:val="en-GB"/>
        </w:rPr>
        <w:t>Strategy for Development of the Customs Administration of the Republic of North Macedonia 202</w:t>
      </w:r>
      <w:r w:rsidR="00A13E48" w:rsidRPr="00D30847">
        <w:rPr>
          <w:lang w:val="en-GB"/>
        </w:rPr>
        <w:t>5</w:t>
      </w:r>
      <w:r w:rsidRPr="00D30847">
        <w:rPr>
          <w:lang w:val="en-GB"/>
        </w:rPr>
        <w:t xml:space="preserve"> - 202</w:t>
      </w:r>
      <w:r w:rsidR="00A13E48" w:rsidRPr="00D30847">
        <w:rPr>
          <w:lang w:val="en-GB"/>
        </w:rPr>
        <w:t>7</w:t>
      </w:r>
      <w:r w:rsidRPr="00D30847">
        <w:rPr>
          <w:lang w:val="en-GB"/>
        </w:rPr>
        <w:t>;</w:t>
      </w:r>
    </w:p>
    <w:p w14:paraId="57DA09B3" w14:textId="77777777" w:rsidR="003E0F1C" w:rsidRPr="00D30847" w:rsidRDefault="003E0F1C" w:rsidP="00AD2AD5">
      <w:pPr>
        <w:numPr>
          <w:ilvl w:val="0"/>
          <w:numId w:val="58"/>
        </w:numPr>
        <w:spacing w:after="120" w:line="240" w:lineRule="auto"/>
        <w:jc w:val="both"/>
        <w:rPr>
          <w:lang w:val="en-GB" w:eastAsia="zh-CN"/>
        </w:rPr>
      </w:pPr>
      <w:r w:rsidRPr="00D30847">
        <w:rPr>
          <w:lang w:val="en-GB" w:eastAsia="zh-CN"/>
        </w:rPr>
        <w:t>Customs Administration’s ICT Development Strategy 2021-2025;</w:t>
      </w:r>
    </w:p>
    <w:p w14:paraId="62B2FE87" w14:textId="77777777" w:rsidR="003E0F1C" w:rsidRPr="00D30847" w:rsidRDefault="003E0F1C" w:rsidP="00AD2AD5">
      <w:pPr>
        <w:numPr>
          <w:ilvl w:val="0"/>
          <w:numId w:val="58"/>
        </w:numPr>
        <w:spacing w:after="120" w:line="240" w:lineRule="auto"/>
        <w:jc w:val="both"/>
        <w:rPr>
          <w:lang w:val="en-GB" w:eastAsia="zh-CN"/>
        </w:rPr>
      </w:pPr>
      <w:r w:rsidRPr="00D30847">
        <w:rPr>
          <w:lang w:val="en-GB" w:eastAsia="zh-CN"/>
        </w:rPr>
        <w:t>Customs Risk Management Strategy 2023 - 2026;</w:t>
      </w:r>
    </w:p>
    <w:p w14:paraId="080341B4" w14:textId="77777777" w:rsidR="003E0F1C" w:rsidRPr="00D30847" w:rsidRDefault="003E0F1C" w:rsidP="00AD2AD5">
      <w:pPr>
        <w:numPr>
          <w:ilvl w:val="0"/>
          <w:numId w:val="58"/>
        </w:numPr>
        <w:spacing w:after="120" w:line="240" w:lineRule="auto"/>
        <w:jc w:val="both"/>
        <w:rPr>
          <w:lang w:val="en-GB" w:eastAsia="zh-CN"/>
        </w:rPr>
      </w:pPr>
      <w:r w:rsidRPr="00D30847">
        <w:rPr>
          <w:lang w:val="en-GB"/>
        </w:rPr>
        <w:t>Integrity and Anti-Corruption Strategy of the Customs Administration of the Republic of North Macedonia 2023 - 2026;</w:t>
      </w:r>
    </w:p>
    <w:p w14:paraId="7FFC5733" w14:textId="550D9A44" w:rsidR="003E0F1C" w:rsidRPr="00D30847" w:rsidRDefault="003E0F1C" w:rsidP="00AD2AD5">
      <w:pPr>
        <w:numPr>
          <w:ilvl w:val="0"/>
          <w:numId w:val="58"/>
        </w:numPr>
        <w:spacing w:after="120" w:line="240" w:lineRule="auto"/>
        <w:jc w:val="both"/>
        <w:rPr>
          <w:lang w:val="en-GB" w:eastAsia="zh-CN"/>
        </w:rPr>
      </w:pPr>
      <w:r w:rsidRPr="00D30847">
        <w:rPr>
          <w:lang w:val="en-GB" w:eastAsia="zh-CN"/>
        </w:rPr>
        <w:t>PRO Strategic Plan 202</w:t>
      </w:r>
      <w:r w:rsidR="00A13E48" w:rsidRPr="00D30847">
        <w:rPr>
          <w:lang w:val="en-GB" w:eastAsia="zh-CN"/>
        </w:rPr>
        <w:t>5</w:t>
      </w:r>
      <w:r w:rsidRPr="00D30847">
        <w:rPr>
          <w:lang w:val="en-GB" w:eastAsia="zh-CN"/>
        </w:rPr>
        <w:t xml:space="preserve"> - 202</w:t>
      </w:r>
      <w:r w:rsidR="00A13E48" w:rsidRPr="00D30847">
        <w:rPr>
          <w:lang w:val="en-GB" w:eastAsia="zh-CN"/>
        </w:rPr>
        <w:t>7</w:t>
      </w:r>
      <w:r w:rsidRPr="00D30847">
        <w:rPr>
          <w:lang w:val="en-GB" w:eastAsia="zh-CN"/>
        </w:rPr>
        <w:t>;</w:t>
      </w:r>
    </w:p>
    <w:p w14:paraId="2B18D461" w14:textId="27B0313D" w:rsidR="00A13E48" w:rsidRPr="00D30847" w:rsidRDefault="00A13E48" w:rsidP="00AD2AD5">
      <w:pPr>
        <w:numPr>
          <w:ilvl w:val="0"/>
          <w:numId w:val="58"/>
        </w:numPr>
        <w:spacing w:after="120" w:line="240" w:lineRule="auto"/>
        <w:jc w:val="both"/>
        <w:rPr>
          <w:lang w:val="en-GB" w:eastAsia="zh-CN"/>
        </w:rPr>
      </w:pPr>
      <w:r w:rsidRPr="00D30847">
        <w:rPr>
          <w:lang w:val="en-GB" w:eastAsia="zh-CN"/>
        </w:rPr>
        <w:t>Reform program of the PFM 2025-2028 Transition to the digital world;</w:t>
      </w:r>
    </w:p>
    <w:p w14:paraId="350B12B8" w14:textId="77777777" w:rsidR="003E0F1C" w:rsidRPr="00D30847" w:rsidRDefault="003E0F1C" w:rsidP="00AD2AD5">
      <w:pPr>
        <w:numPr>
          <w:ilvl w:val="0"/>
          <w:numId w:val="58"/>
        </w:numPr>
        <w:spacing w:after="120" w:line="240" w:lineRule="auto"/>
        <w:jc w:val="both"/>
        <w:rPr>
          <w:lang w:val="en-GB" w:eastAsia="zh-CN"/>
        </w:rPr>
      </w:pPr>
      <w:r w:rsidRPr="00D30847">
        <w:rPr>
          <w:lang w:val="en-GB" w:eastAsia="zh-CN"/>
        </w:rPr>
        <w:t>PRO Process Risk Management Strategy 2023 - 2025;</w:t>
      </w:r>
    </w:p>
    <w:p w14:paraId="04D9E108" w14:textId="77777777" w:rsidR="003E0F1C" w:rsidRPr="00D30847" w:rsidRDefault="003E0F1C" w:rsidP="00AD2AD5">
      <w:pPr>
        <w:numPr>
          <w:ilvl w:val="0"/>
          <w:numId w:val="58"/>
        </w:numPr>
        <w:spacing w:after="120" w:line="240" w:lineRule="auto"/>
        <w:jc w:val="both"/>
        <w:rPr>
          <w:lang w:val="en-GB" w:eastAsia="zh-CN"/>
        </w:rPr>
      </w:pPr>
      <w:r w:rsidRPr="00D30847">
        <w:rPr>
          <w:lang w:val="en-GB" w:eastAsia="zh-CN"/>
        </w:rPr>
        <w:t>SAO Development Strategy 2023 – 2027;</w:t>
      </w:r>
    </w:p>
    <w:p w14:paraId="54D94DC9" w14:textId="05E40024" w:rsidR="00D914B6" w:rsidRPr="00D30847" w:rsidRDefault="003E0F1C" w:rsidP="00D914B6">
      <w:pPr>
        <w:numPr>
          <w:ilvl w:val="0"/>
          <w:numId w:val="58"/>
        </w:numPr>
        <w:spacing w:after="120" w:line="240" w:lineRule="auto"/>
        <w:jc w:val="both"/>
        <w:rPr>
          <w:lang w:val="en-GB" w:eastAsia="zh-CN"/>
        </w:rPr>
      </w:pPr>
      <w:r w:rsidRPr="00D30847">
        <w:rPr>
          <w:lang w:val="en-GB" w:eastAsia="zh-CN"/>
        </w:rPr>
        <w:t xml:space="preserve">SAO IT Strategy 2023 </w:t>
      </w:r>
      <w:r w:rsidR="00D914B6" w:rsidRPr="00D30847">
        <w:rPr>
          <w:lang w:val="en-GB" w:eastAsia="zh-CN"/>
        </w:rPr>
        <w:t>–</w:t>
      </w:r>
      <w:r w:rsidRPr="00D30847">
        <w:rPr>
          <w:lang w:val="en-GB" w:eastAsia="zh-CN"/>
        </w:rPr>
        <w:t xml:space="preserve"> 2027</w:t>
      </w:r>
    </w:p>
    <w:p w14:paraId="2F89ED5D" w14:textId="1026A012" w:rsidR="00D914B6" w:rsidRPr="00D30847" w:rsidRDefault="00D914B6" w:rsidP="00D914B6">
      <w:pPr>
        <w:numPr>
          <w:ilvl w:val="0"/>
          <w:numId w:val="58"/>
        </w:numPr>
        <w:spacing w:after="120" w:line="240" w:lineRule="auto"/>
        <w:jc w:val="both"/>
        <w:rPr>
          <w:lang w:val="en-GB" w:eastAsia="zh-CN"/>
        </w:rPr>
      </w:pPr>
      <w:r w:rsidRPr="00D30847">
        <w:rPr>
          <w:lang w:val="en-GB" w:eastAsia="zh-CN"/>
        </w:rPr>
        <w:t>SAO Communication Strategy 202</w:t>
      </w:r>
      <w:r w:rsidR="00F63843" w:rsidRPr="00D30847">
        <w:rPr>
          <w:lang w:val="en-GB" w:eastAsia="zh-CN"/>
        </w:rPr>
        <w:t>4</w:t>
      </w:r>
      <w:r w:rsidRPr="00D30847">
        <w:rPr>
          <w:lang w:val="en-GB" w:eastAsia="zh-CN"/>
        </w:rPr>
        <w:t>-2027;</w:t>
      </w:r>
    </w:p>
    <w:p w14:paraId="34D78228" w14:textId="0E76611B" w:rsidR="00417C77" w:rsidRPr="00D30847" w:rsidRDefault="00417C77" w:rsidP="00D914B6">
      <w:pPr>
        <w:numPr>
          <w:ilvl w:val="0"/>
          <w:numId w:val="58"/>
        </w:numPr>
        <w:spacing w:after="120" w:line="240" w:lineRule="auto"/>
        <w:jc w:val="both"/>
        <w:rPr>
          <w:lang w:val="en-GB" w:eastAsia="zh-CN"/>
        </w:rPr>
      </w:pPr>
      <w:r w:rsidRPr="00D30847">
        <w:rPr>
          <w:lang w:val="en-GB" w:eastAsia="zh-CN"/>
        </w:rPr>
        <w:t>Strategic plan for the audit of SAO for 2024-2027;</w:t>
      </w:r>
    </w:p>
    <w:p w14:paraId="359AAE9F" w14:textId="16E62BF7" w:rsidR="003E0F1C" w:rsidRPr="00D30847" w:rsidRDefault="00D914B6" w:rsidP="00D914B6">
      <w:pPr>
        <w:numPr>
          <w:ilvl w:val="0"/>
          <w:numId w:val="58"/>
        </w:numPr>
        <w:spacing w:after="120" w:line="240" w:lineRule="auto"/>
        <w:jc w:val="both"/>
        <w:rPr>
          <w:lang w:val="en-GB" w:eastAsia="zh-CN"/>
        </w:rPr>
      </w:pPr>
      <w:r w:rsidRPr="00D30847">
        <w:rPr>
          <w:lang w:val="en-GB" w:eastAsia="zh-CN"/>
        </w:rPr>
        <w:t>SAO</w:t>
      </w:r>
      <w:r w:rsidRPr="00D30847">
        <w:rPr>
          <w:lang w:val="en-GB"/>
        </w:rPr>
        <w:t xml:space="preserve"> </w:t>
      </w:r>
      <w:r w:rsidRPr="00D30847">
        <w:rPr>
          <w:lang w:val="en-GB" w:eastAsia="zh-CN"/>
        </w:rPr>
        <w:t>Risk management strategy 2024-2027</w:t>
      </w:r>
      <w:r w:rsidR="00417C77" w:rsidRPr="00D30847">
        <w:rPr>
          <w:lang w:val="en-GB" w:eastAsia="zh-CN"/>
        </w:rPr>
        <w:t>;</w:t>
      </w:r>
    </w:p>
    <w:p w14:paraId="75FA7A7B" w14:textId="72F8A0F1" w:rsidR="004540A9" w:rsidRPr="00D30847" w:rsidRDefault="00417C77" w:rsidP="008023E8">
      <w:pPr>
        <w:numPr>
          <w:ilvl w:val="0"/>
          <w:numId w:val="58"/>
        </w:numPr>
        <w:spacing w:after="120" w:line="240" w:lineRule="auto"/>
        <w:jc w:val="both"/>
        <w:rPr>
          <w:lang w:val="en-GB" w:eastAsia="zh-CN"/>
        </w:rPr>
      </w:pPr>
      <w:r w:rsidRPr="00D30847">
        <w:rPr>
          <w:lang w:val="en-GB" w:eastAsia="zh-CN"/>
        </w:rPr>
        <w:t>SAO HR Management Strategy 2024-2027.</w:t>
      </w:r>
    </w:p>
    <w:p w14:paraId="043E3A6C" w14:textId="0EC89381" w:rsidR="003E0F1C" w:rsidRPr="00D30847" w:rsidRDefault="003E0F1C" w:rsidP="004406B7">
      <w:pPr>
        <w:spacing w:before="240" w:line="240" w:lineRule="auto"/>
        <w:jc w:val="both"/>
        <w:rPr>
          <w:b/>
          <w:color w:val="0070C0"/>
          <w:sz w:val="28"/>
          <w:szCs w:val="28"/>
          <w:lang w:val="en-GB" w:eastAsia="zh-CN"/>
        </w:rPr>
      </w:pPr>
      <w:r w:rsidRPr="00D30847">
        <w:rPr>
          <w:b/>
          <w:color w:val="0070C0"/>
          <w:sz w:val="28"/>
          <w:szCs w:val="28"/>
          <w:lang w:val="en-GB" w:eastAsia="zh-CN"/>
        </w:rPr>
        <w:t xml:space="preserve">Implementation of the Public Financial </w:t>
      </w:r>
      <w:r w:rsidR="004406B7" w:rsidRPr="00D30847">
        <w:rPr>
          <w:b/>
          <w:color w:val="0070C0"/>
          <w:sz w:val="28"/>
          <w:szCs w:val="28"/>
          <w:lang w:val="en-GB" w:eastAsia="zh-CN"/>
        </w:rPr>
        <w:t>Management Reform Programme 2022-2025</w:t>
      </w:r>
    </w:p>
    <w:p w14:paraId="70E22AAB" w14:textId="17D7B70D" w:rsidR="00E351AA" w:rsidRPr="00D30847" w:rsidRDefault="003E0F1C" w:rsidP="003E0F1C">
      <w:pPr>
        <w:spacing w:line="240" w:lineRule="auto"/>
        <w:jc w:val="both"/>
        <w:rPr>
          <w:lang w:val="en-GB" w:eastAsia="zh-CN"/>
        </w:rPr>
      </w:pPr>
      <w:r w:rsidRPr="00D30847">
        <w:rPr>
          <w:lang w:val="en-GB" w:eastAsia="zh-CN"/>
        </w:rPr>
        <w:t>Ministry of Finance and other national institutions implemented a very ambitious agenda for PFM reforms, as part of the Public Financial Management Reform Program 2022-2025.</w:t>
      </w:r>
      <w:r w:rsidR="004406B7" w:rsidRPr="00D30847">
        <w:rPr>
          <w:lang w:val="en-GB" w:eastAsia="zh-CN"/>
        </w:rPr>
        <w:t xml:space="preserve"> </w:t>
      </w:r>
      <w:r w:rsidRPr="00D30847">
        <w:rPr>
          <w:lang w:val="en-GB" w:eastAsia="zh-CN"/>
        </w:rPr>
        <w:t xml:space="preserve">Efforts were geared towards strengthening the legislation in several main areas: planning and budgeting, public procurement, public internal financial control, public investment management and public debt management. </w:t>
      </w:r>
    </w:p>
    <w:p w14:paraId="4ACE510E" w14:textId="00BB80DD" w:rsidR="003E0F1C" w:rsidRPr="00D30847" w:rsidRDefault="003E0F1C" w:rsidP="003E0F1C">
      <w:pPr>
        <w:spacing w:line="240" w:lineRule="auto"/>
        <w:jc w:val="both"/>
        <w:rPr>
          <w:lang w:val="en-GB"/>
        </w:rPr>
      </w:pPr>
      <w:r w:rsidRPr="00D30847">
        <w:rPr>
          <w:lang w:val="en-GB" w:eastAsia="zh-CN"/>
        </w:rPr>
        <w:t>Two Action Plans on Implementation of PFM Programme for 2022 and 2023 were adopted and finalised.</w:t>
      </w:r>
      <w:r w:rsidR="00903D3F" w:rsidRPr="00D30847">
        <w:rPr>
          <w:lang w:val="en-GB" w:eastAsia="zh-CN"/>
        </w:rPr>
        <w:t xml:space="preserve"> </w:t>
      </w:r>
      <w:r w:rsidRPr="00D30847">
        <w:rPr>
          <w:lang w:val="en-GB"/>
        </w:rPr>
        <w:t>Annual/semi-annual reports were prepared therefore, being discussed with the PFM Sector Working Group, which were afterwards approved by the PFM Council and considered and adopted by the Government. They are published on the website of the Ministry of Finance (in Macedonian and English).</w:t>
      </w:r>
    </w:p>
    <w:p w14:paraId="680862B2" w14:textId="77777777" w:rsidR="003E0F1C" w:rsidRPr="00D30847" w:rsidRDefault="003E0F1C" w:rsidP="003E0F1C">
      <w:pPr>
        <w:spacing w:line="240" w:lineRule="auto"/>
        <w:jc w:val="both"/>
        <w:rPr>
          <w:rFonts w:eastAsia="Times New Roman"/>
          <w:lang w:val="en-GB"/>
        </w:rPr>
      </w:pPr>
      <w:r w:rsidRPr="00D30847">
        <w:rPr>
          <w:rFonts w:eastAsia="Times New Roman"/>
          <w:lang w:val="en-GB"/>
        </w:rPr>
        <w:t xml:space="preserve">National institutions implemented the following activities: </w:t>
      </w:r>
    </w:p>
    <w:p w14:paraId="5B98603A" w14:textId="513A67DE" w:rsidR="00D81A52" w:rsidRPr="00D30847" w:rsidRDefault="003E0F1C" w:rsidP="00757627">
      <w:pPr>
        <w:numPr>
          <w:ilvl w:val="0"/>
          <w:numId w:val="59"/>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lang w:val="en-GB"/>
        </w:rPr>
      </w:pPr>
      <w:r w:rsidRPr="00D30847">
        <w:rPr>
          <w:rFonts w:eastAsia="Times New Roman"/>
          <w:lang w:val="en-GB"/>
        </w:rPr>
        <w:t>On 15the September 2022, the Parliament adopted the Organic Budget Law, which came into force on 27</w:t>
      </w:r>
      <w:r w:rsidRPr="00D30847">
        <w:rPr>
          <w:rFonts w:eastAsia="Times New Roman"/>
          <w:vertAlign w:val="superscript"/>
          <w:lang w:val="en-GB"/>
        </w:rPr>
        <w:t>th</w:t>
      </w:r>
      <w:r w:rsidRPr="00D30847">
        <w:rPr>
          <w:rFonts w:eastAsia="Times New Roman"/>
          <w:lang w:val="en-GB"/>
        </w:rPr>
        <w:t xml:space="preserve"> September 2022 and will star applying from 1</w:t>
      </w:r>
      <w:r w:rsidRPr="00D30847">
        <w:rPr>
          <w:rFonts w:eastAsia="Times New Roman"/>
          <w:vertAlign w:val="superscript"/>
          <w:lang w:val="en-GB"/>
        </w:rPr>
        <w:t>st</w:t>
      </w:r>
      <w:r w:rsidRPr="00D30847">
        <w:rPr>
          <w:rFonts w:eastAsia="Times New Roman"/>
          <w:lang w:val="en-GB"/>
        </w:rPr>
        <w:t xml:space="preserve"> January 2025, except for the </w:t>
      </w:r>
      <w:r w:rsidRPr="00D30847">
        <w:rPr>
          <w:rFonts w:eastAsia="Times New Roman"/>
          <w:lang w:val="en-GB"/>
        </w:rPr>
        <w:lastRenderedPageBreak/>
        <w:t>provisions referred to in Article 121, which are applied starting 1</w:t>
      </w:r>
      <w:r w:rsidRPr="00D30847">
        <w:rPr>
          <w:rFonts w:eastAsia="Times New Roman"/>
          <w:vertAlign w:val="superscript"/>
          <w:lang w:val="en-GB"/>
        </w:rPr>
        <w:t>st</w:t>
      </w:r>
      <w:r w:rsidRPr="00D30847">
        <w:rPr>
          <w:rFonts w:eastAsia="Times New Roman"/>
          <w:lang w:val="en-GB"/>
        </w:rPr>
        <w:t xml:space="preserve"> January 2023.Under the OBL, numerical fiscal rules and fiscal principles have been introduced, </w:t>
      </w:r>
      <w:r w:rsidRPr="00D30847">
        <w:rPr>
          <w:rFonts w:cs="Calibri"/>
          <w:lang w:val="en-GB"/>
        </w:rPr>
        <w:t xml:space="preserve">consistent with the EU fiscal rules, providing for a more predictable and more accountable fiscal policy, establishment of Fiscal Council, medium-term budget planning, improved state and municipal funds management, and attentive monitoring of the financial performance of the state-owned enterprises. </w:t>
      </w:r>
      <w:r w:rsidRPr="00D30847">
        <w:rPr>
          <w:rFonts w:eastAsia="Times New Roman"/>
          <w:lang w:val="en-GB"/>
        </w:rPr>
        <w:t>As regards OBL implementation, MoF has prepar</w:t>
      </w:r>
      <w:r w:rsidR="002A58D1" w:rsidRPr="00D30847">
        <w:rPr>
          <w:rFonts w:eastAsia="Times New Roman"/>
          <w:lang w:val="en-GB"/>
        </w:rPr>
        <w:t>ed 17 bylaws</w:t>
      </w:r>
      <w:r w:rsidRPr="00D30847">
        <w:rPr>
          <w:rFonts w:eastAsia="Times New Roman"/>
          <w:lang w:val="en-GB"/>
        </w:rPr>
        <w:t xml:space="preserve"> with support from the ongoing Twinning Project “Strengthening the Functions</w:t>
      </w:r>
      <w:r w:rsidR="00885CAD" w:rsidRPr="00D30847">
        <w:rPr>
          <w:rFonts w:eastAsia="Times New Roman"/>
          <w:lang w:val="en-GB"/>
        </w:rPr>
        <w:t xml:space="preserve"> of Budget Planning, Execution a</w:t>
      </w:r>
      <w:r w:rsidRPr="00D30847">
        <w:rPr>
          <w:rFonts w:eastAsia="Times New Roman"/>
          <w:lang w:val="en-GB"/>
        </w:rPr>
        <w:t>nd Internal Control”, as well as with other donor assistance.</w:t>
      </w:r>
      <w:r w:rsidR="007569D5" w:rsidRPr="00D30847">
        <w:rPr>
          <w:rFonts w:eastAsia="Times New Roman"/>
          <w:lang w:val="en-GB"/>
        </w:rPr>
        <w:t xml:space="preserve"> </w:t>
      </w:r>
      <w:r w:rsidRPr="00D30847">
        <w:rPr>
          <w:rFonts w:eastAsia="Times New Roman"/>
          <w:lang w:val="en-GB"/>
        </w:rPr>
        <w:t>Fiscal Council was established under the 2023 Budget, as a separate budget user.</w:t>
      </w:r>
      <w:r w:rsidR="00903D3F" w:rsidRPr="00D30847">
        <w:rPr>
          <w:rFonts w:eastAsia="Times New Roman"/>
          <w:lang w:val="en-GB"/>
        </w:rPr>
        <w:t xml:space="preserve"> </w:t>
      </w:r>
      <w:r w:rsidRPr="00D30847">
        <w:rPr>
          <w:rFonts w:eastAsia="Times New Roman"/>
          <w:lang w:val="en-GB"/>
        </w:rPr>
        <w:t>Parliament adopted the Decision on Appointment of Fiscal Council Members on 19th September, with its Rules of Procedure adopted on 12th October 2023</w:t>
      </w:r>
      <w:r w:rsidR="002A58D1" w:rsidRPr="00D30847">
        <w:rPr>
          <w:rFonts w:eastAsia="Times New Roman"/>
          <w:lang w:val="en-GB"/>
        </w:rPr>
        <w:t>. Reporting of fiscal risks within the Fiscal Strategy has been strengthened.</w:t>
      </w:r>
      <w:r w:rsidR="002A58D1" w:rsidRPr="00D30847">
        <w:rPr>
          <w:rFonts w:eastAsia="Times New Roman"/>
          <w:lang w:val="en-GB"/>
        </w:rPr>
        <w:br/>
        <w:t>The capacity to assess the impact of certain economic policies, reforms and measures, as well as the quality and coverage of projections for macroeconomic indicators have been improved</w:t>
      </w:r>
      <w:r w:rsidRPr="00D30847">
        <w:rPr>
          <w:rFonts w:eastAsia="Times New Roman"/>
          <w:lang w:val="en-GB"/>
        </w:rPr>
        <w:t>;</w:t>
      </w:r>
    </w:p>
    <w:p w14:paraId="614FD90B" w14:textId="77777777" w:rsidR="00D81A52" w:rsidRPr="00D30847" w:rsidRDefault="00D81A52" w:rsidP="00757627">
      <w:pPr>
        <w:pStyle w:val="ListParagraph"/>
        <w:numPr>
          <w:ilvl w:val="0"/>
          <w:numId w:val="59"/>
        </w:numPr>
        <w:spacing w:after="200" w:line="240" w:lineRule="auto"/>
        <w:rPr>
          <w:rFonts w:eastAsia="Times New Roman"/>
          <w:lang w:eastAsia="en-US"/>
        </w:rPr>
      </w:pPr>
      <w:r w:rsidRPr="00D30847">
        <w:rPr>
          <w:rFonts w:eastAsia="Times New Roman"/>
          <w:lang w:eastAsia="en-US"/>
        </w:rPr>
        <w:t>The Ministry of Finance, through the Central Harmonization Unit has finalized and updated the text of the draft law on PIFC. The need to update the text arose in accordance with the Rules of Procedure of the Assembly, and also due to the publication of the new international standards for internal audit. At the same time, the text of the draft law is fully harmonized with the new Budget Law, as well as other technical corrections are made. The Central Harmonization Unit continuously implements preparatory activities that will enable efficient implementation of the new law on PIFC and methodological tools, which will ensure improved transparency, managerial accountability and good management of public funds.</w:t>
      </w:r>
    </w:p>
    <w:p w14:paraId="0F221AD8" w14:textId="236CA313" w:rsidR="003E0F1C" w:rsidRPr="00D30847" w:rsidRDefault="003E0F1C" w:rsidP="00757627">
      <w:pPr>
        <w:numPr>
          <w:ilvl w:val="0"/>
          <w:numId w:val="59"/>
        </w:numPr>
        <w:spacing w:before="240" w:after="120" w:line="240" w:lineRule="auto"/>
        <w:jc w:val="both"/>
        <w:rPr>
          <w:rFonts w:eastAsia="Times New Roman"/>
          <w:lang w:val="en-GB"/>
        </w:rPr>
      </w:pPr>
      <w:r w:rsidRPr="00D30847">
        <w:rPr>
          <w:rFonts w:eastAsia="Times New Roman"/>
          <w:lang w:val="en-GB"/>
        </w:rPr>
        <w:t>On 30</w:t>
      </w:r>
      <w:r w:rsidRPr="00D30847">
        <w:rPr>
          <w:rFonts w:eastAsia="Times New Roman"/>
          <w:vertAlign w:val="superscript"/>
          <w:lang w:val="en-GB"/>
        </w:rPr>
        <w:t>th</w:t>
      </w:r>
      <w:r w:rsidRPr="00D30847">
        <w:rPr>
          <w:rFonts w:eastAsia="Times New Roman"/>
          <w:lang w:val="en-GB"/>
        </w:rPr>
        <w:t xml:space="preserve"> January 2023, the Parliament adopted the new Law on Public Sector Financial Inspection.</w:t>
      </w:r>
      <w:r w:rsidR="00903D3F" w:rsidRPr="00D30847">
        <w:rPr>
          <w:rFonts w:eastAsia="Times New Roman"/>
          <w:lang w:val="en-GB"/>
        </w:rPr>
        <w:t xml:space="preserve"> </w:t>
      </w:r>
      <w:r w:rsidRPr="00D30847">
        <w:rPr>
          <w:rFonts w:eastAsia="Times New Roman"/>
          <w:lang w:val="en-GB"/>
        </w:rPr>
        <w:t>The Law is aimed at protecting the financial interests of public sector entities from serious financial mismanagement, fraud and corruption.</w:t>
      </w:r>
      <w:r w:rsidRPr="00D30847">
        <w:rPr>
          <w:rFonts w:ascii="Helvetica" w:hAnsi="Helvetica"/>
          <w:szCs w:val="14"/>
          <w:shd w:val="clear" w:color="auto" w:fill="FFFFFF"/>
          <w:lang w:val="en-GB"/>
        </w:rPr>
        <w:t> </w:t>
      </w:r>
      <w:r w:rsidRPr="00D30847">
        <w:rPr>
          <w:rFonts w:eastAsia="Times New Roman"/>
          <w:lang w:val="en-GB"/>
        </w:rPr>
        <w:t>Respective draft bylaws and internal acts are in the process of preparation.</w:t>
      </w:r>
    </w:p>
    <w:p w14:paraId="2A6C7AF4" w14:textId="4D16C48E" w:rsidR="003E0F1C" w:rsidRPr="00D30847" w:rsidRDefault="003E0F1C" w:rsidP="00757627">
      <w:pPr>
        <w:numPr>
          <w:ilvl w:val="0"/>
          <w:numId w:val="59"/>
        </w:numPr>
        <w:spacing w:after="120" w:line="240" w:lineRule="auto"/>
        <w:jc w:val="both"/>
        <w:rPr>
          <w:rFonts w:eastAsia="Times New Roman"/>
          <w:lang w:val="en-GB"/>
        </w:rPr>
      </w:pPr>
      <w:r w:rsidRPr="00D30847">
        <w:rPr>
          <w:rFonts w:eastAsia="Times New Roman"/>
          <w:lang w:val="en-GB"/>
        </w:rPr>
        <w:t xml:space="preserve">Latest amendments to the Law on Financing Local Government Units were adopted in </w:t>
      </w:r>
      <w:r w:rsidR="008F391C" w:rsidRPr="00D30847">
        <w:rPr>
          <w:rFonts w:eastAsia="Times New Roman"/>
          <w:lang w:val="en-GB"/>
        </w:rPr>
        <w:t>September 2023</w:t>
      </w:r>
      <w:r w:rsidRPr="00D30847">
        <w:rPr>
          <w:rFonts w:eastAsia="Times New Roman"/>
          <w:lang w:val="en-GB"/>
        </w:rPr>
        <w:t>, providing for a more realistic planning of municipal budgets.</w:t>
      </w:r>
    </w:p>
    <w:p w14:paraId="1EB5BC1B" w14:textId="0C9483E4" w:rsidR="003E0F1C" w:rsidRPr="00D30847" w:rsidRDefault="003E0F1C" w:rsidP="00AD421A">
      <w:pPr>
        <w:numPr>
          <w:ilvl w:val="0"/>
          <w:numId w:val="59"/>
        </w:numPr>
        <w:spacing w:after="0" w:line="240" w:lineRule="auto"/>
        <w:jc w:val="both"/>
        <w:rPr>
          <w:b/>
          <w:bCs/>
          <w:lang w:val="en-GB"/>
        </w:rPr>
      </w:pPr>
      <w:r w:rsidRPr="00D30847">
        <w:rPr>
          <w:rFonts w:eastAsia="Times New Roman"/>
          <w:lang w:val="en-GB"/>
        </w:rPr>
        <w:t xml:space="preserve">In March 2022, Government of the Republic of North Macedonia adopted the 2022 - 2026 </w:t>
      </w:r>
      <w:r w:rsidRPr="00D30847">
        <w:rPr>
          <w:lang w:val="en-GB"/>
        </w:rPr>
        <w:t xml:space="preserve">Strategy for </w:t>
      </w:r>
      <w:r w:rsidR="00AD421A" w:rsidRPr="00D30847">
        <w:rPr>
          <w:lang w:val="en-GB"/>
        </w:rPr>
        <w:t>Improvement</w:t>
      </w:r>
      <w:r w:rsidRPr="00D30847">
        <w:rPr>
          <w:lang w:val="en-GB"/>
        </w:rPr>
        <w:t xml:space="preserve"> of Public Procurement System in the Republic of North Macedonia</w:t>
      </w:r>
      <w:r w:rsidR="00AD421A" w:rsidRPr="00D30847">
        <w:rPr>
          <w:lang w:val="en-GB"/>
        </w:rPr>
        <w:t>, as an overall document which unifies</w:t>
      </w:r>
      <w:r w:rsidR="00AD421A" w:rsidRPr="00D30847">
        <w:rPr>
          <w:b/>
          <w:bCs/>
          <w:lang w:val="en-GB"/>
        </w:rPr>
        <w:t xml:space="preserve"> </w:t>
      </w:r>
      <w:r w:rsidR="00AD421A" w:rsidRPr="00D30847">
        <w:rPr>
          <w:lang w:val="en-GB"/>
        </w:rPr>
        <w:t>the activities of the key institutions in the public procurement system.</w:t>
      </w:r>
    </w:p>
    <w:p w14:paraId="3CFE2D01" w14:textId="46854960" w:rsidR="003E0F1C" w:rsidRPr="00D30847" w:rsidRDefault="003E0F1C" w:rsidP="00757627">
      <w:pPr>
        <w:numPr>
          <w:ilvl w:val="0"/>
          <w:numId w:val="59"/>
        </w:numPr>
        <w:spacing w:before="240" w:after="120" w:line="240" w:lineRule="auto"/>
        <w:jc w:val="both"/>
        <w:rPr>
          <w:rFonts w:eastAsia="Times New Roman"/>
          <w:lang w:val="en-GB"/>
        </w:rPr>
      </w:pPr>
      <w:r w:rsidRPr="00D30847">
        <w:rPr>
          <w:rFonts w:eastAsia="Times New Roman"/>
          <w:lang w:val="en-GB"/>
        </w:rPr>
        <w:t>In line with the EU recommendations, Draft Law on Public Private Partnership (PPP) was submitted to the European Commission for its alignment with the given recommendation on three occasions, once in 2022 and twice in 2023.European Commission confirming that the Law is fully harmonised with the relevant EU Directive.</w:t>
      </w:r>
      <w:r w:rsidR="00903D3F" w:rsidRPr="00D30847">
        <w:rPr>
          <w:rFonts w:eastAsia="Times New Roman"/>
          <w:lang w:val="en-GB"/>
        </w:rPr>
        <w:t xml:space="preserve"> </w:t>
      </w:r>
      <w:r w:rsidRPr="00D30847">
        <w:rPr>
          <w:rFonts w:eastAsia="Times New Roman"/>
          <w:lang w:val="en-GB"/>
        </w:rPr>
        <w:t>Draft Law on PPP is consulted with the Legislative Secretariat and acted upon its suggestions and an official request for opinion will be submitted to the relevant institutions, followed by its submission to the Government.</w:t>
      </w:r>
    </w:p>
    <w:p w14:paraId="7E1146FE" w14:textId="38F7B906" w:rsidR="003E0F1C" w:rsidRPr="00D30847" w:rsidRDefault="003E0F1C" w:rsidP="00757627">
      <w:pPr>
        <w:numPr>
          <w:ilvl w:val="0"/>
          <w:numId w:val="59"/>
        </w:numPr>
        <w:spacing w:before="240" w:after="120" w:line="240" w:lineRule="auto"/>
        <w:jc w:val="both"/>
        <w:rPr>
          <w:rFonts w:eastAsia="Times New Roman"/>
          <w:lang w:val="en-GB"/>
        </w:rPr>
      </w:pPr>
      <w:r w:rsidRPr="00D30847">
        <w:rPr>
          <w:rFonts w:eastAsia="Times New Roman"/>
          <w:lang w:val="en-GB"/>
        </w:rPr>
        <w:t>Ministry of Economy prepared initial version of the Draft Law on Concession for Goods of General Interest.</w:t>
      </w:r>
      <w:r w:rsidR="00903D3F" w:rsidRPr="00D30847">
        <w:rPr>
          <w:rFonts w:eastAsia="Times New Roman"/>
          <w:lang w:val="en-GB"/>
        </w:rPr>
        <w:t xml:space="preserve"> </w:t>
      </w:r>
      <w:r w:rsidRPr="00D30847">
        <w:rPr>
          <w:rFonts w:eastAsia="Times New Roman"/>
          <w:lang w:val="en-GB"/>
        </w:rPr>
        <w:t>Draft Law is</w:t>
      </w:r>
      <w:r w:rsidRPr="00D30847">
        <w:rPr>
          <w:rFonts w:cs="Calibri"/>
          <w:lang w:val="en-GB"/>
        </w:rPr>
        <w:t xml:space="preserve"> consulted with the Legislative Secretariat and acted upon its suggestions</w:t>
      </w:r>
      <w:r w:rsidRPr="00D30847">
        <w:rPr>
          <w:rFonts w:eastAsia="Times New Roman"/>
          <w:lang w:val="en-GB"/>
        </w:rPr>
        <w:t xml:space="preserve"> and </w:t>
      </w:r>
      <w:r w:rsidRPr="00D30847">
        <w:rPr>
          <w:rFonts w:cs="Calibri"/>
          <w:lang w:val="en-GB"/>
        </w:rPr>
        <w:t>an official request for opinion will be submitted to the relevant institutions</w:t>
      </w:r>
      <w:r w:rsidRPr="00D30847">
        <w:rPr>
          <w:rFonts w:eastAsia="Times New Roman"/>
          <w:lang w:val="en-GB"/>
        </w:rPr>
        <w:t>, followed by its submission to the Government, alongside the Draft Law on PPP.</w:t>
      </w:r>
    </w:p>
    <w:p w14:paraId="77DD70FC" w14:textId="79038785" w:rsidR="003E0F1C" w:rsidRPr="00D30847" w:rsidRDefault="003E0F1C" w:rsidP="00757627">
      <w:pPr>
        <w:numPr>
          <w:ilvl w:val="0"/>
          <w:numId w:val="59"/>
        </w:numPr>
        <w:spacing w:after="120" w:line="240" w:lineRule="auto"/>
        <w:jc w:val="both"/>
        <w:rPr>
          <w:rFonts w:eastAsia="Times New Roman"/>
          <w:lang w:val="en-GB"/>
        </w:rPr>
      </w:pPr>
      <w:r w:rsidRPr="00D30847">
        <w:rPr>
          <w:rFonts w:eastAsia="Times New Roman"/>
          <w:lang w:val="en-GB"/>
        </w:rPr>
        <w:t>Government adopted the Fiscal Strategy 202</w:t>
      </w:r>
      <w:r w:rsidR="004D1A75" w:rsidRPr="00D30847">
        <w:rPr>
          <w:rFonts w:eastAsia="Times New Roman"/>
          <w:lang w:val="en-GB"/>
        </w:rPr>
        <w:t>5</w:t>
      </w:r>
      <w:r w:rsidRPr="00D30847">
        <w:rPr>
          <w:rFonts w:eastAsia="Times New Roman"/>
          <w:lang w:val="en-GB"/>
        </w:rPr>
        <w:t xml:space="preserve"> - 202</w:t>
      </w:r>
      <w:r w:rsidR="004D1A75" w:rsidRPr="00D30847">
        <w:rPr>
          <w:rFonts w:eastAsia="Times New Roman"/>
          <w:lang w:val="en-GB"/>
        </w:rPr>
        <w:t>9</w:t>
      </w:r>
      <w:r w:rsidRPr="00D30847">
        <w:rPr>
          <w:rFonts w:eastAsia="Times New Roman"/>
          <w:lang w:val="en-GB"/>
        </w:rPr>
        <w:t xml:space="preserve"> on </w:t>
      </w:r>
      <w:r w:rsidR="00CD7BC0" w:rsidRPr="00D30847">
        <w:rPr>
          <w:rFonts w:eastAsia="Times New Roman"/>
          <w:lang w:val="en-GB"/>
        </w:rPr>
        <w:t>1</w:t>
      </w:r>
      <w:r w:rsidRPr="00D30847">
        <w:rPr>
          <w:rFonts w:eastAsia="Times New Roman"/>
          <w:lang w:val="en-GB"/>
        </w:rPr>
        <w:t xml:space="preserve"> </w:t>
      </w:r>
      <w:r w:rsidR="00CD7BC0" w:rsidRPr="00D30847">
        <w:rPr>
          <w:rFonts w:eastAsia="Times New Roman"/>
          <w:lang w:val="en-GB"/>
        </w:rPr>
        <w:t>October</w:t>
      </w:r>
      <w:r w:rsidRPr="00D30847">
        <w:rPr>
          <w:rFonts w:eastAsia="Times New Roman"/>
          <w:lang w:val="en-GB"/>
        </w:rPr>
        <w:t xml:space="preserve"> 202</w:t>
      </w:r>
      <w:r w:rsidR="00CD7BC0" w:rsidRPr="00D30847">
        <w:rPr>
          <w:rFonts w:eastAsia="Times New Roman"/>
          <w:lang w:val="en-GB"/>
        </w:rPr>
        <w:t>4</w:t>
      </w:r>
      <w:r w:rsidRPr="00D30847">
        <w:rPr>
          <w:rFonts w:eastAsia="Times New Roman"/>
          <w:lang w:val="en-GB"/>
        </w:rPr>
        <w:t>.</w:t>
      </w:r>
    </w:p>
    <w:p w14:paraId="0544775A" w14:textId="77777777" w:rsidR="003E0F1C" w:rsidRPr="00D30847" w:rsidRDefault="003E0F1C" w:rsidP="00757627">
      <w:pPr>
        <w:numPr>
          <w:ilvl w:val="0"/>
          <w:numId w:val="59"/>
        </w:numPr>
        <w:spacing w:after="120" w:line="240" w:lineRule="auto"/>
        <w:jc w:val="both"/>
        <w:rPr>
          <w:rFonts w:eastAsia="Times New Roman"/>
          <w:lang w:val="en-GB"/>
        </w:rPr>
      </w:pPr>
      <w:r w:rsidRPr="00D30847">
        <w:rPr>
          <w:rFonts w:eastAsia="Times New Roman" w:cs="Calibri"/>
          <w:lang w:val="en-GB"/>
        </w:rPr>
        <w:t xml:space="preserve">Government adopted the </w:t>
      </w:r>
      <w:r w:rsidRPr="00D30847">
        <w:rPr>
          <w:rFonts w:cs="Calibri"/>
          <w:lang w:val="en-GB"/>
        </w:rPr>
        <w:t xml:space="preserve">Fiscal Sustainability and Economic Growth Support Plan in October 2023, which incorporates specific measures contributing to narrowing the budget deficit and reducing the debt, a benchmark set under the </w:t>
      </w:r>
      <w:r w:rsidRPr="00D30847">
        <w:rPr>
          <w:rFonts w:eastAsia="Times New Roman"/>
          <w:lang w:val="en-GB"/>
        </w:rPr>
        <w:t xml:space="preserve">Fiscal Strategy 2024 - 2028, </w:t>
      </w:r>
      <w:r w:rsidRPr="00D30847">
        <w:rPr>
          <w:rFonts w:cs="Calibri"/>
          <w:lang w:val="en-GB"/>
        </w:rPr>
        <w:t>by streamlining, savings and increased genuine revenue collection.</w:t>
      </w:r>
    </w:p>
    <w:p w14:paraId="5C2B3D1E" w14:textId="77777777" w:rsidR="00DF2197" w:rsidRPr="00D30847" w:rsidRDefault="00DF2197" w:rsidP="00757627">
      <w:pPr>
        <w:numPr>
          <w:ilvl w:val="0"/>
          <w:numId w:val="59"/>
        </w:numPr>
        <w:shd w:val="clear" w:color="auto" w:fill="FFFFFF"/>
        <w:spacing w:after="120" w:line="240" w:lineRule="auto"/>
        <w:jc w:val="both"/>
        <w:rPr>
          <w:rFonts w:cs="Calibri"/>
          <w:lang w:val="en-GB"/>
        </w:rPr>
      </w:pPr>
      <w:r w:rsidRPr="00D30847">
        <w:rPr>
          <w:rFonts w:cs="Calibri"/>
          <w:lang w:val="en-GB"/>
        </w:rPr>
        <w:lastRenderedPageBreak/>
        <w:t>Ministry of Finance prepared the Public Debt Management Strategy 2025 - 2027 (with 2029 prospects) and the Government adopted it at its session held on 01th October 2024.In addition, the Government adopted the 2023 Annual Public Debt Management Report on 06th June 2024.</w:t>
      </w:r>
    </w:p>
    <w:p w14:paraId="4B7EE93F" w14:textId="107B6F51" w:rsidR="003E0F1C" w:rsidRPr="00D30847" w:rsidRDefault="003E0F1C" w:rsidP="00757627">
      <w:pPr>
        <w:numPr>
          <w:ilvl w:val="0"/>
          <w:numId w:val="59"/>
        </w:numPr>
        <w:spacing w:after="120" w:line="240" w:lineRule="auto"/>
        <w:jc w:val="both"/>
        <w:rPr>
          <w:rFonts w:eastAsia="Times New Roman"/>
          <w:lang w:val="en-GB"/>
        </w:rPr>
      </w:pPr>
      <w:r w:rsidRPr="00D30847">
        <w:rPr>
          <w:rFonts w:eastAsia="Times New Roman"/>
          <w:lang w:val="en-GB"/>
        </w:rPr>
        <w:t>In the course of 2022, committed to achieving the objectives and the priorities identified in the Tax System Reform Strategy (2021 - 2025), Ministry of Finance commenced ambitious tax policy reforms aimed at improved quality of the tax system and increased mobilisation of revenues, and prepared Tax Reform Concept.</w:t>
      </w:r>
      <w:r w:rsidR="008C3A44" w:rsidRPr="00D30847">
        <w:rPr>
          <w:rFonts w:eastAsia="Times New Roman"/>
          <w:lang w:val="en-GB"/>
        </w:rPr>
        <w:t xml:space="preserve"> </w:t>
      </w:r>
      <w:r w:rsidRPr="00D30847">
        <w:rPr>
          <w:rFonts w:eastAsia="Times New Roman"/>
          <w:lang w:val="en-GB"/>
        </w:rPr>
        <w:t xml:space="preserve">As a result of the measures foreseen under the Tax Reform Concept, legal amendments were proposed in the field of personal income tax, corporate income tax and value added tax, with modifications and amendments being proposed in 2023 in the field of excise duties and </w:t>
      </w:r>
      <w:r w:rsidRPr="00D30847">
        <w:rPr>
          <w:rFonts w:cs="Calibri"/>
          <w:lang w:val="en-GB"/>
        </w:rPr>
        <w:t>motor vehicles tax</w:t>
      </w:r>
      <w:r w:rsidRPr="00D30847">
        <w:rPr>
          <w:rFonts w:eastAsia="Times New Roman"/>
          <w:lang w:val="en-GB"/>
        </w:rPr>
        <w:t>.</w:t>
      </w:r>
    </w:p>
    <w:p w14:paraId="5EC6F1F9" w14:textId="77777777" w:rsidR="003E0F1C" w:rsidRPr="00D30847" w:rsidRDefault="003E0F1C" w:rsidP="00AD2AD5">
      <w:pPr>
        <w:numPr>
          <w:ilvl w:val="0"/>
          <w:numId w:val="64"/>
        </w:numPr>
        <w:spacing w:line="240" w:lineRule="auto"/>
        <w:ind w:left="1134" w:hanging="425"/>
        <w:jc w:val="both"/>
        <w:rPr>
          <w:rFonts w:asciiTheme="minorHAnsi" w:eastAsia="Times New Roman" w:hAnsiTheme="minorHAnsi" w:cstheme="minorHAnsi"/>
          <w:lang w:val="en-GB"/>
        </w:rPr>
      </w:pPr>
      <w:r w:rsidRPr="00D30847">
        <w:rPr>
          <w:rFonts w:asciiTheme="minorHAnsi" w:eastAsia="Times New Roman" w:hAnsiTheme="minorHAnsi" w:cstheme="minorHAnsi"/>
          <w:b/>
          <w:lang w:val="en-GB"/>
        </w:rPr>
        <w:t xml:space="preserve">as regards personal income tax, </w:t>
      </w:r>
      <w:r w:rsidRPr="00D30847">
        <w:rPr>
          <w:rFonts w:asciiTheme="minorHAnsi" w:eastAsia="Times New Roman" w:hAnsiTheme="minorHAnsi" w:cstheme="minorHAnsi"/>
          <w:lang w:val="en-GB"/>
        </w:rPr>
        <w:t xml:space="preserve">Law on Modifications and Amendments to the Law on Personal Income Tax (“Official Gazette of the Republic of North Macedonia”, no. </w:t>
      </w:r>
      <w:r w:rsidRPr="00D30847">
        <w:rPr>
          <w:rFonts w:asciiTheme="minorHAnsi" w:hAnsiTheme="minorHAnsi" w:cstheme="minorHAnsi"/>
          <w:vanish/>
          <w:color w:val="292929"/>
          <w:lang w:val="en-GB"/>
        </w:rPr>
        <w:t>  |                                                                                                                                                                                                                                                       </w:t>
      </w:r>
      <w:r w:rsidRPr="00D30847">
        <w:rPr>
          <w:rFonts w:asciiTheme="minorHAnsi" w:eastAsia="Times New Roman" w:hAnsiTheme="minorHAnsi" w:cstheme="minorHAnsi"/>
          <w:lang w:val="en-GB"/>
        </w:rPr>
        <w:t>274 dated 20</w:t>
      </w:r>
      <w:r w:rsidRPr="00D30847">
        <w:rPr>
          <w:rFonts w:asciiTheme="minorHAnsi" w:eastAsia="Times New Roman" w:hAnsiTheme="minorHAnsi" w:cstheme="minorHAnsi"/>
          <w:vertAlign w:val="superscript"/>
          <w:lang w:val="en-GB"/>
        </w:rPr>
        <w:t>th</w:t>
      </w:r>
      <w:r w:rsidRPr="00D30847">
        <w:rPr>
          <w:rFonts w:asciiTheme="minorHAnsi" w:eastAsia="Times New Roman" w:hAnsiTheme="minorHAnsi" w:cstheme="minorHAnsi"/>
          <w:lang w:val="en-GB"/>
        </w:rPr>
        <w:t xml:space="preserve"> December 2022) was prepared and adopted, which applies starting 1</w:t>
      </w:r>
      <w:r w:rsidRPr="00D30847">
        <w:rPr>
          <w:rFonts w:asciiTheme="minorHAnsi" w:eastAsia="Times New Roman" w:hAnsiTheme="minorHAnsi" w:cstheme="minorHAnsi"/>
          <w:vertAlign w:val="superscript"/>
          <w:lang w:val="en-GB"/>
        </w:rPr>
        <w:t>st</w:t>
      </w:r>
      <w:r w:rsidRPr="00D30847">
        <w:rPr>
          <w:rFonts w:asciiTheme="minorHAnsi" w:eastAsia="Times New Roman" w:hAnsiTheme="minorHAnsi" w:cstheme="minorHAnsi"/>
          <w:lang w:val="en-GB"/>
        </w:rPr>
        <w:t xml:space="preserve"> January 2023.The Law stipulates </w:t>
      </w:r>
      <w:r w:rsidRPr="00D30847">
        <w:rPr>
          <w:rFonts w:asciiTheme="minorHAnsi" w:hAnsiTheme="minorHAnsi" w:cstheme="minorHAnsi"/>
          <w:lang w:val="en-GB"/>
        </w:rPr>
        <w:t>taxation of capital gains generated on the basis of sale of securities and shares issued by investments funds, acquired from 1</w:t>
      </w:r>
      <w:r w:rsidRPr="00D30847">
        <w:rPr>
          <w:rFonts w:asciiTheme="minorHAnsi" w:hAnsiTheme="minorHAnsi" w:cstheme="minorHAnsi"/>
          <w:vertAlign w:val="superscript"/>
          <w:lang w:val="en-GB"/>
        </w:rPr>
        <w:t>st</w:t>
      </w:r>
      <w:r w:rsidRPr="00D30847">
        <w:rPr>
          <w:rFonts w:asciiTheme="minorHAnsi" w:hAnsiTheme="minorHAnsi" w:cstheme="minorHAnsi"/>
          <w:lang w:val="en-GB"/>
        </w:rPr>
        <w:t xml:space="preserve"> January 2023</w:t>
      </w:r>
      <w:r w:rsidRPr="00D30847">
        <w:rPr>
          <w:rFonts w:asciiTheme="minorHAnsi" w:eastAsia="Times New Roman" w:hAnsiTheme="minorHAnsi" w:cstheme="minorHAnsi"/>
          <w:lang w:val="en-GB"/>
        </w:rPr>
        <w:t xml:space="preserve">.In particular, under the respective Law, tax exemption on life insurance premium, voluntary private health insurance premium and contribution for voluntary fully-funded pension insurance paid in </w:t>
      </w:r>
      <w:proofErr w:type="spellStart"/>
      <w:r w:rsidRPr="00D30847">
        <w:rPr>
          <w:rFonts w:asciiTheme="minorHAnsi" w:eastAsia="Times New Roman" w:hAnsiTheme="minorHAnsi" w:cstheme="minorHAnsi"/>
          <w:lang w:val="en-GB"/>
        </w:rPr>
        <w:t>favor</w:t>
      </w:r>
      <w:proofErr w:type="spellEnd"/>
      <w:r w:rsidRPr="00D30847">
        <w:rPr>
          <w:rFonts w:asciiTheme="minorHAnsi" w:eastAsia="Times New Roman" w:hAnsiTheme="minorHAnsi" w:cstheme="minorHAnsi"/>
          <w:lang w:val="en-GB"/>
        </w:rPr>
        <w:t xml:space="preserve"> of the employees is abolished and treatment of unrecognised expenditure on the whole amount of life insurance premium paid for self-employed, is prescribed.</w:t>
      </w:r>
    </w:p>
    <w:p w14:paraId="113DC05E" w14:textId="7D35A465" w:rsidR="003E0F1C" w:rsidRPr="00D30847" w:rsidRDefault="003E0F1C" w:rsidP="00AD2AD5">
      <w:pPr>
        <w:numPr>
          <w:ilvl w:val="0"/>
          <w:numId w:val="63"/>
        </w:numPr>
        <w:spacing w:line="240" w:lineRule="auto"/>
        <w:jc w:val="both"/>
        <w:rPr>
          <w:rFonts w:eastAsia="Times New Roman"/>
          <w:lang w:val="en-GB"/>
        </w:rPr>
      </w:pPr>
      <w:r w:rsidRPr="00D30847">
        <w:rPr>
          <w:rFonts w:eastAsia="Times New Roman"/>
          <w:b/>
          <w:lang w:val="en-GB"/>
        </w:rPr>
        <w:t xml:space="preserve">as regards CIT, </w:t>
      </w:r>
      <w:r w:rsidRPr="00D30847">
        <w:rPr>
          <w:rFonts w:eastAsia="Times New Roman"/>
          <w:lang w:val="en-GB"/>
        </w:rPr>
        <w:t>Law on Modifications and Amendments to the Corporate Income Tax Law (“Official Gazette of the Republic of North Macedonia”, no. 199/23 dated 25</w:t>
      </w:r>
      <w:r w:rsidRPr="00D30847">
        <w:rPr>
          <w:rFonts w:eastAsia="Times New Roman"/>
          <w:vertAlign w:val="superscript"/>
          <w:lang w:val="en-GB"/>
        </w:rPr>
        <w:t>th</w:t>
      </w:r>
      <w:r w:rsidRPr="00D30847">
        <w:rPr>
          <w:rFonts w:eastAsia="Times New Roman"/>
          <w:lang w:val="en-GB"/>
        </w:rPr>
        <w:t xml:space="preserve"> September 2023) was prepared and adopted.</w:t>
      </w:r>
      <w:r w:rsidR="008C3A44" w:rsidRPr="00D30847">
        <w:rPr>
          <w:rFonts w:eastAsia="Times New Roman"/>
          <w:lang w:val="en-GB"/>
        </w:rPr>
        <w:t xml:space="preserve"> </w:t>
      </w:r>
      <w:r w:rsidRPr="00D30847">
        <w:rPr>
          <w:rFonts w:eastAsia="Times New Roman"/>
          <w:lang w:val="en-GB"/>
        </w:rPr>
        <w:t>In particular, under the respective Law, treatment of unrecognised expenditure on the total amount of costs incurred on the basis of life insurance premiums paid in favour of the employees is defined, and the right to deduction of the assessed tax on the amount of funds donated to sports entities is abolished. The Law also envisages five times the amount of the tax to be paid in cases when the taxpayer fails to prove, substantiated with documents, that it applied the tax exemption, on the basis of reinvested profit, for investments in tangible and intangible assets for the purpose of expanding its business activity, as well as if the taxpayer fails to assess the tax.</w:t>
      </w:r>
      <w:r w:rsidR="00944D78" w:rsidRPr="00D30847">
        <w:rPr>
          <w:rFonts w:eastAsia="Times New Roman"/>
          <w:lang w:val="en-GB"/>
        </w:rPr>
        <w:t xml:space="preserve"> </w:t>
      </w:r>
      <w:r w:rsidRPr="00D30847">
        <w:rPr>
          <w:rFonts w:eastAsia="Times New Roman"/>
          <w:lang w:val="en-GB"/>
        </w:rPr>
        <w:t>In addition, the respective Law is harmonised with Council Directive (EU) 2016/1164 of 12 July 2016 laying down rules against tax avoidance practices that directly affect the functioning of the internal market, i.e. general anti-abuse rule is prescribed for an arrangement or a series of arrangements, having been put into place for the main purpose or one of the main purposes of obtaining the tax advantages regulated under the Corporate Income Tax Law.</w:t>
      </w:r>
    </w:p>
    <w:p w14:paraId="090980A3" w14:textId="77777777" w:rsidR="003E0F1C" w:rsidRPr="00D30847" w:rsidRDefault="003E0F1C" w:rsidP="00AD2AD5">
      <w:pPr>
        <w:numPr>
          <w:ilvl w:val="0"/>
          <w:numId w:val="63"/>
        </w:numPr>
        <w:spacing w:line="240" w:lineRule="auto"/>
        <w:jc w:val="both"/>
        <w:rPr>
          <w:rFonts w:eastAsia="Times New Roman"/>
          <w:b/>
          <w:lang w:val="en-GB"/>
        </w:rPr>
      </w:pPr>
      <w:r w:rsidRPr="00D30847">
        <w:rPr>
          <w:rFonts w:eastAsia="Times New Roman"/>
          <w:b/>
          <w:lang w:val="en-GB"/>
        </w:rPr>
        <w:t>as regards value added tax</w:t>
      </w:r>
      <w:r w:rsidRPr="00D30847">
        <w:rPr>
          <w:rFonts w:eastAsia="Times New Roman"/>
          <w:lang w:val="en-GB"/>
        </w:rPr>
        <w:t>, Law on Modifications and Amendments to the Value Added Tax Law (“Official Gazette of the Republic of North Macedonia”, no. 199/23 dated 25</w:t>
      </w:r>
      <w:r w:rsidRPr="00D30847">
        <w:rPr>
          <w:rFonts w:eastAsia="Times New Roman"/>
          <w:vertAlign w:val="superscript"/>
          <w:lang w:val="en-GB"/>
        </w:rPr>
        <w:t>th</w:t>
      </w:r>
      <w:r w:rsidRPr="00D30847">
        <w:rPr>
          <w:rFonts w:eastAsia="Times New Roman"/>
          <w:lang w:val="en-GB"/>
        </w:rPr>
        <w:t xml:space="preserve"> September 2023) was prepared and adopted, with following segments being further harmonised with the Council Directive 2006/112/EC of 28 November 2006 on the common system of value added tax:</w:t>
      </w:r>
    </w:p>
    <w:p w14:paraId="4C98A051" w14:textId="77777777" w:rsidR="003E0F1C" w:rsidRPr="00D30847" w:rsidRDefault="003E0F1C" w:rsidP="00AD2AD5">
      <w:pPr>
        <w:numPr>
          <w:ilvl w:val="1"/>
          <w:numId w:val="62"/>
        </w:numPr>
        <w:spacing w:line="240" w:lineRule="auto"/>
        <w:jc w:val="both"/>
        <w:rPr>
          <w:rFonts w:eastAsia="Times New Roman"/>
          <w:lang w:val="en-GB"/>
        </w:rPr>
      </w:pPr>
      <w:r w:rsidRPr="00D30847">
        <w:rPr>
          <w:rFonts w:eastAsia="Times New Roman"/>
          <w:lang w:val="en-GB"/>
        </w:rPr>
        <w:t>precisely defining the place of supply of services, as well as introducing the category of a tax representative to act on behalf of the non-resident foreign entities with no head office in the country, but performing supply therein, with respect to settlement of liabilities towards the tax authority, including the payment of VAT;</w:t>
      </w:r>
    </w:p>
    <w:p w14:paraId="164B189F" w14:textId="77777777" w:rsidR="003E0F1C" w:rsidRPr="00D30847" w:rsidRDefault="003E0F1C" w:rsidP="00AD2AD5">
      <w:pPr>
        <w:numPr>
          <w:ilvl w:val="1"/>
          <w:numId w:val="62"/>
        </w:numPr>
        <w:spacing w:line="240" w:lineRule="auto"/>
        <w:jc w:val="both"/>
        <w:rPr>
          <w:rFonts w:eastAsia="Times New Roman"/>
          <w:lang w:val="en-GB"/>
        </w:rPr>
      </w:pPr>
      <w:r w:rsidRPr="00D30847">
        <w:rPr>
          <w:rFonts w:eastAsia="Times New Roman"/>
          <w:lang w:val="en-GB"/>
        </w:rPr>
        <w:t>VAT treatment of vouchers;</w:t>
      </w:r>
    </w:p>
    <w:p w14:paraId="59FC5364" w14:textId="77777777" w:rsidR="003E0F1C" w:rsidRPr="00D30847" w:rsidRDefault="003E0F1C" w:rsidP="00AD2AD5">
      <w:pPr>
        <w:numPr>
          <w:ilvl w:val="1"/>
          <w:numId w:val="62"/>
        </w:numPr>
        <w:spacing w:line="240" w:lineRule="auto"/>
        <w:jc w:val="both"/>
        <w:rPr>
          <w:rFonts w:eastAsia="Times New Roman"/>
          <w:lang w:val="en-GB"/>
        </w:rPr>
      </w:pPr>
      <w:r w:rsidRPr="00D30847">
        <w:rPr>
          <w:rFonts w:eastAsia="Times New Roman"/>
          <w:lang w:val="en-GB"/>
        </w:rPr>
        <w:t>regulating more precisely the special type of tax base;</w:t>
      </w:r>
    </w:p>
    <w:p w14:paraId="4018160B" w14:textId="77777777" w:rsidR="003E0F1C" w:rsidRPr="00D30847" w:rsidRDefault="003E0F1C" w:rsidP="00AD2AD5">
      <w:pPr>
        <w:numPr>
          <w:ilvl w:val="0"/>
          <w:numId w:val="63"/>
        </w:numPr>
        <w:spacing w:line="240" w:lineRule="auto"/>
        <w:jc w:val="both"/>
        <w:rPr>
          <w:rFonts w:eastAsia="Times New Roman"/>
          <w:lang w:val="en-GB"/>
        </w:rPr>
      </w:pPr>
      <w:r w:rsidRPr="00D30847">
        <w:rPr>
          <w:rFonts w:eastAsia="Times New Roman"/>
          <w:lang w:val="en-GB"/>
        </w:rPr>
        <w:lastRenderedPageBreak/>
        <w:t>prescribing the tax rates, whereby: VAT rate is reduced from 18% to 5% for digital textbooks and menstrual hygiene products, with VAT rate increasing from 5% to 10% for foodstuff other than basic foodstuff for human consumption.</w:t>
      </w:r>
    </w:p>
    <w:p w14:paraId="7712815B" w14:textId="16605977" w:rsidR="003E0F1C" w:rsidRPr="00D30847" w:rsidRDefault="003E0F1C" w:rsidP="00AD2AD5">
      <w:pPr>
        <w:numPr>
          <w:ilvl w:val="0"/>
          <w:numId w:val="63"/>
        </w:numPr>
        <w:spacing w:line="240" w:lineRule="auto"/>
        <w:jc w:val="both"/>
        <w:rPr>
          <w:rFonts w:eastAsia="Times New Roman"/>
          <w:lang w:val="en-GB"/>
        </w:rPr>
      </w:pPr>
      <w:r w:rsidRPr="00D30847">
        <w:rPr>
          <w:rFonts w:eastAsia="Times New Roman"/>
          <w:b/>
          <w:lang w:val="en-GB"/>
        </w:rPr>
        <w:t>in the field of excise policy</w:t>
      </w:r>
      <w:r w:rsidRPr="00D30847">
        <w:rPr>
          <w:rFonts w:eastAsia="Times New Roman"/>
          <w:lang w:val="en-GB"/>
        </w:rPr>
        <w:t>, Law on Modifications and Amendments to the Law on Excises (“Official Gazette of the Republic of North Macedonia”, no. 209/23 dated 5</w:t>
      </w:r>
      <w:r w:rsidRPr="00D30847">
        <w:rPr>
          <w:rFonts w:eastAsia="Times New Roman"/>
          <w:vertAlign w:val="superscript"/>
          <w:lang w:val="en-GB"/>
        </w:rPr>
        <w:t>th</w:t>
      </w:r>
      <w:r w:rsidRPr="00D30847">
        <w:rPr>
          <w:rFonts w:eastAsia="Times New Roman"/>
          <w:lang w:val="en-GB"/>
        </w:rPr>
        <w:t xml:space="preserve"> October 2023) was prepared and adopted, providing for harmonisation with Council Directive 2011/64/EU of 21 June 2011 on the structure and rates of excise duty applied to manufactured tobacco, by introducing a new 2024 -2030 Excise Calendar, thus attaining the minimum excise duty on cigarettes as per the respective Directive. Increased share of total excise duty in the weighted average price (WAP) of cigarettes is also envisaged.</w:t>
      </w:r>
      <w:r w:rsidR="00944D78" w:rsidRPr="00D30847">
        <w:rPr>
          <w:rFonts w:eastAsia="Times New Roman"/>
          <w:lang w:val="en-GB"/>
        </w:rPr>
        <w:t xml:space="preserve"> </w:t>
      </w:r>
      <w:r w:rsidRPr="00D30847">
        <w:rPr>
          <w:rFonts w:eastAsia="Times New Roman"/>
          <w:lang w:val="en-GB"/>
        </w:rPr>
        <w:t>Excise duty on other tobacco products is envisaged to increase as the specific excise duty increases, prescribed in the Excise Calendar for cigarettes.</w:t>
      </w:r>
      <w:r w:rsidR="00944D78" w:rsidRPr="00D30847">
        <w:rPr>
          <w:rFonts w:eastAsia="Times New Roman"/>
          <w:lang w:val="en-GB"/>
        </w:rPr>
        <w:t xml:space="preserve"> </w:t>
      </w:r>
      <w:r w:rsidRPr="00D30847">
        <w:rPr>
          <w:rFonts w:eastAsia="Times New Roman"/>
          <w:lang w:val="en-GB"/>
        </w:rPr>
        <w:t>In particular, the Law on Modifications an Amendments to the Law on Excises also envisages regulating more closely the legal provisions on denatured alcohol in line with Council Directive (EU) 2020/1151 of 29 July 2020 amending Directive 92/83/EEC on the harmonisation of the structures of excise duties on alcohol and alcoholic beverages, as well as alignment with Council Directive (EU) 2020/262 of 19 December 2019 laying down the general arrangements for excise duty as regards the electronic administrative document (e-AD).</w:t>
      </w:r>
    </w:p>
    <w:p w14:paraId="1BF96657" w14:textId="3E6B6026" w:rsidR="003E0F1C" w:rsidRPr="00D30847" w:rsidRDefault="003E0F1C" w:rsidP="00AD2AD5">
      <w:pPr>
        <w:numPr>
          <w:ilvl w:val="0"/>
          <w:numId w:val="63"/>
        </w:numPr>
        <w:spacing w:line="240" w:lineRule="auto"/>
        <w:jc w:val="both"/>
        <w:rPr>
          <w:rFonts w:eastAsia="Times New Roman"/>
          <w:lang w:val="en-GB"/>
        </w:rPr>
      </w:pPr>
      <w:r w:rsidRPr="00D30847">
        <w:rPr>
          <w:rFonts w:eastAsia="Times New Roman"/>
          <w:b/>
          <w:lang w:val="en-GB"/>
        </w:rPr>
        <w:t>with respect to taxation of motor vehicles</w:t>
      </w:r>
      <w:r w:rsidRPr="00D30847">
        <w:rPr>
          <w:rFonts w:eastAsia="Times New Roman"/>
          <w:lang w:val="en-GB"/>
        </w:rPr>
        <w:t>, on 17</w:t>
      </w:r>
      <w:r w:rsidRPr="00D30847">
        <w:rPr>
          <w:rFonts w:eastAsia="Times New Roman"/>
          <w:vertAlign w:val="superscript"/>
          <w:lang w:val="en-GB"/>
        </w:rPr>
        <w:t>th</w:t>
      </w:r>
      <w:r w:rsidRPr="00D30847">
        <w:rPr>
          <w:rFonts w:eastAsia="Times New Roman"/>
          <w:lang w:val="en-GB"/>
        </w:rPr>
        <w:t xml:space="preserve"> October 2023, the Government adopted the Decree on Modifications and Amendments to the Decree on the Manner of Assessing Motor Vehicles Tax, envisaging, for the purpose of assessing the environmental component of the motor vehicles tax, alongside the existing NEDC method (New European Driving Cycle) for measuring the emission of exhaust gases by motor vehicles by using laboratory tests, application of the new WLTP method (Worldwide Harmonised Light Vehicle Test Procedure), based on measuring the CO2 emission in real traffic conditions.</w:t>
      </w:r>
      <w:r w:rsidR="00944D78" w:rsidRPr="00D30847">
        <w:rPr>
          <w:rFonts w:eastAsia="Times New Roman"/>
          <w:lang w:val="en-GB"/>
        </w:rPr>
        <w:t xml:space="preserve"> </w:t>
      </w:r>
      <w:r w:rsidRPr="00D30847">
        <w:rPr>
          <w:rFonts w:eastAsia="Times New Roman"/>
          <w:lang w:val="en-GB"/>
        </w:rPr>
        <w:t>Application of the WLTP method is geared towards implementing part of the environmental protection measures and the commitment to introducing “green taxation”, incorporated in the Tax System Reform Strategy of the Republic of North Macedonia.</w:t>
      </w:r>
    </w:p>
    <w:p w14:paraId="49D7C8D5" w14:textId="6ACFB038" w:rsidR="003E0F1C" w:rsidRPr="00D30847" w:rsidRDefault="003E0F1C" w:rsidP="00AD2AD5">
      <w:pPr>
        <w:numPr>
          <w:ilvl w:val="0"/>
          <w:numId w:val="63"/>
        </w:numPr>
        <w:spacing w:line="240" w:lineRule="auto"/>
        <w:jc w:val="both"/>
        <w:rPr>
          <w:rFonts w:eastAsia="Times New Roman"/>
          <w:lang w:val="en-GB"/>
        </w:rPr>
      </w:pPr>
      <w:r w:rsidRPr="00D30847">
        <w:rPr>
          <w:rFonts w:cs="Calibri"/>
          <w:b/>
          <w:color w:val="000000"/>
          <w:lang w:val="en-GB"/>
        </w:rPr>
        <w:t>as regards administrative cooperation</w:t>
      </w:r>
      <w:r w:rsidRPr="00D30847">
        <w:rPr>
          <w:rFonts w:cs="Calibri"/>
          <w:color w:val="000000"/>
          <w:lang w:val="en-GB"/>
        </w:rPr>
        <w:t>, in the course of 2022, Ministry of Finance prepared the first draft of the Law on Administrative Cooperation for Tax Purposes which, at the moment, is being reviewed and finalised by all competent authorities, and it is planned to be adopted by the end of 2024.</w:t>
      </w:r>
      <w:r w:rsidRPr="00D30847">
        <w:rPr>
          <w:rFonts w:eastAsia="Times New Roman"/>
          <w:lang w:val="en-GB"/>
        </w:rPr>
        <w:t>By mid-2025, it is envisaged for the respective Law to be amended, incorporating provisions on automatic exchange of financial account information.</w:t>
      </w:r>
      <w:r w:rsidR="00944D78" w:rsidRPr="00D30847">
        <w:rPr>
          <w:rFonts w:eastAsia="Times New Roman"/>
          <w:lang w:val="en-GB"/>
        </w:rPr>
        <w:t xml:space="preserve"> </w:t>
      </w:r>
      <w:r w:rsidRPr="00D30847">
        <w:rPr>
          <w:rFonts w:eastAsia="Times New Roman"/>
          <w:lang w:val="en-GB"/>
        </w:rPr>
        <w:t xml:space="preserve">The country intends to sign the Multilateral Competent Authority Agreements (MCAA-CBC and MCAA-CRS) by </w:t>
      </w:r>
      <w:r w:rsidR="008F391C" w:rsidRPr="00D30847">
        <w:rPr>
          <w:rFonts w:eastAsia="Times New Roman"/>
          <w:lang w:val="en-GB"/>
        </w:rPr>
        <w:t>mid-2025</w:t>
      </w:r>
      <w:r w:rsidRPr="00D30847">
        <w:rPr>
          <w:rFonts w:eastAsia="Times New Roman"/>
          <w:lang w:val="en-GB"/>
        </w:rPr>
        <w:t>.</w:t>
      </w:r>
      <w:r w:rsidR="00944D78" w:rsidRPr="00D30847">
        <w:rPr>
          <w:rFonts w:eastAsia="Times New Roman"/>
          <w:lang w:val="en-GB"/>
        </w:rPr>
        <w:t xml:space="preserve"> </w:t>
      </w:r>
      <w:r w:rsidRPr="00D30847">
        <w:rPr>
          <w:rFonts w:eastAsia="Times New Roman"/>
          <w:lang w:val="en-GB"/>
        </w:rPr>
        <w:t>In order to effectively implement the automatic exchange, IT and administrative infrastructure is needed to be established in the PRO, as well as infrastructure for confidentiality and data safeguards, which is planned to be realised by the end of 2025, requiring additional technical assistance from the EU and the OECD.</w:t>
      </w:r>
      <w:r w:rsidR="00944D78" w:rsidRPr="00D30847">
        <w:rPr>
          <w:rFonts w:eastAsia="Times New Roman"/>
          <w:lang w:val="en-GB"/>
        </w:rPr>
        <w:t xml:space="preserve"> </w:t>
      </w:r>
      <w:r w:rsidRPr="00D30847">
        <w:rPr>
          <w:rFonts w:eastAsia="Times New Roman"/>
          <w:lang w:val="en-GB"/>
        </w:rPr>
        <w:t>All this is also envisaged under the Tax System Reform Strategy.</w:t>
      </w:r>
    </w:p>
    <w:p w14:paraId="76407A2D" w14:textId="48995689" w:rsidR="003E0F1C" w:rsidRPr="00D30847" w:rsidRDefault="003E0F1C" w:rsidP="00AD2AD5">
      <w:pPr>
        <w:numPr>
          <w:ilvl w:val="0"/>
          <w:numId w:val="5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ourier New"/>
          <w:color w:val="202124"/>
          <w:lang w:val="en-GB" w:eastAsia="mk-MK"/>
        </w:rPr>
      </w:pPr>
      <w:r w:rsidRPr="00D30847">
        <w:rPr>
          <w:rFonts w:cs="Calibri"/>
          <w:lang w:val="en-GB" w:eastAsia="mk-MK"/>
        </w:rPr>
        <w:t xml:space="preserve">Ministry of Finance undertakes activities for establishment of </w:t>
      </w:r>
      <w:r w:rsidRPr="00D30847">
        <w:rPr>
          <w:rFonts w:eastAsia="Times New Roman" w:cs="Calibri"/>
          <w:lang w:val="en-GB" w:eastAsia="mk-MK"/>
        </w:rPr>
        <w:t>Integrated Financial Management Information System (IFMIS), funded by the World Bank and the EU within the Building Effective, Transparent and Accountable Public Financial Management Institutions Project.</w:t>
      </w:r>
      <w:r w:rsidR="00944D78" w:rsidRPr="00D30847">
        <w:rPr>
          <w:rFonts w:eastAsia="Times New Roman" w:cs="Calibri"/>
          <w:lang w:val="en-GB" w:eastAsia="mk-MK"/>
        </w:rPr>
        <w:t xml:space="preserve"> </w:t>
      </w:r>
      <w:r w:rsidRPr="00D30847">
        <w:rPr>
          <w:rFonts w:cs="Courier New"/>
          <w:color w:val="202124"/>
          <w:lang w:val="en-GB" w:eastAsia="mk-MK"/>
        </w:rPr>
        <w:t>IFMIS is part of the PFM reform, which is to provide for a modernised PFM system with digitalised processes geared towards enhanced PFM efficiency and transparency.</w:t>
      </w:r>
      <w:r w:rsidR="00944D78" w:rsidRPr="00D30847">
        <w:rPr>
          <w:rFonts w:cs="Courier New"/>
          <w:color w:val="202124"/>
          <w:lang w:val="en-GB" w:eastAsia="mk-MK"/>
        </w:rPr>
        <w:t xml:space="preserve"> </w:t>
      </w:r>
      <w:r w:rsidRPr="00D30847">
        <w:rPr>
          <w:rFonts w:cs="Courier New"/>
          <w:color w:val="202124"/>
          <w:lang w:val="en-GB" w:eastAsia="mk-MK"/>
        </w:rPr>
        <w:t xml:space="preserve">This will be achieved by integrating the existing fragmented systems in the field of public finances into a single centralised digital platform, including, among other things, modules for budget planning and budget execution (including all expenditures, revenues and operations in a single treasury account); debt management and </w:t>
      </w:r>
      <w:r w:rsidRPr="00D30847">
        <w:rPr>
          <w:rFonts w:eastAsia="Times New Roman" w:cs="Calibri"/>
          <w:lang w:val="en-GB" w:eastAsia="mk-MK"/>
        </w:rPr>
        <w:t>state funds management, etc.</w:t>
      </w:r>
      <w:r w:rsidR="00944D78" w:rsidRPr="00D30847">
        <w:rPr>
          <w:rFonts w:eastAsia="Times New Roman" w:cs="Calibri"/>
          <w:lang w:val="en-GB" w:eastAsia="mk-MK"/>
        </w:rPr>
        <w:t xml:space="preserve"> </w:t>
      </w:r>
      <w:r w:rsidRPr="00D30847">
        <w:rPr>
          <w:rFonts w:cs="Courier New"/>
          <w:color w:val="202124"/>
          <w:lang w:val="en-GB" w:eastAsia="mk-MK"/>
        </w:rPr>
        <w:t xml:space="preserve">The system is also to provide for interoperability with other IT system within the Government, thus ensuring </w:t>
      </w:r>
      <w:r w:rsidRPr="00D30847">
        <w:rPr>
          <w:rFonts w:cs="Courier New"/>
          <w:color w:val="202124"/>
          <w:lang w:val="en-GB" w:eastAsia="mk-MK"/>
        </w:rPr>
        <w:lastRenderedPageBreak/>
        <w:t>automated data exchange, as well as web portal for a secure access by all authorised budget users and authorised public entities.</w:t>
      </w:r>
      <w:r w:rsidR="00944D78" w:rsidRPr="00D30847">
        <w:rPr>
          <w:rFonts w:cs="Courier New"/>
          <w:color w:val="202124"/>
          <w:lang w:val="en-GB" w:eastAsia="mk-MK"/>
        </w:rPr>
        <w:t xml:space="preserve"> </w:t>
      </w:r>
      <w:r w:rsidRPr="00D30847">
        <w:rPr>
          <w:rFonts w:cs="Courier New"/>
          <w:color w:val="202124"/>
          <w:lang w:val="en-GB" w:eastAsia="mk-MK"/>
        </w:rPr>
        <w:t>Implementation of the IFMIS system is envisaged under the OBL, as one of the preconditions for implementation of PFM reforms outlined in the respective Law.</w:t>
      </w:r>
      <w:r w:rsidR="00944D78" w:rsidRPr="00D30847">
        <w:rPr>
          <w:rFonts w:cs="Courier New"/>
          <w:color w:val="202124"/>
          <w:lang w:val="en-GB" w:eastAsia="mk-MK"/>
        </w:rPr>
        <w:t xml:space="preserve"> </w:t>
      </w:r>
      <w:r w:rsidRPr="00D30847">
        <w:rPr>
          <w:rFonts w:cs="Calibri"/>
          <w:lang w:val="en-GB" w:eastAsia="mk-MK"/>
        </w:rPr>
        <w:t>In addition to IFMIS, new</w:t>
      </w:r>
      <w:r w:rsidR="00944D78" w:rsidRPr="00D30847">
        <w:rPr>
          <w:rFonts w:cs="Calibri"/>
          <w:lang w:val="en-GB" w:eastAsia="mk-MK"/>
        </w:rPr>
        <w:t xml:space="preserve"> </w:t>
      </w:r>
      <w:r w:rsidRPr="00D30847">
        <w:rPr>
          <w:rFonts w:eastAsia="Times New Roman" w:cs="Calibri"/>
          <w:lang w:val="en-GB" w:eastAsia="mk-MK"/>
        </w:rPr>
        <w:t>State Aid Management Information System and PRO’s Integrated Tax Information System will be implemented within the Building Effective, Transparent and Accountable Public Financial Management Institutions Project.</w:t>
      </w:r>
      <w:r w:rsidR="00944D78" w:rsidRPr="00D30847">
        <w:rPr>
          <w:rFonts w:eastAsia="Times New Roman" w:cs="Calibri"/>
          <w:lang w:val="en-GB" w:eastAsia="mk-MK"/>
        </w:rPr>
        <w:t xml:space="preserve"> </w:t>
      </w:r>
      <w:r w:rsidRPr="00D30847">
        <w:rPr>
          <w:rFonts w:cs="Courier New"/>
          <w:color w:val="202124"/>
          <w:lang w:val="en-GB" w:eastAsia="mk-MK"/>
        </w:rPr>
        <w:t xml:space="preserve">Loan and Grant Agreements with the World Bank </w:t>
      </w:r>
      <w:r w:rsidR="00425DD5" w:rsidRPr="00D30847">
        <w:rPr>
          <w:rFonts w:cs="Courier New"/>
          <w:color w:val="202124"/>
          <w:lang w:val="en-GB" w:eastAsia="mk-MK"/>
        </w:rPr>
        <w:t xml:space="preserve">and the EU </w:t>
      </w:r>
      <w:r w:rsidRPr="00D30847">
        <w:rPr>
          <w:rFonts w:cs="Courier New"/>
          <w:color w:val="202124"/>
          <w:lang w:val="en-GB" w:eastAsia="mk-MK"/>
        </w:rPr>
        <w:t>were signed on 25</w:t>
      </w:r>
      <w:r w:rsidRPr="00D30847">
        <w:rPr>
          <w:rFonts w:cs="Courier New"/>
          <w:color w:val="202124"/>
          <w:vertAlign w:val="superscript"/>
          <w:lang w:val="en-GB" w:eastAsia="mk-MK"/>
        </w:rPr>
        <w:t>th</w:t>
      </w:r>
      <w:r w:rsidRPr="00D30847">
        <w:rPr>
          <w:rFonts w:cs="Courier New"/>
          <w:color w:val="202124"/>
          <w:lang w:val="en-GB" w:eastAsia="mk-MK"/>
        </w:rPr>
        <w:t xml:space="preserve"> January 2023 and the Project is launched.</w:t>
      </w:r>
    </w:p>
    <w:p w14:paraId="273B5FDB" w14:textId="77777777" w:rsidR="00C64F6E" w:rsidRPr="00D30847" w:rsidRDefault="00C64F6E" w:rsidP="00903D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cs="Courier New"/>
          <w:color w:val="202124"/>
          <w:lang w:val="en-GB" w:eastAsia="mk-MK"/>
        </w:rPr>
      </w:pPr>
    </w:p>
    <w:p w14:paraId="7F61B636" w14:textId="77777777" w:rsidR="00DC16A0" w:rsidRDefault="003E0F1C" w:rsidP="008023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Calibri"/>
          <w:lang w:val="en-GB" w:eastAsia="mk-MK"/>
        </w:rPr>
      </w:pPr>
      <w:r w:rsidRPr="00D30847">
        <w:rPr>
          <w:rFonts w:cs="Calibri"/>
          <w:lang w:val="en-GB" w:eastAsia="mk-MK"/>
        </w:rPr>
        <w:t>On 29th December 2022, Minister of Finance adopted new acts on organisational setup and systematisation of work posts within the MoF, envisaging establishment of Public Finance Academy and Public Investment Management (PIM) Department.</w:t>
      </w:r>
      <w:r w:rsidR="00944D78" w:rsidRPr="00D30847">
        <w:rPr>
          <w:rFonts w:cs="Calibri"/>
          <w:lang w:val="en-GB" w:eastAsia="mk-MK"/>
        </w:rPr>
        <w:t xml:space="preserve"> </w:t>
      </w:r>
      <w:r w:rsidRPr="00D30847">
        <w:rPr>
          <w:rFonts w:cs="Calibri"/>
          <w:lang w:val="en-GB" w:eastAsia="mk-MK"/>
        </w:rPr>
        <w:t xml:space="preserve">Staffing process for both Departments commenced in 2023. </w:t>
      </w:r>
      <w:r w:rsidR="00CD7BC0" w:rsidRPr="00D30847">
        <w:rPr>
          <w:rFonts w:cs="Calibri"/>
          <w:lang w:val="en-GB" w:eastAsia="mk-MK"/>
        </w:rPr>
        <w:t>During 2023 and 2024, the process of filling the positions within the Department - Academy for Public Finance Management was implemented, and as of November 2024, the department has a total of 9 employees. Activities have also been undertaken to strengthen the capacities of employees through continuous training, aimed at enabling them to organi</w:t>
      </w:r>
      <w:r w:rsidR="002F5516" w:rsidRPr="00D30847">
        <w:rPr>
          <w:rFonts w:cs="Calibri"/>
          <w:lang w:val="en-GB" w:eastAsia="mk-MK"/>
        </w:rPr>
        <w:t>s</w:t>
      </w:r>
      <w:r w:rsidR="00CD7BC0" w:rsidRPr="00D30847">
        <w:rPr>
          <w:rFonts w:cs="Calibri"/>
          <w:lang w:val="en-GB" w:eastAsia="mk-MK"/>
        </w:rPr>
        <w:t xml:space="preserve">e and conduct training. The </w:t>
      </w:r>
      <w:r w:rsidR="002F5516" w:rsidRPr="00D30847">
        <w:rPr>
          <w:rFonts w:cs="Calibri"/>
          <w:lang w:val="en-GB" w:eastAsia="mk-MK"/>
        </w:rPr>
        <w:t>department</w:t>
      </w:r>
      <w:r w:rsidR="00CD7BC0" w:rsidRPr="00D30847">
        <w:rPr>
          <w:rFonts w:cs="Calibri"/>
          <w:lang w:val="en-GB" w:eastAsia="mk-MK"/>
        </w:rPr>
        <w:t xml:space="preserve"> continuously works on the development of internal procedures (ISO) and methodological tools, which will contribute to its effective functioning, and at the same time establishes continuous cooperation with local and international organi</w:t>
      </w:r>
      <w:r w:rsidR="002F5516" w:rsidRPr="00D30847">
        <w:rPr>
          <w:rFonts w:cs="Calibri"/>
          <w:lang w:val="en-GB" w:eastAsia="mk-MK"/>
        </w:rPr>
        <w:t>s</w:t>
      </w:r>
      <w:r w:rsidR="00CD7BC0" w:rsidRPr="00D30847">
        <w:rPr>
          <w:rFonts w:cs="Calibri"/>
          <w:lang w:val="en-GB" w:eastAsia="mk-MK"/>
        </w:rPr>
        <w:t xml:space="preserve">ations, which are successfully established in the field. </w:t>
      </w:r>
      <w:r w:rsidR="0071355C" w:rsidRPr="00D30847">
        <w:rPr>
          <w:rFonts w:cs="Calibri"/>
          <w:lang w:val="en-GB" w:eastAsia="mk-MK"/>
        </w:rPr>
        <w:t xml:space="preserve">PIM Department was created in 2023 and currently numbers 6 employees, out of 14 planned with the Systematization act. The process of drafting the PIM Decree as a by-law stemming from the new OBL and relevant explanatory documents, such as PIM Process Manual and Feasibility Study Guidelines is completed, with TA support provided by the World Bank (funded by the EU). </w:t>
      </w:r>
    </w:p>
    <w:p w14:paraId="33FB01D9" w14:textId="1083A99C" w:rsidR="00DC16A0" w:rsidRDefault="00DC16A0" w:rsidP="008023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Calibri"/>
          <w:lang w:val="en-GB" w:eastAsia="mk-MK"/>
        </w:rPr>
      </w:pPr>
      <w:r w:rsidRPr="00DC16A0">
        <w:rPr>
          <w:rFonts w:cs="Calibri"/>
          <w:lang w:val="en-GB" w:eastAsia="mk-MK"/>
        </w:rPr>
        <w:t xml:space="preserve">The </w:t>
      </w:r>
      <w:r>
        <w:rPr>
          <w:rFonts w:cs="Calibri"/>
          <w:lang w:val="en-GB" w:eastAsia="mk-MK"/>
        </w:rPr>
        <w:t xml:space="preserve">Draft </w:t>
      </w:r>
      <w:r w:rsidRPr="00DC16A0">
        <w:rPr>
          <w:rFonts w:cs="Calibri"/>
          <w:lang w:val="en-GB" w:eastAsia="mk-MK"/>
        </w:rPr>
        <w:t xml:space="preserve">Decree was conditionally approved by the Government in July 2024, due to the need to amend the </w:t>
      </w:r>
      <w:r>
        <w:rPr>
          <w:rFonts w:cs="Calibri"/>
          <w:lang w:val="en-GB" w:eastAsia="mk-MK"/>
        </w:rPr>
        <w:t>Budget</w:t>
      </w:r>
      <w:r w:rsidRPr="00DC16A0">
        <w:rPr>
          <w:rFonts w:cs="Calibri"/>
          <w:lang w:val="en-GB" w:eastAsia="mk-MK"/>
        </w:rPr>
        <w:t xml:space="preserve"> </w:t>
      </w:r>
      <w:r>
        <w:rPr>
          <w:rFonts w:cs="Calibri"/>
          <w:lang w:val="en-GB" w:eastAsia="mk-MK"/>
        </w:rPr>
        <w:t>Law</w:t>
      </w:r>
      <w:r w:rsidRPr="00DC16A0">
        <w:rPr>
          <w:rFonts w:cs="Calibri"/>
          <w:lang w:val="en-GB" w:eastAsia="mk-MK"/>
        </w:rPr>
        <w:t>. The Law on Amendments and Supplements to the Budget</w:t>
      </w:r>
      <w:r>
        <w:rPr>
          <w:rFonts w:cs="Calibri"/>
          <w:lang w:val="en-GB" w:eastAsia="mk-MK"/>
        </w:rPr>
        <w:t xml:space="preserve"> Law </w:t>
      </w:r>
      <w:r w:rsidRPr="00DC16A0">
        <w:rPr>
          <w:rFonts w:cs="Calibri"/>
          <w:lang w:val="en-GB" w:eastAsia="mk-MK"/>
        </w:rPr>
        <w:t xml:space="preserve">was adopted and published in the Official Gazette of the Republic of North Macedonia on 27.12.2024, after which appropriate harmonization was made of the </w:t>
      </w:r>
      <w:r>
        <w:rPr>
          <w:rFonts w:cs="Calibri"/>
          <w:lang w:val="en-GB" w:eastAsia="mk-MK"/>
        </w:rPr>
        <w:t>Draft</w:t>
      </w:r>
      <w:r w:rsidRPr="00DC16A0">
        <w:rPr>
          <w:rFonts w:cs="Calibri"/>
          <w:lang w:val="en-GB" w:eastAsia="mk-MK"/>
        </w:rPr>
        <w:t xml:space="preserve"> Decree and it is in the governmental procedure of adoption.</w:t>
      </w:r>
    </w:p>
    <w:p w14:paraId="2D8EDE3E" w14:textId="77777777" w:rsidR="00DC16A0" w:rsidRDefault="00DC16A0" w:rsidP="008023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Calibri"/>
          <w:lang w:val="en-GB" w:eastAsia="mk-MK"/>
        </w:rPr>
      </w:pPr>
    </w:p>
    <w:p w14:paraId="0BADB8DE" w14:textId="77777777" w:rsidR="003E0F1C" w:rsidRPr="00D30847" w:rsidRDefault="003E0F1C" w:rsidP="003E0F1C">
      <w:pPr>
        <w:spacing w:line="240" w:lineRule="auto"/>
        <w:rPr>
          <w:b/>
          <w:color w:val="0070C0"/>
          <w:sz w:val="28"/>
          <w:szCs w:val="28"/>
          <w:lang w:val="en-GB" w:eastAsia="zh-CN"/>
        </w:rPr>
      </w:pPr>
      <w:r w:rsidRPr="00D30847">
        <w:rPr>
          <w:b/>
          <w:color w:val="0070C0"/>
          <w:sz w:val="28"/>
          <w:szCs w:val="28"/>
          <w:lang w:val="en-GB" w:eastAsia="zh-CN"/>
        </w:rPr>
        <w:t>Lessons Learned</w:t>
      </w:r>
    </w:p>
    <w:p w14:paraId="2299E4CF" w14:textId="77777777" w:rsidR="003E0F1C" w:rsidRPr="00D30847" w:rsidRDefault="003E0F1C" w:rsidP="003E0F1C">
      <w:pPr>
        <w:spacing w:line="240" w:lineRule="auto"/>
        <w:jc w:val="both"/>
        <w:rPr>
          <w:lang w:val="en-GB"/>
        </w:rPr>
      </w:pPr>
      <w:bookmarkStart w:id="10" w:name="_Toc501441598"/>
      <w:r w:rsidRPr="00D30847">
        <w:rPr>
          <w:lang w:val="en-GB"/>
        </w:rPr>
        <w:t xml:space="preserve">Lessons learned pertaining to the implementation of PFM Reform Programme 2022-2025 as a whole: </w:t>
      </w:r>
    </w:p>
    <w:p w14:paraId="5E7CDC25" w14:textId="2EA55567" w:rsidR="003E0F1C" w:rsidRPr="00D30847" w:rsidRDefault="003E0F1C" w:rsidP="00445B42">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lang w:val="en-GB"/>
        </w:rPr>
      </w:pPr>
      <w:r w:rsidRPr="00D30847">
        <w:rPr>
          <w:lang w:val="en-GB"/>
        </w:rPr>
        <w:t xml:space="preserve">PFM reforms are successful and yield results when there is a strong political commitment to their implementation. Putting in place </w:t>
      </w:r>
      <w:r w:rsidRPr="00D30847">
        <w:rPr>
          <w:rFonts w:eastAsia="Times New Roman" w:cs="Calibri"/>
          <w:lang w:val="en-GB" w:eastAsia="mk-MK"/>
        </w:rPr>
        <w:t xml:space="preserve">coordination arrangements - led by government officials - </w:t>
      </w:r>
      <w:r w:rsidRPr="00D30847">
        <w:rPr>
          <w:lang w:val="en-GB"/>
        </w:rPr>
        <w:t xml:space="preserve">to monitor and guide reforms and reform models </w:t>
      </w:r>
      <w:r w:rsidRPr="00D30847">
        <w:rPr>
          <w:rFonts w:eastAsia="Times New Roman" w:cs="Calibri"/>
          <w:lang w:val="en-GB" w:eastAsia="mk-MK"/>
        </w:rPr>
        <w:t>tailored to the institutional and capacity context</w:t>
      </w:r>
      <w:r w:rsidRPr="00D30847">
        <w:rPr>
          <w:lang w:val="en-GB"/>
        </w:rPr>
        <w:t xml:space="preserve"> are of particular importance.</w:t>
      </w:r>
      <w:r w:rsidR="00944D78" w:rsidRPr="00D30847">
        <w:rPr>
          <w:lang w:val="en-GB"/>
        </w:rPr>
        <w:t xml:space="preserve"> </w:t>
      </w:r>
      <w:r w:rsidRPr="00D30847">
        <w:rPr>
          <w:lang w:val="en-GB"/>
        </w:rPr>
        <w:t xml:space="preserve">When such essential conditions are not in place, the reforms are unlikely </w:t>
      </w:r>
      <w:r w:rsidR="00944D78" w:rsidRPr="00D30847">
        <w:rPr>
          <w:lang w:val="en-GB"/>
        </w:rPr>
        <w:t>were</w:t>
      </w:r>
      <w:r w:rsidRPr="00D30847">
        <w:rPr>
          <w:lang w:val="en-GB"/>
        </w:rPr>
        <w:t xml:space="preserve"> successful.</w:t>
      </w:r>
      <w:r w:rsidR="00944D78" w:rsidRPr="00D30847">
        <w:rPr>
          <w:lang w:val="en-GB"/>
        </w:rPr>
        <w:t xml:space="preserve"> </w:t>
      </w:r>
      <w:r w:rsidRPr="00D30847">
        <w:rPr>
          <w:lang w:val="en-GB"/>
        </w:rPr>
        <w:t>Development of core PFM skills requires more appropriate use of the external technical support, with undertaking diagnostic assessments to raise awareness at the political level of the need for reforms.</w:t>
      </w:r>
      <w:r w:rsidR="00944D78" w:rsidRPr="00D30847">
        <w:rPr>
          <w:lang w:val="en-GB"/>
        </w:rPr>
        <w:t xml:space="preserve"> </w:t>
      </w:r>
      <w:r w:rsidRPr="00D30847">
        <w:rPr>
          <w:lang w:val="en-GB"/>
        </w:rPr>
        <w:t>The use of PEFA diagnostic assessment on a periodic basis is useful in creating a shared understanding for PFM strengths and weaknesses and a shared perception of the degree of progress being achieved in PFM reforms.</w:t>
      </w:r>
    </w:p>
    <w:p w14:paraId="2DEFBC17" w14:textId="42EC38F0" w:rsidR="003E0F1C" w:rsidRPr="00D30847" w:rsidRDefault="003E0F1C" w:rsidP="00445B42">
      <w:pPr>
        <w:numPr>
          <w:ilvl w:val="0"/>
          <w:numId w:val="6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lang w:val="en-GB"/>
        </w:rPr>
      </w:pPr>
      <w:r w:rsidRPr="00D30847">
        <w:rPr>
          <w:rFonts w:cs="Calibri"/>
          <w:lang w:val="en-GB"/>
        </w:rPr>
        <w:t xml:space="preserve">Reforms must be country owned: </w:t>
      </w:r>
      <w:r w:rsidRPr="00D30847">
        <w:rPr>
          <w:rFonts w:eastAsia="Times New Roman" w:cs="Calibri"/>
          <w:lang w:val="en-GB" w:eastAsia="mk-MK"/>
        </w:rPr>
        <w:t>reform should not be imposed as a donor condition.</w:t>
      </w:r>
      <w:r w:rsidR="00944D78" w:rsidRPr="00D30847">
        <w:rPr>
          <w:rFonts w:eastAsia="Times New Roman" w:cs="Calibri"/>
          <w:lang w:val="en-GB" w:eastAsia="mk-MK"/>
        </w:rPr>
        <w:t xml:space="preserve"> </w:t>
      </w:r>
      <w:r w:rsidRPr="00D30847">
        <w:rPr>
          <w:rFonts w:eastAsia="Times New Roman" w:cs="Calibri"/>
          <w:lang w:val="en-GB" w:eastAsia="mk-MK"/>
        </w:rPr>
        <w:t>While it seems to be the case that reforms happen faster when linked to budget support, it is more likely to be sustained if ownership is developed.</w:t>
      </w:r>
      <w:r w:rsidR="00944D78" w:rsidRPr="00D30847">
        <w:rPr>
          <w:rFonts w:eastAsia="Times New Roman" w:cs="Calibri"/>
          <w:lang w:val="en-GB" w:eastAsia="mk-MK"/>
        </w:rPr>
        <w:t xml:space="preserve"> </w:t>
      </w:r>
      <w:r w:rsidRPr="00D30847">
        <w:rPr>
          <w:rFonts w:eastAsia="Times New Roman" w:cs="Calibri"/>
          <w:lang w:val="en-GB" w:eastAsia="mk-MK"/>
        </w:rPr>
        <w:t>Without reform ownership by the national authorities, the reform process stops when the money stops.</w:t>
      </w:r>
    </w:p>
    <w:p w14:paraId="610F8A68" w14:textId="02695AED" w:rsidR="003E0F1C" w:rsidRPr="00D30847" w:rsidRDefault="003E0F1C" w:rsidP="00445B42">
      <w:pPr>
        <w:numPr>
          <w:ilvl w:val="0"/>
          <w:numId w:val="60"/>
        </w:numPr>
        <w:spacing w:line="240" w:lineRule="auto"/>
        <w:jc w:val="both"/>
        <w:rPr>
          <w:lang w:val="en-GB"/>
        </w:rPr>
      </w:pPr>
      <w:r w:rsidRPr="00D30847">
        <w:rPr>
          <w:lang w:val="en-GB"/>
        </w:rPr>
        <w:lastRenderedPageBreak/>
        <w:t>Coordination in the preparation of annual/semi-annual reports between the members of the Sector Working Group and the stakeholders for each priority was not fully efficient: although good progress was achieved, efficiency and effectiveness were not achieved to their fullest.</w:t>
      </w:r>
      <w:r w:rsidR="00944D78" w:rsidRPr="00D30847">
        <w:rPr>
          <w:lang w:val="en-GB"/>
        </w:rPr>
        <w:t xml:space="preserve"> </w:t>
      </w:r>
      <w:r w:rsidRPr="00D30847">
        <w:rPr>
          <w:lang w:val="en-GB"/>
        </w:rPr>
        <w:t>Monitoring and reporting on achievements and challenges in the course of</w:t>
      </w:r>
      <w:r w:rsidR="00944D78" w:rsidRPr="00D30847">
        <w:rPr>
          <w:lang w:val="en-GB"/>
        </w:rPr>
        <w:t xml:space="preserve"> </w:t>
      </w:r>
      <w:r w:rsidRPr="00D30847">
        <w:rPr>
          <w:lang w:val="en-GB"/>
        </w:rPr>
        <w:t>Programme implementation was limited, focusing on the progress achieved at certain measures, rather than the priority as a whole.</w:t>
      </w:r>
      <w:r w:rsidR="00944D78" w:rsidRPr="00D30847">
        <w:rPr>
          <w:lang w:val="en-GB"/>
        </w:rPr>
        <w:t xml:space="preserve"> </w:t>
      </w:r>
      <w:r w:rsidRPr="00D30847">
        <w:rPr>
          <w:lang w:val="en-GB"/>
        </w:rPr>
        <w:t>What is important is that most of the priorities are to a large extent on the right path as regards the implementation of the ongoing activities.</w:t>
      </w:r>
    </w:p>
    <w:p w14:paraId="2C3D9FA2" w14:textId="2327AFBF" w:rsidR="003E0F1C" w:rsidRPr="00D30847" w:rsidRDefault="003E0F1C" w:rsidP="00445B42">
      <w:pPr>
        <w:numPr>
          <w:ilvl w:val="0"/>
          <w:numId w:val="60"/>
        </w:numPr>
        <w:spacing w:line="240" w:lineRule="auto"/>
        <w:jc w:val="both"/>
        <w:rPr>
          <w:lang w:val="en-GB"/>
        </w:rPr>
      </w:pPr>
      <w:r w:rsidRPr="00D30847">
        <w:rPr>
          <w:lang w:val="en-GB"/>
        </w:rPr>
        <w:t>Need for a more realistic planning to avoid the risk of failure - from today’s perspective, the process of planning the time limits for implementation of part of the activities was too ambitious, with the time limits not being sufficiently well projected.</w:t>
      </w:r>
      <w:r w:rsidR="00944D78" w:rsidRPr="00D30847">
        <w:rPr>
          <w:lang w:val="en-GB"/>
        </w:rPr>
        <w:t xml:space="preserve"> </w:t>
      </w:r>
      <w:r w:rsidRPr="00D30847">
        <w:rPr>
          <w:lang w:val="en-GB"/>
        </w:rPr>
        <w:t>Hence, the reform plan is to be ambitious, but, at the same time, in harmony with the real needs realistic and attainable in terms of implementation capacity and allocated financial resources, i.e. sufficient resources from the state budget, as well as donor funds.</w:t>
      </w:r>
      <w:r w:rsidR="00944D78" w:rsidRPr="00D30847">
        <w:rPr>
          <w:lang w:val="en-GB"/>
        </w:rPr>
        <w:t xml:space="preserve"> </w:t>
      </w:r>
      <w:r w:rsidRPr="00D30847">
        <w:rPr>
          <w:lang w:val="en-GB"/>
        </w:rPr>
        <w:t>Strengthened monitoring over the implementation and improved reporting on the status of implementation of the planned activities is an important segment for their better implementation.</w:t>
      </w:r>
    </w:p>
    <w:p w14:paraId="5321DA40" w14:textId="0C0900F1" w:rsidR="003E0F1C" w:rsidRPr="00D30847" w:rsidRDefault="003E0F1C" w:rsidP="00AD2AD5">
      <w:pPr>
        <w:numPr>
          <w:ilvl w:val="0"/>
          <w:numId w:val="60"/>
        </w:numPr>
        <w:spacing w:line="240" w:lineRule="auto"/>
        <w:jc w:val="both"/>
        <w:rPr>
          <w:lang w:val="en-GB"/>
        </w:rPr>
      </w:pPr>
      <w:r w:rsidRPr="00D30847">
        <w:rPr>
          <w:lang w:val="en-GB"/>
        </w:rPr>
        <w:t>Calculation of the costs related to implementation of the activities was detailed, including the estimated additional costs, excluding the ongoing operations of the administration, making the monitoring of the use of funds under the Programme more difficult. Several crucial activities for which there were no sources of financing, i.e. they were envisaged as 100% financing gap, were not implemented due to lack of funds, such as the development of Unified Electronic Public Private Partnership System, which will generate the Registry of PPP Contracts.</w:t>
      </w:r>
      <w:r w:rsidR="00944D78" w:rsidRPr="00D30847">
        <w:rPr>
          <w:lang w:val="en-GB"/>
        </w:rPr>
        <w:t xml:space="preserve"> </w:t>
      </w:r>
      <w:r w:rsidRPr="00D30847">
        <w:rPr>
          <w:lang w:val="en-GB"/>
        </w:rPr>
        <w:t>For the PPP Law to be applicable, budget financial support or donor support is necessary for the System to be developed.</w:t>
      </w:r>
      <w:r w:rsidR="00944D78" w:rsidRPr="00D30847">
        <w:rPr>
          <w:lang w:val="en-GB"/>
        </w:rPr>
        <w:t xml:space="preserve"> </w:t>
      </w:r>
      <w:r w:rsidRPr="00D30847">
        <w:rPr>
          <w:lang w:val="en-GB"/>
        </w:rPr>
        <w:t>It is to be carefully decided which activities would be part of the Programme</w:t>
      </w:r>
      <w:r w:rsidR="00944D78" w:rsidRPr="00D30847">
        <w:rPr>
          <w:lang w:val="en-GB"/>
        </w:rPr>
        <w:t xml:space="preserve"> </w:t>
      </w:r>
      <w:r w:rsidRPr="00D30847">
        <w:rPr>
          <w:lang w:val="en-GB"/>
        </w:rPr>
        <w:t>so as to avoid any failure to implement them.</w:t>
      </w:r>
      <w:r w:rsidR="00944D78" w:rsidRPr="00D30847">
        <w:rPr>
          <w:lang w:val="en-GB"/>
        </w:rPr>
        <w:t xml:space="preserve"> </w:t>
      </w:r>
      <w:r w:rsidRPr="00D30847">
        <w:rPr>
          <w:lang w:val="en-GB"/>
        </w:rPr>
        <w:t>Moreover, monitoring the use of funds from external sources of financing (technical assistance and donor funds) was also made difficult due to lack of information from the donors.</w:t>
      </w:r>
    </w:p>
    <w:p w14:paraId="54BE9F44" w14:textId="0704A7EA" w:rsidR="003E0F1C" w:rsidRPr="00D30847" w:rsidRDefault="003E0F1C" w:rsidP="00AD2AD5">
      <w:pPr>
        <w:numPr>
          <w:ilvl w:val="0"/>
          <w:numId w:val="60"/>
        </w:numPr>
        <w:spacing w:line="240" w:lineRule="auto"/>
        <w:jc w:val="both"/>
        <w:rPr>
          <w:lang w:val="en-GB"/>
        </w:rPr>
      </w:pPr>
      <w:r w:rsidRPr="00D30847">
        <w:rPr>
          <w:lang w:val="en-GB"/>
        </w:rPr>
        <w:t>Human resource management is a huge challenge in the 21</w:t>
      </w:r>
      <w:r w:rsidRPr="00D30847">
        <w:rPr>
          <w:vertAlign w:val="superscript"/>
          <w:lang w:val="en-GB"/>
        </w:rPr>
        <w:t>st</w:t>
      </w:r>
      <w:r w:rsidRPr="00D30847">
        <w:rPr>
          <w:lang w:val="en-GB"/>
        </w:rPr>
        <w:t xml:space="preserve"> century.</w:t>
      </w:r>
      <w:r w:rsidR="00944D78" w:rsidRPr="00D30847">
        <w:rPr>
          <w:lang w:val="en-GB"/>
        </w:rPr>
        <w:t xml:space="preserve"> </w:t>
      </w:r>
      <w:r w:rsidRPr="00D30847">
        <w:rPr>
          <w:lang w:val="en-GB"/>
        </w:rPr>
        <w:t>Planning process, as part of the human resource management - number of personnel leaving the institutions on various basis (old age pension, death, voluntary termination or lay-offs, etc.) is to be strategically envisaged</w:t>
      </w:r>
      <w:r w:rsidR="00944D78" w:rsidRPr="00D30847">
        <w:rPr>
          <w:lang w:val="en-GB"/>
        </w:rPr>
        <w:t xml:space="preserve"> </w:t>
      </w:r>
      <w:r w:rsidRPr="00D30847">
        <w:rPr>
          <w:lang w:val="en-GB"/>
        </w:rPr>
        <w:t>several years beforehand, so as to avoid shortage of personnel, considering that personnel is not developed in a month or two or in just couple of months. On the contrary, it is a matter of a planning process which takes places several years backwards so as for the personnel to be educated and trained and to gain sufficient experience in performing the tasks and the duties.</w:t>
      </w:r>
      <w:r w:rsidR="00944D78" w:rsidRPr="00D30847">
        <w:rPr>
          <w:lang w:val="en-GB"/>
        </w:rPr>
        <w:t xml:space="preserve"> </w:t>
      </w:r>
      <w:r w:rsidRPr="00D30847">
        <w:rPr>
          <w:lang w:val="en-GB"/>
        </w:rPr>
        <w:t>Government services, with the crucial roles they perform, are an irreplaceable resource of every country.</w:t>
      </w:r>
      <w:r w:rsidR="00944D78" w:rsidRPr="00D30847">
        <w:rPr>
          <w:lang w:val="en-GB"/>
        </w:rPr>
        <w:t xml:space="preserve"> </w:t>
      </w:r>
      <w:r w:rsidRPr="00D30847">
        <w:rPr>
          <w:lang w:val="en-GB"/>
        </w:rPr>
        <w:t>Administration reforms in line with the European standards are a necessary step towards modernising the public administration and the EU candidate countries.</w:t>
      </w:r>
      <w:r w:rsidR="00944D78" w:rsidRPr="00D30847">
        <w:rPr>
          <w:lang w:val="en-GB"/>
        </w:rPr>
        <w:t xml:space="preserve"> </w:t>
      </w:r>
      <w:r w:rsidRPr="00D30847">
        <w:rPr>
          <w:lang w:val="en-GB"/>
        </w:rPr>
        <w:t xml:space="preserve">Working in the interest of the citizens, </w:t>
      </w:r>
      <w:proofErr w:type="spellStart"/>
      <w:r w:rsidRPr="00D30847">
        <w:rPr>
          <w:lang w:val="en-GB"/>
        </w:rPr>
        <w:t>depoliticisation</w:t>
      </w:r>
      <w:proofErr w:type="spellEnd"/>
      <w:r w:rsidRPr="00D30847">
        <w:rPr>
          <w:lang w:val="en-GB"/>
        </w:rPr>
        <w:t xml:space="preserve"> and building a sound administrative system are the fundamental features each administration is to possess.</w:t>
      </w:r>
      <w:r w:rsidR="00944D78" w:rsidRPr="00D30847">
        <w:rPr>
          <w:lang w:val="en-GB"/>
        </w:rPr>
        <w:t xml:space="preserve"> </w:t>
      </w:r>
      <w:r w:rsidRPr="00D30847">
        <w:rPr>
          <w:lang w:val="en-GB"/>
        </w:rPr>
        <w:t>Hiring and retaining qualified personnel is a problem in particular for IT and other key sectors, such as public debt management, PIM, PPPs, tax projections, budget planning, which could adversely affect the implementation of both the projects and the reforms.</w:t>
      </w:r>
      <w:r w:rsidR="00944D78" w:rsidRPr="00D30847">
        <w:rPr>
          <w:lang w:val="en-GB"/>
        </w:rPr>
        <w:t xml:space="preserve"> </w:t>
      </w:r>
      <w:r w:rsidRPr="00D30847">
        <w:rPr>
          <w:lang w:val="en-GB"/>
        </w:rPr>
        <w:t>Despite the built capacities and carried out training, large fluctuation in personnel adversely reflects on the sustainability/viability of the achieved results.</w:t>
      </w:r>
      <w:r w:rsidR="00944D78" w:rsidRPr="00D30847">
        <w:rPr>
          <w:lang w:val="en-GB"/>
        </w:rPr>
        <w:t xml:space="preserve"> </w:t>
      </w:r>
      <w:r w:rsidRPr="00D30847">
        <w:rPr>
          <w:lang w:val="en-GB"/>
        </w:rPr>
        <w:t>Therefore, activities are continuously undertaken aimed at development and improved quality in all state organisational entities by preparing strategic plans and modifications and amendments to the laws governing the civil servants, i.e. by improving the process of recruitment, selection, assessment and motivation of civil servants.</w:t>
      </w:r>
      <w:r w:rsidR="00944D78" w:rsidRPr="00D30847">
        <w:rPr>
          <w:lang w:val="en-GB"/>
        </w:rPr>
        <w:t xml:space="preserve"> </w:t>
      </w:r>
      <w:r w:rsidRPr="00D30847">
        <w:rPr>
          <w:lang w:val="en-GB"/>
        </w:rPr>
        <w:t>However, achieving this requires adoption of a systemic solution to retain the public administration staff.</w:t>
      </w:r>
      <w:r w:rsidR="00944D78" w:rsidRPr="00D30847">
        <w:rPr>
          <w:lang w:val="en-GB"/>
        </w:rPr>
        <w:t xml:space="preserve"> </w:t>
      </w:r>
      <w:r w:rsidRPr="00D30847">
        <w:rPr>
          <w:lang w:val="en-GB"/>
        </w:rPr>
        <w:t>It is partially done with the adoption of a decree on right to wage allowance for the employees at the central-level budget users.</w:t>
      </w:r>
    </w:p>
    <w:p w14:paraId="2FF0E1A0" w14:textId="4D3AD05C" w:rsidR="003E0F1C" w:rsidRPr="00D30847" w:rsidRDefault="003E0F1C" w:rsidP="00944D78">
      <w:pPr>
        <w:spacing w:line="240" w:lineRule="auto"/>
        <w:ind w:left="720"/>
        <w:jc w:val="both"/>
        <w:rPr>
          <w:lang w:val="en-GB"/>
        </w:rPr>
      </w:pPr>
      <w:r w:rsidRPr="00D30847">
        <w:rPr>
          <w:lang w:val="en-GB"/>
        </w:rPr>
        <w:lastRenderedPageBreak/>
        <w:t>It is indispensable to ensure programming flexibility and adjustability so as to improve the results, which was achieved by preparing annual action plans, since the focus was placed on objectives and outcomes rather than indicators and annual targets formulated at activity level.</w:t>
      </w:r>
      <w:r w:rsidR="00944D78" w:rsidRPr="00D30847">
        <w:rPr>
          <w:lang w:val="en-GB"/>
        </w:rPr>
        <w:t xml:space="preserve"> </w:t>
      </w:r>
      <w:r w:rsidRPr="00D30847">
        <w:rPr>
          <w:lang w:val="en-GB"/>
        </w:rPr>
        <w:t>Outcome indicators reflect the progress achieved as a result of reforms implemented.</w:t>
      </w:r>
    </w:p>
    <w:p w14:paraId="470C7C82" w14:textId="7E377094" w:rsidR="003E0F1C" w:rsidRPr="00D30847" w:rsidRDefault="003E0F1C" w:rsidP="00AD2AD5">
      <w:pPr>
        <w:numPr>
          <w:ilvl w:val="0"/>
          <w:numId w:val="60"/>
        </w:numPr>
        <w:spacing w:line="240" w:lineRule="auto"/>
        <w:jc w:val="both"/>
        <w:rPr>
          <w:lang w:val="en-GB"/>
        </w:rPr>
      </w:pPr>
      <w:r w:rsidRPr="00D30847">
        <w:rPr>
          <w:lang w:val="en-GB"/>
        </w:rPr>
        <w:t xml:space="preserve"> “Small steps lead to big results”.</w:t>
      </w:r>
      <w:r w:rsidR="00A754B7" w:rsidRPr="00D30847">
        <w:rPr>
          <w:lang w:val="en-GB"/>
        </w:rPr>
        <w:t xml:space="preserve"> </w:t>
      </w:r>
      <w:r w:rsidRPr="00D30847">
        <w:rPr>
          <w:lang w:val="en-GB"/>
        </w:rPr>
        <w:t>Considering the nature of the PFM sector, reforms are a slow process and small achievements should be valued and appropriately presented.</w:t>
      </w:r>
      <w:r w:rsidR="006D1482" w:rsidRPr="00D30847">
        <w:rPr>
          <w:lang w:val="en-GB"/>
        </w:rPr>
        <w:t xml:space="preserve"> </w:t>
      </w:r>
      <w:r w:rsidRPr="00D30847">
        <w:rPr>
          <w:lang w:val="en-GB"/>
        </w:rPr>
        <w:t xml:space="preserve">By constantly taking small steps to reach the objectives, big results, seeming impossible, can be achieved. </w:t>
      </w:r>
    </w:p>
    <w:p w14:paraId="451168B5" w14:textId="63CD5D28" w:rsidR="003E0F1C" w:rsidRPr="00D30847" w:rsidRDefault="003E0F1C" w:rsidP="00AD2AD5">
      <w:pPr>
        <w:numPr>
          <w:ilvl w:val="0"/>
          <w:numId w:val="60"/>
        </w:numPr>
        <w:spacing w:before="120" w:line="240" w:lineRule="auto"/>
        <w:jc w:val="both"/>
        <w:rPr>
          <w:lang w:val="en-GB"/>
        </w:rPr>
      </w:pPr>
      <w:r w:rsidRPr="00D30847">
        <w:rPr>
          <w:lang w:val="en-GB"/>
        </w:rPr>
        <w:t>Need for integrated instead of fragmented approach is of essence for reform planning and implementing.</w:t>
      </w:r>
      <w:r w:rsidR="00324D58" w:rsidRPr="00D30847">
        <w:rPr>
          <w:lang w:val="en-GB"/>
        </w:rPr>
        <w:t xml:space="preserve"> </w:t>
      </w:r>
      <w:r w:rsidRPr="00D30847">
        <w:rPr>
          <w:lang w:val="en-GB"/>
        </w:rPr>
        <w:t>The whole picture needs to be designed, but be implemented piece by piece on the basis of priorities and human resources, covering the whole PFM system. Cooperation needs to be encouraged and information are to be shared between the relevant institutions included in the PFM reform, all to the end of harmonising and consistency of the reform activities in different areas and maximising the value added.</w:t>
      </w:r>
      <w:r w:rsidRPr="00D30847">
        <w:rPr>
          <w:rFonts w:cs="Arial"/>
          <w:shd w:val="clear" w:color="auto" w:fill="FFFFFF"/>
          <w:lang w:val="en-GB"/>
        </w:rPr>
        <w:t> </w:t>
      </w:r>
    </w:p>
    <w:p w14:paraId="47EACDA8" w14:textId="77777777" w:rsidR="003E0F1C" w:rsidRPr="00D30847" w:rsidRDefault="003E0F1C" w:rsidP="00445B42">
      <w:pPr>
        <w:numPr>
          <w:ilvl w:val="0"/>
          <w:numId w:val="60"/>
        </w:numPr>
        <w:spacing w:line="240" w:lineRule="auto"/>
        <w:jc w:val="both"/>
        <w:rPr>
          <w:lang w:val="en-GB"/>
        </w:rPr>
      </w:pPr>
      <w:r w:rsidRPr="00D30847">
        <w:rPr>
          <w:lang w:val="en-GB"/>
        </w:rPr>
        <w:t>Consolidation and harmonisation of different IT systems is of considerable importance in order to avoid duplication and achieve economies of scale.</w:t>
      </w:r>
    </w:p>
    <w:p w14:paraId="15E08112" w14:textId="5F279CC4" w:rsidR="003E0F1C" w:rsidRPr="00D30847" w:rsidRDefault="003E0F1C" w:rsidP="00445B42">
      <w:pPr>
        <w:numPr>
          <w:ilvl w:val="0"/>
          <w:numId w:val="60"/>
        </w:numPr>
        <w:spacing w:line="240" w:lineRule="auto"/>
        <w:jc w:val="both"/>
        <w:rPr>
          <w:lang w:val="en-GB"/>
        </w:rPr>
      </w:pPr>
      <w:r w:rsidRPr="00D30847">
        <w:rPr>
          <w:lang w:val="en-GB"/>
        </w:rPr>
        <w:t>Strengthening the process of coordination of donors and providers of technical assistance to the end of avoiding overlapping of donor interventions.</w:t>
      </w:r>
      <w:r w:rsidR="00944D78" w:rsidRPr="00D30847">
        <w:rPr>
          <w:lang w:val="en-GB"/>
        </w:rPr>
        <w:t xml:space="preserve"> </w:t>
      </w:r>
      <w:r w:rsidRPr="00D30847">
        <w:rPr>
          <w:lang w:val="en-GB"/>
        </w:rPr>
        <w:t>This is partially overcome by organizing high-level PFM policy dialogues, with all stakeholders, among which the donors as well.</w:t>
      </w:r>
      <w:r w:rsidR="00944D78" w:rsidRPr="00D30847">
        <w:rPr>
          <w:lang w:val="en-GB"/>
        </w:rPr>
        <w:t xml:space="preserve"> </w:t>
      </w:r>
      <w:r w:rsidRPr="00D30847">
        <w:rPr>
          <w:lang w:val="en-GB"/>
        </w:rPr>
        <w:t>Information on ongoing donor assistance for the implementation of reform activities were presented and exchanged during such dialogues.</w:t>
      </w:r>
    </w:p>
    <w:p w14:paraId="60C45D9D" w14:textId="77777777" w:rsidR="003E0F1C" w:rsidRPr="00D30847" w:rsidRDefault="003E0F1C" w:rsidP="00445B42">
      <w:pPr>
        <w:spacing w:line="240" w:lineRule="auto"/>
        <w:jc w:val="both"/>
        <w:rPr>
          <w:lang w:val="en-GB"/>
        </w:rPr>
      </w:pPr>
      <w:r w:rsidRPr="00D30847">
        <w:rPr>
          <w:lang w:val="en-GB"/>
        </w:rPr>
        <w:t>Specific lessons learned on implementation of PFM Reform Programme 2022-2025, in particular the following:</w:t>
      </w:r>
    </w:p>
    <w:p w14:paraId="68483436" w14:textId="587BA976" w:rsidR="003E0F1C" w:rsidRPr="00D30847" w:rsidRDefault="003E0F1C" w:rsidP="00445B42">
      <w:pPr>
        <w:numPr>
          <w:ilvl w:val="0"/>
          <w:numId w:val="61"/>
        </w:numPr>
        <w:spacing w:line="240" w:lineRule="auto"/>
        <w:jc w:val="both"/>
        <w:rPr>
          <w:lang w:val="en-GB"/>
        </w:rPr>
      </w:pPr>
      <w:r w:rsidRPr="00D30847">
        <w:rPr>
          <w:lang w:val="en-GB"/>
        </w:rPr>
        <w:t>Delays in implementing some key reform activities under the Programme</w:t>
      </w:r>
      <w:r w:rsidR="00944D78" w:rsidRPr="00D30847">
        <w:rPr>
          <w:lang w:val="en-GB"/>
        </w:rPr>
        <w:t xml:space="preserve"> </w:t>
      </w:r>
      <w:r w:rsidRPr="00D30847">
        <w:rPr>
          <w:lang w:val="en-GB"/>
        </w:rPr>
        <w:t>as a result of delays in the preparation and the adoption of the necessary new legislative, for instance, Organic Budget Law and PIFC Law, the adoption of which was basis for implementation of other reform processes, such as IFMIS implementation.</w:t>
      </w:r>
      <w:r w:rsidR="00944D78" w:rsidRPr="00D30847">
        <w:rPr>
          <w:lang w:val="en-GB"/>
        </w:rPr>
        <w:t xml:space="preserve"> </w:t>
      </w:r>
      <w:r w:rsidRPr="00D30847">
        <w:rPr>
          <w:lang w:val="en-GB"/>
        </w:rPr>
        <w:t>Although modifications and amendments to the laws, the bylaws, etc. are necessary for the PFM reform, they are still not sufficient for achieving success.</w:t>
      </w:r>
      <w:r w:rsidR="00324D58" w:rsidRPr="00D30847">
        <w:rPr>
          <w:lang w:val="en-GB"/>
        </w:rPr>
        <w:t xml:space="preserve"> </w:t>
      </w:r>
      <w:r w:rsidRPr="00D30847">
        <w:rPr>
          <w:lang w:val="en-GB"/>
        </w:rPr>
        <w:t>Such modifications and amendments have to be supported by clear interpretation and implementation of policies by the high-level management, training and development of the personnel at all levels, changes in the administrative procedures and timely and accurately reporting at all levels.</w:t>
      </w:r>
    </w:p>
    <w:p w14:paraId="3507F633" w14:textId="37DD2D69" w:rsidR="003E0F1C" w:rsidRPr="00D30847" w:rsidRDefault="003E0F1C" w:rsidP="00445B42">
      <w:pPr>
        <w:numPr>
          <w:ilvl w:val="0"/>
          <w:numId w:val="61"/>
        </w:numPr>
        <w:spacing w:line="240" w:lineRule="auto"/>
        <w:jc w:val="both"/>
        <w:rPr>
          <w:lang w:val="en-GB"/>
        </w:rPr>
      </w:pPr>
      <w:r w:rsidRPr="00D30847">
        <w:rPr>
          <w:lang w:val="en-GB"/>
        </w:rPr>
        <w:t>IFMIS is to provide for more efficient public finance management by streamlining and automating the working processes and ensuring real-time data, contributing to better decision making and distribution of the available resources, as well as increasing both transparency and accountability.</w:t>
      </w:r>
      <w:r w:rsidR="00115350" w:rsidRPr="00D30847">
        <w:rPr>
          <w:lang w:val="en-GB"/>
        </w:rPr>
        <w:t xml:space="preserve"> </w:t>
      </w:r>
      <w:r w:rsidRPr="00D30847">
        <w:rPr>
          <w:lang w:val="en-GB"/>
        </w:rPr>
        <w:t>Thus, by meticulously monitoring the budget revenues and expenditures, fiscal discipline is expected to be strengthened, ensuring alignment with the budget limits.</w:t>
      </w:r>
      <w:r w:rsidR="00FB1BB5" w:rsidRPr="00D30847">
        <w:rPr>
          <w:lang w:val="en-GB"/>
        </w:rPr>
        <w:t xml:space="preserve"> </w:t>
      </w:r>
      <w:r w:rsidRPr="00D30847">
        <w:rPr>
          <w:lang w:val="en-GB"/>
        </w:rPr>
        <w:t>The system will also provide for a financial integrity and reduction of fraud risk through a strengthened system of audit controls.</w:t>
      </w:r>
      <w:r w:rsidR="00944D78" w:rsidRPr="00D30847">
        <w:rPr>
          <w:lang w:val="en-GB"/>
        </w:rPr>
        <w:t xml:space="preserve"> </w:t>
      </w:r>
      <w:r w:rsidRPr="00D30847">
        <w:rPr>
          <w:lang w:val="en-GB"/>
        </w:rPr>
        <w:t>Still, implementation and operationalisation of IFMIS is conditioned by fulfilling the requirements - preparation of bylaws stemming from the Organic Budget Law, which pertain to implementation of specific requirements for improvement of the public finance working process, such as:</w:t>
      </w:r>
      <w:r w:rsidR="00944D78" w:rsidRPr="00D30847">
        <w:rPr>
          <w:lang w:val="en-GB"/>
        </w:rPr>
        <w:t xml:space="preserve"> </w:t>
      </w:r>
      <w:r w:rsidRPr="00D30847">
        <w:rPr>
          <w:lang w:val="en-GB"/>
        </w:rPr>
        <w:t>development of a standard budget classification/Chart of Accounts (CoA), establishment of Registry of Public Entities, etc.</w:t>
      </w:r>
    </w:p>
    <w:bookmarkEnd w:id="10"/>
    <w:p w14:paraId="0D7CE2AA" w14:textId="04267CE5" w:rsidR="003E0F1C" w:rsidRPr="00D30847" w:rsidRDefault="003E0F1C" w:rsidP="00445B42">
      <w:pPr>
        <w:numPr>
          <w:ilvl w:val="0"/>
          <w:numId w:val="61"/>
        </w:numPr>
        <w:spacing w:line="240" w:lineRule="auto"/>
        <w:jc w:val="both"/>
        <w:rPr>
          <w:lang w:val="en-GB"/>
        </w:rPr>
      </w:pPr>
      <w:r w:rsidRPr="00D30847">
        <w:rPr>
          <w:lang w:val="en-GB"/>
        </w:rPr>
        <w:t xml:space="preserve">What is of crucial importance for conducting prudent fiscal policy is prudent public debt management, i.e. monitoring the public debt stock, monitoring the risks which the debt portfolio is susceptible to, as well as improving public debt </w:t>
      </w:r>
      <w:r w:rsidR="008F391C" w:rsidRPr="00D30847">
        <w:rPr>
          <w:lang w:val="en-GB"/>
        </w:rPr>
        <w:t>transparency. COVID</w:t>
      </w:r>
      <w:r w:rsidRPr="00D30847">
        <w:rPr>
          <w:lang w:val="en-GB"/>
        </w:rPr>
        <w:t xml:space="preserve">-19 induced crisis reflected on the public debt amount as well, i.e. it was the reason for the increase of public debt by around 10 p.p. in the course of 2020. However, in the period that followed, </w:t>
      </w:r>
      <w:r w:rsidRPr="00D30847">
        <w:rPr>
          <w:lang w:val="en-GB"/>
        </w:rPr>
        <w:lastRenderedPageBreak/>
        <w:t xml:space="preserve">despite the big challenges caused by the war in Ukraine and the energy crisis, public debt was stabilised and kept below </w:t>
      </w:r>
      <w:r w:rsidRPr="00D30847">
        <w:rPr>
          <w:rFonts w:cs="Calibri"/>
          <w:lang w:val="en-GB"/>
        </w:rPr>
        <w:t>the Maastricht criteria.</w:t>
      </w:r>
      <w:r w:rsidR="00944D78" w:rsidRPr="00D30847">
        <w:rPr>
          <w:rFonts w:cs="Calibri"/>
          <w:lang w:val="en-GB"/>
        </w:rPr>
        <w:t xml:space="preserve"> </w:t>
      </w:r>
      <w:r w:rsidRPr="00D30847">
        <w:rPr>
          <w:lang w:val="en-GB"/>
        </w:rPr>
        <w:t>Moreover, the pandemic has taught us that processes need greater digitalisation, hence, activities have been commenced for digital payment of liabilities to foreign creditors.</w:t>
      </w:r>
    </w:p>
    <w:p w14:paraId="0B1048F6" w14:textId="48442578" w:rsidR="003E0F1C" w:rsidRPr="00D30847" w:rsidRDefault="003E0F1C" w:rsidP="00445B42">
      <w:pPr>
        <w:numPr>
          <w:ilvl w:val="0"/>
          <w:numId w:val="61"/>
        </w:numPr>
        <w:spacing w:line="240" w:lineRule="auto"/>
        <w:jc w:val="both"/>
        <w:rPr>
          <w:lang w:val="en-GB"/>
        </w:rPr>
      </w:pPr>
      <w:r w:rsidRPr="00D30847">
        <w:rPr>
          <w:lang w:val="en-GB"/>
        </w:rPr>
        <w:t>To the end of a more efficient development of the financial markets, Ministry of Finance has oriented towards issuance of new instruments on the domestic securities market.</w:t>
      </w:r>
      <w:r w:rsidR="00944D78" w:rsidRPr="00D30847">
        <w:rPr>
          <w:lang w:val="en-GB"/>
        </w:rPr>
        <w:t xml:space="preserve"> </w:t>
      </w:r>
      <w:r w:rsidRPr="00D30847">
        <w:rPr>
          <w:lang w:val="en-GB"/>
        </w:rPr>
        <w:t xml:space="preserve">In the course of 2023, two auctions of development bonds for citizens - securities bearing the same features as ordinary bonds, but intended for the citizens of the Republic of North Macedonia </w:t>
      </w:r>
      <w:r w:rsidR="00380D82" w:rsidRPr="00D30847">
        <w:rPr>
          <w:lang w:val="en-GB"/>
        </w:rPr>
        <w:t>- were successfully carried out.</w:t>
      </w:r>
      <w:r w:rsidRPr="00D30847">
        <w:rPr>
          <w:lang w:val="en-GB"/>
        </w:rPr>
        <w:t xml:space="preserve"> </w:t>
      </w:r>
      <w:r w:rsidRPr="00D30847">
        <w:rPr>
          <w:rFonts w:cs="Calibri"/>
          <w:lang w:val="en-GB"/>
        </w:rPr>
        <w:t>The citizens recognised this new instrument as a great opportunity to make a risk-free and safe investment, thereby adding incremental value to their money in terms of generating sound earnings amid inflation.</w:t>
      </w:r>
      <w:r w:rsidR="00944D78" w:rsidRPr="00D30847">
        <w:rPr>
          <w:rFonts w:cs="Calibri"/>
          <w:lang w:val="en-GB"/>
        </w:rPr>
        <w:t xml:space="preserve"> </w:t>
      </w:r>
      <w:r w:rsidRPr="00D30847">
        <w:rPr>
          <w:lang w:val="en-GB"/>
        </w:rPr>
        <w:t>Moreover, in line with the modifications and amendments to the Law on Financing Local Government Units, Ministry of Finance issued structural bonds in September 2023.</w:t>
      </w:r>
      <w:r w:rsidR="00380D82" w:rsidRPr="00D30847">
        <w:rPr>
          <w:lang w:val="en-GB"/>
        </w:rPr>
        <w:t xml:space="preserve"> </w:t>
      </w:r>
      <w:r w:rsidRPr="00D30847">
        <w:rPr>
          <w:lang w:val="en-GB"/>
        </w:rPr>
        <w:t>Structural bonds are securities, which Minister of Finance issues to the municipalities, thus assisting them to settle the arrears towards the creditors. This instruments helps the municipalities both to consolidate their budgets and focus on their development.</w:t>
      </w:r>
      <w:r w:rsidR="00944D78" w:rsidRPr="00D30847">
        <w:rPr>
          <w:lang w:val="en-GB"/>
        </w:rPr>
        <w:t xml:space="preserve"> </w:t>
      </w:r>
      <w:r w:rsidRPr="00D30847">
        <w:rPr>
          <w:lang w:val="en-GB"/>
        </w:rPr>
        <w:t>In October 2023, Ministry of Finance issued green bonds.  Funds generated at the auction were intended for the Energy Efficiency Fund established within the Development Bank.</w:t>
      </w:r>
      <w:r w:rsidR="00944D78" w:rsidRPr="00D30847">
        <w:rPr>
          <w:lang w:val="en-GB"/>
        </w:rPr>
        <w:t xml:space="preserve"> </w:t>
      </w:r>
      <w:r w:rsidRPr="00D30847">
        <w:rPr>
          <w:lang w:val="en-GB"/>
        </w:rPr>
        <w:t>They are government securities, intended to support green projects in the country, aimed at accelerating green development and development of the capital market in the country by diversifying the offer with new instruments.</w:t>
      </w:r>
    </w:p>
    <w:p w14:paraId="444B4A78" w14:textId="77777777" w:rsidR="003E0F1C" w:rsidRPr="00D30847" w:rsidRDefault="003E0F1C" w:rsidP="00015266">
      <w:pPr>
        <w:spacing w:line="240" w:lineRule="auto"/>
        <w:jc w:val="both"/>
        <w:rPr>
          <w:lang w:val="en-GB"/>
        </w:rPr>
      </w:pPr>
    </w:p>
    <w:p w14:paraId="14A4F464" w14:textId="77777777" w:rsidR="008B435E" w:rsidRPr="00D30847" w:rsidRDefault="008B435E" w:rsidP="00015266">
      <w:pPr>
        <w:spacing w:line="240" w:lineRule="auto"/>
        <w:jc w:val="both"/>
        <w:rPr>
          <w:lang w:val="en-GB"/>
        </w:rPr>
      </w:pPr>
    </w:p>
    <w:p w14:paraId="1C3D3C18" w14:textId="77777777" w:rsidR="008B435E" w:rsidRPr="00D30847" w:rsidRDefault="008B435E" w:rsidP="00015266">
      <w:pPr>
        <w:spacing w:line="240" w:lineRule="auto"/>
        <w:jc w:val="both"/>
        <w:rPr>
          <w:lang w:val="en-GB"/>
        </w:rPr>
      </w:pPr>
    </w:p>
    <w:p w14:paraId="01E4399D" w14:textId="77777777" w:rsidR="008B435E" w:rsidRPr="00D30847" w:rsidRDefault="008B435E" w:rsidP="00015266">
      <w:pPr>
        <w:spacing w:line="240" w:lineRule="auto"/>
        <w:jc w:val="both"/>
        <w:rPr>
          <w:lang w:val="en-GB"/>
        </w:rPr>
      </w:pPr>
    </w:p>
    <w:p w14:paraId="5A283AE2" w14:textId="77777777" w:rsidR="008B435E" w:rsidRPr="00D30847" w:rsidRDefault="008B435E" w:rsidP="00015266">
      <w:pPr>
        <w:spacing w:line="240" w:lineRule="auto"/>
        <w:jc w:val="both"/>
        <w:rPr>
          <w:lang w:val="en-GB"/>
        </w:rPr>
      </w:pPr>
    </w:p>
    <w:p w14:paraId="2D814B4D" w14:textId="77777777" w:rsidR="008B435E" w:rsidRPr="00D30847" w:rsidRDefault="008B435E" w:rsidP="00015266">
      <w:pPr>
        <w:spacing w:line="240" w:lineRule="auto"/>
        <w:jc w:val="both"/>
        <w:rPr>
          <w:lang w:val="en-GB"/>
        </w:rPr>
      </w:pPr>
    </w:p>
    <w:p w14:paraId="332D134D" w14:textId="77777777" w:rsidR="008B435E" w:rsidRPr="00D30847" w:rsidRDefault="008B435E" w:rsidP="00015266">
      <w:pPr>
        <w:spacing w:line="240" w:lineRule="auto"/>
        <w:jc w:val="both"/>
        <w:rPr>
          <w:lang w:val="en-GB"/>
        </w:rPr>
      </w:pPr>
    </w:p>
    <w:p w14:paraId="301CEDAA" w14:textId="77777777" w:rsidR="008B435E" w:rsidRPr="00D30847" w:rsidRDefault="008B435E" w:rsidP="00015266">
      <w:pPr>
        <w:spacing w:line="240" w:lineRule="auto"/>
        <w:jc w:val="both"/>
        <w:rPr>
          <w:lang w:val="en-GB"/>
        </w:rPr>
      </w:pPr>
    </w:p>
    <w:p w14:paraId="1A7EB8DF" w14:textId="77777777" w:rsidR="008B435E" w:rsidRPr="00D30847" w:rsidRDefault="008B435E" w:rsidP="00015266">
      <w:pPr>
        <w:spacing w:line="240" w:lineRule="auto"/>
        <w:jc w:val="both"/>
        <w:rPr>
          <w:lang w:val="en-GB"/>
        </w:rPr>
      </w:pPr>
    </w:p>
    <w:p w14:paraId="7A0C2427" w14:textId="77777777" w:rsidR="008B435E" w:rsidRPr="00D30847" w:rsidRDefault="008B435E" w:rsidP="00015266">
      <w:pPr>
        <w:spacing w:line="240" w:lineRule="auto"/>
        <w:jc w:val="both"/>
        <w:rPr>
          <w:lang w:val="en-GB"/>
        </w:rPr>
      </w:pPr>
    </w:p>
    <w:p w14:paraId="61230139" w14:textId="77777777" w:rsidR="008B435E" w:rsidRPr="00D30847" w:rsidRDefault="008B435E" w:rsidP="00015266">
      <w:pPr>
        <w:spacing w:line="240" w:lineRule="auto"/>
        <w:jc w:val="both"/>
        <w:rPr>
          <w:lang w:val="en-GB"/>
        </w:rPr>
      </w:pPr>
    </w:p>
    <w:p w14:paraId="7C117158" w14:textId="77777777" w:rsidR="008B435E" w:rsidRPr="00D30847" w:rsidRDefault="008B435E" w:rsidP="00015266">
      <w:pPr>
        <w:spacing w:line="240" w:lineRule="auto"/>
        <w:jc w:val="both"/>
        <w:rPr>
          <w:lang w:val="en-GB"/>
        </w:rPr>
      </w:pPr>
    </w:p>
    <w:p w14:paraId="6F42F940" w14:textId="77777777" w:rsidR="008B435E" w:rsidRPr="00D30847" w:rsidRDefault="008B435E" w:rsidP="00015266">
      <w:pPr>
        <w:spacing w:line="240" w:lineRule="auto"/>
        <w:jc w:val="both"/>
        <w:rPr>
          <w:lang w:val="en-GB"/>
        </w:rPr>
      </w:pPr>
    </w:p>
    <w:p w14:paraId="5E16D344" w14:textId="77777777" w:rsidR="008B435E" w:rsidRPr="00D30847" w:rsidRDefault="008B435E" w:rsidP="00015266">
      <w:pPr>
        <w:spacing w:line="240" w:lineRule="auto"/>
        <w:jc w:val="both"/>
        <w:rPr>
          <w:lang w:val="en-GB"/>
        </w:rPr>
      </w:pPr>
    </w:p>
    <w:p w14:paraId="0897462B" w14:textId="77777777" w:rsidR="008B435E" w:rsidRPr="00D30847" w:rsidRDefault="008B435E" w:rsidP="00015266">
      <w:pPr>
        <w:spacing w:line="240" w:lineRule="auto"/>
        <w:jc w:val="both"/>
        <w:rPr>
          <w:lang w:val="en-GB"/>
        </w:rPr>
      </w:pPr>
    </w:p>
    <w:p w14:paraId="6DB251E0" w14:textId="77777777" w:rsidR="008B435E" w:rsidRPr="00D30847" w:rsidRDefault="008B435E" w:rsidP="00015266">
      <w:pPr>
        <w:spacing w:line="240" w:lineRule="auto"/>
        <w:jc w:val="both"/>
        <w:rPr>
          <w:lang w:val="en-GB"/>
        </w:rPr>
      </w:pPr>
    </w:p>
    <w:p w14:paraId="18965A35" w14:textId="77777777" w:rsidR="008B435E" w:rsidRPr="00D30847" w:rsidRDefault="008B435E" w:rsidP="00015266">
      <w:pPr>
        <w:spacing w:line="240" w:lineRule="auto"/>
        <w:jc w:val="both"/>
        <w:rPr>
          <w:lang w:val="en-GB"/>
        </w:rPr>
      </w:pPr>
    </w:p>
    <w:p w14:paraId="788FFDCE" w14:textId="77777777" w:rsidR="008B435E" w:rsidRPr="00D30847" w:rsidRDefault="008B435E" w:rsidP="00015266">
      <w:pPr>
        <w:spacing w:line="240" w:lineRule="auto"/>
        <w:jc w:val="both"/>
        <w:rPr>
          <w:lang w:val="en-GB"/>
        </w:rPr>
      </w:pPr>
    </w:p>
    <w:p w14:paraId="3836AAA3" w14:textId="77777777" w:rsidR="008B435E" w:rsidRPr="00D30847" w:rsidRDefault="008B435E" w:rsidP="00015266">
      <w:pPr>
        <w:spacing w:line="240" w:lineRule="auto"/>
        <w:jc w:val="both"/>
        <w:rPr>
          <w:lang w:val="en-GB"/>
        </w:rPr>
      </w:pPr>
    </w:p>
    <w:p w14:paraId="542114CD" w14:textId="77777777" w:rsidR="008B435E" w:rsidRPr="00D30847" w:rsidRDefault="008B435E" w:rsidP="00015266">
      <w:pPr>
        <w:spacing w:line="240" w:lineRule="auto"/>
        <w:jc w:val="both"/>
        <w:rPr>
          <w:lang w:val="en-GB"/>
        </w:rPr>
      </w:pPr>
    </w:p>
    <w:p w14:paraId="3392A90B" w14:textId="61755FD2" w:rsidR="00B4638B" w:rsidRPr="00D30847" w:rsidRDefault="00B110BC" w:rsidP="00E84CD0">
      <w:pPr>
        <w:pStyle w:val="Heading1"/>
        <w:spacing w:line="240" w:lineRule="auto"/>
        <w:jc w:val="both"/>
        <w:rPr>
          <w:rFonts w:ascii="Calibri" w:hAnsi="Calibri" w:cs="Calibri"/>
          <w:color w:val="2F5496"/>
          <w:sz w:val="40"/>
          <w:szCs w:val="40"/>
          <w:lang w:val="en-GB"/>
        </w:rPr>
      </w:pPr>
      <w:bookmarkStart w:id="11" w:name="_Toc187841798"/>
      <w:r w:rsidRPr="00D30847">
        <w:rPr>
          <w:rFonts w:ascii="Calibri" w:hAnsi="Calibri" w:cs="Calibri"/>
          <w:color w:val="2F5496"/>
          <w:sz w:val="40"/>
          <w:szCs w:val="40"/>
          <w:lang w:val="en-GB"/>
        </w:rPr>
        <w:t>Chapter II. Pillar</w:t>
      </w:r>
      <w:r w:rsidR="0058567E" w:rsidRPr="00D30847">
        <w:rPr>
          <w:rFonts w:ascii="Calibri" w:hAnsi="Calibri" w:cs="Calibri"/>
          <w:color w:val="2F5496"/>
          <w:sz w:val="40"/>
          <w:szCs w:val="40"/>
          <w:lang w:val="en-GB"/>
        </w:rPr>
        <w:t>s</w:t>
      </w:r>
      <w:r w:rsidRPr="00D30847">
        <w:rPr>
          <w:rFonts w:ascii="Calibri" w:hAnsi="Calibri" w:cs="Calibri"/>
          <w:color w:val="2F5496"/>
          <w:sz w:val="40"/>
          <w:szCs w:val="40"/>
          <w:lang w:val="en-GB"/>
        </w:rPr>
        <w:t xml:space="preserve">, Priorities, Measures and </w:t>
      </w:r>
      <w:r w:rsidR="009125BD" w:rsidRPr="00D30847">
        <w:rPr>
          <w:rFonts w:ascii="Calibri" w:hAnsi="Calibri" w:cs="Calibri"/>
          <w:color w:val="2F5496"/>
          <w:sz w:val="40"/>
          <w:szCs w:val="40"/>
          <w:lang w:val="en-GB"/>
        </w:rPr>
        <w:t>Outcomes</w:t>
      </w:r>
      <w:bookmarkEnd w:id="11"/>
    </w:p>
    <w:p w14:paraId="1C6BD4A7" w14:textId="7D73FC56" w:rsidR="00E83C20" w:rsidRPr="00D30847" w:rsidRDefault="00E83C20" w:rsidP="00C64F6E">
      <w:pPr>
        <w:spacing w:before="240" w:after="0" w:line="240" w:lineRule="auto"/>
        <w:jc w:val="both"/>
        <w:rPr>
          <w:rFonts w:cs="Calibri"/>
          <w:color w:val="2F5496"/>
          <w:sz w:val="36"/>
          <w:szCs w:val="36"/>
          <w:lang w:val="en-GB"/>
        </w:rPr>
      </w:pPr>
      <w:r w:rsidRPr="00D30847">
        <w:rPr>
          <w:rFonts w:eastAsia="MS PGothic" w:cs="Calibri"/>
          <w:color w:val="2F5496"/>
          <w:sz w:val="36"/>
          <w:szCs w:val="36"/>
          <w:lang w:val="en-GB" w:eastAsia="zh-CN"/>
        </w:rPr>
        <w:t>PILL</w:t>
      </w:r>
      <w:r w:rsidR="00C64F6E" w:rsidRPr="00D30847">
        <w:rPr>
          <w:rFonts w:eastAsia="MS PGothic" w:cs="Calibri"/>
          <w:color w:val="2F5496"/>
          <w:sz w:val="36"/>
          <w:szCs w:val="36"/>
          <w:lang w:val="en-GB" w:eastAsia="zh-CN"/>
        </w:rPr>
        <w:t xml:space="preserve">AR </w:t>
      </w:r>
      <w:r w:rsidR="00AF2E34" w:rsidRPr="00D30847">
        <w:rPr>
          <w:rFonts w:eastAsia="MS PGothic" w:cs="Calibri"/>
          <w:color w:val="2F5496"/>
          <w:sz w:val="36"/>
          <w:szCs w:val="36"/>
          <w:lang w:val="en-GB" w:eastAsia="zh-CN"/>
        </w:rPr>
        <w:t>I</w:t>
      </w:r>
      <w:r w:rsidR="00FF78CB" w:rsidRPr="00D30847">
        <w:rPr>
          <w:rFonts w:eastAsia="MS PGothic" w:cs="Calibri"/>
          <w:color w:val="2F5496"/>
          <w:sz w:val="36"/>
          <w:szCs w:val="36"/>
          <w:lang w:val="en-GB" w:eastAsia="zh-CN"/>
        </w:rPr>
        <w:t xml:space="preserve"> -</w:t>
      </w:r>
      <w:r w:rsidR="00C64F6E" w:rsidRPr="00D30847">
        <w:rPr>
          <w:rFonts w:eastAsia="MS PGothic" w:cs="Calibri"/>
          <w:color w:val="2F5496"/>
          <w:sz w:val="36"/>
          <w:szCs w:val="36"/>
          <w:lang w:val="en-GB" w:eastAsia="zh-CN"/>
        </w:rPr>
        <w:t xml:space="preserve"> </w:t>
      </w:r>
      <w:r w:rsidRPr="00D30847">
        <w:rPr>
          <w:rFonts w:eastAsia="MS PGothic" w:cs="Calibri"/>
          <w:color w:val="2F5496"/>
          <w:sz w:val="36"/>
          <w:szCs w:val="36"/>
          <w:lang w:val="en-GB" w:eastAsia="zh-CN"/>
        </w:rPr>
        <w:t>Economic</w:t>
      </w:r>
      <w:r w:rsidR="00C64F6E" w:rsidRPr="00D30847">
        <w:rPr>
          <w:rFonts w:eastAsia="MS PGothic" w:cs="Calibri"/>
          <w:color w:val="2F5496"/>
          <w:sz w:val="36"/>
          <w:szCs w:val="36"/>
          <w:lang w:val="en-GB" w:eastAsia="zh-CN"/>
        </w:rPr>
        <w:t xml:space="preserve"> </w:t>
      </w:r>
      <w:r w:rsidRPr="00D30847">
        <w:rPr>
          <w:rFonts w:eastAsia="MS PGothic" w:cs="Calibri"/>
          <w:color w:val="2F5496"/>
          <w:sz w:val="36"/>
          <w:szCs w:val="36"/>
          <w:lang w:val="en-GB" w:eastAsia="zh-CN"/>
        </w:rPr>
        <w:t>Analysis,</w:t>
      </w:r>
      <w:r w:rsidR="00C64F6E" w:rsidRPr="00D30847">
        <w:rPr>
          <w:rFonts w:eastAsia="MS PGothic" w:cs="Calibri"/>
          <w:color w:val="2F5496"/>
          <w:sz w:val="36"/>
          <w:szCs w:val="36"/>
          <w:lang w:val="en-GB" w:eastAsia="zh-CN"/>
        </w:rPr>
        <w:t xml:space="preserve"> Macroeconomic and Fiscal</w:t>
      </w:r>
      <w:r w:rsidR="00C64F6E" w:rsidRPr="00D30847">
        <w:rPr>
          <w:rFonts w:cs="Calibri"/>
          <w:color w:val="2F5496"/>
          <w:sz w:val="36"/>
          <w:szCs w:val="36"/>
          <w:lang w:val="en-GB"/>
        </w:rPr>
        <w:t xml:space="preserve"> Framework</w:t>
      </w:r>
    </w:p>
    <w:p w14:paraId="6FC9D359" w14:textId="77777777" w:rsidR="00E83C20" w:rsidRPr="00D30847" w:rsidRDefault="00E83C20" w:rsidP="00C64F6E">
      <w:pPr>
        <w:spacing w:before="240" w:after="0" w:line="240" w:lineRule="auto"/>
        <w:rPr>
          <w:rFonts w:eastAsia="MS PGothic" w:cs="Calibri"/>
          <w:color w:val="2F5496"/>
          <w:sz w:val="36"/>
          <w:szCs w:val="36"/>
          <w:lang w:val="en-GB" w:eastAsia="zh-CN"/>
        </w:rPr>
      </w:pPr>
      <w:r w:rsidRPr="00D30847">
        <w:rPr>
          <w:rFonts w:eastAsia="MS PGothic" w:cs="Calibri"/>
          <w:color w:val="2F5496"/>
          <w:sz w:val="36"/>
          <w:szCs w:val="36"/>
          <w:lang w:val="en-GB" w:eastAsia="zh-CN"/>
        </w:rPr>
        <w:t>PILLAR II - Revenue Mobilisation</w:t>
      </w:r>
    </w:p>
    <w:p w14:paraId="2CBDDE84" w14:textId="65A45F1C" w:rsidR="00E83C20" w:rsidRPr="00D30847" w:rsidRDefault="00E83C20" w:rsidP="00C64F6E">
      <w:pPr>
        <w:spacing w:before="240" w:after="0" w:line="240" w:lineRule="auto"/>
        <w:rPr>
          <w:rFonts w:eastAsia="MS PGothic" w:cs="Calibri"/>
          <w:color w:val="2F5496"/>
          <w:sz w:val="36"/>
          <w:szCs w:val="36"/>
          <w:lang w:val="en-GB" w:eastAsia="zh-CN"/>
        </w:rPr>
      </w:pPr>
      <w:r w:rsidRPr="00D30847">
        <w:rPr>
          <w:rFonts w:eastAsia="MS PGothic" w:cs="Calibri"/>
          <w:color w:val="2F5496"/>
          <w:sz w:val="36"/>
          <w:szCs w:val="36"/>
          <w:lang w:val="en-GB" w:eastAsia="zh-CN"/>
        </w:rPr>
        <w:t>PILLAR III</w:t>
      </w:r>
      <w:r w:rsidR="00860E17" w:rsidRPr="00D30847">
        <w:rPr>
          <w:rFonts w:eastAsia="MS PGothic" w:cs="Calibri"/>
          <w:color w:val="2F5496"/>
          <w:sz w:val="36"/>
          <w:szCs w:val="36"/>
          <w:lang w:val="en-GB" w:eastAsia="zh-CN"/>
        </w:rPr>
        <w:t xml:space="preserve"> -</w:t>
      </w:r>
      <w:r w:rsidR="00FF78CB" w:rsidRPr="00D30847">
        <w:rPr>
          <w:rFonts w:eastAsia="MS PGothic" w:cs="Calibri"/>
          <w:color w:val="2F5496"/>
          <w:sz w:val="36"/>
          <w:szCs w:val="36"/>
          <w:lang w:val="en-GB" w:eastAsia="zh-CN"/>
        </w:rPr>
        <w:t xml:space="preserve"> </w:t>
      </w:r>
      <w:r w:rsidRPr="00D30847">
        <w:rPr>
          <w:rFonts w:eastAsia="MS PGothic" w:cs="Calibri"/>
          <w:color w:val="2F5496"/>
          <w:sz w:val="36"/>
          <w:szCs w:val="36"/>
          <w:lang w:val="en-GB" w:eastAsia="zh-CN"/>
        </w:rPr>
        <w:t>Planning and Budget</w:t>
      </w:r>
    </w:p>
    <w:p w14:paraId="0B0E3810" w14:textId="77777777" w:rsidR="00E83C20" w:rsidRPr="00D30847" w:rsidRDefault="00E83C20" w:rsidP="00C64F6E">
      <w:pPr>
        <w:spacing w:before="240" w:after="0" w:line="240" w:lineRule="auto"/>
        <w:rPr>
          <w:rFonts w:cs="Calibri"/>
          <w:color w:val="2F5496"/>
          <w:sz w:val="36"/>
          <w:szCs w:val="36"/>
          <w:lang w:val="en-GB"/>
        </w:rPr>
      </w:pPr>
      <w:r w:rsidRPr="00D30847">
        <w:rPr>
          <w:rFonts w:cs="Calibri"/>
          <w:color w:val="2F5496"/>
          <w:sz w:val="36"/>
          <w:szCs w:val="36"/>
          <w:lang w:val="en-GB"/>
        </w:rPr>
        <w:t>PILLAR IV - Public procurement</w:t>
      </w:r>
    </w:p>
    <w:p w14:paraId="3B896394" w14:textId="17907017" w:rsidR="00E83C20" w:rsidRPr="00D30847" w:rsidRDefault="00E83C20" w:rsidP="00D30847">
      <w:pPr>
        <w:spacing w:before="240" w:after="0" w:line="240" w:lineRule="auto"/>
        <w:jc w:val="both"/>
        <w:rPr>
          <w:rFonts w:cs="Calibri"/>
          <w:color w:val="2F5496"/>
          <w:sz w:val="36"/>
          <w:szCs w:val="36"/>
          <w:lang w:val="en-GB"/>
        </w:rPr>
      </w:pPr>
      <w:r w:rsidRPr="00D30847">
        <w:rPr>
          <w:rFonts w:cs="Calibri"/>
          <w:color w:val="2F5496"/>
          <w:sz w:val="36"/>
          <w:szCs w:val="36"/>
          <w:lang w:val="en-GB"/>
        </w:rPr>
        <w:t xml:space="preserve">PILLAR V- </w:t>
      </w:r>
      <w:r w:rsidR="006A593F" w:rsidRPr="00D30847">
        <w:rPr>
          <w:rFonts w:cs="Calibri"/>
          <w:color w:val="2F5496"/>
          <w:sz w:val="36"/>
          <w:szCs w:val="36"/>
          <w:lang w:val="en-GB"/>
        </w:rPr>
        <w:t xml:space="preserve">Public </w:t>
      </w:r>
      <w:r w:rsidR="00000CE4" w:rsidRPr="00D30847">
        <w:rPr>
          <w:rFonts w:cs="Calibri"/>
          <w:color w:val="2F5496"/>
          <w:sz w:val="36"/>
          <w:szCs w:val="36"/>
          <w:lang w:val="en-GB"/>
        </w:rPr>
        <w:t xml:space="preserve">finance </w:t>
      </w:r>
      <w:r w:rsidR="00D16F97" w:rsidRPr="00D30847">
        <w:rPr>
          <w:rFonts w:cs="Calibri"/>
          <w:color w:val="2F5496"/>
          <w:sz w:val="36"/>
          <w:szCs w:val="36"/>
          <w:lang w:val="en-GB"/>
        </w:rPr>
        <w:t>digitalization a</w:t>
      </w:r>
      <w:r w:rsidR="00000CE4" w:rsidRPr="00D30847">
        <w:rPr>
          <w:rFonts w:cs="Calibri"/>
          <w:color w:val="2F5496"/>
          <w:sz w:val="36"/>
          <w:szCs w:val="36"/>
          <w:lang w:val="en-GB"/>
        </w:rPr>
        <w:t>nd </w:t>
      </w:r>
      <w:proofErr w:type="spellStart"/>
      <w:r w:rsidR="00D16F97" w:rsidRPr="00D30847">
        <w:rPr>
          <w:rFonts w:cs="Calibri"/>
          <w:color w:val="2F5496"/>
          <w:sz w:val="36"/>
          <w:szCs w:val="36"/>
          <w:lang w:val="en-GB"/>
        </w:rPr>
        <w:t>continuоus</w:t>
      </w:r>
      <w:proofErr w:type="spellEnd"/>
      <w:r w:rsidR="00000CE4" w:rsidRPr="00D30847">
        <w:rPr>
          <w:rFonts w:cs="Calibri"/>
          <w:color w:val="2F5496"/>
          <w:sz w:val="36"/>
          <w:szCs w:val="36"/>
          <w:lang w:val="en-GB"/>
        </w:rPr>
        <w:t> learning</w:t>
      </w:r>
    </w:p>
    <w:p w14:paraId="20BDED39" w14:textId="1BB49684" w:rsidR="00E83C20" w:rsidRPr="00D30847" w:rsidRDefault="00E83C20" w:rsidP="00C64F6E">
      <w:pPr>
        <w:spacing w:before="240"/>
        <w:rPr>
          <w:rFonts w:cs="Calibri"/>
          <w:color w:val="2F5496"/>
          <w:sz w:val="36"/>
          <w:szCs w:val="36"/>
          <w:lang w:val="en-GB"/>
        </w:rPr>
      </w:pPr>
      <w:r w:rsidRPr="00D30847">
        <w:rPr>
          <w:rFonts w:cs="Calibri"/>
          <w:color w:val="2F5496"/>
          <w:sz w:val="36"/>
          <w:szCs w:val="36"/>
          <w:lang w:val="en-GB"/>
        </w:rPr>
        <w:t xml:space="preserve">PILLAR VI </w:t>
      </w:r>
      <w:r w:rsidR="00FF78CB" w:rsidRPr="00D30847">
        <w:rPr>
          <w:rFonts w:cs="Calibri"/>
          <w:color w:val="2F5496"/>
          <w:sz w:val="36"/>
          <w:szCs w:val="36"/>
          <w:lang w:val="en-GB"/>
        </w:rPr>
        <w:t>-</w:t>
      </w:r>
      <w:r w:rsidRPr="00D30847">
        <w:rPr>
          <w:rFonts w:cs="Calibri"/>
          <w:color w:val="2F5496"/>
          <w:sz w:val="36"/>
          <w:szCs w:val="36"/>
          <w:lang w:val="en-GB"/>
        </w:rPr>
        <w:t xml:space="preserve"> Public</w:t>
      </w:r>
      <w:r w:rsidR="00C64F6E" w:rsidRPr="00D30847">
        <w:rPr>
          <w:rFonts w:cs="Calibri"/>
          <w:color w:val="2F5496"/>
          <w:sz w:val="36"/>
          <w:szCs w:val="36"/>
          <w:lang w:val="en-GB"/>
        </w:rPr>
        <w:t xml:space="preserve"> </w:t>
      </w:r>
      <w:r w:rsidRPr="00D30847">
        <w:rPr>
          <w:rFonts w:cs="Calibri"/>
          <w:color w:val="2F5496"/>
          <w:sz w:val="36"/>
          <w:szCs w:val="36"/>
          <w:lang w:val="en-GB"/>
        </w:rPr>
        <w:t>Internal</w:t>
      </w:r>
      <w:r w:rsidR="00C64F6E" w:rsidRPr="00D30847">
        <w:rPr>
          <w:rFonts w:cs="Calibri"/>
          <w:color w:val="2F5496"/>
          <w:sz w:val="36"/>
          <w:szCs w:val="36"/>
          <w:lang w:val="en-GB"/>
        </w:rPr>
        <w:t xml:space="preserve"> </w:t>
      </w:r>
      <w:r w:rsidRPr="00D30847">
        <w:rPr>
          <w:rFonts w:cs="Calibri"/>
          <w:color w:val="2F5496"/>
          <w:sz w:val="36"/>
          <w:szCs w:val="36"/>
          <w:lang w:val="en-GB"/>
        </w:rPr>
        <w:t>Financial</w:t>
      </w:r>
      <w:r w:rsidR="00C64F6E" w:rsidRPr="00D30847">
        <w:rPr>
          <w:rFonts w:cs="Calibri"/>
          <w:color w:val="2F5496"/>
          <w:sz w:val="36"/>
          <w:szCs w:val="36"/>
          <w:lang w:val="en-GB"/>
        </w:rPr>
        <w:t xml:space="preserve"> </w:t>
      </w:r>
      <w:r w:rsidRPr="00D30847">
        <w:rPr>
          <w:rFonts w:cs="Calibri"/>
          <w:color w:val="2F5496"/>
          <w:sz w:val="36"/>
          <w:szCs w:val="36"/>
          <w:lang w:val="en-GB"/>
        </w:rPr>
        <w:t>Control</w:t>
      </w:r>
    </w:p>
    <w:p w14:paraId="31426FFC" w14:textId="41A413C3" w:rsidR="00E83C20" w:rsidRPr="00D30847" w:rsidRDefault="00E83C20" w:rsidP="00C64F6E">
      <w:pPr>
        <w:spacing w:before="240" w:after="0" w:line="240" w:lineRule="auto"/>
        <w:rPr>
          <w:rFonts w:cs="Calibri"/>
          <w:color w:val="2F5496"/>
          <w:sz w:val="36"/>
          <w:szCs w:val="36"/>
          <w:lang w:val="en-GB"/>
        </w:rPr>
      </w:pPr>
      <w:r w:rsidRPr="00D30847">
        <w:rPr>
          <w:rFonts w:cs="Calibri"/>
          <w:color w:val="2F5496"/>
          <w:sz w:val="36"/>
          <w:szCs w:val="36"/>
          <w:lang w:val="en-GB"/>
        </w:rPr>
        <w:t>PILLAR VII</w:t>
      </w:r>
      <w:r w:rsidR="00FF78CB" w:rsidRPr="00D30847">
        <w:rPr>
          <w:rFonts w:cs="Calibri"/>
          <w:color w:val="2F5496"/>
          <w:sz w:val="36"/>
          <w:szCs w:val="36"/>
          <w:lang w:val="en-GB"/>
        </w:rPr>
        <w:t xml:space="preserve"> </w:t>
      </w:r>
      <w:r w:rsidRPr="00D30847">
        <w:rPr>
          <w:rFonts w:cs="Calibri"/>
          <w:color w:val="2F5496"/>
          <w:sz w:val="36"/>
          <w:szCs w:val="36"/>
          <w:lang w:val="en-GB"/>
        </w:rPr>
        <w:t>- External</w:t>
      </w:r>
      <w:r w:rsidR="00C64F6E" w:rsidRPr="00D30847">
        <w:rPr>
          <w:rFonts w:cs="Calibri"/>
          <w:color w:val="2F5496"/>
          <w:sz w:val="36"/>
          <w:szCs w:val="36"/>
          <w:lang w:val="en-GB"/>
        </w:rPr>
        <w:t xml:space="preserve"> </w:t>
      </w:r>
      <w:r w:rsidR="003B34A2" w:rsidRPr="00D30847">
        <w:rPr>
          <w:rFonts w:cs="Calibri"/>
          <w:color w:val="2F5496"/>
          <w:sz w:val="36"/>
          <w:szCs w:val="36"/>
          <w:lang w:val="en-GB"/>
        </w:rPr>
        <w:t>Audit</w:t>
      </w:r>
      <w:r w:rsidR="00C64F6E" w:rsidRPr="00D30847">
        <w:rPr>
          <w:rFonts w:cs="Calibri"/>
          <w:color w:val="2F5496"/>
          <w:sz w:val="36"/>
          <w:szCs w:val="36"/>
          <w:lang w:val="en-GB"/>
        </w:rPr>
        <w:t xml:space="preserve"> </w:t>
      </w:r>
      <w:r w:rsidRPr="00D30847">
        <w:rPr>
          <w:rFonts w:cs="Calibri"/>
          <w:color w:val="2F5496"/>
          <w:sz w:val="36"/>
          <w:szCs w:val="36"/>
          <w:lang w:val="en-GB"/>
        </w:rPr>
        <w:t>and</w:t>
      </w:r>
      <w:r w:rsidR="00C64F6E" w:rsidRPr="00D30847">
        <w:rPr>
          <w:rFonts w:cs="Calibri"/>
          <w:color w:val="2F5496"/>
          <w:sz w:val="36"/>
          <w:szCs w:val="36"/>
          <w:lang w:val="en-GB"/>
        </w:rPr>
        <w:t xml:space="preserve"> </w:t>
      </w:r>
      <w:r w:rsidRPr="00D30847">
        <w:rPr>
          <w:rFonts w:cs="Calibri"/>
          <w:color w:val="2F5496"/>
          <w:sz w:val="36"/>
          <w:szCs w:val="36"/>
          <w:lang w:val="en-GB"/>
        </w:rPr>
        <w:t>Parliamentary</w:t>
      </w:r>
      <w:r w:rsidR="00C64F6E" w:rsidRPr="00D30847">
        <w:rPr>
          <w:rFonts w:cs="Calibri"/>
          <w:color w:val="2F5496"/>
          <w:sz w:val="36"/>
          <w:szCs w:val="36"/>
          <w:lang w:val="en-GB"/>
        </w:rPr>
        <w:t xml:space="preserve"> </w:t>
      </w:r>
      <w:r w:rsidRPr="00D30847">
        <w:rPr>
          <w:rFonts w:cs="Calibri"/>
          <w:color w:val="2F5496"/>
          <w:sz w:val="36"/>
          <w:szCs w:val="36"/>
          <w:lang w:val="en-GB"/>
        </w:rPr>
        <w:t>Oversight</w:t>
      </w:r>
    </w:p>
    <w:p w14:paraId="09649D97" w14:textId="77777777" w:rsidR="00E83C20" w:rsidRPr="00D30847" w:rsidRDefault="00E83C20" w:rsidP="00E84CD0">
      <w:pPr>
        <w:spacing w:line="240" w:lineRule="auto"/>
        <w:rPr>
          <w:lang w:val="en-GB"/>
        </w:rPr>
      </w:pPr>
    </w:p>
    <w:p w14:paraId="73FE5AA2" w14:textId="77777777" w:rsidR="00E83C20" w:rsidRPr="00D30847" w:rsidRDefault="00E83C20" w:rsidP="00E84CD0">
      <w:pPr>
        <w:spacing w:line="240" w:lineRule="auto"/>
        <w:rPr>
          <w:rFonts w:cs="Calibri"/>
          <w:color w:val="2F5496"/>
          <w:sz w:val="36"/>
          <w:szCs w:val="36"/>
          <w:lang w:val="en-GB"/>
        </w:rPr>
      </w:pPr>
    </w:p>
    <w:p w14:paraId="7FE7DC34" w14:textId="77777777" w:rsidR="00E83C20" w:rsidRPr="00D30847" w:rsidRDefault="00E83C20" w:rsidP="00E84CD0">
      <w:pPr>
        <w:spacing w:line="240" w:lineRule="auto"/>
        <w:rPr>
          <w:rFonts w:eastAsia="MS PGothic" w:cs="Calibri"/>
          <w:color w:val="2F5496"/>
          <w:sz w:val="36"/>
          <w:szCs w:val="36"/>
          <w:lang w:val="en-GB" w:eastAsia="zh-CN"/>
        </w:rPr>
      </w:pPr>
    </w:p>
    <w:p w14:paraId="7CF7B1B2" w14:textId="77777777" w:rsidR="00E83C20" w:rsidRPr="00D30847" w:rsidRDefault="00E83C20" w:rsidP="00E84CD0">
      <w:pPr>
        <w:spacing w:line="240" w:lineRule="auto"/>
        <w:rPr>
          <w:rFonts w:eastAsia="MS PGothic" w:cs="Calibri"/>
          <w:color w:val="2F5496"/>
          <w:sz w:val="36"/>
          <w:szCs w:val="36"/>
          <w:lang w:val="en-GB" w:eastAsia="zh-CN"/>
        </w:rPr>
      </w:pPr>
    </w:p>
    <w:p w14:paraId="4568EEC7" w14:textId="77777777" w:rsidR="00E83C20" w:rsidRPr="00D30847" w:rsidRDefault="00E83C20" w:rsidP="00E84CD0">
      <w:pPr>
        <w:spacing w:line="240" w:lineRule="auto"/>
        <w:rPr>
          <w:rFonts w:cs="Calibri"/>
          <w:color w:val="2F5496"/>
          <w:sz w:val="36"/>
          <w:szCs w:val="36"/>
          <w:lang w:val="en-GB"/>
        </w:rPr>
      </w:pPr>
    </w:p>
    <w:p w14:paraId="659D1E89" w14:textId="77777777" w:rsidR="00E83C20" w:rsidRPr="00D30847" w:rsidRDefault="00E83C20" w:rsidP="00E84CD0">
      <w:pPr>
        <w:spacing w:line="240" w:lineRule="auto"/>
        <w:rPr>
          <w:lang w:val="en-GB"/>
        </w:rPr>
      </w:pPr>
    </w:p>
    <w:p w14:paraId="149198D2" w14:textId="21BDF04E" w:rsidR="00D144DD" w:rsidRPr="00D30847" w:rsidRDefault="00186AC6" w:rsidP="006C526B">
      <w:pPr>
        <w:pStyle w:val="Heading1"/>
        <w:spacing w:line="240" w:lineRule="auto"/>
        <w:jc w:val="both"/>
        <w:rPr>
          <w:rFonts w:ascii="Calibri" w:hAnsi="Calibri" w:cs="Calibri"/>
          <w:color w:val="2F5496"/>
          <w:lang w:val="en-GB"/>
        </w:rPr>
      </w:pPr>
      <w:r w:rsidRPr="00D30847">
        <w:rPr>
          <w:rFonts w:ascii="Calibri" w:hAnsi="Calibri" w:cs="Calibri"/>
          <w:color w:val="2F5496"/>
          <w:sz w:val="36"/>
          <w:szCs w:val="36"/>
          <w:lang w:val="en-GB"/>
        </w:rPr>
        <w:br w:type="page"/>
      </w:r>
      <w:bookmarkStart w:id="12" w:name="_Toc187841799"/>
      <w:r w:rsidR="00A64FD7" w:rsidRPr="00D30847">
        <w:rPr>
          <w:rFonts w:ascii="Calibri" w:hAnsi="Calibri" w:cs="Calibri"/>
          <w:color w:val="2F5496"/>
          <w:lang w:val="en-GB"/>
        </w:rPr>
        <w:lastRenderedPageBreak/>
        <w:t>PILLAR I - Economic Analysis, Macroeconomic and Fiscal Framework</w:t>
      </w:r>
      <w:bookmarkEnd w:id="12"/>
    </w:p>
    <w:p w14:paraId="30A06C88" w14:textId="77777777" w:rsidR="00D144DD" w:rsidRPr="00D30847" w:rsidRDefault="006A55CA" w:rsidP="008B435E">
      <w:pPr>
        <w:spacing w:before="240" w:after="60" w:line="240" w:lineRule="auto"/>
        <w:jc w:val="both"/>
        <w:rPr>
          <w:rFonts w:cs="Calibri"/>
          <w:b/>
          <w:color w:val="2F5496" w:themeColor="accent1" w:themeShade="BF"/>
          <w:lang w:val="en-GB"/>
        </w:rPr>
      </w:pPr>
      <w:r w:rsidRPr="00D30847">
        <w:rPr>
          <w:rFonts w:cs="Calibri"/>
          <w:b/>
          <w:color w:val="2F5496" w:themeColor="accent1" w:themeShade="BF"/>
          <w:lang w:val="en-GB"/>
        </w:rPr>
        <w:t>Introduction</w:t>
      </w:r>
    </w:p>
    <w:p w14:paraId="7BA01380" w14:textId="77777777" w:rsidR="00706A70" w:rsidRPr="00D30847" w:rsidRDefault="00D75EDA" w:rsidP="008F391C">
      <w:pPr>
        <w:spacing w:before="240"/>
        <w:jc w:val="both"/>
        <w:rPr>
          <w:rFonts w:cs="Calibri"/>
          <w:color w:val="2C2825"/>
          <w:shd w:val="clear" w:color="auto" w:fill="FFFFFF"/>
          <w:lang w:val="en-GB"/>
        </w:rPr>
      </w:pPr>
      <w:r w:rsidRPr="00D30847">
        <w:rPr>
          <w:rFonts w:cs="Calibri"/>
          <w:color w:val="2C2825"/>
          <w:shd w:val="clear" w:color="auto" w:fill="FFFFFF"/>
          <w:lang w:val="en-GB"/>
        </w:rPr>
        <w:t xml:space="preserve">Preparation of credible macroeconomic fiscal framework is one of the key elements for sound public finance management. Its successful preparation depends on balanced and sustainable approach when determining the revenue, expenditure and debt levels, as well as on quality economic analyses in accordance with international best practices. In that direction, the PFMRP 2025-2028 will continue to report on the necessary reforms in order to improve the operating public administration standards for the following three priorities: </w:t>
      </w:r>
    </w:p>
    <w:p w14:paraId="3038663C" w14:textId="4DC0E1B7" w:rsidR="003E2F67" w:rsidRPr="00D30847" w:rsidRDefault="004079E5" w:rsidP="008B435E">
      <w:pPr>
        <w:pStyle w:val="ListParagraph"/>
        <w:numPr>
          <w:ilvl w:val="0"/>
          <w:numId w:val="66"/>
        </w:numPr>
        <w:spacing w:before="240" w:after="200"/>
        <w:rPr>
          <w:b/>
        </w:rPr>
      </w:pPr>
      <w:r w:rsidRPr="00D30847">
        <w:rPr>
          <w:b/>
          <w:color w:val="2C2825"/>
          <w:shd w:val="clear" w:color="auto" w:fill="FFFFFF"/>
        </w:rPr>
        <w:t>Priority 1:</w:t>
      </w:r>
      <w:r w:rsidRPr="00D30847">
        <w:rPr>
          <w:b/>
        </w:rPr>
        <w:t xml:space="preserve"> </w:t>
      </w:r>
      <w:r w:rsidR="00612A86" w:rsidRPr="00D30847">
        <w:rPr>
          <w:b/>
        </w:rPr>
        <w:t>Tax Revenue forecasting and reporting</w:t>
      </w:r>
    </w:p>
    <w:p w14:paraId="03ACF628" w14:textId="77777777" w:rsidR="004079E5" w:rsidRPr="00D30847" w:rsidRDefault="004079E5" w:rsidP="008B435E">
      <w:pPr>
        <w:pStyle w:val="ListParagraph"/>
        <w:numPr>
          <w:ilvl w:val="0"/>
          <w:numId w:val="66"/>
        </w:numPr>
        <w:spacing w:before="240" w:after="200"/>
        <w:rPr>
          <w:b/>
        </w:rPr>
      </w:pPr>
      <w:r w:rsidRPr="00D30847">
        <w:rPr>
          <w:b/>
          <w:color w:val="2C2825"/>
          <w:shd w:val="clear" w:color="auto" w:fill="FFFFFF"/>
        </w:rPr>
        <w:t>Priority 2:</w:t>
      </w:r>
      <w:r w:rsidRPr="00D30847">
        <w:rPr>
          <w:b/>
        </w:rPr>
        <w:t xml:space="preserve"> Economic analyses and macroeconomic forecasting </w:t>
      </w:r>
    </w:p>
    <w:p w14:paraId="61662D73" w14:textId="403141E4" w:rsidR="00622767" w:rsidRPr="00D30847" w:rsidRDefault="004079E5" w:rsidP="008B435E">
      <w:pPr>
        <w:pStyle w:val="ListParagraph"/>
        <w:numPr>
          <w:ilvl w:val="0"/>
          <w:numId w:val="66"/>
        </w:numPr>
        <w:spacing w:before="240" w:after="200"/>
        <w:rPr>
          <w:b/>
        </w:rPr>
      </w:pPr>
      <w:r w:rsidRPr="00D30847">
        <w:rPr>
          <w:b/>
          <w:color w:val="2C2825"/>
          <w:shd w:val="clear" w:color="auto" w:fill="FFFFFF"/>
        </w:rPr>
        <w:t>Priority 3</w:t>
      </w:r>
      <w:r w:rsidR="00622767" w:rsidRPr="00D30847">
        <w:rPr>
          <w:b/>
        </w:rPr>
        <w:t>: Debt management</w:t>
      </w:r>
    </w:p>
    <w:p w14:paraId="32F21A63" w14:textId="3E8D6989" w:rsidR="008E06E4" w:rsidRPr="00D30847" w:rsidRDefault="004079E5" w:rsidP="008B435E">
      <w:pPr>
        <w:spacing w:before="240" w:line="240" w:lineRule="auto"/>
        <w:jc w:val="both"/>
        <w:rPr>
          <w:rFonts w:cs="Calibri"/>
          <w:b/>
          <w:color w:val="2C2825"/>
          <w:shd w:val="clear" w:color="auto" w:fill="FFFFFF"/>
          <w:lang w:val="en-GB"/>
        </w:rPr>
      </w:pPr>
      <w:r w:rsidRPr="00D30847">
        <w:rPr>
          <w:rFonts w:cs="Calibri"/>
          <w:b/>
          <w:color w:val="2C2825"/>
          <w:shd w:val="clear" w:color="auto" w:fill="FFFFFF"/>
          <w:lang w:val="en-GB"/>
        </w:rPr>
        <w:t>Priority 1:</w:t>
      </w:r>
      <w:r w:rsidR="008E06E4" w:rsidRPr="00D30847">
        <w:rPr>
          <w:rFonts w:cs="Calibri"/>
          <w:b/>
          <w:color w:val="2C2825"/>
          <w:shd w:val="clear" w:color="auto" w:fill="FFFFFF"/>
          <w:lang w:val="en-GB"/>
        </w:rPr>
        <w:t xml:space="preserve"> </w:t>
      </w:r>
      <w:r w:rsidR="00612A86" w:rsidRPr="00D30847">
        <w:rPr>
          <w:rFonts w:cs="Calibri"/>
          <w:b/>
          <w:color w:val="2C2825"/>
          <w:shd w:val="clear" w:color="auto" w:fill="FFFFFF"/>
          <w:lang w:val="en-GB"/>
        </w:rPr>
        <w:t>Tax Revenue forecasting and reporting</w:t>
      </w:r>
    </w:p>
    <w:p w14:paraId="45FB84CB" w14:textId="77777777" w:rsidR="00612A86" w:rsidRPr="00D30847" w:rsidRDefault="00612A86" w:rsidP="008B435E">
      <w:pPr>
        <w:spacing w:before="240" w:line="240" w:lineRule="auto"/>
        <w:jc w:val="both"/>
        <w:rPr>
          <w:rFonts w:cs="Calibri"/>
          <w:color w:val="2C2825"/>
          <w:shd w:val="clear" w:color="auto" w:fill="FFFFFF"/>
          <w:lang w:val="en-GB"/>
        </w:rPr>
      </w:pPr>
      <w:r w:rsidRPr="00D30847">
        <w:rPr>
          <w:rFonts w:cs="Calibri"/>
          <w:color w:val="2C2825"/>
          <w:shd w:val="clear" w:color="auto" w:fill="FFFFFF"/>
          <w:lang w:val="en-GB"/>
        </w:rPr>
        <w:t xml:space="preserve">Sound revenue forecasting, coupled with analysis of the tax system potential and the impact of tax policy changes and tax expenditures, is key to making informed tax policy decision. </w:t>
      </w:r>
    </w:p>
    <w:p w14:paraId="5D224AF8" w14:textId="20D0E94E" w:rsidR="00612A86" w:rsidRPr="00D30847" w:rsidRDefault="00612A86" w:rsidP="008B435E">
      <w:pPr>
        <w:spacing w:before="240" w:line="240" w:lineRule="auto"/>
        <w:jc w:val="both"/>
        <w:rPr>
          <w:rFonts w:cs="Calibri"/>
          <w:color w:val="2C2825"/>
          <w:shd w:val="clear" w:color="auto" w:fill="FFFFFF"/>
          <w:lang w:val="en-GB"/>
        </w:rPr>
      </w:pPr>
      <w:r w:rsidRPr="00D30847">
        <w:rPr>
          <w:rFonts w:cs="Calibri"/>
          <w:color w:val="2C2825"/>
          <w:shd w:val="clear" w:color="auto" w:fill="FFFFFF"/>
          <w:lang w:val="en-GB"/>
        </w:rPr>
        <w:t>Therefore, development of tax models that are used for enhanced tax revenue forecasting; costing tax expenditures under the different tax instruments; and simulating fisca</w:t>
      </w:r>
      <w:r w:rsidR="008F391C" w:rsidRPr="00D30847">
        <w:rPr>
          <w:rFonts w:cs="Calibri"/>
          <w:color w:val="2C2825"/>
          <w:shd w:val="clear" w:color="auto" w:fill="FFFFFF"/>
          <w:lang w:val="en-GB"/>
        </w:rPr>
        <w:t>l impact of tax policy changes</w:t>
      </w:r>
      <w:r w:rsidRPr="00D30847">
        <w:rPr>
          <w:rFonts w:cs="Calibri"/>
          <w:color w:val="2C2825"/>
          <w:shd w:val="clear" w:color="auto" w:fill="FFFFFF"/>
          <w:lang w:val="en-GB"/>
        </w:rPr>
        <w:t>, as well as systematic and comprehensive tax expenditure reporting are key measures underpinning the revenue forecasting and reporting priority.</w:t>
      </w:r>
    </w:p>
    <w:p w14:paraId="5116E9F9" w14:textId="223AF05E" w:rsidR="008E06E4" w:rsidRPr="00D30847" w:rsidRDefault="00612A86" w:rsidP="008B435E">
      <w:pPr>
        <w:spacing w:before="240" w:line="240" w:lineRule="auto"/>
        <w:jc w:val="both"/>
        <w:rPr>
          <w:rFonts w:cs="Calibri"/>
          <w:color w:val="2C2825"/>
          <w:sz w:val="10"/>
          <w:szCs w:val="10"/>
          <w:shd w:val="clear" w:color="auto" w:fill="FFFFFF"/>
          <w:lang w:val="en-GB"/>
        </w:rPr>
      </w:pPr>
      <w:r w:rsidRPr="00D30847">
        <w:rPr>
          <w:rFonts w:cs="Calibri"/>
          <w:color w:val="2C2825"/>
          <w:shd w:val="clear" w:color="auto" w:fill="FFFFFF"/>
          <w:lang w:val="en-GB"/>
        </w:rPr>
        <w:t>Emphasis needs to be put on both increasing the analytical capacity for tax data collection and analysis, revenue forecasting and for tax expenditure costing and reporting by systematic application of tax models for tax policy-making.</w:t>
      </w:r>
    </w:p>
    <w:p w14:paraId="2329F6DD" w14:textId="527AE476" w:rsidR="008E06E4" w:rsidRPr="00D30847" w:rsidRDefault="004079E5" w:rsidP="008B435E">
      <w:pPr>
        <w:spacing w:before="240" w:line="240" w:lineRule="auto"/>
        <w:jc w:val="both"/>
        <w:rPr>
          <w:rFonts w:cs="Calibri"/>
          <w:b/>
          <w:color w:val="2C2825"/>
          <w:shd w:val="clear" w:color="auto" w:fill="FFFFFF"/>
          <w:lang w:val="en-GB"/>
        </w:rPr>
      </w:pPr>
      <w:r w:rsidRPr="00D30847">
        <w:rPr>
          <w:rFonts w:cs="Calibri"/>
          <w:b/>
          <w:color w:val="2C2825"/>
          <w:shd w:val="clear" w:color="auto" w:fill="FFFFFF"/>
          <w:lang w:val="en-GB"/>
        </w:rPr>
        <w:t xml:space="preserve">Priority 2: Economic analyses and macroeconomic forecasting </w:t>
      </w:r>
    </w:p>
    <w:p w14:paraId="0DD0F13C" w14:textId="4C637044" w:rsidR="004079E5" w:rsidRPr="00D30847" w:rsidRDefault="004079E5" w:rsidP="008B435E">
      <w:pPr>
        <w:spacing w:before="240" w:line="240" w:lineRule="auto"/>
        <w:jc w:val="both"/>
        <w:rPr>
          <w:rFonts w:cs="Calibri"/>
          <w:color w:val="2C2825"/>
          <w:shd w:val="clear" w:color="auto" w:fill="FFFFFF"/>
          <w:lang w:val="en-GB"/>
        </w:rPr>
      </w:pPr>
      <w:r w:rsidRPr="00D30847">
        <w:rPr>
          <w:rFonts w:cs="Calibri"/>
          <w:color w:val="2C2825"/>
          <w:shd w:val="clear" w:color="auto" w:fill="FFFFFF"/>
          <w:lang w:val="en-GB"/>
        </w:rPr>
        <w:t>In the field related to economic analyses and macroeconomic forecasts, the report will maintain the same structure with measures intended to strengthen capacities for economic and macroeconomic analyses, as well as measures to create new administrative capacities for fiscal risk analy</w:t>
      </w:r>
      <w:r w:rsidR="0048050B" w:rsidRPr="00D30847">
        <w:rPr>
          <w:rFonts w:cs="Calibri"/>
          <w:color w:val="2C2825"/>
          <w:shd w:val="clear" w:color="auto" w:fill="FFFFFF"/>
          <w:lang w:val="en-GB"/>
        </w:rPr>
        <w:t>s</w:t>
      </w:r>
      <w:r w:rsidR="007C30D3" w:rsidRPr="00D30847">
        <w:rPr>
          <w:rFonts w:cs="Calibri"/>
          <w:color w:val="2C2825"/>
          <w:shd w:val="clear" w:color="auto" w:fill="FFFFFF"/>
          <w:lang w:val="en-GB"/>
        </w:rPr>
        <w:t>es</w:t>
      </w:r>
      <w:r w:rsidRPr="00D30847">
        <w:rPr>
          <w:rFonts w:cs="Calibri"/>
          <w:color w:val="2C2825"/>
          <w:shd w:val="clear" w:color="auto" w:fill="FFFFFF"/>
          <w:lang w:val="en-GB"/>
        </w:rPr>
        <w:t>.</w:t>
      </w:r>
    </w:p>
    <w:p w14:paraId="36880235" w14:textId="77777777" w:rsidR="00827158" w:rsidRPr="00D30847" w:rsidRDefault="00827158" w:rsidP="008B435E">
      <w:pPr>
        <w:spacing w:before="240" w:line="240" w:lineRule="auto"/>
        <w:jc w:val="both"/>
        <w:rPr>
          <w:rFonts w:cs="Calibri"/>
          <w:color w:val="2C2825"/>
          <w:shd w:val="clear" w:color="auto" w:fill="FFFFFF"/>
          <w:lang w:val="en-GB"/>
        </w:rPr>
      </w:pPr>
      <w:r w:rsidRPr="00D30847">
        <w:rPr>
          <w:rFonts w:cs="Calibri"/>
          <w:color w:val="2C2825"/>
          <w:shd w:val="clear" w:color="auto" w:fill="FFFFFF"/>
          <w:lang w:val="en-GB"/>
        </w:rPr>
        <w:t xml:space="preserve">Current challenges in global environment followed by negative externalities from inflationary pressures and rising energy costs, as well as the disruptions in the international trade linkages have had significant impact the country's economy, following the negative consequences from the COVID crisis and subsequent global commodity crises. This further increases the need for strengthening of the capacities for economic analyses that has so far been carried out in cooperation with SECO and World Bank, by providing technical assistance to the Ministry of Finance. Existing work plans have been implemented and building upon the existing high level of collaboration, new ones have been designed for the next period.  </w:t>
      </w:r>
    </w:p>
    <w:p w14:paraId="099FEE99" w14:textId="77777777" w:rsidR="00827158" w:rsidRPr="00D30847" w:rsidRDefault="00827158" w:rsidP="008B435E">
      <w:pPr>
        <w:spacing w:before="240" w:line="240" w:lineRule="auto"/>
        <w:jc w:val="both"/>
        <w:rPr>
          <w:rFonts w:cs="Calibri"/>
          <w:color w:val="2C2825"/>
          <w:shd w:val="clear" w:color="auto" w:fill="FFFFFF"/>
          <w:lang w:val="en-GB"/>
        </w:rPr>
      </w:pPr>
      <w:r w:rsidRPr="00D30847">
        <w:rPr>
          <w:rFonts w:cs="Calibri"/>
          <w:color w:val="2C2825"/>
          <w:shd w:val="clear" w:color="auto" w:fill="FFFFFF"/>
          <w:lang w:val="en-GB"/>
        </w:rPr>
        <w:t xml:space="preserve">This includes further work on the model for financial programing and policies and the model for tracking inflation and GDP using short term data, for which MoF staff has been receiving training. Furthermore, in development stage is a macro structural model including workshops for training, which is planned to be a tool for medium term forecasting and economic analyses.  </w:t>
      </w:r>
    </w:p>
    <w:p w14:paraId="685FDD0E" w14:textId="7D441B48" w:rsidR="00652C50" w:rsidRPr="00D30847" w:rsidRDefault="004079E5" w:rsidP="008B435E">
      <w:pPr>
        <w:tabs>
          <w:tab w:val="left" w:pos="2040"/>
        </w:tabs>
        <w:spacing w:before="240" w:line="240" w:lineRule="auto"/>
        <w:jc w:val="both"/>
        <w:rPr>
          <w:lang w:val="en-GB"/>
        </w:rPr>
      </w:pPr>
      <w:r w:rsidRPr="00D30847">
        <w:rPr>
          <w:lang w:val="en-GB"/>
        </w:rPr>
        <w:t xml:space="preserve">Activities for building capacities for Fiscal Risks analyses </w:t>
      </w:r>
      <w:r w:rsidR="006E0B57" w:rsidRPr="00D30847">
        <w:rPr>
          <w:lang w:val="en-GB"/>
        </w:rPr>
        <w:t>have started at</w:t>
      </w:r>
      <w:r w:rsidRPr="00D30847">
        <w:rPr>
          <w:lang w:val="en-GB"/>
        </w:rPr>
        <w:t xml:space="preserve"> the beginning of 2024 with support from the FAD/IMF, including establishment of working group at the MoF that will cooperate with other government entities. Initially the aim is to create architecture with which the gradual </w:t>
      </w:r>
      <w:r w:rsidRPr="00D30847">
        <w:rPr>
          <w:lang w:val="en-GB"/>
        </w:rPr>
        <w:lastRenderedPageBreak/>
        <w:t>measurement of the most significant fiscal risks will begin</w:t>
      </w:r>
      <w:r w:rsidR="00CA0752" w:rsidRPr="00D30847">
        <w:rPr>
          <w:lang w:val="en-GB"/>
        </w:rPr>
        <w:t xml:space="preserve"> and to advance the chapter on fiscal risks within the framework of the Fiscal Strategy</w:t>
      </w:r>
    </w:p>
    <w:p w14:paraId="6DDB775D" w14:textId="5C3B4200" w:rsidR="004079E5" w:rsidRPr="00D30847" w:rsidRDefault="004079E5" w:rsidP="008B435E">
      <w:pPr>
        <w:spacing w:before="240" w:line="240" w:lineRule="auto"/>
        <w:jc w:val="both"/>
        <w:rPr>
          <w:rFonts w:cs="Calibri"/>
          <w:highlight w:val="yellow"/>
          <w:lang w:val="en-GB"/>
        </w:rPr>
      </w:pPr>
      <w:r w:rsidRPr="00D30847">
        <w:rPr>
          <w:rFonts w:cs="Calibri"/>
          <w:b/>
          <w:color w:val="2C2825"/>
          <w:shd w:val="clear" w:color="auto" w:fill="FFFFFF"/>
          <w:lang w:val="en-GB"/>
        </w:rPr>
        <w:t xml:space="preserve">Priority 3: </w:t>
      </w:r>
      <w:r w:rsidR="006A55CA" w:rsidRPr="00D30847">
        <w:rPr>
          <w:rFonts w:cs="Calibri"/>
          <w:b/>
          <w:lang w:val="en-GB"/>
        </w:rPr>
        <w:t>Debt management</w:t>
      </w:r>
    </w:p>
    <w:p w14:paraId="177F2C0A" w14:textId="77777777" w:rsidR="004079E5" w:rsidRPr="00D30847" w:rsidRDefault="004079E5" w:rsidP="008B435E">
      <w:pPr>
        <w:shd w:val="clear" w:color="auto" w:fill="FFFFFF"/>
        <w:spacing w:before="240" w:line="240" w:lineRule="auto"/>
        <w:jc w:val="both"/>
        <w:rPr>
          <w:lang w:val="en-GB"/>
        </w:rPr>
      </w:pPr>
      <w:r w:rsidRPr="00D30847">
        <w:rPr>
          <w:lang w:val="en-GB"/>
        </w:rPr>
        <w:t xml:space="preserve">Effective public debt management is vital for a country's economic stability. It ensures prudent borrowing, reduces financial risks, and mitigates the impact of economic shocks. </w:t>
      </w:r>
    </w:p>
    <w:p w14:paraId="04C93BDA" w14:textId="6962D94E" w:rsidR="004079E5" w:rsidRPr="00D30847" w:rsidRDefault="004079E5" w:rsidP="008B435E">
      <w:pPr>
        <w:shd w:val="clear" w:color="auto" w:fill="FFFFFF"/>
        <w:spacing w:before="240" w:line="240" w:lineRule="auto"/>
        <w:jc w:val="both"/>
        <w:rPr>
          <w:lang w:val="en-GB"/>
        </w:rPr>
      </w:pPr>
      <w:r w:rsidRPr="00D30847">
        <w:rPr>
          <w:lang w:val="en-GB"/>
        </w:rPr>
        <w:t>Well-managed debt contributes to sustainable development, fosters investor confidence, and allows governments to meet their financial obligations while maintaining fiscal discipline.</w:t>
      </w:r>
      <w:r w:rsidRPr="00D30847">
        <w:rPr>
          <w:lang w:val="en-GB"/>
        </w:rPr>
        <w:br/>
        <w:t>The Public Debt Management Strategy plays a crucial role in the entire process of public debt management, from planning to execution.</w:t>
      </w:r>
      <w:r w:rsidR="00944D78" w:rsidRPr="00D30847">
        <w:rPr>
          <w:lang w:val="en-GB"/>
        </w:rPr>
        <w:t xml:space="preserve"> </w:t>
      </w:r>
      <w:r w:rsidRPr="00D30847">
        <w:rPr>
          <w:lang w:val="en-GB"/>
        </w:rPr>
        <w:t>The World Bank suggests aligning the annual borrowing plan with this strategy to increase effectivenes</w:t>
      </w:r>
      <w:r w:rsidR="00FD3690" w:rsidRPr="00D30847">
        <w:rPr>
          <w:lang w:val="en-GB"/>
        </w:rPr>
        <w:t>s</w:t>
      </w:r>
      <w:r w:rsidRPr="00D30847">
        <w:rPr>
          <w:lang w:val="en-GB"/>
        </w:rPr>
        <w:t xml:space="preserve"> of the public debt management.</w:t>
      </w:r>
      <w:r w:rsidRPr="00D30847">
        <w:rPr>
          <w:lang w:val="en-GB"/>
        </w:rPr>
        <w:br/>
        <w:t>Aimed to reduce operational risks, it is important to introduce e-banking with NBRNM for external debt-repayment.</w:t>
      </w:r>
      <w:r w:rsidRPr="00D30847">
        <w:rPr>
          <w:lang w:val="en-GB"/>
        </w:rPr>
        <w:br/>
        <w:t>Strengthening public debt management also involves hiring and training staff, ensuring timely task completion, and reconciling debt stock with creditors through more frequent procedures.</w:t>
      </w:r>
    </w:p>
    <w:p w14:paraId="3709C0DC" w14:textId="77777777" w:rsidR="003C20E4" w:rsidRPr="00D30847" w:rsidRDefault="004079E5" w:rsidP="008B435E">
      <w:pPr>
        <w:spacing w:before="240" w:line="240" w:lineRule="auto"/>
        <w:jc w:val="both"/>
        <w:rPr>
          <w:lang w:val="en-GB"/>
        </w:rPr>
      </w:pPr>
      <w:r w:rsidRPr="00D30847">
        <w:rPr>
          <w:lang w:val="en-GB"/>
        </w:rPr>
        <w:t>Changes in the Organic Budget Law impact public debt definitions, requiring adjustments to align with Maastricht Criteria. Efforts include modifying the Public Debt Law and integrating debt data into budget documents. Adhering to SDDS Plus standards by 2024 increase transparency and improves statistical data quality and international confidence.</w:t>
      </w:r>
    </w:p>
    <w:p w14:paraId="0C388746" w14:textId="77777777" w:rsidR="003C20E4" w:rsidRPr="00D30847" w:rsidRDefault="004079E5" w:rsidP="008B435E">
      <w:pPr>
        <w:spacing w:before="240" w:line="240" w:lineRule="auto"/>
        <w:jc w:val="both"/>
        <w:rPr>
          <w:lang w:val="en-GB"/>
        </w:rPr>
      </w:pPr>
      <w:r w:rsidRPr="00D30847">
        <w:rPr>
          <w:lang w:val="en-GB"/>
        </w:rPr>
        <w:t>Financial market development focuses on diversification through various instruments, including development bonds, structural bonds, and green bonds that support environmentally friendly projects, contributing to the country's transition to a green economy and capital market development.</w:t>
      </w:r>
    </w:p>
    <w:p w14:paraId="6FAA499D" w14:textId="77777777" w:rsidR="003C20E4" w:rsidRPr="00D30847" w:rsidRDefault="003C20E4" w:rsidP="008B435E">
      <w:pPr>
        <w:spacing w:before="240" w:line="240" w:lineRule="auto"/>
        <w:jc w:val="both"/>
        <w:rPr>
          <w:lang w:val="en-GB"/>
        </w:rPr>
      </w:pPr>
    </w:p>
    <w:p w14:paraId="72D70D49" w14:textId="77777777" w:rsidR="003C20E4" w:rsidRPr="00D30847" w:rsidRDefault="003C20E4" w:rsidP="008B435E">
      <w:pPr>
        <w:spacing w:before="240" w:after="160" w:line="240" w:lineRule="auto"/>
        <w:jc w:val="both"/>
        <w:rPr>
          <w:rFonts w:cs="Calibri"/>
          <w:lang w:val="en-GB"/>
        </w:rPr>
      </w:pPr>
    </w:p>
    <w:p w14:paraId="10469F8F" w14:textId="0EB8AA38" w:rsidR="003108FD" w:rsidRPr="00D30847" w:rsidRDefault="005C65EB" w:rsidP="006C526B">
      <w:pPr>
        <w:pStyle w:val="Heading1"/>
        <w:spacing w:after="0" w:line="240" w:lineRule="auto"/>
        <w:jc w:val="both"/>
        <w:rPr>
          <w:rFonts w:ascii="Calibri" w:hAnsi="Calibri" w:cs="Calibri"/>
          <w:color w:val="2F5496"/>
          <w:sz w:val="28"/>
          <w:szCs w:val="28"/>
          <w:lang w:val="en-GB"/>
        </w:rPr>
      </w:pPr>
      <w:r w:rsidRPr="00D30847">
        <w:rPr>
          <w:rFonts w:ascii="Calibri" w:hAnsi="Calibri" w:cs="Calibri"/>
          <w:color w:val="2F5496"/>
          <w:lang w:val="en-GB"/>
        </w:rPr>
        <w:br w:type="page"/>
      </w:r>
      <w:bookmarkStart w:id="13" w:name="_Toc187841800"/>
      <w:r w:rsidR="00A64FD7" w:rsidRPr="00D30847">
        <w:rPr>
          <w:rFonts w:ascii="Calibri" w:hAnsi="Calibri" w:cs="Calibri"/>
          <w:color w:val="2F5496"/>
          <w:sz w:val="28"/>
          <w:szCs w:val="28"/>
          <w:lang w:val="en-GB"/>
        </w:rPr>
        <w:lastRenderedPageBreak/>
        <w:t xml:space="preserve">Priority 1: </w:t>
      </w:r>
      <w:r w:rsidR="00612A86" w:rsidRPr="00D30847">
        <w:rPr>
          <w:rFonts w:ascii="Calibri" w:hAnsi="Calibri" w:cs="Calibri"/>
          <w:color w:val="2F5496"/>
          <w:sz w:val="28"/>
          <w:szCs w:val="28"/>
          <w:lang w:val="en-GB"/>
        </w:rPr>
        <w:t>Tax Revenue forecasting and reporting</w:t>
      </w:r>
      <w:bookmarkEnd w:id="13"/>
    </w:p>
    <w:p w14:paraId="1F15DC30" w14:textId="77777777" w:rsidR="00A64FD7" w:rsidRPr="00D30847" w:rsidRDefault="00A64FD7" w:rsidP="008B435E">
      <w:pPr>
        <w:spacing w:before="240" w:line="240" w:lineRule="auto"/>
        <w:jc w:val="both"/>
        <w:rPr>
          <w:rFonts w:cs="Calibri"/>
          <w:b/>
          <w:i/>
          <w:color w:val="2E74B5"/>
          <w:lang w:val="en-GB" w:eastAsia="zh-CN"/>
        </w:rPr>
      </w:pPr>
      <w:r w:rsidRPr="00D30847">
        <w:rPr>
          <w:rFonts w:cs="Calibri"/>
          <w:b/>
          <w:i/>
          <w:color w:val="2E74B5"/>
          <w:lang w:val="en-GB" w:eastAsia="zh-CN"/>
        </w:rPr>
        <w:t>Objective</w:t>
      </w:r>
    </w:p>
    <w:p w14:paraId="223C4F63" w14:textId="203DC561" w:rsidR="00D26431" w:rsidRPr="00D30847" w:rsidRDefault="00612A86" w:rsidP="008B435E">
      <w:pPr>
        <w:spacing w:before="240" w:line="240" w:lineRule="auto"/>
        <w:jc w:val="both"/>
        <w:rPr>
          <w:rFonts w:cs="Calibri"/>
          <w:lang w:val="en-GB"/>
        </w:rPr>
      </w:pPr>
      <w:r w:rsidRPr="00D30847">
        <w:rPr>
          <w:rFonts w:cs="Calibri"/>
          <w:lang w:val="en-GB"/>
        </w:rPr>
        <w:t xml:space="preserve">Tax revenue forecasting and tax expenditure reporting are </w:t>
      </w:r>
      <w:r w:rsidR="008F391C" w:rsidRPr="00D30847">
        <w:rPr>
          <w:rFonts w:cs="Calibri"/>
          <w:lang w:val="en-GB"/>
        </w:rPr>
        <w:t>enhanced to</w:t>
      </w:r>
      <w:r w:rsidRPr="00D30847">
        <w:rPr>
          <w:rFonts w:cs="Calibri"/>
          <w:lang w:val="en-GB"/>
        </w:rPr>
        <w:t xml:space="preserve"> ensure a predictable and stable revenue framework over the medium term so as to better plan expenditures for the country's development needs.</w:t>
      </w:r>
    </w:p>
    <w:tbl>
      <w:tblPr>
        <w:tblW w:w="5000" w:type="pct"/>
        <w:tblLook w:val="01E0" w:firstRow="1" w:lastRow="1" w:firstColumn="1" w:lastColumn="1" w:noHBand="0" w:noVBand="0"/>
      </w:tblPr>
      <w:tblGrid>
        <w:gridCol w:w="1321"/>
        <w:gridCol w:w="7705"/>
      </w:tblGrid>
      <w:tr w:rsidR="00D91B99" w:rsidRPr="00D30847" w14:paraId="1E9F66A5" w14:textId="77777777" w:rsidTr="008B779B">
        <w:trPr>
          <w:trHeight w:val="461"/>
        </w:trPr>
        <w:tc>
          <w:tcPr>
            <w:tcW w:w="732" w:type="pct"/>
            <w:shd w:val="clear" w:color="auto" w:fill="auto"/>
          </w:tcPr>
          <w:p w14:paraId="145058C3" w14:textId="77777777" w:rsidR="00D91B99" w:rsidRPr="00D30847" w:rsidRDefault="00D91B99" w:rsidP="008B435E">
            <w:pPr>
              <w:spacing w:after="0" w:line="240" w:lineRule="auto"/>
              <w:ind w:left="-105" w:right="-135"/>
              <w:jc w:val="both"/>
              <w:rPr>
                <w:rFonts w:cs="Calibri"/>
                <w:lang w:val="en-GB"/>
              </w:rPr>
            </w:pPr>
            <w:r w:rsidRPr="00D30847">
              <w:rPr>
                <w:rFonts w:cs="Calibri"/>
                <w:b/>
                <w:lang w:val="en-GB"/>
              </w:rPr>
              <w:t>Measure 1:</w:t>
            </w:r>
          </w:p>
        </w:tc>
        <w:tc>
          <w:tcPr>
            <w:tcW w:w="4268" w:type="pct"/>
            <w:shd w:val="clear" w:color="auto" w:fill="auto"/>
          </w:tcPr>
          <w:p w14:paraId="6969E5BD" w14:textId="031ECC20" w:rsidR="00D91B99" w:rsidRPr="00D30847" w:rsidRDefault="00612A86" w:rsidP="008B435E">
            <w:pPr>
              <w:spacing w:after="0" w:line="240" w:lineRule="auto"/>
              <w:ind w:left="-105" w:right="-135"/>
              <w:jc w:val="both"/>
              <w:rPr>
                <w:rFonts w:cs="Calibri"/>
                <w:lang w:val="en-GB"/>
              </w:rPr>
            </w:pPr>
            <w:r w:rsidRPr="00D30847">
              <w:rPr>
                <w:rFonts w:cs="Calibri"/>
                <w:b/>
                <w:lang w:val="en-GB"/>
              </w:rPr>
              <w:t>Improved reporting on tax expenditures and other tax indicators</w:t>
            </w:r>
          </w:p>
        </w:tc>
      </w:tr>
      <w:tr w:rsidR="00FC2E5C" w:rsidRPr="00D30847" w14:paraId="57B4C737" w14:textId="77777777" w:rsidTr="008B779B">
        <w:trPr>
          <w:trHeight w:val="414"/>
        </w:trPr>
        <w:tc>
          <w:tcPr>
            <w:tcW w:w="732" w:type="pct"/>
            <w:shd w:val="clear" w:color="auto" w:fill="auto"/>
          </w:tcPr>
          <w:p w14:paraId="590AED09" w14:textId="2D98C13A" w:rsidR="00FC2E5C" w:rsidRPr="00D30847" w:rsidRDefault="00FC2E5C" w:rsidP="008B435E">
            <w:pPr>
              <w:spacing w:after="0" w:line="240" w:lineRule="auto"/>
              <w:ind w:left="-105" w:right="-135"/>
              <w:jc w:val="both"/>
              <w:rPr>
                <w:rFonts w:cs="Calibri"/>
                <w:lang w:val="en-GB"/>
              </w:rPr>
            </w:pPr>
            <w:r w:rsidRPr="00D30847">
              <w:rPr>
                <w:rFonts w:cs="Calibri"/>
                <w:lang w:val="en-GB"/>
              </w:rPr>
              <w:t>Activity 1:</w:t>
            </w:r>
          </w:p>
        </w:tc>
        <w:tc>
          <w:tcPr>
            <w:tcW w:w="4268" w:type="pct"/>
            <w:shd w:val="clear" w:color="auto" w:fill="auto"/>
          </w:tcPr>
          <w:p w14:paraId="133447D7" w14:textId="537BEB3A" w:rsidR="00FC2E5C" w:rsidRPr="00D30847" w:rsidRDefault="003B24B7" w:rsidP="008B435E">
            <w:pPr>
              <w:spacing w:after="0" w:line="240" w:lineRule="auto"/>
              <w:ind w:left="-105" w:right="-135"/>
              <w:jc w:val="both"/>
              <w:rPr>
                <w:rFonts w:cs="Calibri"/>
                <w:b/>
                <w:lang w:val="en-GB"/>
              </w:rPr>
            </w:pPr>
            <w:r w:rsidRPr="00D30847">
              <w:rPr>
                <w:rFonts w:cs="Calibri"/>
                <w:lang w:val="en-GB"/>
              </w:rPr>
              <w:t>Establishing an effective and efficient mechanism for data exchange between relevant institutions and the Ministry of Finance;</w:t>
            </w:r>
          </w:p>
        </w:tc>
      </w:tr>
      <w:tr w:rsidR="00FC2E5C" w:rsidRPr="00D30847" w14:paraId="1055C187" w14:textId="77777777" w:rsidTr="008B779B">
        <w:trPr>
          <w:trHeight w:val="399"/>
        </w:trPr>
        <w:tc>
          <w:tcPr>
            <w:tcW w:w="732" w:type="pct"/>
            <w:shd w:val="clear" w:color="auto" w:fill="auto"/>
          </w:tcPr>
          <w:p w14:paraId="4D4B6717" w14:textId="77777777" w:rsidR="00FC2E5C" w:rsidRPr="00D30847" w:rsidRDefault="00FC2E5C" w:rsidP="008B435E">
            <w:pPr>
              <w:spacing w:after="0" w:line="240" w:lineRule="auto"/>
              <w:ind w:left="-105" w:right="-135"/>
              <w:jc w:val="both"/>
              <w:rPr>
                <w:rFonts w:cs="Calibri"/>
                <w:b/>
                <w:lang w:val="en-GB"/>
              </w:rPr>
            </w:pPr>
            <w:r w:rsidRPr="00D30847">
              <w:rPr>
                <w:rFonts w:cs="Calibri"/>
                <w:lang w:val="en-GB"/>
              </w:rPr>
              <w:t>Activity 2:</w:t>
            </w:r>
          </w:p>
        </w:tc>
        <w:tc>
          <w:tcPr>
            <w:tcW w:w="4268" w:type="pct"/>
            <w:shd w:val="clear" w:color="auto" w:fill="auto"/>
          </w:tcPr>
          <w:p w14:paraId="60BEBC96" w14:textId="0AB1C6C5" w:rsidR="00FC2E5C" w:rsidRPr="00D30847" w:rsidRDefault="00612A86" w:rsidP="008B435E">
            <w:pPr>
              <w:spacing w:after="0" w:line="240" w:lineRule="auto"/>
              <w:ind w:left="-105" w:right="-135"/>
              <w:jc w:val="both"/>
              <w:rPr>
                <w:rFonts w:cs="Calibri"/>
                <w:b/>
                <w:lang w:val="en-GB"/>
              </w:rPr>
            </w:pPr>
            <w:r w:rsidRPr="00D30847">
              <w:rPr>
                <w:rFonts w:cs="Calibri"/>
                <w:lang w:val="en-GB"/>
              </w:rPr>
              <w:t>Preparation of a report on tax expenditures and other tax indicators</w:t>
            </w:r>
          </w:p>
        </w:tc>
      </w:tr>
      <w:tr w:rsidR="00D91B99" w:rsidRPr="00D30847" w14:paraId="64398F15" w14:textId="77777777" w:rsidTr="008B779B">
        <w:trPr>
          <w:trHeight w:val="258"/>
        </w:trPr>
        <w:tc>
          <w:tcPr>
            <w:tcW w:w="732" w:type="pct"/>
            <w:shd w:val="clear" w:color="auto" w:fill="auto"/>
          </w:tcPr>
          <w:p w14:paraId="44EE1542" w14:textId="77777777" w:rsidR="00D91B99" w:rsidRPr="00D30847" w:rsidRDefault="00D91B99" w:rsidP="008B435E">
            <w:pPr>
              <w:spacing w:after="0" w:line="240" w:lineRule="auto"/>
              <w:ind w:left="-105" w:right="-135"/>
              <w:jc w:val="both"/>
              <w:rPr>
                <w:rFonts w:cs="Calibri"/>
                <w:b/>
                <w:lang w:val="en-GB"/>
              </w:rPr>
            </w:pPr>
            <w:r w:rsidRPr="00D30847">
              <w:rPr>
                <w:rFonts w:cs="Calibri"/>
                <w:b/>
                <w:lang w:val="en-GB"/>
              </w:rPr>
              <w:t xml:space="preserve">Measure 2: </w:t>
            </w:r>
          </w:p>
        </w:tc>
        <w:tc>
          <w:tcPr>
            <w:tcW w:w="4268" w:type="pct"/>
            <w:shd w:val="clear" w:color="auto" w:fill="auto"/>
          </w:tcPr>
          <w:p w14:paraId="3395ADBA" w14:textId="73A34CAD" w:rsidR="00D91B99" w:rsidRPr="00D30847" w:rsidRDefault="00612A86" w:rsidP="008B435E">
            <w:pPr>
              <w:spacing w:after="0" w:line="240" w:lineRule="auto"/>
              <w:ind w:left="-105" w:right="-135"/>
              <w:jc w:val="both"/>
              <w:rPr>
                <w:rFonts w:cs="Calibri"/>
                <w:b/>
                <w:lang w:val="en-GB"/>
              </w:rPr>
            </w:pPr>
            <w:r w:rsidRPr="00D30847">
              <w:rPr>
                <w:rFonts w:cs="Calibri"/>
                <w:b/>
                <w:lang w:val="en-GB"/>
              </w:rPr>
              <w:t xml:space="preserve">Enhancing </w:t>
            </w:r>
            <w:r w:rsidR="008F391C" w:rsidRPr="00D30847">
              <w:rPr>
                <w:rFonts w:cs="Calibri"/>
                <w:b/>
                <w:lang w:val="en-GB"/>
              </w:rPr>
              <w:t>capacity for</w:t>
            </w:r>
            <w:r w:rsidRPr="00D30847">
              <w:rPr>
                <w:rFonts w:cs="Calibri"/>
                <w:b/>
                <w:lang w:val="en-GB"/>
              </w:rPr>
              <w:t xml:space="preserve"> application of tax models</w:t>
            </w:r>
          </w:p>
          <w:p w14:paraId="7CB26E2C" w14:textId="612317C1" w:rsidR="00D26431" w:rsidRPr="00D30847" w:rsidRDefault="00D26431" w:rsidP="008B435E">
            <w:pPr>
              <w:spacing w:after="0" w:line="240" w:lineRule="auto"/>
              <w:ind w:left="-105" w:right="-135"/>
              <w:jc w:val="both"/>
              <w:rPr>
                <w:rFonts w:cs="Calibri"/>
                <w:b/>
                <w:lang w:val="en-GB"/>
              </w:rPr>
            </w:pPr>
          </w:p>
        </w:tc>
      </w:tr>
      <w:tr w:rsidR="00FC2E5C" w:rsidRPr="00D30847" w14:paraId="49CCAEDC" w14:textId="77777777" w:rsidTr="008B779B">
        <w:trPr>
          <w:trHeight w:val="258"/>
        </w:trPr>
        <w:tc>
          <w:tcPr>
            <w:tcW w:w="732" w:type="pct"/>
            <w:shd w:val="clear" w:color="auto" w:fill="auto"/>
          </w:tcPr>
          <w:p w14:paraId="0F3317A3" w14:textId="77777777" w:rsidR="00FC2E5C" w:rsidRPr="00D30847" w:rsidRDefault="00FC2E5C" w:rsidP="008B435E">
            <w:pPr>
              <w:spacing w:after="0" w:line="240" w:lineRule="auto"/>
              <w:ind w:left="-105" w:right="-135"/>
              <w:jc w:val="both"/>
              <w:rPr>
                <w:rFonts w:cs="Calibri"/>
                <w:b/>
                <w:lang w:val="en-GB"/>
              </w:rPr>
            </w:pPr>
            <w:r w:rsidRPr="00D30847">
              <w:rPr>
                <w:rFonts w:cs="Calibri"/>
                <w:lang w:val="en-GB"/>
              </w:rPr>
              <w:t>Activity 1:</w:t>
            </w:r>
          </w:p>
        </w:tc>
        <w:tc>
          <w:tcPr>
            <w:tcW w:w="4268" w:type="pct"/>
            <w:shd w:val="clear" w:color="auto" w:fill="auto"/>
          </w:tcPr>
          <w:p w14:paraId="361E771F" w14:textId="1A533D0E" w:rsidR="00FC2E5C" w:rsidRPr="00D30847" w:rsidRDefault="00612A86" w:rsidP="008B435E">
            <w:pPr>
              <w:spacing w:after="0" w:line="240" w:lineRule="auto"/>
              <w:ind w:left="-105" w:right="-135"/>
              <w:jc w:val="both"/>
              <w:rPr>
                <w:rFonts w:cs="Calibri"/>
                <w:b/>
                <w:lang w:val="en-GB"/>
              </w:rPr>
            </w:pPr>
            <w:r w:rsidRPr="00D30847">
              <w:rPr>
                <w:rFonts w:cs="Calibri"/>
                <w:lang w:val="en-GB"/>
              </w:rPr>
              <w:t>Employee training and implementation of developed tax models</w:t>
            </w:r>
          </w:p>
        </w:tc>
      </w:tr>
      <w:tr w:rsidR="00D91B99" w:rsidRPr="00D30847" w14:paraId="3450231C" w14:textId="77777777" w:rsidTr="008B779B">
        <w:trPr>
          <w:trHeight w:val="688"/>
        </w:trPr>
        <w:tc>
          <w:tcPr>
            <w:tcW w:w="732" w:type="pct"/>
            <w:shd w:val="clear" w:color="auto" w:fill="auto"/>
          </w:tcPr>
          <w:p w14:paraId="4C5D1C84" w14:textId="77777777" w:rsidR="00D91B99" w:rsidRPr="00D30847" w:rsidRDefault="00D91B99" w:rsidP="008B435E">
            <w:pPr>
              <w:spacing w:after="0" w:line="240" w:lineRule="auto"/>
              <w:ind w:left="-105" w:right="-135"/>
              <w:jc w:val="both"/>
              <w:rPr>
                <w:rFonts w:cs="Calibri"/>
                <w:lang w:val="en-GB"/>
              </w:rPr>
            </w:pPr>
          </w:p>
          <w:p w14:paraId="2B1BD1B1" w14:textId="77777777" w:rsidR="00D91B99" w:rsidRPr="00D30847" w:rsidRDefault="00D91B99" w:rsidP="008B435E">
            <w:pPr>
              <w:spacing w:after="0" w:line="240" w:lineRule="auto"/>
              <w:ind w:left="-105" w:right="-135"/>
              <w:jc w:val="both"/>
              <w:rPr>
                <w:rFonts w:cs="Calibri"/>
                <w:lang w:val="en-GB"/>
              </w:rPr>
            </w:pPr>
            <w:r w:rsidRPr="00D30847">
              <w:rPr>
                <w:rFonts w:cs="Calibri"/>
                <w:lang w:val="en-GB"/>
              </w:rPr>
              <w:t>Activity 2:</w:t>
            </w:r>
          </w:p>
        </w:tc>
        <w:tc>
          <w:tcPr>
            <w:tcW w:w="4268" w:type="pct"/>
            <w:shd w:val="clear" w:color="auto" w:fill="auto"/>
          </w:tcPr>
          <w:p w14:paraId="65482FB1" w14:textId="77777777" w:rsidR="00D91B99" w:rsidRPr="00D30847" w:rsidRDefault="00D91B99" w:rsidP="008B435E">
            <w:pPr>
              <w:spacing w:after="0" w:line="240" w:lineRule="auto"/>
              <w:ind w:left="-105" w:right="-135"/>
              <w:jc w:val="both"/>
              <w:rPr>
                <w:rFonts w:cs="Calibri"/>
                <w:lang w:val="en-GB"/>
              </w:rPr>
            </w:pPr>
          </w:p>
          <w:p w14:paraId="3A4EA433" w14:textId="77777777" w:rsidR="00D91B99" w:rsidRPr="00D30847" w:rsidRDefault="00612A86" w:rsidP="008B435E">
            <w:pPr>
              <w:spacing w:after="0" w:line="240" w:lineRule="auto"/>
              <w:ind w:left="-105" w:right="-135"/>
              <w:jc w:val="both"/>
              <w:rPr>
                <w:rFonts w:cs="Calibri"/>
                <w:lang w:val="en-GB"/>
              </w:rPr>
            </w:pPr>
            <w:r w:rsidRPr="00D30847">
              <w:rPr>
                <w:rFonts w:cs="Calibri"/>
                <w:lang w:val="en-GB"/>
              </w:rPr>
              <w:t>Extending the tax models with new modules and installation of Power BI tool.</w:t>
            </w:r>
          </w:p>
          <w:p w14:paraId="1D5A8294" w14:textId="439EAD73" w:rsidR="00230C29" w:rsidRPr="00D30847" w:rsidRDefault="00230C29" w:rsidP="008B435E">
            <w:pPr>
              <w:spacing w:after="0" w:line="240" w:lineRule="auto"/>
              <w:ind w:left="-105" w:right="-135"/>
              <w:jc w:val="both"/>
              <w:rPr>
                <w:rFonts w:cs="Calibri"/>
                <w:lang w:val="en-GB"/>
              </w:rPr>
            </w:pPr>
          </w:p>
        </w:tc>
      </w:tr>
    </w:tbl>
    <w:p w14:paraId="015FBD9F" w14:textId="77777777" w:rsidR="00D91B99" w:rsidRPr="00D30847" w:rsidRDefault="00D91B99" w:rsidP="008B435E">
      <w:pPr>
        <w:spacing w:before="240"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Outcome</w:t>
      </w:r>
    </w:p>
    <w:p w14:paraId="1824EACF" w14:textId="77777777" w:rsidR="00612A86" w:rsidRPr="00D30847" w:rsidRDefault="00612A86" w:rsidP="008B435E">
      <w:pPr>
        <w:pStyle w:val="ListParagraph"/>
        <w:numPr>
          <w:ilvl w:val="0"/>
          <w:numId w:val="51"/>
        </w:numPr>
        <w:spacing w:before="240" w:after="200"/>
        <w:ind w:left="360" w:hanging="360"/>
        <w:rPr>
          <w:rFonts w:eastAsia="Calibri" w:cs="Calibri"/>
          <w:lang w:eastAsia="en-US"/>
        </w:rPr>
      </w:pPr>
      <w:r w:rsidRPr="00D30847">
        <w:rPr>
          <w:rFonts w:eastAsia="Calibri" w:cs="Calibri"/>
          <w:lang w:eastAsia="en-US"/>
        </w:rPr>
        <w:t>Reduced deviation between planned and realized amounts, in individual and total tax revenues, indicating improved forecasting;</w:t>
      </w:r>
    </w:p>
    <w:p w14:paraId="6273F9D6" w14:textId="34D78605" w:rsidR="00612A86" w:rsidRPr="00D30847" w:rsidRDefault="00612A86" w:rsidP="008B435E">
      <w:pPr>
        <w:pStyle w:val="ListParagraph"/>
        <w:numPr>
          <w:ilvl w:val="0"/>
          <w:numId w:val="51"/>
        </w:numPr>
        <w:spacing w:before="240" w:after="200"/>
        <w:ind w:left="360" w:hanging="360"/>
        <w:rPr>
          <w:rFonts w:eastAsia="Calibri" w:cs="Calibri"/>
          <w:lang w:eastAsia="en-US"/>
        </w:rPr>
      </w:pPr>
      <w:r w:rsidRPr="00D30847">
        <w:rPr>
          <w:rFonts w:eastAsia="Calibri" w:cs="Calibri"/>
          <w:lang w:eastAsia="en-US"/>
        </w:rPr>
        <w:t>Enhanced public awareness of the size and scope of tax expenditures and other tax indicators;</w:t>
      </w:r>
    </w:p>
    <w:p w14:paraId="48C316F0" w14:textId="00BE2E60" w:rsidR="007B2731" w:rsidRPr="00D30847" w:rsidRDefault="00612A86" w:rsidP="008B435E">
      <w:pPr>
        <w:pStyle w:val="ListParagraph"/>
        <w:numPr>
          <w:ilvl w:val="0"/>
          <w:numId w:val="51"/>
        </w:numPr>
        <w:spacing w:before="240" w:after="200" w:line="240" w:lineRule="auto"/>
        <w:ind w:left="360" w:hanging="360"/>
        <w:rPr>
          <w:rFonts w:cs="Calibri"/>
        </w:rPr>
      </w:pPr>
      <w:r w:rsidRPr="00D30847">
        <w:rPr>
          <w:rFonts w:cs="Calibri"/>
        </w:rPr>
        <w:t>Enhanced capabilities of the MoF employees for application of tax models and revenue forecasting, monitoring and analysis.</w:t>
      </w:r>
    </w:p>
    <w:p w14:paraId="5BAEE722" w14:textId="77777777" w:rsidR="00851CEB" w:rsidRPr="00D30847" w:rsidRDefault="00851CEB" w:rsidP="00851CEB">
      <w:pPr>
        <w:pStyle w:val="ListParagraph"/>
        <w:spacing w:after="0" w:line="240" w:lineRule="auto"/>
        <w:rPr>
          <w:rFonts w:cs="Calibri"/>
        </w:rPr>
      </w:pPr>
    </w:p>
    <w:p w14:paraId="7DA0AA8A" w14:textId="1106B10E" w:rsidR="003B733F" w:rsidRPr="00D30847" w:rsidRDefault="00D91B99" w:rsidP="008B435E">
      <w:pPr>
        <w:spacing w:before="240"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Outcome indicator</w:t>
      </w:r>
    </w:p>
    <w:p w14:paraId="17BB70DD" w14:textId="1A70CD9A" w:rsidR="0045213E" w:rsidRPr="00D30847" w:rsidRDefault="0045213E" w:rsidP="008B435E">
      <w:pPr>
        <w:spacing w:before="240" w:line="240" w:lineRule="auto"/>
        <w:jc w:val="both"/>
        <w:rPr>
          <w:rFonts w:cs="Calibri"/>
          <w:lang w:val="en-GB"/>
        </w:rPr>
      </w:pPr>
      <w:r w:rsidRPr="00D30847">
        <w:rPr>
          <w:rFonts w:cs="Calibri"/>
          <w:lang w:val="en-GB"/>
        </w:rPr>
        <w:t>1.</w:t>
      </w:r>
      <w:r w:rsidR="003B1B45" w:rsidRPr="00D30847">
        <w:rPr>
          <w:rFonts w:cs="Calibri"/>
          <w:lang w:val="en-GB"/>
        </w:rPr>
        <w:t xml:space="preserve"> </w:t>
      </w:r>
      <w:r w:rsidR="002A51BF" w:rsidRPr="00D30847">
        <w:rPr>
          <w:rFonts w:cs="Calibri"/>
          <w:lang w:val="en-GB"/>
        </w:rPr>
        <w:t>Deviation in total revenues and composition of revenues between planned and actual amounts, as used in the Program of Public Expenditure and Financial Responsibility (PEFA) within the Support for the Improvement of Governance and Management in Central and Eastern European Countries (Support for the Improvement of Governance and Management in Central and Eastern European Countries - SIGMA). Based on the Program, grades can be obtained as A, B, C, D, with the highest grade being A and the lowest being 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4567"/>
      </w:tblGrid>
      <w:tr w:rsidR="00F004A4" w:rsidRPr="00D30847" w14:paraId="4F1EA27B" w14:textId="77777777" w:rsidTr="00015266">
        <w:trPr>
          <w:trHeight w:val="395"/>
        </w:trPr>
        <w:tc>
          <w:tcPr>
            <w:tcW w:w="3960" w:type="dxa"/>
            <w:shd w:val="clear" w:color="auto" w:fill="E8E8E8"/>
          </w:tcPr>
          <w:p w14:paraId="0CE58429" w14:textId="748C5A7E" w:rsidR="00F004A4" w:rsidRPr="00D30847" w:rsidRDefault="00F004A4" w:rsidP="004017D3">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A64E21" w:rsidRPr="00D30847">
              <w:rPr>
                <w:rFonts w:eastAsia="Times New Roman" w:cs="Calibri"/>
                <w:b/>
                <w:bCs/>
                <w:i/>
                <w:iCs/>
                <w:color w:val="202124"/>
                <w:sz w:val="20"/>
                <w:szCs w:val="20"/>
                <w:lang w:val="en-GB"/>
              </w:rPr>
              <w:t>3</w:t>
            </w:r>
          </w:p>
        </w:tc>
        <w:tc>
          <w:tcPr>
            <w:tcW w:w="4567" w:type="dxa"/>
            <w:shd w:val="clear" w:color="auto" w:fill="E8E8E8"/>
          </w:tcPr>
          <w:p w14:paraId="5C0BE35F" w14:textId="477893E7" w:rsidR="00F004A4" w:rsidRPr="00D30847" w:rsidRDefault="00F004A4" w:rsidP="004017D3">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A64E21" w:rsidRPr="00D30847">
              <w:rPr>
                <w:rFonts w:eastAsia="Times New Roman" w:cs="Calibri"/>
                <w:b/>
                <w:bCs/>
                <w:i/>
                <w:iCs/>
                <w:color w:val="202124"/>
                <w:sz w:val="20"/>
                <w:szCs w:val="20"/>
                <w:lang w:val="en-GB"/>
              </w:rPr>
              <w:t>8</w:t>
            </w:r>
          </w:p>
        </w:tc>
      </w:tr>
      <w:tr w:rsidR="00F004A4" w:rsidRPr="00D30847" w14:paraId="1B72A78A" w14:textId="77777777" w:rsidTr="00015266">
        <w:trPr>
          <w:trHeight w:val="395"/>
        </w:trPr>
        <w:tc>
          <w:tcPr>
            <w:tcW w:w="3960" w:type="dxa"/>
            <w:shd w:val="clear" w:color="auto" w:fill="E8E8E8"/>
          </w:tcPr>
          <w:p w14:paraId="6D08DD7A" w14:textId="0825726E" w:rsidR="00F004A4" w:rsidRPr="00D30847" w:rsidRDefault="008F05AB" w:rsidP="004017D3">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To</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be</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calculated</w:t>
            </w:r>
          </w:p>
        </w:tc>
        <w:tc>
          <w:tcPr>
            <w:tcW w:w="4567" w:type="dxa"/>
            <w:shd w:val="clear" w:color="auto" w:fill="E8E8E8"/>
          </w:tcPr>
          <w:p w14:paraId="34E39FB5" w14:textId="4E74B90B" w:rsidR="00F004A4" w:rsidRPr="00D30847" w:rsidRDefault="00A64E21" w:rsidP="004017D3">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Grade A</w:t>
            </w:r>
          </w:p>
        </w:tc>
      </w:tr>
    </w:tbl>
    <w:p w14:paraId="1892293C" w14:textId="64886E9A" w:rsidR="00126734" w:rsidRPr="00D30847" w:rsidRDefault="00126734" w:rsidP="00126734">
      <w:pPr>
        <w:spacing w:before="360" w:line="240" w:lineRule="auto"/>
        <w:jc w:val="both"/>
        <w:rPr>
          <w:rFonts w:cs="Calibri"/>
          <w:lang w:val="en-GB"/>
        </w:rPr>
      </w:pPr>
      <w:r w:rsidRPr="00D30847">
        <w:rPr>
          <w:rFonts w:cs="Calibri"/>
          <w:lang w:val="en-GB"/>
        </w:rPr>
        <w:t>2.</w:t>
      </w:r>
      <w:r w:rsidR="00E924AD" w:rsidRPr="00D30847">
        <w:rPr>
          <w:rFonts w:cs="Calibri"/>
          <w:lang w:val="en-GB"/>
        </w:rPr>
        <w:t xml:space="preserve"> </w:t>
      </w:r>
      <w:r w:rsidR="00A64E21" w:rsidRPr="00D30847">
        <w:rPr>
          <w:rFonts w:cs="Calibri"/>
          <w:lang w:val="en-GB"/>
        </w:rPr>
        <w:t>Tax data sharing mechanism is established on a systemic basis through data sharing protocols;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4503"/>
      </w:tblGrid>
      <w:tr w:rsidR="00F004A4" w:rsidRPr="00D30847" w14:paraId="0B55081B" w14:textId="77777777" w:rsidTr="006A0F62">
        <w:trPr>
          <w:trHeight w:val="395"/>
        </w:trPr>
        <w:tc>
          <w:tcPr>
            <w:tcW w:w="4140" w:type="dxa"/>
            <w:shd w:val="clear" w:color="auto" w:fill="E8E8E8"/>
          </w:tcPr>
          <w:p w14:paraId="3A449CF1" w14:textId="6107F7DD" w:rsidR="00F004A4" w:rsidRPr="00D30847" w:rsidRDefault="00F004A4"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A64E21" w:rsidRPr="00D30847">
              <w:rPr>
                <w:rFonts w:eastAsia="Times New Roman" w:cs="Calibri"/>
                <w:b/>
                <w:bCs/>
                <w:i/>
                <w:iCs/>
                <w:color w:val="202124"/>
                <w:sz w:val="20"/>
                <w:szCs w:val="20"/>
                <w:lang w:val="en-GB"/>
              </w:rPr>
              <w:t>3</w:t>
            </w:r>
          </w:p>
        </w:tc>
        <w:tc>
          <w:tcPr>
            <w:tcW w:w="4608" w:type="dxa"/>
            <w:shd w:val="clear" w:color="auto" w:fill="E8E8E8"/>
          </w:tcPr>
          <w:p w14:paraId="7545A197" w14:textId="09BCC509" w:rsidR="00F004A4" w:rsidRPr="00D30847" w:rsidRDefault="00F004A4"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A64E21" w:rsidRPr="00D30847">
              <w:rPr>
                <w:rFonts w:eastAsia="Times New Roman" w:cs="Calibri"/>
                <w:b/>
                <w:bCs/>
                <w:i/>
                <w:iCs/>
                <w:color w:val="202124"/>
                <w:sz w:val="20"/>
                <w:szCs w:val="20"/>
                <w:lang w:val="en-GB"/>
              </w:rPr>
              <w:t>8</w:t>
            </w:r>
          </w:p>
        </w:tc>
      </w:tr>
      <w:tr w:rsidR="00F004A4" w:rsidRPr="00D30847" w14:paraId="1EE49244" w14:textId="77777777" w:rsidTr="006A0F62">
        <w:trPr>
          <w:trHeight w:val="278"/>
        </w:trPr>
        <w:tc>
          <w:tcPr>
            <w:tcW w:w="4140" w:type="dxa"/>
            <w:shd w:val="clear" w:color="auto" w:fill="E8E8E8"/>
          </w:tcPr>
          <w:p w14:paraId="5824BD2A" w14:textId="03F8BAB6" w:rsidR="00F004A4" w:rsidRPr="00D30847" w:rsidRDefault="008F05AB"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No</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protocols</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for</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tax</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data</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sharing</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in</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place</w:t>
            </w:r>
          </w:p>
        </w:tc>
        <w:tc>
          <w:tcPr>
            <w:tcW w:w="4608" w:type="dxa"/>
            <w:shd w:val="clear" w:color="auto" w:fill="E8E8E8"/>
          </w:tcPr>
          <w:p w14:paraId="1479C76E" w14:textId="2A6C9BB0" w:rsidR="00F004A4" w:rsidRPr="00D30847" w:rsidRDefault="00A64E21"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Signed protocols with all relevant institutions and established effective exchange of  data</w:t>
            </w:r>
          </w:p>
        </w:tc>
      </w:tr>
    </w:tbl>
    <w:p w14:paraId="41CC033C" w14:textId="6BD1C044" w:rsidR="00126734" w:rsidRPr="00D30847" w:rsidRDefault="00126734" w:rsidP="00126734">
      <w:pPr>
        <w:spacing w:before="360" w:line="240" w:lineRule="auto"/>
        <w:jc w:val="both"/>
        <w:rPr>
          <w:rFonts w:cs="Calibri"/>
          <w:lang w:val="en-GB"/>
        </w:rPr>
      </w:pPr>
      <w:r w:rsidRPr="00D30847">
        <w:rPr>
          <w:rFonts w:cs="Calibri"/>
          <w:lang w:val="en-GB"/>
        </w:rPr>
        <w:t>3.</w:t>
      </w:r>
      <w:r w:rsidR="00E924AD" w:rsidRPr="00D30847">
        <w:rPr>
          <w:rFonts w:cs="Calibri"/>
          <w:lang w:val="en-GB"/>
        </w:rPr>
        <w:t xml:space="preserve"> </w:t>
      </w:r>
      <w:r w:rsidR="00A64E21" w:rsidRPr="00D30847">
        <w:rPr>
          <w:rFonts w:cs="Calibri"/>
          <w:lang w:val="en-GB"/>
        </w:rPr>
        <w:t>Tax expenditures reports are prepared and submitted as part of the Final Account of the Budget of the Republic of North Macedonia, as well as report on tax indicators;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4502"/>
      </w:tblGrid>
      <w:tr w:rsidR="00F004A4" w:rsidRPr="00D30847" w14:paraId="07EADB7B" w14:textId="77777777" w:rsidTr="006A0F62">
        <w:trPr>
          <w:trHeight w:val="332"/>
        </w:trPr>
        <w:tc>
          <w:tcPr>
            <w:tcW w:w="4140" w:type="dxa"/>
            <w:shd w:val="clear" w:color="auto" w:fill="E8E8E8"/>
          </w:tcPr>
          <w:p w14:paraId="4AA4E80B" w14:textId="68C9EB49" w:rsidR="00F004A4" w:rsidRPr="00D30847" w:rsidRDefault="00F004A4"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lastRenderedPageBreak/>
              <w:t>Baseline 202</w:t>
            </w:r>
            <w:r w:rsidR="00A64E21" w:rsidRPr="00D30847">
              <w:rPr>
                <w:rFonts w:eastAsia="Times New Roman" w:cs="Calibri"/>
                <w:b/>
                <w:bCs/>
                <w:i/>
                <w:iCs/>
                <w:color w:val="202124"/>
                <w:sz w:val="20"/>
                <w:szCs w:val="20"/>
                <w:lang w:val="en-GB"/>
              </w:rPr>
              <w:t>3</w:t>
            </w:r>
          </w:p>
        </w:tc>
        <w:tc>
          <w:tcPr>
            <w:tcW w:w="4608" w:type="dxa"/>
            <w:shd w:val="clear" w:color="auto" w:fill="E8E8E8"/>
          </w:tcPr>
          <w:p w14:paraId="3366C045" w14:textId="25542FA8" w:rsidR="00F004A4" w:rsidRPr="00D30847" w:rsidRDefault="00F004A4"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A64E21" w:rsidRPr="00D30847">
              <w:rPr>
                <w:rFonts w:eastAsia="Times New Roman" w:cs="Calibri"/>
                <w:b/>
                <w:bCs/>
                <w:i/>
                <w:iCs/>
                <w:color w:val="202124"/>
                <w:sz w:val="20"/>
                <w:szCs w:val="20"/>
                <w:lang w:val="en-GB"/>
              </w:rPr>
              <w:t>8</w:t>
            </w:r>
          </w:p>
        </w:tc>
      </w:tr>
      <w:tr w:rsidR="00F004A4" w:rsidRPr="00D30847" w14:paraId="7E389C8A" w14:textId="77777777" w:rsidTr="006A0F62">
        <w:trPr>
          <w:trHeight w:val="278"/>
        </w:trPr>
        <w:tc>
          <w:tcPr>
            <w:tcW w:w="4140" w:type="dxa"/>
            <w:shd w:val="clear" w:color="auto" w:fill="E8E8E8"/>
          </w:tcPr>
          <w:p w14:paraId="57F2AAF0" w14:textId="77A2B148" w:rsidR="00F004A4" w:rsidRPr="00D30847" w:rsidRDefault="008F05AB"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1 tax</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expenditure</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report</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prepared</w:t>
            </w:r>
          </w:p>
        </w:tc>
        <w:tc>
          <w:tcPr>
            <w:tcW w:w="4608" w:type="dxa"/>
            <w:shd w:val="clear" w:color="auto" w:fill="E8E8E8"/>
          </w:tcPr>
          <w:p w14:paraId="2E1C266B" w14:textId="77777777" w:rsidR="00A64E21" w:rsidRPr="00D30847" w:rsidRDefault="00A64E21" w:rsidP="00A64E21">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Tax expenditures report prepared and submitted as part of the Final Account of the Budget of the Republic of North Macedonia;</w:t>
            </w:r>
          </w:p>
          <w:p w14:paraId="075FB893" w14:textId="74BBC351" w:rsidR="00F004A4" w:rsidRPr="00D30847" w:rsidRDefault="00A64E21" w:rsidP="006C7477">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Report on tax indicators prepared (VAT-GAP, C-Efficiency,  Coefficients for tax buoyancy and tax elasticity, Effective marginal tax rates (EMTRs) and effective average tax rates (EATRs)).</w:t>
            </w:r>
          </w:p>
        </w:tc>
      </w:tr>
    </w:tbl>
    <w:p w14:paraId="352634AD" w14:textId="6240DF34" w:rsidR="006C7477" w:rsidRPr="00D30847" w:rsidRDefault="00A64E21" w:rsidP="00AD2AD5">
      <w:pPr>
        <w:pStyle w:val="ListParagraph"/>
        <w:numPr>
          <w:ilvl w:val="0"/>
          <w:numId w:val="51"/>
        </w:numPr>
        <w:spacing w:before="360" w:line="240" w:lineRule="auto"/>
        <w:ind w:left="270" w:hanging="270"/>
        <w:rPr>
          <w:rFonts w:cs="Calibri"/>
        </w:rPr>
      </w:pPr>
      <w:r w:rsidRPr="00D30847">
        <w:rPr>
          <w:rFonts w:cs="Calibri"/>
        </w:rPr>
        <w:t>Employees are fully trained for application of revenue forecasting tax models and simulation of changes resulting from policies, as well as estimating tax expenditures.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4504"/>
      </w:tblGrid>
      <w:tr w:rsidR="00F004A4" w:rsidRPr="00D30847" w14:paraId="198FAFE2" w14:textId="77777777" w:rsidTr="006A0F62">
        <w:trPr>
          <w:trHeight w:val="395"/>
        </w:trPr>
        <w:tc>
          <w:tcPr>
            <w:tcW w:w="4140" w:type="dxa"/>
            <w:shd w:val="clear" w:color="auto" w:fill="E8E8E8"/>
          </w:tcPr>
          <w:p w14:paraId="410A5881" w14:textId="6DBFB391" w:rsidR="00F004A4" w:rsidRPr="00D30847" w:rsidRDefault="00F004A4"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A64E21" w:rsidRPr="00D30847">
              <w:rPr>
                <w:rFonts w:eastAsia="Times New Roman" w:cs="Calibri"/>
                <w:b/>
                <w:bCs/>
                <w:i/>
                <w:iCs/>
                <w:color w:val="202124"/>
                <w:sz w:val="20"/>
                <w:szCs w:val="20"/>
                <w:lang w:val="en-GB"/>
              </w:rPr>
              <w:t>3</w:t>
            </w:r>
          </w:p>
        </w:tc>
        <w:tc>
          <w:tcPr>
            <w:tcW w:w="4608" w:type="dxa"/>
            <w:shd w:val="clear" w:color="auto" w:fill="E8E8E8"/>
          </w:tcPr>
          <w:p w14:paraId="44F22C06" w14:textId="6E58AE2B" w:rsidR="00F004A4" w:rsidRPr="00D30847" w:rsidRDefault="00F004A4"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A64E21" w:rsidRPr="00D30847">
              <w:rPr>
                <w:rFonts w:eastAsia="Times New Roman" w:cs="Calibri"/>
                <w:b/>
                <w:bCs/>
                <w:i/>
                <w:iCs/>
                <w:color w:val="202124"/>
                <w:sz w:val="20"/>
                <w:szCs w:val="20"/>
                <w:lang w:val="en-GB"/>
              </w:rPr>
              <w:t>8</w:t>
            </w:r>
          </w:p>
        </w:tc>
      </w:tr>
      <w:tr w:rsidR="00F004A4" w:rsidRPr="00D30847" w14:paraId="3EB40EDA" w14:textId="77777777" w:rsidTr="006A0F62">
        <w:trPr>
          <w:trHeight w:val="278"/>
        </w:trPr>
        <w:tc>
          <w:tcPr>
            <w:tcW w:w="4140" w:type="dxa"/>
            <w:shd w:val="clear" w:color="auto" w:fill="E8E8E8"/>
          </w:tcPr>
          <w:p w14:paraId="385B3271" w14:textId="3E14421D" w:rsidR="00F004A4" w:rsidRPr="00D30847" w:rsidRDefault="00A64E21"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5 trainings performed</w:t>
            </w:r>
          </w:p>
        </w:tc>
        <w:tc>
          <w:tcPr>
            <w:tcW w:w="4608" w:type="dxa"/>
            <w:shd w:val="clear" w:color="auto" w:fill="E8E8E8"/>
          </w:tcPr>
          <w:p w14:paraId="1DAADB84" w14:textId="27E489F5" w:rsidR="00F004A4" w:rsidRPr="00D30847" w:rsidRDefault="00A64E21"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Continuous improvement of  employees  capacities through realization of regular annual trainings.</w:t>
            </w:r>
          </w:p>
        </w:tc>
      </w:tr>
    </w:tbl>
    <w:p w14:paraId="1CAA8801" w14:textId="058D4942" w:rsidR="00126734" w:rsidRPr="00D30847" w:rsidRDefault="00A64E21" w:rsidP="00AD2AD5">
      <w:pPr>
        <w:pStyle w:val="ListParagraph"/>
        <w:numPr>
          <w:ilvl w:val="0"/>
          <w:numId w:val="51"/>
        </w:numPr>
        <w:spacing w:before="360" w:line="240" w:lineRule="auto"/>
        <w:ind w:left="180" w:hanging="270"/>
        <w:rPr>
          <w:rFonts w:cs="Calibri"/>
        </w:rPr>
      </w:pPr>
      <w:r w:rsidRPr="00D30847">
        <w:rPr>
          <w:rFonts w:cs="Calibri"/>
        </w:rPr>
        <w:t>Tax models are complemented with modules for tax expenditures costing and a Power BI tool is installed and utilized for revenue monitoring and analysis.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4501"/>
      </w:tblGrid>
      <w:tr w:rsidR="00F004A4" w:rsidRPr="00D30847" w14:paraId="1D54B747" w14:textId="77777777" w:rsidTr="006A0F62">
        <w:trPr>
          <w:trHeight w:val="395"/>
        </w:trPr>
        <w:tc>
          <w:tcPr>
            <w:tcW w:w="4140" w:type="dxa"/>
            <w:shd w:val="clear" w:color="auto" w:fill="E8E8E8"/>
          </w:tcPr>
          <w:p w14:paraId="55305ACA" w14:textId="184026DF" w:rsidR="00F004A4" w:rsidRPr="00D30847" w:rsidRDefault="00F004A4"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A64E21" w:rsidRPr="00D30847">
              <w:rPr>
                <w:rFonts w:eastAsia="Times New Roman" w:cs="Calibri"/>
                <w:b/>
                <w:bCs/>
                <w:i/>
                <w:iCs/>
                <w:color w:val="202124"/>
                <w:sz w:val="20"/>
                <w:szCs w:val="20"/>
                <w:lang w:val="en-GB"/>
              </w:rPr>
              <w:t>3</w:t>
            </w:r>
          </w:p>
        </w:tc>
        <w:tc>
          <w:tcPr>
            <w:tcW w:w="4608" w:type="dxa"/>
            <w:shd w:val="clear" w:color="auto" w:fill="E8E8E8"/>
          </w:tcPr>
          <w:p w14:paraId="3B17DBB6" w14:textId="701FEDD5" w:rsidR="00F004A4" w:rsidRPr="00D30847" w:rsidRDefault="00F004A4"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A64E21" w:rsidRPr="00D30847">
              <w:rPr>
                <w:rFonts w:eastAsia="Times New Roman" w:cs="Calibri"/>
                <w:b/>
                <w:bCs/>
                <w:i/>
                <w:iCs/>
                <w:color w:val="202124"/>
                <w:sz w:val="20"/>
                <w:szCs w:val="20"/>
                <w:lang w:val="en-GB"/>
              </w:rPr>
              <w:t>8</w:t>
            </w:r>
          </w:p>
        </w:tc>
      </w:tr>
      <w:tr w:rsidR="00F004A4" w:rsidRPr="00D30847" w14:paraId="2F89D4E5" w14:textId="77777777" w:rsidTr="006A0F62">
        <w:trPr>
          <w:trHeight w:val="278"/>
        </w:trPr>
        <w:tc>
          <w:tcPr>
            <w:tcW w:w="4140" w:type="dxa"/>
            <w:shd w:val="clear" w:color="auto" w:fill="E8E8E8"/>
          </w:tcPr>
          <w:p w14:paraId="5607D052" w14:textId="059C755B" w:rsidR="00F004A4" w:rsidRPr="00D30847" w:rsidRDefault="0045213E"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1</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tax</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model</w:t>
            </w:r>
            <w:r w:rsidR="006C7477" w:rsidRPr="00D30847">
              <w:rPr>
                <w:rFonts w:eastAsia="Times New Roman" w:cs="Calibri"/>
                <w:color w:val="202124"/>
                <w:sz w:val="20"/>
                <w:szCs w:val="20"/>
                <w:lang w:val="en-GB"/>
              </w:rPr>
              <w:t xml:space="preserve"> </w:t>
            </w:r>
            <w:r w:rsidRPr="00D30847">
              <w:rPr>
                <w:rFonts w:cs="Calibri"/>
                <w:sz w:val="20"/>
                <w:szCs w:val="20"/>
                <w:lang w:val="en-GB"/>
              </w:rPr>
              <w:t>for</w:t>
            </w:r>
            <w:r w:rsidR="006C7477" w:rsidRPr="00D30847">
              <w:rPr>
                <w:rFonts w:cs="Calibri"/>
                <w:sz w:val="20"/>
                <w:szCs w:val="20"/>
                <w:lang w:val="en-GB"/>
              </w:rPr>
              <w:t xml:space="preserve"> </w:t>
            </w:r>
            <w:r w:rsidRPr="00D30847">
              <w:rPr>
                <w:rFonts w:cs="Calibri"/>
                <w:sz w:val="20"/>
                <w:szCs w:val="20"/>
                <w:lang w:val="en-GB"/>
              </w:rPr>
              <w:t>revenue</w:t>
            </w:r>
            <w:r w:rsidR="006C7477" w:rsidRPr="00D30847">
              <w:rPr>
                <w:rFonts w:cs="Calibri"/>
                <w:sz w:val="20"/>
                <w:szCs w:val="20"/>
                <w:lang w:val="en-GB"/>
              </w:rPr>
              <w:t xml:space="preserve"> </w:t>
            </w:r>
            <w:r w:rsidRPr="00D30847">
              <w:rPr>
                <w:rFonts w:cs="Calibri"/>
                <w:sz w:val="20"/>
                <w:szCs w:val="20"/>
                <w:lang w:val="en-GB"/>
              </w:rPr>
              <w:t>forecasting is</w:t>
            </w:r>
            <w:r w:rsidR="006C7477" w:rsidRPr="00D30847">
              <w:rPr>
                <w:rFonts w:cs="Calibri"/>
                <w:sz w:val="20"/>
                <w:szCs w:val="20"/>
                <w:lang w:val="en-GB"/>
              </w:rPr>
              <w:t xml:space="preserve"> </w:t>
            </w:r>
            <w:r w:rsidRPr="00D30847">
              <w:rPr>
                <w:rFonts w:eastAsia="Times New Roman" w:cs="Calibri"/>
                <w:color w:val="202124"/>
                <w:sz w:val="20"/>
                <w:szCs w:val="20"/>
                <w:lang w:val="en-GB"/>
              </w:rPr>
              <w:t>implemented</w:t>
            </w:r>
          </w:p>
        </w:tc>
        <w:tc>
          <w:tcPr>
            <w:tcW w:w="4608" w:type="dxa"/>
            <w:shd w:val="clear" w:color="auto" w:fill="E8E8E8"/>
          </w:tcPr>
          <w:p w14:paraId="04CFB61B" w14:textId="16646011" w:rsidR="00F004A4" w:rsidRPr="00D30847" w:rsidRDefault="0045213E"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All tax</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models are</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fully</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implemented, with new</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extensions</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with</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new</w:t>
            </w:r>
            <w:r w:rsidR="006C74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modules</w:t>
            </w:r>
          </w:p>
        </w:tc>
      </w:tr>
    </w:tbl>
    <w:p w14:paraId="55B919AD" w14:textId="1726C502" w:rsidR="00D91B99" w:rsidRPr="00D30847" w:rsidRDefault="00D91B99" w:rsidP="00126734">
      <w:pPr>
        <w:spacing w:before="360" w:line="240" w:lineRule="auto"/>
        <w:jc w:val="both"/>
        <w:rPr>
          <w:rFonts w:cs="Calibri"/>
          <w:b/>
          <w:color w:val="0070C0"/>
          <w:sz w:val="24"/>
          <w:szCs w:val="24"/>
          <w:lang w:val="en-GB"/>
        </w:rPr>
      </w:pPr>
      <w:r w:rsidRPr="00D30847">
        <w:rPr>
          <w:rFonts w:cs="Calibri"/>
          <w:b/>
          <w:color w:val="0070C0"/>
          <w:sz w:val="24"/>
          <w:szCs w:val="24"/>
          <w:lang w:val="en-GB"/>
        </w:rPr>
        <w:t>Measure 1:</w:t>
      </w:r>
      <w:r w:rsidR="00E924AD" w:rsidRPr="00D30847">
        <w:rPr>
          <w:rFonts w:cs="Calibri"/>
          <w:b/>
          <w:color w:val="0070C0"/>
          <w:sz w:val="24"/>
          <w:szCs w:val="24"/>
          <w:lang w:val="en-GB"/>
        </w:rPr>
        <w:t xml:space="preserve"> </w:t>
      </w:r>
      <w:r w:rsidR="00A64E21" w:rsidRPr="00D30847">
        <w:rPr>
          <w:rFonts w:cs="Calibri"/>
          <w:b/>
          <w:color w:val="0070C0"/>
          <w:sz w:val="24"/>
          <w:szCs w:val="24"/>
          <w:lang w:val="en-GB"/>
        </w:rPr>
        <w:t>Improved reporting on tax expenditures and other tax indicators</w:t>
      </w:r>
    </w:p>
    <w:p w14:paraId="391ADC70" w14:textId="77777777" w:rsidR="00D91B99" w:rsidRPr="00D30847" w:rsidRDefault="00D91B99" w:rsidP="008B435E">
      <w:pPr>
        <w:spacing w:before="240"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2CF075B5" w14:textId="1BAF8530" w:rsidR="007B2731" w:rsidRPr="00D30847" w:rsidRDefault="00A64E21" w:rsidP="008B435E">
      <w:pPr>
        <w:spacing w:before="240" w:line="240" w:lineRule="auto"/>
        <w:jc w:val="both"/>
        <w:rPr>
          <w:rFonts w:cs="Calibri"/>
          <w:lang w:val="en-GB"/>
        </w:rPr>
      </w:pPr>
      <w:r w:rsidRPr="00D30847">
        <w:rPr>
          <w:rFonts w:cs="Calibri"/>
          <w:lang w:val="en-GB"/>
        </w:rPr>
        <w:t xml:space="preserve">The objective is to improve the determination, calculation and timely reporting of tax expenditures and other tax indicators </w:t>
      </w:r>
      <w:r w:rsidR="008F391C" w:rsidRPr="00D30847">
        <w:rPr>
          <w:rFonts w:cs="Calibri"/>
          <w:lang w:val="en-GB"/>
        </w:rPr>
        <w:t>in order</w:t>
      </w:r>
      <w:r w:rsidRPr="00D30847">
        <w:rPr>
          <w:rFonts w:cs="Calibri"/>
          <w:lang w:val="en-GB"/>
        </w:rPr>
        <w:t xml:space="preserve"> to increase fiscal transparency and reporting in the country, as well as tax policy evidence</w:t>
      </w:r>
      <w:r w:rsidR="00011F31" w:rsidRPr="00D30847">
        <w:rPr>
          <w:rFonts w:cs="Calibri"/>
          <w:lang w:val="en-GB"/>
        </w:rPr>
        <w:t>-</w:t>
      </w:r>
      <w:r w:rsidRPr="00D30847">
        <w:rPr>
          <w:rFonts w:cs="Calibri"/>
          <w:lang w:val="en-GB"/>
        </w:rPr>
        <w:t>based decisions.</w:t>
      </w:r>
    </w:p>
    <w:p w14:paraId="272C1CF8" w14:textId="32ADFE9A" w:rsidR="00D91B99" w:rsidRPr="00D30847" w:rsidRDefault="00D91B99" w:rsidP="00EC072E">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Reference to the external assessment findings:</w:t>
      </w:r>
    </w:p>
    <w:tbl>
      <w:tblP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536"/>
        <w:gridCol w:w="8176"/>
      </w:tblGrid>
      <w:tr w:rsidR="00D91B99" w:rsidRPr="00D30847" w14:paraId="498C4413" w14:textId="77777777" w:rsidTr="006A0F62">
        <w:tc>
          <w:tcPr>
            <w:tcW w:w="520" w:type="dxa"/>
            <w:shd w:val="clear" w:color="auto" w:fill="DDDDDD"/>
          </w:tcPr>
          <w:p w14:paraId="62602810" w14:textId="77777777" w:rsidR="00D91B99" w:rsidRPr="00D30847" w:rsidRDefault="00D91B99" w:rsidP="00E84CD0">
            <w:pPr>
              <w:spacing w:line="240" w:lineRule="auto"/>
              <w:jc w:val="both"/>
              <w:rPr>
                <w:rFonts w:cs="Calibri"/>
                <w:sz w:val="20"/>
                <w:szCs w:val="20"/>
                <w:lang w:val="en-GB"/>
              </w:rPr>
            </w:pPr>
            <w:r w:rsidRPr="00D30847">
              <w:rPr>
                <w:rFonts w:cs="Calibri"/>
                <w:b/>
                <w:sz w:val="20"/>
                <w:szCs w:val="20"/>
                <w:lang w:val="en-GB"/>
              </w:rPr>
              <w:t>IMF</w:t>
            </w:r>
          </w:p>
        </w:tc>
        <w:tc>
          <w:tcPr>
            <w:tcW w:w="8192" w:type="dxa"/>
            <w:shd w:val="clear" w:color="auto" w:fill="DDDDDD"/>
          </w:tcPr>
          <w:p w14:paraId="1DEDE314" w14:textId="1E25AD7D" w:rsidR="00D91B99" w:rsidRPr="00D30847" w:rsidRDefault="00D91B99" w:rsidP="00E84CD0">
            <w:pPr>
              <w:spacing w:line="240" w:lineRule="auto"/>
              <w:jc w:val="both"/>
              <w:rPr>
                <w:rFonts w:cs="Calibri"/>
                <w:b/>
                <w:sz w:val="20"/>
                <w:szCs w:val="20"/>
                <w:lang w:val="en-GB"/>
              </w:rPr>
            </w:pPr>
            <w:r w:rsidRPr="00D30847">
              <w:rPr>
                <w:rFonts w:cs="Calibri"/>
                <w:b/>
                <w:sz w:val="20"/>
                <w:szCs w:val="20"/>
                <w:lang w:val="en-GB"/>
              </w:rPr>
              <w:t>Fiscal</w:t>
            </w:r>
            <w:r w:rsidR="00C640AE" w:rsidRPr="00D30847">
              <w:rPr>
                <w:rFonts w:cs="Calibri"/>
                <w:b/>
                <w:sz w:val="20"/>
                <w:szCs w:val="20"/>
                <w:lang w:val="en-GB"/>
              </w:rPr>
              <w:t xml:space="preserve"> </w:t>
            </w:r>
            <w:r w:rsidRPr="00D30847">
              <w:rPr>
                <w:rFonts w:cs="Calibri"/>
                <w:b/>
                <w:sz w:val="20"/>
                <w:szCs w:val="20"/>
                <w:lang w:val="en-GB"/>
              </w:rPr>
              <w:t>Transparency</w:t>
            </w:r>
            <w:r w:rsidR="00C640AE" w:rsidRPr="00D30847">
              <w:rPr>
                <w:rFonts w:cs="Calibri"/>
                <w:b/>
                <w:sz w:val="20"/>
                <w:szCs w:val="20"/>
                <w:lang w:val="en-GB"/>
              </w:rPr>
              <w:t xml:space="preserve"> </w:t>
            </w:r>
            <w:r w:rsidRPr="00D30847">
              <w:rPr>
                <w:rFonts w:cs="Calibri"/>
                <w:b/>
                <w:sz w:val="20"/>
                <w:szCs w:val="20"/>
                <w:lang w:val="en-GB"/>
              </w:rPr>
              <w:t>Evaluation (2018)</w:t>
            </w:r>
          </w:p>
          <w:p w14:paraId="79F2C800" w14:textId="77777777" w:rsidR="00C10268" w:rsidRPr="00D30847" w:rsidRDefault="00C10268" w:rsidP="00C10268">
            <w:pPr>
              <w:spacing w:line="240" w:lineRule="auto"/>
              <w:jc w:val="both"/>
              <w:rPr>
                <w:rFonts w:cs="Calibri"/>
                <w:sz w:val="20"/>
                <w:szCs w:val="20"/>
                <w:lang w:val="en-GB"/>
              </w:rPr>
            </w:pPr>
            <w:r w:rsidRPr="00D30847">
              <w:rPr>
                <w:rFonts w:cs="Calibri"/>
                <w:sz w:val="20"/>
                <w:szCs w:val="20"/>
                <w:lang w:val="en-GB"/>
              </w:rPr>
              <w:t>Government does not publish estimates of the revenue loss from tax expenditures. There is no legislative requirement to report revenues foregone from tax expenditures. However, when proposing legislative or regularly amendments, budget users are required to provide estimates of their fiscal implications to the Government. Estimates of individual tax expenditures may also be prepared, on an ex ante and ex post basis, setting out the fiscal implications of different measures, but these are generally not published. Activities envisaged under the PFM Reform Program related to strengthening the forecasting analysis and capacity, will also provide for the development of a more comprehensive reporting on tax expenditures.</w:t>
            </w:r>
          </w:p>
          <w:p w14:paraId="4330FDFA" w14:textId="71EF9F22" w:rsidR="00D91B99" w:rsidRPr="00D30847" w:rsidRDefault="00C10268" w:rsidP="00C10268">
            <w:pPr>
              <w:spacing w:line="240" w:lineRule="auto"/>
              <w:jc w:val="both"/>
              <w:rPr>
                <w:rFonts w:cs="Calibri"/>
                <w:sz w:val="20"/>
                <w:szCs w:val="20"/>
                <w:lang w:val="en-GB"/>
              </w:rPr>
            </w:pPr>
            <w:r w:rsidRPr="00D30847">
              <w:rPr>
                <w:rFonts w:cs="Calibri"/>
                <w:sz w:val="20"/>
                <w:szCs w:val="20"/>
                <w:lang w:val="en-GB"/>
              </w:rPr>
              <w:t>Based on these findings, the evaluation provides several recommendations to enhance fiscal transparency in North Macedonia. Specifically, it recommends that the authorities publish regular information on estimates of revenues forgone from tax expenditures</w:t>
            </w:r>
          </w:p>
        </w:tc>
      </w:tr>
      <w:tr w:rsidR="00D91B99" w:rsidRPr="00D30847" w14:paraId="11F750F7" w14:textId="77777777" w:rsidTr="006A0F62">
        <w:tc>
          <w:tcPr>
            <w:tcW w:w="520" w:type="dxa"/>
            <w:shd w:val="clear" w:color="auto" w:fill="DDDDDD"/>
          </w:tcPr>
          <w:p w14:paraId="251C6818" w14:textId="77777777" w:rsidR="00D91B99" w:rsidRPr="00D30847" w:rsidRDefault="00D91B99" w:rsidP="00E84CD0">
            <w:pPr>
              <w:spacing w:line="240" w:lineRule="auto"/>
              <w:jc w:val="both"/>
              <w:rPr>
                <w:rFonts w:cs="Calibri"/>
                <w:b/>
                <w:sz w:val="20"/>
                <w:szCs w:val="20"/>
                <w:lang w:val="en-GB"/>
              </w:rPr>
            </w:pPr>
            <w:r w:rsidRPr="00D30847">
              <w:rPr>
                <w:rFonts w:cs="Calibri"/>
                <w:b/>
                <w:sz w:val="20"/>
                <w:szCs w:val="20"/>
                <w:lang w:val="en-GB"/>
              </w:rPr>
              <w:t>WB</w:t>
            </w:r>
          </w:p>
        </w:tc>
        <w:tc>
          <w:tcPr>
            <w:tcW w:w="8192" w:type="dxa"/>
            <w:shd w:val="clear" w:color="auto" w:fill="DDDDDD"/>
          </w:tcPr>
          <w:p w14:paraId="4DD2165E" w14:textId="4E69E7C5" w:rsidR="00D91B99" w:rsidRPr="00D30847" w:rsidRDefault="00D91B99" w:rsidP="00E84CD0">
            <w:pPr>
              <w:spacing w:line="240" w:lineRule="auto"/>
              <w:jc w:val="both"/>
              <w:rPr>
                <w:rFonts w:cs="Calibri"/>
                <w:b/>
                <w:sz w:val="20"/>
                <w:szCs w:val="20"/>
                <w:lang w:val="en-GB"/>
              </w:rPr>
            </w:pPr>
            <w:r w:rsidRPr="00D30847">
              <w:rPr>
                <w:rFonts w:cs="Calibri"/>
                <w:b/>
                <w:sz w:val="20"/>
                <w:szCs w:val="20"/>
                <w:lang w:val="en-GB"/>
              </w:rPr>
              <w:t>Public</w:t>
            </w:r>
            <w:r w:rsidR="00FB6C92" w:rsidRPr="00D30847">
              <w:rPr>
                <w:rFonts w:cs="Calibri"/>
                <w:b/>
                <w:sz w:val="20"/>
                <w:szCs w:val="20"/>
                <w:lang w:val="en-GB"/>
              </w:rPr>
              <w:t xml:space="preserve"> </w:t>
            </w:r>
            <w:r w:rsidRPr="00D30847">
              <w:rPr>
                <w:rFonts w:cs="Calibri"/>
                <w:b/>
                <w:sz w:val="20"/>
                <w:szCs w:val="20"/>
                <w:lang w:val="en-GB"/>
              </w:rPr>
              <w:t>Finance</w:t>
            </w:r>
            <w:r w:rsidR="00FB6C92" w:rsidRPr="00D30847">
              <w:rPr>
                <w:rFonts w:cs="Calibri"/>
                <w:b/>
                <w:sz w:val="20"/>
                <w:szCs w:val="20"/>
                <w:lang w:val="en-GB"/>
              </w:rPr>
              <w:t xml:space="preserve"> </w:t>
            </w:r>
            <w:r w:rsidRPr="00D30847">
              <w:rPr>
                <w:rFonts w:cs="Calibri"/>
                <w:b/>
                <w:sz w:val="20"/>
                <w:szCs w:val="20"/>
                <w:lang w:val="en-GB"/>
              </w:rPr>
              <w:t>Review (2018)</w:t>
            </w:r>
          </w:p>
          <w:p w14:paraId="0FB0F017" w14:textId="69C2347E" w:rsidR="00D91B99" w:rsidRPr="00D30847" w:rsidRDefault="00C10268" w:rsidP="00E84CD0">
            <w:pPr>
              <w:spacing w:line="240" w:lineRule="auto"/>
              <w:jc w:val="both"/>
              <w:rPr>
                <w:rFonts w:cs="Calibri"/>
                <w:sz w:val="18"/>
                <w:szCs w:val="18"/>
                <w:lang w:val="en-GB"/>
              </w:rPr>
            </w:pPr>
            <w:r w:rsidRPr="00D30847">
              <w:rPr>
                <w:rFonts w:cs="Calibri"/>
                <w:sz w:val="20"/>
                <w:szCs w:val="20"/>
                <w:lang w:val="en-GB"/>
              </w:rPr>
              <w:t xml:space="preserve">Although not currently considered by </w:t>
            </w:r>
            <w:r w:rsidR="008F391C" w:rsidRPr="00D30847">
              <w:rPr>
                <w:rFonts w:cs="Calibri"/>
                <w:sz w:val="20"/>
                <w:szCs w:val="20"/>
                <w:lang w:val="en-GB"/>
              </w:rPr>
              <w:t>the Government</w:t>
            </w:r>
            <w:r w:rsidRPr="00D30847">
              <w:rPr>
                <w:rFonts w:cs="Calibri"/>
                <w:sz w:val="20"/>
                <w:szCs w:val="20"/>
                <w:lang w:val="en-GB"/>
              </w:rPr>
              <w:t xml:space="preserve">, North Macedonia could increase VAT revenue collection  by expanding the base (moving towards a single-rate VAT) and improving </w:t>
            </w:r>
            <w:r w:rsidRPr="00D30847">
              <w:rPr>
                <w:rFonts w:cs="Calibri"/>
                <w:sz w:val="20"/>
                <w:szCs w:val="20"/>
                <w:lang w:val="en-GB"/>
              </w:rPr>
              <w:lastRenderedPageBreak/>
              <w:t>compliance. The VAT revenue ratio or C-efficiency ratio for North Macedonia hovers at around 0.6, being low compared to Western Balkans peers. This indicates a loss in revenue through policy measures such as exemptions and reduced rates, as well as loss in revenue due to tax avoidance and evasion. Around 36 percent of the consumption basket is taxed at the standard 18% VAT rate. The remainder is taxed at a reduced 5% rate or input taxed (exempt without the right to deduct the VAT that has been paid on purchases). Applying a mix of standard and reduced rates creates opportunities for abuse, as sellers can classify goods and services as qualifying for the reduced rate when they should be subject to the standard rate. On the other hand, a broad-based VAT improves economic efficiency and administrative efficiency</w:t>
            </w:r>
          </w:p>
        </w:tc>
      </w:tr>
      <w:tr w:rsidR="00D91B99" w:rsidRPr="00D30847" w14:paraId="2C2DDA47" w14:textId="77777777" w:rsidTr="006A0F62">
        <w:tc>
          <w:tcPr>
            <w:tcW w:w="520" w:type="dxa"/>
            <w:shd w:val="clear" w:color="auto" w:fill="DDDDDD"/>
          </w:tcPr>
          <w:p w14:paraId="57E9C675" w14:textId="77777777" w:rsidR="00D91B99" w:rsidRPr="00D30847" w:rsidRDefault="00D91B99" w:rsidP="00E84CD0">
            <w:pPr>
              <w:spacing w:line="240" w:lineRule="auto"/>
              <w:jc w:val="both"/>
              <w:rPr>
                <w:rFonts w:cs="Calibri"/>
                <w:sz w:val="20"/>
                <w:szCs w:val="20"/>
                <w:lang w:val="en-GB"/>
              </w:rPr>
            </w:pPr>
            <w:r w:rsidRPr="00D30847">
              <w:rPr>
                <w:rFonts w:cs="Calibri"/>
                <w:b/>
                <w:sz w:val="20"/>
                <w:szCs w:val="20"/>
                <w:lang w:val="en-GB"/>
              </w:rPr>
              <w:lastRenderedPageBreak/>
              <w:t>IMF</w:t>
            </w:r>
          </w:p>
        </w:tc>
        <w:tc>
          <w:tcPr>
            <w:tcW w:w="8192" w:type="dxa"/>
            <w:shd w:val="clear" w:color="auto" w:fill="DDDDDD"/>
          </w:tcPr>
          <w:p w14:paraId="7848112B" w14:textId="77777777" w:rsidR="00C10268" w:rsidRPr="00D30847" w:rsidRDefault="00C10268" w:rsidP="00C10268">
            <w:pPr>
              <w:spacing w:line="240" w:lineRule="auto"/>
              <w:jc w:val="both"/>
              <w:rPr>
                <w:rFonts w:cs="Calibri"/>
                <w:b/>
                <w:sz w:val="20"/>
                <w:szCs w:val="20"/>
                <w:lang w:val="en-GB"/>
              </w:rPr>
            </w:pPr>
            <w:r w:rsidRPr="00D30847">
              <w:rPr>
                <w:rFonts w:cs="Calibri"/>
                <w:b/>
                <w:sz w:val="20"/>
                <w:szCs w:val="20"/>
                <w:lang w:val="en-GB"/>
              </w:rPr>
              <w:t>Article IV Consultation with the Republic of North Macedonia: IMF 2019/2020</w:t>
            </w:r>
          </w:p>
          <w:p w14:paraId="7FC78DF6" w14:textId="77777777" w:rsidR="00C10268" w:rsidRPr="00D30847" w:rsidRDefault="00C10268" w:rsidP="00C10268">
            <w:pPr>
              <w:spacing w:line="240" w:lineRule="auto"/>
              <w:jc w:val="both"/>
              <w:rPr>
                <w:rFonts w:cs="Calibri"/>
                <w:sz w:val="20"/>
                <w:szCs w:val="20"/>
                <w:lang w:val="en-GB"/>
              </w:rPr>
            </w:pPr>
            <w:r w:rsidRPr="00D30847">
              <w:rPr>
                <w:rFonts w:cs="Calibri"/>
                <w:sz w:val="20"/>
                <w:szCs w:val="20"/>
                <w:lang w:val="en-GB"/>
              </w:rPr>
              <w:t xml:space="preserve">Key Policy Recommendations </w:t>
            </w:r>
          </w:p>
          <w:p w14:paraId="3D13659C" w14:textId="259E1393" w:rsidR="00D91B99" w:rsidRPr="00D30847" w:rsidRDefault="00C10268" w:rsidP="00C10268">
            <w:pPr>
              <w:spacing w:line="240" w:lineRule="auto"/>
              <w:jc w:val="both"/>
              <w:rPr>
                <w:rFonts w:cs="Calibri"/>
                <w:sz w:val="20"/>
                <w:szCs w:val="20"/>
                <w:lang w:val="en-GB"/>
              </w:rPr>
            </w:pPr>
            <w:r w:rsidRPr="00D30847">
              <w:rPr>
                <w:rFonts w:cs="Calibri"/>
                <w:sz w:val="20"/>
                <w:szCs w:val="20"/>
                <w:lang w:val="en-GB"/>
              </w:rPr>
              <w:t>Fiscal Policies. To increase the fiscal policy space and allow higher capital spending to meet infrastructure needs, staff recommends gradually reducing current spending and strengthening the revenue base. On the expenditure side, this should include full implementation of the pension reform and rationalizing of the agricultural subsidies. On the revenue side, additional resources can be mobilized  through higher tax efficiency, in particular for VAT.</w:t>
            </w:r>
          </w:p>
        </w:tc>
      </w:tr>
    </w:tbl>
    <w:p w14:paraId="761BB001" w14:textId="77777777" w:rsidR="00D91B99" w:rsidRPr="00D30847" w:rsidRDefault="00D91B99" w:rsidP="00E84CD0">
      <w:pPr>
        <w:spacing w:line="240" w:lineRule="auto"/>
        <w:jc w:val="both"/>
        <w:rPr>
          <w:rFonts w:eastAsia="MS PGothic" w:cs="Calibri"/>
          <w:b/>
          <w:bCs/>
          <w:i/>
          <w:iCs/>
          <w:color w:val="4F81BD"/>
          <w:lang w:val="en-GB" w:eastAsia="zh-CN"/>
        </w:rPr>
      </w:pPr>
    </w:p>
    <w:p w14:paraId="1F3C0AE1" w14:textId="77777777" w:rsidR="00D91B99" w:rsidRPr="00D30847" w:rsidRDefault="00D91B99" w:rsidP="008B435E">
      <w:pPr>
        <w:spacing w:before="240"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Context/Background</w:t>
      </w:r>
    </w:p>
    <w:p w14:paraId="70959E3B" w14:textId="4B33900E" w:rsidR="00C10268" w:rsidRPr="00D30847" w:rsidRDefault="00C10268" w:rsidP="008B435E">
      <w:pPr>
        <w:spacing w:before="240" w:line="240" w:lineRule="auto"/>
        <w:jc w:val="both"/>
        <w:rPr>
          <w:rFonts w:cs="Calibri"/>
          <w:lang w:val="en-GB"/>
        </w:rPr>
      </w:pPr>
      <w:r w:rsidRPr="00D30847">
        <w:rPr>
          <w:rFonts w:cs="Calibri"/>
          <w:lang w:val="en-GB"/>
        </w:rPr>
        <w:t xml:space="preserve">Estimating and reporting on tax expenditures on a regular annual basis is a practice in the European countries. According to the Directive on Requirements for Budgetary Frameworks (2011/85/EU), Member States have an obligation to provide reports on tax expenditures and their impact on revenue. Such an obligation has been instigated in North Macedonia with the </w:t>
      </w:r>
      <w:r w:rsidR="008F391C" w:rsidRPr="00D30847">
        <w:rPr>
          <w:rFonts w:cs="Calibri"/>
          <w:lang w:val="en-GB"/>
        </w:rPr>
        <w:t>new Organic</w:t>
      </w:r>
      <w:r w:rsidRPr="00D30847">
        <w:rPr>
          <w:rFonts w:cs="Calibri"/>
          <w:lang w:val="en-GB"/>
        </w:rPr>
        <w:t xml:space="preserve"> Budget Law (2022), whereby Ministry of Finance is </w:t>
      </w:r>
      <w:r w:rsidR="008429BC" w:rsidRPr="00D30847">
        <w:rPr>
          <w:rFonts w:cs="Calibri"/>
          <w:lang w:val="en-GB"/>
        </w:rPr>
        <w:t xml:space="preserve">to </w:t>
      </w:r>
      <w:r w:rsidRPr="00D30847">
        <w:rPr>
          <w:rFonts w:cs="Calibri"/>
          <w:lang w:val="en-GB"/>
        </w:rPr>
        <w:t>be required to prepare a report on the impact of tax expenditures on revenues. This Report will be submitted to the Parliament of the Republic of North Macedonia on annual basis, as an integral</w:t>
      </w:r>
      <w:r w:rsidR="00944D78" w:rsidRPr="00D30847">
        <w:rPr>
          <w:rFonts w:cs="Calibri"/>
          <w:lang w:val="en-GB"/>
        </w:rPr>
        <w:t xml:space="preserve"> </w:t>
      </w:r>
      <w:r w:rsidR="009A75CA" w:rsidRPr="00D30847">
        <w:rPr>
          <w:rFonts w:cs="Calibri"/>
          <w:lang w:val="en-GB"/>
        </w:rPr>
        <w:t>part of the</w:t>
      </w:r>
      <w:r w:rsidRPr="00D30847">
        <w:rPr>
          <w:rFonts w:cs="Calibri"/>
          <w:lang w:val="en-GB"/>
        </w:rPr>
        <w:t xml:space="preserve"> Final Account for the execution of the State Budget for the previous budget year. Initial tax expenditure report has been prepared in 2021 with a support of the Twinning Project "Improving Revenue Collection and Tax </w:t>
      </w:r>
      <w:r w:rsidR="008F391C" w:rsidRPr="00D30847">
        <w:rPr>
          <w:rFonts w:cs="Calibri"/>
          <w:lang w:val="en-GB"/>
        </w:rPr>
        <w:t>and</w:t>
      </w:r>
      <w:r w:rsidRPr="00D30847">
        <w:rPr>
          <w:rFonts w:cs="Calibri"/>
          <w:lang w:val="en-GB"/>
        </w:rPr>
        <w:t xml:space="preserve"> Customs Policy". Nevertheless, as stipulated with the new OBL, tax expenditures reporting should be performed regularly, on an annual basis.  In addition, there is a need ex</w:t>
      </w:r>
      <w:r w:rsidR="00944D78" w:rsidRPr="00D30847">
        <w:rPr>
          <w:rFonts w:cs="Calibri"/>
          <w:lang w:val="en-GB"/>
        </w:rPr>
        <w:t>tend the scope of tax reporting</w:t>
      </w:r>
      <w:r w:rsidRPr="00D30847">
        <w:rPr>
          <w:rFonts w:cs="Calibri"/>
          <w:lang w:val="en-GB"/>
        </w:rPr>
        <w:t xml:space="preserve"> with other type of reports in accordance with the EU best practices. The preparation of the tax reports, as also the process of revenue forecasting and simulating policy changes is conditioned on a timely exchange of comprehensive data by the tax and customs administration and other relevant institutions with the Ministry of Finance Such data exchange needs to be buil</w:t>
      </w:r>
      <w:r w:rsidR="00813B04" w:rsidRPr="00D30847">
        <w:rPr>
          <w:rFonts w:cs="Calibri"/>
          <w:lang w:val="en-GB"/>
        </w:rPr>
        <w:t>t</w:t>
      </w:r>
      <w:r w:rsidRPr="00D30847">
        <w:rPr>
          <w:rFonts w:cs="Calibri"/>
          <w:lang w:val="en-GB"/>
        </w:rPr>
        <w:t xml:space="preserve"> on a systemic basis, through appropriate data sharing protocols.</w:t>
      </w:r>
    </w:p>
    <w:p w14:paraId="6D59A7A5" w14:textId="4B3D4C7D" w:rsidR="007B2731" w:rsidRPr="00D30847" w:rsidRDefault="00126734" w:rsidP="008B435E">
      <w:pPr>
        <w:spacing w:before="240" w:line="240" w:lineRule="auto"/>
        <w:jc w:val="both"/>
        <w:rPr>
          <w:rFonts w:eastAsia="MS PGothic" w:cs="Calibri"/>
          <w:b/>
          <w:bCs/>
          <w:iCs/>
          <w:color w:val="4F81BD"/>
          <w:lang w:val="en-GB" w:eastAsia="zh-CN"/>
        </w:rPr>
      </w:pPr>
      <w:r w:rsidRPr="00D30847">
        <w:rPr>
          <w:rFonts w:eastAsia="MS PGothic" w:cs="Calibri"/>
          <w:b/>
          <w:bCs/>
          <w:iCs/>
          <w:color w:val="4F81BD"/>
          <w:lang w:val="en-GB" w:eastAsia="zh-CN"/>
        </w:rPr>
        <w:t xml:space="preserve">Activity 1: </w:t>
      </w:r>
      <w:r w:rsidR="003B24B7" w:rsidRPr="00D30847">
        <w:rPr>
          <w:rFonts w:eastAsia="MS PGothic" w:cs="Calibri"/>
          <w:b/>
          <w:bCs/>
          <w:iCs/>
          <w:color w:val="4F81BD"/>
          <w:lang w:val="en-GB" w:eastAsia="zh-CN"/>
        </w:rPr>
        <w:t>Establishing an effective and efficient mechanism for data exchange between relevant institutions and the Ministry of Finance</w:t>
      </w:r>
    </w:p>
    <w:p w14:paraId="692C7547" w14:textId="7955D858" w:rsidR="00C10268" w:rsidRPr="00D30847" w:rsidRDefault="00C10268" w:rsidP="008B435E">
      <w:pPr>
        <w:spacing w:before="240" w:line="240" w:lineRule="auto"/>
        <w:jc w:val="both"/>
        <w:rPr>
          <w:rFonts w:cs="Calibri"/>
          <w:lang w:val="en-GB"/>
        </w:rPr>
      </w:pPr>
      <w:r w:rsidRPr="00D30847">
        <w:rPr>
          <w:rFonts w:cs="Calibri"/>
          <w:lang w:val="en-GB"/>
        </w:rPr>
        <w:t>Having data is crucial for performing sound economic and fiscal analysis of the tax policy proposals, revenue forecasting, monitoring and analysis of any deviations in revenue mobilization, and for producing quality tax reports. Therefore, putting in place a systemic arrangement to ensure timely exchange of comprehensive tax data by relevant institutions is the Ministry of Finance’s priority.  Signing and continuous update of tax data sharing protocols/</w:t>
      </w:r>
      <w:proofErr w:type="spellStart"/>
      <w:r w:rsidRPr="00D30847">
        <w:rPr>
          <w:rFonts w:cs="Calibri"/>
          <w:lang w:val="en-GB"/>
        </w:rPr>
        <w:t>MoUs</w:t>
      </w:r>
      <w:proofErr w:type="spellEnd"/>
      <w:r w:rsidRPr="00D30847">
        <w:rPr>
          <w:rFonts w:cs="Calibri"/>
          <w:lang w:val="en-GB"/>
        </w:rPr>
        <w:t xml:space="preserve"> between the </w:t>
      </w:r>
      <w:proofErr w:type="spellStart"/>
      <w:r w:rsidRPr="00D30847">
        <w:rPr>
          <w:rFonts w:cs="Calibri"/>
          <w:lang w:val="en-GB"/>
        </w:rPr>
        <w:t>MoF</w:t>
      </w:r>
      <w:proofErr w:type="spellEnd"/>
      <w:r w:rsidRPr="00D30847">
        <w:rPr>
          <w:rFonts w:cs="Calibri"/>
          <w:lang w:val="en-GB"/>
        </w:rPr>
        <w:t xml:space="preserve"> and relevant institutions will formalize a proper mechanism for data exchange.</w:t>
      </w:r>
    </w:p>
    <w:p w14:paraId="796024B7" w14:textId="5317BDD7" w:rsidR="006C2EC1" w:rsidRPr="00D30847" w:rsidRDefault="006C2EC1" w:rsidP="008B435E">
      <w:pPr>
        <w:spacing w:before="240" w:line="240" w:lineRule="auto"/>
        <w:jc w:val="both"/>
        <w:rPr>
          <w:rFonts w:eastAsia="MS PGothic" w:cs="Calibri"/>
          <w:b/>
          <w:bCs/>
          <w:iCs/>
          <w:color w:val="4F81BD"/>
          <w:lang w:val="en-GB" w:eastAsia="zh-CN"/>
        </w:rPr>
      </w:pPr>
      <w:r w:rsidRPr="00D30847">
        <w:rPr>
          <w:rFonts w:eastAsia="MS PGothic" w:cs="Calibri"/>
          <w:b/>
          <w:bCs/>
          <w:iCs/>
          <w:color w:val="4F81BD"/>
          <w:lang w:val="en-GB" w:eastAsia="zh-CN"/>
        </w:rPr>
        <w:t xml:space="preserve">Activity 2: </w:t>
      </w:r>
      <w:r w:rsidR="00A64E21" w:rsidRPr="00D30847">
        <w:rPr>
          <w:rFonts w:eastAsia="MS PGothic" w:cs="Calibri"/>
          <w:b/>
          <w:bCs/>
          <w:iCs/>
          <w:color w:val="4F81BD"/>
          <w:lang w:val="en-GB" w:eastAsia="zh-CN"/>
        </w:rPr>
        <w:t>Preparation of a report on tax expenditures and other tax indicators</w:t>
      </w:r>
    </w:p>
    <w:p w14:paraId="26ADC5DA" w14:textId="77777777" w:rsidR="00A64E21" w:rsidRPr="00D30847" w:rsidRDefault="00A64E21" w:rsidP="008B435E">
      <w:pPr>
        <w:spacing w:before="240" w:line="240" w:lineRule="auto"/>
        <w:jc w:val="both"/>
        <w:rPr>
          <w:rFonts w:cs="Calibri"/>
          <w:lang w:val="en-GB"/>
        </w:rPr>
      </w:pPr>
      <w:r w:rsidRPr="00D30847">
        <w:rPr>
          <w:rFonts w:cs="Calibri"/>
          <w:lang w:val="en-GB"/>
        </w:rPr>
        <w:t xml:space="preserve">Proper estimation of tax expenditures that are embedded in the national tax legislation along with preparation of reports on them on a regular basis is essential in order to provide the public authorities </w:t>
      </w:r>
      <w:r w:rsidRPr="00D30847">
        <w:rPr>
          <w:rFonts w:cs="Calibri"/>
          <w:lang w:val="en-GB"/>
        </w:rPr>
        <w:lastRenderedPageBreak/>
        <w:t>and the general public with qualitative and quantitative data on tax deductions, exemptions, tax benefits, etc.</w:t>
      </w:r>
    </w:p>
    <w:p w14:paraId="738C0B8B" w14:textId="77777777" w:rsidR="00A64E21" w:rsidRPr="00D30847" w:rsidRDefault="00A64E21" w:rsidP="00EC072E">
      <w:pPr>
        <w:spacing w:line="240" w:lineRule="auto"/>
        <w:jc w:val="both"/>
        <w:rPr>
          <w:rFonts w:cs="Calibri"/>
          <w:lang w:val="en-GB"/>
        </w:rPr>
      </w:pPr>
      <w:r w:rsidRPr="00D30847">
        <w:rPr>
          <w:rFonts w:cs="Calibri"/>
          <w:lang w:val="en-GB"/>
        </w:rPr>
        <w:t>Data on tax indicators (VAT GAP, C-efficiency, coefficients of tax buoyancy and tax elasticity, effective marginal tax rates (EMTR) and effective average tax rates (EATR) also need to be taken into account in relation to the effectiveness and efficiency of different tax measures and instruments and their economic effects.</w:t>
      </w:r>
    </w:p>
    <w:p w14:paraId="5EA3BB0C" w14:textId="77777777" w:rsidR="00A64E21" w:rsidRPr="00D30847" w:rsidRDefault="00A64E21" w:rsidP="00A64E21">
      <w:pPr>
        <w:spacing w:line="240" w:lineRule="auto"/>
        <w:jc w:val="both"/>
        <w:rPr>
          <w:rFonts w:cs="Calibri"/>
          <w:lang w:val="en-GB"/>
        </w:rPr>
      </w:pPr>
      <w:r w:rsidRPr="00D30847">
        <w:rPr>
          <w:rFonts w:cs="Calibri"/>
          <w:lang w:val="en-GB"/>
        </w:rPr>
        <w:t>This activity includes the following sub-activities for the preparation of reports on a regular basis for:</w:t>
      </w:r>
    </w:p>
    <w:p w14:paraId="4A4B9666" w14:textId="77777777" w:rsidR="00A64E21" w:rsidRPr="00D30847" w:rsidRDefault="00A64E21" w:rsidP="00A64E21">
      <w:pPr>
        <w:spacing w:line="240" w:lineRule="auto"/>
        <w:jc w:val="both"/>
        <w:rPr>
          <w:rFonts w:cs="Calibri"/>
          <w:lang w:val="en-GB"/>
        </w:rPr>
      </w:pPr>
      <w:r w:rsidRPr="00D30847">
        <w:rPr>
          <w:rFonts w:cs="Calibri"/>
          <w:lang w:val="en-GB"/>
        </w:rPr>
        <w:t>- Tax expenditures report;</w:t>
      </w:r>
    </w:p>
    <w:p w14:paraId="3AC69659" w14:textId="77777777" w:rsidR="007B2731" w:rsidRPr="00D30847" w:rsidRDefault="00A64E21" w:rsidP="00E84CD0">
      <w:pPr>
        <w:spacing w:before="240" w:line="240" w:lineRule="auto"/>
        <w:jc w:val="both"/>
        <w:rPr>
          <w:rFonts w:cs="Calibri"/>
          <w:lang w:val="en-GB"/>
        </w:rPr>
      </w:pPr>
      <w:r w:rsidRPr="00D30847">
        <w:rPr>
          <w:rFonts w:cs="Calibri"/>
          <w:lang w:val="en-GB"/>
        </w:rPr>
        <w:t>- Report on tax indicators (VAT-GAP, C-efficiency, coefficients for tax buoyancy and tax elasticity, Effective Marginal Tax Rates (EMTR) and Effective Average Tax Rates (EATR))</w:t>
      </w:r>
    </w:p>
    <w:p w14:paraId="62D6FC67" w14:textId="1693AFA9" w:rsidR="00D91B99" w:rsidRPr="00D30847" w:rsidRDefault="00D91B99" w:rsidP="00EC072E">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Implementation</w:t>
      </w:r>
    </w:p>
    <w:tbl>
      <w:tblPr>
        <w:tblW w:w="0" w:type="auto"/>
        <w:tblBorders>
          <w:insideH w:val="single" w:sz="4" w:space="0" w:color="FFFFFF"/>
        </w:tblBorders>
        <w:tblLayout w:type="fixed"/>
        <w:tblLook w:val="0080" w:firstRow="0" w:lastRow="0" w:firstColumn="1" w:lastColumn="0" w:noHBand="0" w:noVBand="0"/>
      </w:tblPr>
      <w:tblGrid>
        <w:gridCol w:w="3119"/>
        <w:gridCol w:w="5645"/>
      </w:tblGrid>
      <w:tr w:rsidR="00D91B99" w:rsidRPr="00D30847" w14:paraId="604FF66D" w14:textId="77777777" w:rsidTr="00A64926">
        <w:tc>
          <w:tcPr>
            <w:tcW w:w="3119" w:type="dxa"/>
            <w:tcBorders>
              <w:top w:val="nil"/>
              <w:bottom w:val="single" w:sz="4" w:space="0" w:color="FFFFFF"/>
            </w:tcBorders>
            <w:shd w:val="clear" w:color="auto" w:fill="002060"/>
          </w:tcPr>
          <w:p w14:paraId="6C9DF446" w14:textId="4B0402B7" w:rsidR="00D91B99" w:rsidRPr="00D30847" w:rsidRDefault="00D91B99" w:rsidP="00EC072E">
            <w:pPr>
              <w:spacing w:line="240" w:lineRule="auto"/>
              <w:jc w:val="both"/>
              <w:rPr>
                <w:rFonts w:cs="Calibri"/>
                <w:b/>
                <w:color w:val="FFFFFF"/>
                <w:sz w:val="20"/>
                <w:szCs w:val="20"/>
                <w:lang w:val="en-GB"/>
              </w:rPr>
            </w:pPr>
            <w:r w:rsidRPr="00D30847">
              <w:rPr>
                <w:rFonts w:cs="Calibri"/>
                <w:b/>
                <w:color w:val="FFFFFF"/>
                <w:sz w:val="20"/>
                <w:szCs w:val="20"/>
                <w:lang w:val="en-GB"/>
              </w:rPr>
              <w:t>Completed</w:t>
            </w:r>
            <w:r w:rsidR="009F07BB" w:rsidRPr="00D30847">
              <w:rPr>
                <w:rFonts w:cs="Calibri"/>
                <w:b/>
                <w:color w:val="FFFFFF"/>
                <w:sz w:val="20"/>
                <w:szCs w:val="20"/>
                <w:lang w:val="en-GB"/>
              </w:rPr>
              <w:t xml:space="preserve"> </w:t>
            </w:r>
            <w:r w:rsidRPr="00D30847">
              <w:rPr>
                <w:rFonts w:cs="Calibri"/>
                <w:b/>
                <w:color w:val="FFFFFF"/>
                <w:sz w:val="20"/>
                <w:szCs w:val="20"/>
                <w:lang w:val="en-GB"/>
              </w:rPr>
              <w:t>in</w:t>
            </w:r>
            <w:r w:rsidR="009F07BB" w:rsidRPr="00D30847">
              <w:rPr>
                <w:rFonts w:cs="Calibri"/>
                <w:b/>
                <w:color w:val="FFFFFF"/>
                <w:sz w:val="20"/>
                <w:szCs w:val="20"/>
                <w:lang w:val="en-GB"/>
              </w:rPr>
              <w:t xml:space="preserve"> </w:t>
            </w:r>
            <w:r w:rsidRPr="00D30847">
              <w:rPr>
                <w:rFonts w:cs="Calibri"/>
                <w:b/>
                <w:color w:val="FFFFFF"/>
                <w:sz w:val="20"/>
                <w:szCs w:val="20"/>
                <w:lang w:val="en-GB"/>
              </w:rPr>
              <w:t>year:</w:t>
            </w:r>
          </w:p>
        </w:tc>
        <w:tc>
          <w:tcPr>
            <w:tcW w:w="5645" w:type="dxa"/>
            <w:tcBorders>
              <w:top w:val="nil"/>
              <w:bottom w:val="single" w:sz="4" w:space="0" w:color="FFFFFF"/>
            </w:tcBorders>
            <w:shd w:val="clear" w:color="auto" w:fill="D9E2F3"/>
          </w:tcPr>
          <w:p w14:paraId="02B1211D" w14:textId="7C87E76F" w:rsidR="00D91B99" w:rsidRPr="00D30847" w:rsidRDefault="00936202" w:rsidP="00EC072E">
            <w:pPr>
              <w:spacing w:line="240" w:lineRule="auto"/>
              <w:jc w:val="both"/>
              <w:rPr>
                <w:rFonts w:cs="Calibri"/>
                <w:sz w:val="20"/>
                <w:szCs w:val="20"/>
                <w:lang w:val="en-GB"/>
              </w:rPr>
            </w:pPr>
            <w:r w:rsidRPr="00D30847">
              <w:rPr>
                <w:rFonts w:cs="Calibri"/>
                <w:sz w:val="20"/>
                <w:szCs w:val="20"/>
                <w:lang w:val="en-GB"/>
              </w:rPr>
              <w:t>202</w:t>
            </w:r>
            <w:r w:rsidR="00A64E21" w:rsidRPr="00D30847">
              <w:rPr>
                <w:rFonts w:cs="Calibri"/>
                <w:sz w:val="20"/>
                <w:szCs w:val="20"/>
                <w:lang w:val="en-GB"/>
              </w:rPr>
              <w:t>8</w:t>
            </w:r>
          </w:p>
        </w:tc>
      </w:tr>
      <w:tr w:rsidR="00D91B99" w:rsidRPr="00D30847" w14:paraId="1AC2743A" w14:textId="77777777" w:rsidTr="00A64926">
        <w:tc>
          <w:tcPr>
            <w:tcW w:w="3119" w:type="dxa"/>
            <w:tcBorders>
              <w:top w:val="single" w:sz="4" w:space="0" w:color="FFFFFF"/>
              <w:bottom w:val="single" w:sz="4" w:space="0" w:color="FFFFFF"/>
            </w:tcBorders>
            <w:shd w:val="clear" w:color="auto" w:fill="002060"/>
          </w:tcPr>
          <w:p w14:paraId="76ADA9D5" w14:textId="77777777" w:rsidR="00D91B99" w:rsidRPr="00D30847" w:rsidRDefault="00D91B99" w:rsidP="00E84CD0">
            <w:pPr>
              <w:spacing w:line="240" w:lineRule="auto"/>
              <w:jc w:val="both"/>
              <w:rPr>
                <w:rFonts w:cs="Calibri"/>
                <w:b/>
                <w:color w:val="FFFFFF"/>
                <w:sz w:val="20"/>
                <w:szCs w:val="20"/>
                <w:lang w:val="en-GB"/>
              </w:rPr>
            </w:pPr>
            <w:r w:rsidRPr="00D30847">
              <w:rPr>
                <w:rFonts w:cs="Calibri"/>
                <w:b/>
                <w:color w:val="FFFFFF"/>
                <w:sz w:val="20"/>
                <w:szCs w:val="20"/>
                <w:lang w:val="en-GB"/>
              </w:rPr>
              <w:t>Deliverables:</w:t>
            </w:r>
          </w:p>
        </w:tc>
        <w:tc>
          <w:tcPr>
            <w:tcW w:w="5645" w:type="dxa"/>
            <w:tcBorders>
              <w:top w:val="single" w:sz="4" w:space="0" w:color="FFFFFF"/>
              <w:bottom w:val="single" w:sz="4" w:space="0" w:color="FFFFFF"/>
            </w:tcBorders>
            <w:shd w:val="clear" w:color="auto" w:fill="D9E2F3"/>
          </w:tcPr>
          <w:p w14:paraId="243049BB" w14:textId="77777777" w:rsidR="00A64E21" w:rsidRPr="00D30847" w:rsidRDefault="00A64E21" w:rsidP="00A64E21">
            <w:pPr>
              <w:spacing w:after="0" w:line="240" w:lineRule="auto"/>
              <w:jc w:val="both"/>
              <w:rPr>
                <w:rFonts w:cs="Calibri"/>
                <w:sz w:val="20"/>
                <w:szCs w:val="20"/>
                <w:lang w:val="en-GB"/>
              </w:rPr>
            </w:pPr>
            <w:r w:rsidRPr="00D30847">
              <w:rPr>
                <w:rFonts w:cs="Calibri"/>
                <w:sz w:val="20"/>
                <w:szCs w:val="20"/>
                <w:lang w:val="en-GB"/>
              </w:rPr>
              <w:t>- Data sharing protocols are signed and effectively implemented;</w:t>
            </w:r>
          </w:p>
          <w:p w14:paraId="6B895868" w14:textId="77777777" w:rsidR="00A64E21" w:rsidRPr="00D30847" w:rsidRDefault="00A64E21" w:rsidP="00A64E21">
            <w:pPr>
              <w:spacing w:after="0" w:line="240" w:lineRule="auto"/>
              <w:jc w:val="both"/>
              <w:rPr>
                <w:rFonts w:cs="Calibri"/>
                <w:sz w:val="20"/>
                <w:szCs w:val="20"/>
                <w:lang w:val="en-GB"/>
              </w:rPr>
            </w:pPr>
          </w:p>
          <w:p w14:paraId="0F1186F2" w14:textId="77777777" w:rsidR="00A64E21" w:rsidRPr="00D30847" w:rsidRDefault="00A64E21" w:rsidP="00A64E21">
            <w:pPr>
              <w:spacing w:after="0" w:line="240" w:lineRule="auto"/>
              <w:jc w:val="both"/>
              <w:rPr>
                <w:rFonts w:cs="Calibri"/>
                <w:sz w:val="20"/>
                <w:szCs w:val="20"/>
                <w:lang w:val="en-GB"/>
              </w:rPr>
            </w:pPr>
            <w:r w:rsidRPr="00D30847">
              <w:rPr>
                <w:rFonts w:cs="Calibri"/>
                <w:sz w:val="20"/>
                <w:szCs w:val="20"/>
                <w:lang w:val="en-GB"/>
              </w:rPr>
              <w:t>- Prepared Tax Expenditures Report;</w:t>
            </w:r>
          </w:p>
          <w:p w14:paraId="4BFBED11" w14:textId="579BCAF5" w:rsidR="00AD6555" w:rsidRPr="00D30847" w:rsidRDefault="00A64E21" w:rsidP="003B2558">
            <w:pPr>
              <w:spacing w:line="240" w:lineRule="auto"/>
              <w:jc w:val="both"/>
              <w:rPr>
                <w:rFonts w:cs="Calibri"/>
                <w:sz w:val="20"/>
                <w:szCs w:val="20"/>
                <w:lang w:val="en-GB"/>
              </w:rPr>
            </w:pPr>
            <w:r w:rsidRPr="00D30847">
              <w:rPr>
                <w:rFonts w:cs="Calibri"/>
                <w:sz w:val="20"/>
                <w:szCs w:val="20"/>
                <w:lang w:val="en-GB"/>
              </w:rPr>
              <w:t>- Prepared  Report on tax indicators (VAT-GAP, C-efficiency, coefficients for tax buoyancy and tax elasticity, Effective Marginal Tax Rates (EMTR) and Effective Average Tax Rates (EATR))</w:t>
            </w:r>
          </w:p>
        </w:tc>
      </w:tr>
      <w:tr w:rsidR="00D91B99" w:rsidRPr="00D30847" w14:paraId="5493B97B" w14:textId="77777777" w:rsidTr="00A64926">
        <w:tc>
          <w:tcPr>
            <w:tcW w:w="3119" w:type="dxa"/>
            <w:tcBorders>
              <w:top w:val="single" w:sz="4" w:space="0" w:color="FFFFFF"/>
              <w:bottom w:val="single" w:sz="4" w:space="0" w:color="FFFFFF"/>
            </w:tcBorders>
            <w:shd w:val="clear" w:color="auto" w:fill="002060"/>
          </w:tcPr>
          <w:p w14:paraId="30F1A0C0" w14:textId="2C53C386" w:rsidR="00D91B99" w:rsidRPr="00D30847" w:rsidRDefault="00D91B99" w:rsidP="00E84CD0">
            <w:pPr>
              <w:spacing w:line="240" w:lineRule="auto"/>
              <w:jc w:val="both"/>
              <w:rPr>
                <w:rFonts w:cs="Calibri"/>
                <w:b/>
                <w:color w:val="FFFFFF"/>
                <w:sz w:val="20"/>
                <w:szCs w:val="20"/>
                <w:lang w:val="en-GB"/>
              </w:rPr>
            </w:pPr>
            <w:r w:rsidRPr="00D30847">
              <w:rPr>
                <w:rFonts w:cs="Calibri"/>
                <w:b/>
                <w:color w:val="FFFFFF"/>
                <w:sz w:val="20"/>
                <w:szCs w:val="20"/>
                <w:lang w:val="en-GB"/>
              </w:rPr>
              <w:t>Costs</w:t>
            </w:r>
            <w:r w:rsidR="006E0B57" w:rsidRPr="00D30847">
              <w:rPr>
                <w:rFonts w:cs="Calibri"/>
                <w:b/>
                <w:color w:val="FFFFFF"/>
                <w:sz w:val="20"/>
                <w:szCs w:val="20"/>
                <w:lang w:val="en-GB"/>
              </w:rPr>
              <w:t xml:space="preserve"> </w:t>
            </w:r>
            <w:r w:rsidRPr="00D30847">
              <w:rPr>
                <w:rFonts w:cs="Calibri"/>
                <w:b/>
                <w:color w:val="FFFFFF"/>
                <w:sz w:val="20"/>
                <w:szCs w:val="20"/>
                <w:lang w:val="en-GB"/>
              </w:rPr>
              <w:t>implications:</w:t>
            </w:r>
          </w:p>
        </w:tc>
        <w:tc>
          <w:tcPr>
            <w:tcW w:w="5645" w:type="dxa"/>
            <w:tcBorders>
              <w:top w:val="single" w:sz="4" w:space="0" w:color="FFFFFF"/>
              <w:bottom w:val="single" w:sz="4" w:space="0" w:color="FFFFFF"/>
            </w:tcBorders>
            <w:shd w:val="clear" w:color="auto" w:fill="D9E2F3"/>
          </w:tcPr>
          <w:p w14:paraId="40B0AAC2" w14:textId="0EC5EC1A" w:rsidR="00D91B99" w:rsidRPr="00D30847" w:rsidRDefault="006D574F" w:rsidP="00E84CD0">
            <w:pPr>
              <w:spacing w:line="240" w:lineRule="auto"/>
              <w:jc w:val="both"/>
              <w:rPr>
                <w:rFonts w:cs="Calibri"/>
                <w:sz w:val="20"/>
                <w:szCs w:val="20"/>
                <w:lang w:val="en-GB"/>
              </w:rPr>
            </w:pPr>
            <w:r w:rsidRPr="00D30847">
              <w:rPr>
                <w:rFonts w:cs="Calibri"/>
                <w:sz w:val="20"/>
                <w:szCs w:val="20"/>
                <w:lang w:val="en-GB"/>
              </w:rPr>
              <w:t xml:space="preserve">EUR </w:t>
            </w:r>
            <w:r w:rsidR="00D91B99" w:rsidRPr="00D30847">
              <w:rPr>
                <w:rFonts w:cs="Calibri"/>
                <w:sz w:val="20"/>
                <w:szCs w:val="20"/>
                <w:lang w:val="en-GB"/>
              </w:rPr>
              <w:t>1</w:t>
            </w:r>
            <w:r w:rsidR="00A64E21" w:rsidRPr="00D30847">
              <w:rPr>
                <w:rFonts w:cs="Calibri"/>
                <w:sz w:val="20"/>
                <w:szCs w:val="20"/>
                <w:lang w:val="en-GB"/>
              </w:rPr>
              <w:t>20</w:t>
            </w:r>
            <w:r w:rsidR="00A01213" w:rsidRPr="00D30847">
              <w:rPr>
                <w:rFonts w:cs="Calibri"/>
                <w:sz w:val="20"/>
                <w:szCs w:val="20"/>
                <w:lang w:val="en-GB"/>
              </w:rPr>
              <w:t>,</w:t>
            </w:r>
            <w:r w:rsidR="00D91B99" w:rsidRPr="00D30847">
              <w:rPr>
                <w:rFonts w:cs="Calibri"/>
                <w:sz w:val="20"/>
                <w:szCs w:val="20"/>
                <w:lang w:val="en-GB"/>
              </w:rPr>
              <w:t xml:space="preserve">000 </w:t>
            </w:r>
          </w:p>
        </w:tc>
      </w:tr>
      <w:tr w:rsidR="00D91B99" w:rsidRPr="00D30847" w14:paraId="416C9965" w14:textId="77777777" w:rsidTr="00A64926">
        <w:tc>
          <w:tcPr>
            <w:tcW w:w="3119" w:type="dxa"/>
            <w:tcBorders>
              <w:top w:val="single" w:sz="4" w:space="0" w:color="FFFFFF"/>
              <w:bottom w:val="single" w:sz="4" w:space="0" w:color="FFFFFF"/>
            </w:tcBorders>
            <w:shd w:val="clear" w:color="auto" w:fill="002060"/>
          </w:tcPr>
          <w:p w14:paraId="423F77D4" w14:textId="58CA0900" w:rsidR="00D91B99" w:rsidRPr="00D30847" w:rsidRDefault="00D91B99" w:rsidP="00E84CD0">
            <w:pPr>
              <w:spacing w:line="240" w:lineRule="auto"/>
              <w:jc w:val="both"/>
              <w:rPr>
                <w:rFonts w:cs="Calibri"/>
                <w:b/>
                <w:color w:val="FFFFFF"/>
                <w:sz w:val="20"/>
                <w:szCs w:val="20"/>
                <w:lang w:val="en-GB"/>
              </w:rPr>
            </w:pPr>
            <w:r w:rsidRPr="00D30847">
              <w:rPr>
                <w:rFonts w:cs="Calibri"/>
                <w:b/>
                <w:color w:val="FFFFFF"/>
                <w:sz w:val="20"/>
                <w:szCs w:val="20"/>
                <w:lang w:val="en-GB"/>
              </w:rPr>
              <w:t>Responsible</w:t>
            </w:r>
            <w:r w:rsidR="0050393B" w:rsidRPr="00D30847">
              <w:rPr>
                <w:rFonts w:cs="Calibri"/>
                <w:b/>
                <w:color w:val="FFFFFF"/>
                <w:sz w:val="20"/>
                <w:szCs w:val="20"/>
                <w:lang w:val="en-GB"/>
              </w:rPr>
              <w:t xml:space="preserve"> </w:t>
            </w:r>
            <w:r w:rsidRPr="00D30847">
              <w:rPr>
                <w:rFonts w:cs="Calibri"/>
                <w:b/>
                <w:color w:val="FFFFFF"/>
                <w:sz w:val="20"/>
                <w:szCs w:val="20"/>
                <w:lang w:val="en-GB"/>
              </w:rPr>
              <w:t xml:space="preserve">entity: </w:t>
            </w:r>
          </w:p>
        </w:tc>
        <w:tc>
          <w:tcPr>
            <w:tcW w:w="5645" w:type="dxa"/>
            <w:tcBorders>
              <w:top w:val="single" w:sz="4" w:space="0" w:color="FFFFFF"/>
              <w:bottom w:val="single" w:sz="4" w:space="0" w:color="FFFFFF"/>
            </w:tcBorders>
            <w:shd w:val="clear" w:color="auto" w:fill="D9E2F3"/>
          </w:tcPr>
          <w:p w14:paraId="17E4D92F" w14:textId="336E4299" w:rsidR="00D91B99" w:rsidRPr="00D30847" w:rsidRDefault="00FA0745" w:rsidP="00E84CD0">
            <w:pPr>
              <w:spacing w:line="240" w:lineRule="auto"/>
              <w:jc w:val="both"/>
              <w:rPr>
                <w:rFonts w:cs="Calibri"/>
                <w:sz w:val="20"/>
                <w:szCs w:val="20"/>
                <w:lang w:val="en-GB"/>
              </w:rPr>
            </w:pPr>
            <w:r w:rsidRPr="00D30847">
              <w:rPr>
                <w:rFonts w:cs="Calibri"/>
                <w:sz w:val="20"/>
                <w:szCs w:val="20"/>
                <w:lang w:val="en-GB"/>
              </w:rPr>
              <w:t>MoF – Public revenues and Tax and Customs Policy Department</w:t>
            </w:r>
          </w:p>
        </w:tc>
      </w:tr>
      <w:tr w:rsidR="00D91B99" w:rsidRPr="00D30847" w14:paraId="7A485257" w14:textId="77777777" w:rsidTr="00A64926">
        <w:tc>
          <w:tcPr>
            <w:tcW w:w="3119" w:type="dxa"/>
            <w:tcBorders>
              <w:top w:val="single" w:sz="4" w:space="0" w:color="FFFFFF"/>
              <w:bottom w:val="nil"/>
            </w:tcBorders>
            <w:shd w:val="clear" w:color="auto" w:fill="002060"/>
          </w:tcPr>
          <w:p w14:paraId="7E458FCE" w14:textId="77777777" w:rsidR="00D91B99" w:rsidRPr="00D30847" w:rsidRDefault="00D91B99" w:rsidP="00E84CD0">
            <w:pPr>
              <w:spacing w:line="240" w:lineRule="auto"/>
              <w:jc w:val="both"/>
              <w:rPr>
                <w:rFonts w:cs="Calibri"/>
                <w:b/>
                <w:color w:val="FFFFFF"/>
                <w:sz w:val="20"/>
                <w:szCs w:val="20"/>
                <w:lang w:val="en-GB"/>
              </w:rPr>
            </w:pPr>
            <w:r w:rsidRPr="00D30847">
              <w:rPr>
                <w:rFonts w:cs="Calibri"/>
                <w:b/>
                <w:color w:val="FFFFFF"/>
                <w:sz w:val="20"/>
                <w:szCs w:val="20"/>
                <w:lang w:val="en-GB"/>
              </w:rPr>
              <w:t>Risk:</w:t>
            </w:r>
          </w:p>
        </w:tc>
        <w:tc>
          <w:tcPr>
            <w:tcW w:w="5645" w:type="dxa"/>
            <w:tcBorders>
              <w:top w:val="single" w:sz="4" w:space="0" w:color="FFFFFF"/>
              <w:bottom w:val="nil"/>
            </w:tcBorders>
            <w:shd w:val="clear" w:color="auto" w:fill="D9E2F3"/>
          </w:tcPr>
          <w:p w14:paraId="4DAAC30D" w14:textId="77777777" w:rsidR="003B2558" w:rsidRPr="00D30847" w:rsidRDefault="003B2558" w:rsidP="003B2558">
            <w:pPr>
              <w:spacing w:after="0" w:line="240" w:lineRule="auto"/>
              <w:jc w:val="both"/>
              <w:rPr>
                <w:rFonts w:cs="Calibri"/>
                <w:sz w:val="20"/>
                <w:szCs w:val="20"/>
                <w:lang w:val="en-GB"/>
              </w:rPr>
            </w:pPr>
            <w:r w:rsidRPr="00D30847">
              <w:rPr>
                <w:rFonts w:cs="Calibri"/>
                <w:sz w:val="20"/>
                <w:szCs w:val="20"/>
                <w:lang w:val="en-GB"/>
              </w:rPr>
              <w:t>-  Lack of awareness and commitment from high-level officials;</w:t>
            </w:r>
          </w:p>
          <w:p w14:paraId="2B09B53F" w14:textId="2F22DB1E" w:rsidR="003B2558" w:rsidRPr="00D30847" w:rsidRDefault="003B2558" w:rsidP="003B2558">
            <w:pPr>
              <w:spacing w:after="0" w:line="240" w:lineRule="auto"/>
              <w:jc w:val="both"/>
              <w:rPr>
                <w:rFonts w:cs="Calibri"/>
                <w:sz w:val="20"/>
                <w:szCs w:val="20"/>
                <w:lang w:val="en-GB"/>
              </w:rPr>
            </w:pPr>
            <w:r w:rsidRPr="00D30847">
              <w:rPr>
                <w:rFonts w:cs="Calibri"/>
                <w:sz w:val="20"/>
                <w:szCs w:val="20"/>
                <w:lang w:val="en-GB"/>
              </w:rPr>
              <w:t>-  Lack of data availability;</w:t>
            </w:r>
          </w:p>
          <w:p w14:paraId="2E7AFE77" w14:textId="714EBA8B" w:rsidR="003B2558" w:rsidRPr="00D30847" w:rsidRDefault="003B2558" w:rsidP="003B2558">
            <w:pPr>
              <w:spacing w:after="0" w:line="240" w:lineRule="auto"/>
              <w:jc w:val="both"/>
              <w:rPr>
                <w:rFonts w:cs="Calibri"/>
                <w:sz w:val="20"/>
                <w:szCs w:val="20"/>
                <w:lang w:val="en-GB"/>
              </w:rPr>
            </w:pPr>
            <w:r w:rsidRPr="00D30847">
              <w:rPr>
                <w:rFonts w:cs="Calibri"/>
                <w:sz w:val="20"/>
                <w:szCs w:val="20"/>
                <w:lang w:val="en-GB"/>
              </w:rPr>
              <w:t xml:space="preserve">-  </w:t>
            </w:r>
            <w:r w:rsidR="00BD19D6" w:rsidRPr="00D30847">
              <w:rPr>
                <w:rFonts w:cs="Calibri"/>
                <w:sz w:val="20"/>
                <w:szCs w:val="20"/>
                <w:lang w:val="en-GB"/>
              </w:rPr>
              <w:t xml:space="preserve">Internal resistance to </w:t>
            </w:r>
            <w:r w:rsidR="007847CE" w:rsidRPr="00D30847">
              <w:rPr>
                <w:rFonts w:cs="Calibri"/>
                <w:sz w:val="20"/>
                <w:szCs w:val="20"/>
                <w:lang w:val="en-GB"/>
              </w:rPr>
              <w:t>ref</w:t>
            </w:r>
            <w:r w:rsidR="00642D10" w:rsidRPr="00D30847">
              <w:rPr>
                <w:rFonts w:cs="Calibri"/>
                <w:sz w:val="20"/>
                <w:szCs w:val="20"/>
                <w:lang w:val="en-GB"/>
              </w:rPr>
              <w:t>o</w:t>
            </w:r>
            <w:r w:rsidR="007847CE" w:rsidRPr="00D30847">
              <w:rPr>
                <w:rFonts w:cs="Calibri"/>
                <w:sz w:val="20"/>
                <w:szCs w:val="20"/>
                <w:lang w:val="en-GB"/>
              </w:rPr>
              <w:t>rm</w:t>
            </w:r>
            <w:r w:rsidR="00BD19D6" w:rsidRPr="00D30847">
              <w:rPr>
                <w:rFonts w:cs="Calibri"/>
                <w:sz w:val="20"/>
                <w:szCs w:val="20"/>
                <w:lang w:val="en-GB"/>
              </w:rPr>
              <w:t xml:space="preserve"> processes</w:t>
            </w:r>
            <w:r w:rsidRPr="00D30847">
              <w:rPr>
                <w:rFonts w:cs="Calibri"/>
                <w:sz w:val="20"/>
                <w:szCs w:val="20"/>
                <w:lang w:val="en-GB"/>
              </w:rPr>
              <w:t xml:space="preserve">; </w:t>
            </w:r>
          </w:p>
          <w:p w14:paraId="570D08FC" w14:textId="7E8EFC3B" w:rsidR="003D47FC" w:rsidRPr="00D30847" w:rsidRDefault="003B2558" w:rsidP="008208F0">
            <w:pPr>
              <w:spacing w:after="0" w:line="240" w:lineRule="auto"/>
              <w:jc w:val="both"/>
              <w:rPr>
                <w:rFonts w:cs="Calibri"/>
                <w:sz w:val="20"/>
                <w:szCs w:val="20"/>
                <w:lang w:val="en-GB"/>
              </w:rPr>
            </w:pPr>
            <w:r w:rsidRPr="00D30847">
              <w:rPr>
                <w:rFonts w:cs="Calibri"/>
                <w:sz w:val="20"/>
                <w:szCs w:val="20"/>
                <w:lang w:val="en-GB"/>
              </w:rPr>
              <w:t>-  Excessive staff turnover.</w:t>
            </w:r>
          </w:p>
          <w:p w14:paraId="4F2FDD44" w14:textId="0781358D" w:rsidR="00BD19D6" w:rsidRPr="00D30847" w:rsidRDefault="003D47FC" w:rsidP="008208F0">
            <w:pPr>
              <w:spacing w:after="0" w:line="240" w:lineRule="auto"/>
              <w:jc w:val="both"/>
              <w:rPr>
                <w:rFonts w:cs="Calibri"/>
                <w:sz w:val="20"/>
                <w:szCs w:val="20"/>
                <w:lang w:val="en-GB"/>
              </w:rPr>
            </w:pPr>
            <w:r w:rsidRPr="00D30847">
              <w:rPr>
                <w:rFonts w:cs="Calibri"/>
                <w:sz w:val="20"/>
                <w:szCs w:val="20"/>
                <w:lang w:val="en-GB"/>
              </w:rPr>
              <w:t xml:space="preserve">-  </w:t>
            </w:r>
            <w:r w:rsidR="00BD19D6" w:rsidRPr="00D30847">
              <w:rPr>
                <w:rFonts w:cs="Calibri"/>
                <w:sz w:val="20"/>
                <w:szCs w:val="20"/>
                <w:lang w:val="en-GB"/>
              </w:rPr>
              <w:t>Due to the complexity of the model, it is not fully operational.</w:t>
            </w:r>
          </w:p>
        </w:tc>
      </w:tr>
    </w:tbl>
    <w:p w14:paraId="23409D56" w14:textId="77777777" w:rsidR="00A64E21" w:rsidRPr="00D30847" w:rsidRDefault="00A64E21" w:rsidP="00E84CD0">
      <w:pPr>
        <w:spacing w:line="240" w:lineRule="auto"/>
        <w:jc w:val="both"/>
        <w:rPr>
          <w:rFonts w:cs="Calibri"/>
          <w:b/>
          <w:color w:val="0070C0"/>
          <w:sz w:val="24"/>
          <w:szCs w:val="24"/>
          <w:lang w:val="en-GB"/>
        </w:rPr>
      </w:pPr>
    </w:p>
    <w:p w14:paraId="659A25E8" w14:textId="7432D17F" w:rsidR="00D91B99" w:rsidRPr="00D30847" w:rsidRDefault="00D91B99" w:rsidP="00E84CD0">
      <w:pPr>
        <w:spacing w:line="240" w:lineRule="auto"/>
        <w:jc w:val="both"/>
        <w:rPr>
          <w:rFonts w:cs="Calibri"/>
          <w:b/>
          <w:color w:val="0070C0"/>
          <w:sz w:val="24"/>
          <w:szCs w:val="24"/>
          <w:lang w:val="en-GB"/>
        </w:rPr>
      </w:pPr>
      <w:r w:rsidRPr="00D30847">
        <w:rPr>
          <w:rFonts w:cs="Calibri"/>
          <w:b/>
          <w:color w:val="0070C0"/>
          <w:sz w:val="24"/>
          <w:szCs w:val="24"/>
          <w:lang w:val="en-GB"/>
        </w:rPr>
        <w:t>Measure 2:</w:t>
      </w:r>
      <w:r w:rsidR="009A0A49" w:rsidRPr="00D30847">
        <w:rPr>
          <w:rFonts w:cs="Calibri"/>
          <w:b/>
          <w:color w:val="0070C0"/>
          <w:sz w:val="24"/>
          <w:szCs w:val="24"/>
          <w:lang w:val="en-GB"/>
        </w:rPr>
        <w:t xml:space="preserve"> </w:t>
      </w:r>
      <w:r w:rsidR="00A64E21" w:rsidRPr="00D30847">
        <w:rPr>
          <w:rFonts w:cs="Calibri"/>
          <w:b/>
          <w:color w:val="0070C0"/>
          <w:sz w:val="24"/>
          <w:szCs w:val="24"/>
          <w:lang w:val="en-GB"/>
        </w:rPr>
        <w:t xml:space="preserve">Enhancing </w:t>
      </w:r>
      <w:r w:rsidR="00D30847" w:rsidRPr="00D30847">
        <w:rPr>
          <w:rFonts w:cs="Calibri"/>
          <w:b/>
          <w:color w:val="0070C0"/>
          <w:sz w:val="24"/>
          <w:szCs w:val="24"/>
          <w:lang w:val="en-GB"/>
        </w:rPr>
        <w:t>capacity for</w:t>
      </w:r>
      <w:r w:rsidR="00A64E21" w:rsidRPr="00D30847">
        <w:rPr>
          <w:rFonts w:cs="Calibri"/>
          <w:b/>
          <w:color w:val="0070C0"/>
          <w:sz w:val="24"/>
          <w:szCs w:val="24"/>
          <w:lang w:val="en-GB"/>
        </w:rPr>
        <w:t xml:space="preserve"> application of tax models.</w:t>
      </w:r>
    </w:p>
    <w:p w14:paraId="65AD31CF" w14:textId="77777777" w:rsidR="00D91B99" w:rsidRPr="00D30847" w:rsidRDefault="00D91B99" w:rsidP="008B435E">
      <w:pPr>
        <w:spacing w:before="240"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38EE2A6C" w14:textId="77777777" w:rsidR="007B2731" w:rsidRPr="00D30847" w:rsidRDefault="00A64E21" w:rsidP="008B435E">
      <w:pPr>
        <w:spacing w:before="240" w:line="240" w:lineRule="auto"/>
        <w:jc w:val="both"/>
        <w:rPr>
          <w:rFonts w:cs="Calibri"/>
          <w:lang w:val="en-GB"/>
        </w:rPr>
      </w:pPr>
      <w:r w:rsidRPr="00D30847">
        <w:rPr>
          <w:rFonts w:cs="Calibri"/>
          <w:lang w:val="en-GB"/>
        </w:rPr>
        <w:t>Enhancing capacity of the MoF employees for the application of tax models.</w:t>
      </w:r>
    </w:p>
    <w:p w14:paraId="4359D297" w14:textId="28576E38" w:rsidR="00D91B99" w:rsidRPr="00D30847" w:rsidRDefault="00D91B99" w:rsidP="003D56E7">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Reference to the external assessment findings: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965"/>
        <w:gridCol w:w="7824"/>
      </w:tblGrid>
      <w:tr w:rsidR="00D91B99" w:rsidRPr="00D30847" w14:paraId="53B4EEED" w14:textId="77777777" w:rsidTr="006A0F62">
        <w:tc>
          <w:tcPr>
            <w:tcW w:w="965" w:type="dxa"/>
            <w:shd w:val="clear" w:color="auto" w:fill="DDDDDD"/>
          </w:tcPr>
          <w:p w14:paraId="67F0CD16" w14:textId="2055AEA9" w:rsidR="00D91B99" w:rsidRPr="00D30847" w:rsidRDefault="00D91B99" w:rsidP="00E84CD0">
            <w:pPr>
              <w:spacing w:line="240" w:lineRule="auto"/>
              <w:jc w:val="both"/>
              <w:rPr>
                <w:rFonts w:cs="Calibri"/>
                <w:sz w:val="20"/>
                <w:szCs w:val="20"/>
                <w:lang w:val="en-GB"/>
              </w:rPr>
            </w:pPr>
            <w:r w:rsidRPr="00D30847">
              <w:rPr>
                <w:rFonts w:cs="Calibri"/>
                <w:b/>
                <w:sz w:val="20"/>
                <w:szCs w:val="20"/>
                <w:lang w:val="en-GB"/>
              </w:rPr>
              <w:t>OECD</w:t>
            </w:r>
          </w:p>
        </w:tc>
        <w:tc>
          <w:tcPr>
            <w:tcW w:w="7824" w:type="dxa"/>
            <w:shd w:val="clear" w:color="auto" w:fill="DDDDDD"/>
          </w:tcPr>
          <w:p w14:paraId="6BC419E7" w14:textId="77777777" w:rsidR="00C10268" w:rsidRPr="00D30847" w:rsidRDefault="00C10268" w:rsidP="00C10268">
            <w:pPr>
              <w:spacing w:after="0" w:line="240" w:lineRule="auto"/>
              <w:jc w:val="both"/>
              <w:rPr>
                <w:rFonts w:cs="Calibri"/>
                <w:sz w:val="20"/>
                <w:szCs w:val="20"/>
                <w:lang w:val="en-GB"/>
              </w:rPr>
            </w:pPr>
            <w:r w:rsidRPr="00D30847">
              <w:rPr>
                <w:rFonts w:cs="Calibri"/>
                <w:b/>
                <w:sz w:val="20"/>
                <w:szCs w:val="20"/>
                <w:lang w:val="en-GB"/>
              </w:rPr>
              <w:t>Competitiveness in South East Europe (2018)</w:t>
            </w:r>
          </w:p>
          <w:p w14:paraId="5D22A974" w14:textId="77777777" w:rsidR="00C10268" w:rsidRPr="00D30847" w:rsidRDefault="00C10268" w:rsidP="00C10268">
            <w:pPr>
              <w:spacing w:after="120" w:line="240" w:lineRule="auto"/>
              <w:jc w:val="both"/>
              <w:rPr>
                <w:rFonts w:cs="Calibri"/>
                <w:sz w:val="20"/>
                <w:szCs w:val="20"/>
                <w:lang w:val="en-GB"/>
              </w:rPr>
            </w:pPr>
            <w:r w:rsidRPr="00D30847">
              <w:rPr>
                <w:rFonts w:cs="Calibri"/>
                <w:sz w:val="20"/>
                <w:szCs w:val="20"/>
                <w:lang w:val="en-GB"/>
              </w:rPr>
              <w:t>None of the economies make widespread use of micro-simulation models. These models simulate</w:t>
            </w:r>
            <w:r w:rsidRPr="00D30847">
              <w:rPr>
                <w:rFonts w:cs="Calibri"/>
                <w:sz w:val="18"/>
                <w:szCs w:val="18"/>
                <w:lang w:val="en-GB"/>
              </w:rPr>
              <w:t xml:space="preserve"> </w:t>
            </w:r>
            <w:r w:rsidRPr="00D30847">
              <w:rPr>
                <w:rFonts w:cs="Calibri"/>
                <w:sz w:val="20"/>
                <w:szCs w:val="20"/>
                <w:lang w:val="en-GB"/>
              </w:rPr>
              <w:t>taxes, SSCs and any social benefits, in order to predict the effects of a potential tax reform and current tax policies. Albania, Kosovo and Montenegro do not implement any micro-simulation models. Bosnia and Herzegovina, the Republic of North Macedonia and Serbia have started to use micro-simulation models to assess their tax policies and reforms, although not yet on a regular basis. As a first step, micro-simulation models could be developed to assess the distributional impact of VAT in SEE economies, following the work that has been carried out in OECD countries (OECD/KIPF, 2014).</w:t>
            </w:r>
          </w:p>
          <w:p w14:paraId="15CBAEC5" w14:textId="77777777" w:rsidR="00C10268" w:rsidRPr="00D30847" w:rsidRDefault="00C10268" w:rsidP="00C10268">
            <w:pPr>
              <w:spacing w:after="120" w:line="240" w:lineRule="auto"/>
              <w:jc w:val="both"/>
              <w:rPr>
                <w:rFonts w:cs="Calibri"/>
                <w:sz w:val="20"/>
                <w:szCs w:val="20"/>
                <w:lang w:val="en-GB"/>
              </w:rPr>
            </w:pPr>
            <w:r w:rsidRPr="00D30847">
              <w:rPr>
                <w:rFonts w:cs="Calibri"/>
                <w:sz w:val="20"/>
                <w:szCs w:val="20"/>
                <w:lang w:val="en-GB"/>
              </w:rPr>
              <w:t xml:space="preserve">All six of the assessed SEE economies use aggregate modelling and forecasting tools, which are important for estimating future tax revenues. These models are also regularly assessed. The average score across the six SEE economies for this indicator is however 2.3 (Figure 4.5), indicating that while the ministries of finance maintain aggregate tax revenue forecasting </w:t>
            </w:r>
            <w:r w:rsidRPr="00D30847">
              <w:rPr>
                <w:rFonts w:cs="Calibri"/>
                <w:sz w:val="20"/>
                <w:szCs w:val="20"/>
                <w:lang w:val="en-GB"/>
              </w:rPr>
              <w:lastRenderedPageBreak/>
              <w:t>models for each main tax, there is insufficient analysis of the information or a lack of micro-simulation models.</w:t>
            </w:r>
          </w:p>
          <w:p w14:paraId="3D796281" w14:textId="77777777" w:rsidR="000B19B8" w:rsidRPr="00D30847" w:rsidRDefault="000B19B8" w:rsidP="00C10268">
            <w:pPr>
              <w:spacing w:after="0" w:line="240" w:lineRule="auto"/>
              <w:jc w:val="both"/>
              <w:rPr>
                <w:rFonts w:cs="Calibri"/>
                <w:b/>
                <w:sz w:val="20"/>
                <w:szCs w:val="20"/>
                <w:lang w:val="en-GB"/>
              </w:rPr>
            </w:pPr>
          </w:p>
          <w:p w14:paraId="41FC770F" w14:textId="6D5DAB16" w:rsidR="00C10268" w:rsidRPr="00D30847" w:rsidRDefault="00C10268" w:rsidP="00C10268">
            <w:pPr>
              <w:spacing w:after="0" w:line="240" w:lineRule="auto"/>
              <w:jc w:val="both"/>
              <w:rPr>
                <w:rFonts w:cs="Calibri"/>
                <w:b/>
                <w:sz w:val="20"/>
                <w:szCs w:val="20"/>
                <w:lang w:val="en-GB"/>
              </w:rPr>
            </w:pPr>
            <w:r w:rsidRPr="00D30847">
              <w:rPr>
                <w:rFonts w:cs="Calibri"/>
                <w:b/>
                <w:sz w:val="20"/>
                <w:szCs w:val="20"/>
                <w:lang w:val="en-GB"/>
              </w:rPr>
              <w:t>Tax policy in South East Europe: Key recommendations</w:t>
            </w:r>
          </w:p>
          <w:p w14:paraId="776E0B50" w14:textId="0D705CD5" w:rsidR="00D91B99" w:rsidRPr="00D30847" w:rsidRDefault="00C10268" w:rsidP="00C10268">
            <w:pPr>
              <w:spacing w:line="240" w:lineRule="auto"/>
              <w:jc w:val="both"/>
              <w:rPr>
                <w:rFonts w:cs="Calibri"/>
                <w:sz w:val="18"/>
                <w:szCs w:val="18"/>
                <w:lang w:val="en-GB"/>
              </w:rPr>
            </w:pPr>
            <w:r w:rsidRPr="00D30847">
              <w:rPr>
                <w:rFonts w:cs="Calibri"/>
                <w:sz w:val="20"/>
                <w:szCs w:val="20"/>
                <w:lang w:val="en-GB"/>
              </w:rPr>
              <w:t>Develop tax policy tools to assess tax systems and their economic impacts. Better tax revenue data, tools that assess the effective tax burdens on labour and capital, the implementation of micro-simulation models, and more systematic tax expenditure reporting are a priority for all six economies.</w:t>
            </w:r>
          </w:p>
        </w:tc>
      </w:tr>
      <w:tr w:rsidR="00D91B99" w:rsidRPr="00D30847" w14:paraId="58C3924C" w14:textId="77777777" w:rsidTr="006A0F62">
        <w:tc>
          <w:tcPr>
            <w:tcW w:w="965" w:type="dxa"/>
            <w:shd w:val="clear" w:color="auto" w:fill="DDDDDD"/>
          </w:tcPr>
          <w:p w14:paraId="5F3EE578" w14:textId="1DBE15C3" w:rsidR="00D91B99" w:rsidRPr="00D30847" w:rsidRDefault="00D91B99" w:rsidP="00E84CD0">
            <w:pPr>
              <w:spacing w:line="240" w:lineRule="auto"/>
              <w:jc w:val="both"/>
              <w:rPr>
                <w:rFonts w:cs="Calibri"/>
                <w:sz w:val="20"/>
                <w:szCs w:val="20"/>
                <w:lang w:val="en-GB"/>
              </w:rPr>
            </w:pPr>
            <w:r w:rsidRPr="00D30847">
              <w:rPr>
                <w:rFonts w:cs="Calibri"/>
                <w:b/>
                <w:sz w:val="20"/>
                <w:szCs w:val="20"/>
                <w:lang w:val="en-GB"/>
              </w:rPr>
              <w:lastRenderedPageBreak/>
              <w:t>WB</w:t>
            </w:r>
          </w:p>
        </w:tc>
        <w:tc>
          <w:tcPr>
            <w:tcW w:w="7824" w:type="dxa"/>
            <w:shd w:val="clear" w:color="auto" w:fill="DDDDDD"/>
          </w:tcPr>
          <w:p w14:paraId="0A24EEB7" w14:textId="77777777" w:rsidR="00C10268" w:rsidRPr="00D30847" w:rsidRDefault="00C10268" w:rsidP="00C10268">
            <w:pPr>
              <w:spacing w:line="240" w:lineRule="auto"/>
              <w:jc w:val="both"/>
              <w:rPr>
                <w:rFonts w:cs="Calibri"/>
                <w:b/>
                <w:sz w:val="20"/>
                <w:szCs w:val="20"/>
                <w:lang w:val="en-GB"/>
              </w:rPr>
            </w:pPr>
            <w:r w:rsidRPr="00D30847">
              <w:rPr>
                <w:rFonts w:cs="Calibri"/>
                <w:b/>
                <w:sz w:val="20"/>
                <w:szCs w:val="20"/>
                <w:lang w:val="en-GB"/>
              </w:rPr>
              <w:t>Tax administration assessment for the North Macedonia Public Revenue Office-Tax Diamond (2020)</w:t>
            </w:r>
          </w:p>
          <w:p w14:paraId="45E68BEA" w14:textId="77777777" w:rsidR="00C10268" w:rsidRPr="00D30847" w:rsidRDefault="00C10268" w:rsidP="00C10268">
            <w:pPr>
              <w:spacing w:line="240" w:lineRule="auto"/>
              <w:jc w:val="both"/>
              <w:rPr>
                <w:rFonts w:cs="Calibri"/>
                <w:sz w:val="20"/>
                <w:szCs w:val="20"/>
                <w:lang w:val="en-GB"/>
              </w:rPr>
            </w:pPr>
            <w:r w:rsidRPr="00D30847">
              <w:rPr>
                <w:rFonts w:cs="Calibri"/>
                <w:sz w:val="20"/>
                <w:szCs w:val="20"/>
                <w:lang w:val="en-GB"/>
              </w:rPr>
              <w:t>The assessment of the tax administration for the Public Revenue Office in North Macedonia lists the several recommendations, which can be improved and for MoF as more important can be listed:</w:t>
            </w:r>
          </w:p>
          <w:p w14:paraId="38927B02" w14:textId="77777777" w:rsidR="00C10268" w:rsidRPr="00D30847" w:rsidRDefault="00C10268" w:rsidP="00C10268">
            <w:pPr>
              <w:spacing w:line="240" w:lineRule="auto"/>
              <w:jc w:val="both"/>
              <w:rPr>
                <w:rFonts w:cs="Calibri"/>
                <w:sz w:val="20"/>
                <w:szCs w:val="20"/>
                <w:lang w:val="en-GB"/>
              </w:rPr>
            </w:pPr>
            <w:r w:rsidRPr="00D30847">
              <w:rPr>
                <w:rFonts w:cs="Calibri"/>
                <w:b/>
                <w:sz w:val="20"/>
                <w:szCs w:val="20"/>
                <w:lang w:val="en-GB"/>
              </w:rPr>
              <w:t>Cost-of-collection ratio.</w:t>
            </w:r>
            <w:r w:rsidRPr="00D30847">
              <w:rPr>
                <w:rFonts w:cs="Calibri"/>
                <w:sz w:val="20"/>
                <w:szCs w:val="20"/>
                <w:lang w:val="en-GB"/>
              </w:rPr>
              <w:t xml:space="preserve"> PRO's cost of collection ratio is around 1.24%, which is towards the higher band of the OECD countries' average. The cost of collection in OECD countries and selected non-OECD countries is normally in a band between 1 and 1.5%. In assessing the efficiency and effectiveness in collecting revenues, usually, tax administrations use the cost-of-collection ratio, by which the administration costs are compared with net tax revenue collected. It is a systematic, structured, and evidence-based methodology to assess tax administration performance, which provides a systematic and detailed view of necessary programs to implement and monitor reforms.</w:t>
            </w:r>
          </w:p>
          <w:p w14:paraId="2EE9C1FB" w14:textId="6685BDE3" w:rsidR="00D91B99" w:rsidRPr="00D30847" w:rsidRDefault="00C10268" w:rsidP="00C10268">
            <w:pPr>
              <w:spacing w:line="240" w:lineRule="auto"/>
              <w:jc w:val="both"/>
              <w:rPr>
                <w:rFonts w:cs="Calibri"/>
                <w:sz w:val="20"/>
                <w:szCs w:val="20"/>
                <w:lang w:val="en-GB"/>
              </w:rPr>
            </w:pPr>
            <w:r w:rsidRPr="00D30847">
              <w:rPr>
                <w:rFonts w:cs="Calibri"/>
                <w:b/>
                <w:sz w:val="20"/>
                <w:szCs w:val="20"/>
                <w:lang w:val="en-GB"/>
              </w:rPr>
              <w:t>Tax forecasting/Revenue targets.</w:t>
            </w:r>
            <w:r w:rsidRPr="00D30847">
              <w:rPr>
                <w:rFonts w:cs="Calibri"/>
                <w:sz w:val="20"/>
                <w:szCs w:val="20"/>
                <w:lang w:val="en-GB"/>
              </w:rPr>
              <w:t xml:space="preserve"> Solid revenue forecasting, in conjunction with an analysis of the potential of the tax system and the impact of changes in tax policy and tax expenditures, should be key to make informed decisions in tax reform strategies. PRO is supported in this type of analysis by the Ministry of Finance. However, current analytics are not based on internationally recognized methodologies. Emphasis needs to be put on increasing the analytical capacity on revenue forecasting and on conducting additional key analytical inputs for revenue policy-making and tax administration monitoring</w:t>
            </w:r>
          </w:p>
        </w:tc>
      </w:tr>
      <w:tr w:rsidR="00D91B99" w:rsidRPr="00D30847" w14:paraId="45AD46D9" w14:textId="77777777" w:rsidTr="006A0F62">
        <w:tc>
          <w:tcPr>
            <w:tcW w:w="965" w:type="dxa"/>
            <w:shd w:val="clear" w:color="auto" w:fill="DDDDDD"/>
          </w:tcPr>
          <w:p w14:paraId="61D05ED3" w14:textId="77777777" w:rsidR="00D91B99" w:rsidRPr="00D30847" w:rsidRDefault="00D91B99" w:rsidP="00E84CD0">
            <w:pPr>
              <w:spacing w:line="240" w:lineRule="auto"/>
              <w:jc w:val="both"/>
              <w:rPr>
                <w:rFonts w:cs="Calibri"/>
                <w:b/>
                <w:sz w:val="20"/>
                <w:szCs w:val="20"/>
                <w:lang w:val="en-GB"/>
              </w:rPr>
            </w:pPr>
            <w:r w:rsidRPr="00D30847">
              <w:rPr>
                <w:rFonts w:cs="Calibri"/>
                <w:b/>
                <w:sz w:val="20"/>
                <w:szCs w:val="20"/>
                <w:lang w:val="en-GB"/>
              </w:rPr>
              <w:t>PEFA</w:t>
            </w:r>
          </w:p>
        </w:tc>
        <w:tc>
          <w:tcPr>
            <w:tcW w:w="7824" w:type="dxa"/>
            <w:shd w:val="clear" w:color="auto" w:fill="DDDDDD"/>
          </w:tcPr>
          <w:p w14:paraId="13F04E40" w14:textId="0EFC2B73" w:rsidR="00C10268" w:rsidRPr="00D30847" w:rsidRDefault="008F391C" w:rsidP="00C10268">
            <w:pPr>
              <w:spacing w:line="240" w:lineRule="auto"/>
              <w:jc w:val="both"/>
              <w:rPr>
                <w:rFonts w:cs="Calibri"/>
                <w:b/>
                <w:sz w:val="20"/>
                <w:szCs w:val="20"/>
                <w:lang w:val="en-GB"/>
              </w:rPr>
            </w:pPr>
            <w:r w:rsidRPr="00D30847">
              <w:rPr>
                <w:rFonts w:cs="Calibri"/>
                <w:b/>
                <w:sz w:val="20"/>
                <w:szCs w:val="20"/>
                <w:lang w:val="en-GB"/>
              </w:rPr>
              <w:t>PEFA North</w:t>
            </w:r>
            <w:r w:rsidR="00C10268" w:rsidRPr="00D30847">
              <w:rPr>
                <w:rFonts w:cs="Calibri"/>
                <w:b/>
                <w:sz w:val="20"/>
                <w:szCs w:val="20"/>
                <w:lang w:val="en-GB"/>
              </w:rPr>
              <w:t xml:space="preserve"> Macedonia Assessment Report (2021)</w:t>
            </w:r>
          </w:p>
          <w:p w14:paraId="04F6A85F" w14:textId="77777777" w:rsidR="00C10268" w:rsidRPr="00D30847" w:rsidRDefault="00C10268" w:rsidP="00C10268">
            <w:pPr>
              <w:spacing w:line="240" w:lineRule="auto"/>
              <w:jc w:val="both"/>
              <w:rPr>
                <w:rFonts w:cs="Calibri"/>
                <w:b/>
                <w:sz w:val="20"/>
                <w:szCs w:val="20"/>
                <w:lang w:val="en-GB"/>
              </w:rPr>
            </w:pPr>
            <w:r w:rsidRPr="00D30847">
              <w:rPr>
                <w:rFonts w:cs="Calibri"/>
                <w:b/>
                <w:sz w:val="20"/>
                <w:szCs w:val="20"/>
                <w:lang w:val="en-GB"/>
              </w:rPr>
              <w:t>Fiscal impact of policy proposals</w:t>
            </w:r>
          </w:p>
          <w:p w14:paraId="05A6040E" w14:textId="77777777" w:rsidR="00C10268" w:rsidRPr="00D30847" w:rsidRDefault="00C10268" w:rsidP="00C10268">
            <w:pPr>
              <w:spacing w:line="240" w:lineRule="auto"/>
              <w:jc w:val="both"/>
              <w:rPr>
                <w:rFonts w:cs="Calibri"/>
                <w:sz w:val="20"/>
                <w:szCs w:val="20"/>
                <w:lang w:val="en-GB"/>
              </w:rPr>
            </w:pPr>
            <w:r w:rsidRPr="00D30847">
              <w:rPr>
                <w:rFonts w:cs="Calibri"/>
                <w:sz w:val="20"/>
                <w:szCs w:val="20"/>
                <w:lang w:val="en-GB"/>
              </w:rPr>
              <w:t xml:space="preserve">As part of the Fiscal Strategy, Ministry of Finance prepares forecasts of the revenues and expenditures for the budget year and the two following years. In addition to the forecasts, а brief explanation is provided for the policy changes that are planned for the next period that can have a fiscal impact on the revenues or expenditures (e.g. reforms in the pension system, in the area of expenditures for salaries and allowances, tax reforms, etc.). </w:t>
            </w:r>
          </w:p>
          <w:p w14:paraId="4CF641C3" w14:textId="77777777" w:rsidR="00C10268" w:rsidRPr="00D30847" w:rsidRDefault="00C10268" w:rsidP="00C10268">
            <w:pPr>
              <w:spacing w:line="240" w:lineRule="auto"/>
              <w:jc w:val="both"/>
              <w:rPr>
                <w:rFonts w:cs="Calibri"/>
                <w:sz w:val="20"/>
                <w:szCs w:val="20"/>
                <w:lang w:val="en-GB"/>
              </w:rPr>
            </w:pPr>
            <w:r w:rsidRPr="00D30847">
              <w:rPr>
                <w:rFonts w:cs="Calibri"/>
                <w:sz w:val="20"/>
                <w:szCs w:val="20"/>
                <w:lang w:val="en-GB"/>
              </w:rPr>
              <w:t xml:space="preserve">Changes in the policy proposals are not explained in details and the fiscal impact is not quantified. It is noted that all changes or reforms that are foreseen in the upcoming period, are incorporated in the fiscal projections of revenues and expenditures according to the economic classification that cover the budget year and the next two fiscal years. </w:t>
            </w:r>
          </w:p>
          <w:p w14:paraId="1E45A3EB" w14:textId="77777777" w:rsidR="00C10268" w:rsidRPr="00D30847" w:rsidRDefault="00C10268" w:rsidP="00C10268">
            <w:pPr>
              <w:spacing w:line="240" w:lineRule="auto"/>
              <w:jc w:val="both"/>
              <w:rPr>
                <w:rFonts w:cs="Calibri"/>
                <w:sz w:val="20"/>
                <w:szCs w:val="20"/>
                <w:lang w:val="en-GB"/>
              </w:rPr>
            </w:pPr>
            <w:r w:rsidRPr="00D30847">
              <w:rPr>
                <w:rFonts w:cs="Calibri"/>
                <w:sz w:val="20"/>
                <w:szCs w:val="20"/>
                <w:lang w:val="en-GB"/>
              </w:rPr>
              <w:t xml:space="preserve">ERP includes detailed overview of structural reforms and the planned funding broken down by categories, which suggests the possible impact on the budget. </w:t>
            </w:r>
          </w:p>
          <w:p w14:paraId="3740A2AB" w14:textId="70AE2C2F" w:rsidR="00D91B99" w:rsidRPr="00D30847" w:rsidRDefault="00C10268" w:rsidP="00C10268">
            <w:pPr>
              <w:spacing w:line="240" w:lineRule="auto"/>
              <w:jc w:val="both"/>
              <w:rPr>
                <w:rFonts w:cs="Calibri"/>
                <w:sz w:val="20"/>
                <w:szCs w:val="20"/>
                <w:lang w:val="en-GB"/>
              </w:rPr>
            </w:pPr>
            <w:r w:rsidRPr="00D30847">
              <w:rPr>
                <w:rFonts w:cs="Calibri"/>
                <w:sz w:val="20"/>
                <w:szCs w:val="20"/>
                <w:lang w:val="en-GB"/>
              </w:rPr>
              <w:t>Since there are brief explanations of the proposed changes in revenues and expenditures, but they do not cover the next two fiscal years, and are not all quantified, the score is D.</w:t>
            </w:r>
          </w:p>
        </w:tc>
      </w:tr>
    </w:tbl>
    <w:p w14:paraId="4CE51020" w14:textId="77777777" w:rsidR="00FB6C92" w:rsidRPr="00D30847" w:rsidRDefault="00FB6C92" w:rsidP="00E84CD0">
      <w:pPr>
        <w:spacing w:line="240" w:lineRule="auto"/>
        <w:jc w:val="both"/>
        <w:rPr>
          <w:rFonts w:eastAsia="MS PGothic" w:cs="Calibri"/>
          <w:b/>
          <w:bCs/>
          <w:i/>
          <w:iCs/>
          <w:color w:val="4F81BD"/>
          <w:lang w:val="en-GB" w:eastAsia="zh-CN"/>
        </w:rPr>
      </w:pPr>
    </w:p>
    <w:p w14:paraId="042E7447" w14:textId="77777777" w:rsidR="008B435E" w:rsidRPr="00D30847" w:rsidRDefault="008B435E" w:rsidP="00E84CD0">
      <w:pPr>
        <w:spacing w:line="240" w:lineRule="auto"/>
        <w:jc w:val="both"/>
        <w:rPr>
          <w:rFonts w:eastAsia="MS PGothic" w:cs="Calibri"/>
          <w:b/>
          <w:bCs/>
          <w:i/>
          <w:iCs/>
          <w:color w:val="4F81BD"/>
          <w:lang w:val="en-GB" w:eastAsia="zh-CN"/>
        </w:rPr>
      </w:pPr>
    </w:p>
    <w:p w14:paraId="0939FC02" w14:textId="77777777" w:rsidR="008B435E" w:rsidRPr="00D30847" w:rsidRDefault="008B435E" w:rsidP="00E84CD0">
      <w:pPr>
        <w:spacing w:line="240" w:lineRule="auto"/>
        <w:jc w:val="both"/>
        <w:rPr>
          <w:rFonts w:eastAsia="MS PGothic" w:cs="Calibri"/>
          <w:b/>
          <w:bCs/>
          <w:i/>
          <w:iCs/>
          <w:color w:val="4F81BD"/>
          <w:lang w:val="en-GB" w:eastAsia="zh-CN"/>
        </w:rPr>
      </w:pPr>
    </w:p>
    <w:p w14:paraId="124FB429" w14:textId="228B1659" w:rsidR="00D91B99" w:rsidRPr="00D30847" w:rsidRDefault="00D91B99" w:rsidP="008B435E">
      <w:pPr>
        <w:spacing w:before="240"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lastRenderedPageBreak/>
        <w:t>Context / Background</w:t>
      </w:r>
    </w:p>
    <w:p w14:paraId="70614847" w14:textId="77777777" w:rsidR="008D0F3B" w:rsidRPr="00D30847" w:rsidRDefault="00A64E21" w:rsidP="008B435E">
      <w:pPr>
        <w:spacing w:before="240" w:line="240" w:lineRule="auto"/>
        <w:jc w:val="both"/>
        <w:rPr>
          <w:rFonts w:cs="Calibri"/>
          <w:lang w:val="en-GB"/>
        </w:rPr>
      </w:pPr>
      <w:r w:rsidRPr="00D30847">
        <w:rPr>
          <w:rFonts w:cs="Calibri"/>
          <w:lang w:val="en-GB"/>
        </w:rPr>
        <w:t>With a technical assistance from the World Bank, tax models have already been developed in the areas of PIT, CIT, VAT and excise duties. Nevertheless, these models remain to be fully implemented at the Ministry of Finance. At the same time, the process of training of the employees should continue.</w:t>
      </w:r>
      <w:r w:rsidRPr="00D30847">
        <w:rPr>
          <w:lang w:val="en-GB"/>
        </w:rPr>
        <w:t xml:space="preserve"> </w:t>
      </w:r>
      <w:r w:rsidRPr="00D30847">
        <w:rPr>
          <w:rFonts w:cs="Calibri"/>
          <w:lang w:val="en-GB"/>
        </w:rPr>
        <w:t>Full utilization of the tax models will significantly enhance the tax revenue forecasting capabilities of the Ministry of Finance and will serve as a valuable tool for evidence-based tax policy making.</w:t>
      </w:r>
    </w:p>
    <w:p w14:paraId="416A9AF6" w14:textId="22D2144B" w:rsidR="003B2558" w:rsidRPr="00D30847" w:rsidRDefault="003B2558" w:rsidP="008B435E">
      <w:pPr>
        <w:spacing w:before="240" w:line="240" w:lineRule="auto"/>
        <w:jc w:val="both"/>
        <w:rPr>
          <w:rFonts w:eastAsia="MS PGothic" w:cs="Calibri"/>
          <w:b/>
          <w:bCs/>
          <w:iCs/>
          <w:color w:val="0070C0"/>
          <w:lang w:val="en-GB" w:eastAsia="zh-CN"/>
        </w:rPr>
      </w:pPr>
      <w:r w:rsidRPr="00D30847">
        <w:rPr>
          <w:rFonts w:eastAsia="MS PGothic" w:cs="Calibri"/>
          <w:b/>
          <w:bCs/>
          <w:iCs/>
          <w:color w:val="0070C0"/>
          <w:lang w:val="en-GB" w:eastAsia="zh-CN"/>
        </w:rPr>
        <w:t xml:space="preserve">Activity 1:  </w:t>
      </w:r>
      <w:r w:rsidR="00A64E21" w:rsidRPr="00D30847">
        <w:rPr>
          <w:rFonts w:eastAsia="MS PGothic" w:cs="Calibri"/>
          <w:b/>
          <w:bCs/>
          <w:iCs/>
          <w:color w:val="0070C0"/>
          <w:lang w:val="en-GB" w:eastAsia="zh-CN"/>
        </w:rPr>
        <w:t>Employee training and implementation of developed tax models</w:t>
      </w:r>
    </w:p>
    <w:p w14:paraId="66E48C7C" w14:textId="74574A39" w:rsidR="00C10268" w:rsidRPr="00D30847" w:rsidRDefault="00C10268" w:rsidP="008B435E">
      <w:pPr>
        <w:spacing w:before="240" w:line="240" w:lineRule="auto"/>
        <w:jc w:val="both"/>
        <w:rPr>
          <w:rFonts w:cs="Calibri"/>
          <w:lang w:val="en-GB"/>
        </w:rPr>
      </w:pPr>
      <w:r w:rsidRPr="00D30847">
        <w:rPr>
          <w:rFonts w:cs="Calibri"/>
          <w:lang w:val="en-GB"/>
        </w:rPr>
        <w:t>The tax models developed in the areas of PIT, CIT, VAT and Excises will bring benefits only with their full installation at the Ministry of Finance, and with timely completion of training of the staff for proper and full utilization of these models in the process of revenue forecasting, simulation of tax policy changes and tax expenditure estimation and reporting</w:t>
      </w:r>
      <w:r w:rsidR="009A75CA" w:rsidRPr="00D30847">
        <w:rPr>
          <w:rFonts w:cs="Calibri"/>
          <w:lang w:val="en-GB"/>
        </w:rPr>
        <w:t>.</w:t>
      </w:r>
    </w:p>
    <w:p w14:paraId="5196C03D" w14:textId="77777777" w:rsidR="003B2558" w:rsidRPr="00D30847" w:rsidRDefault="003B2558" w:rsidP="008B435E">
      <w:pPr>
        <w:spacing w:before="240" w:line="240" w:lineRule="auto"/>
        <w:jc w:val="both"/>
        <w:rPr>
          <w:rFonts w:eastAsia="MS PGothic" w:cs="Calibri"/>
          <w:b/>
          <w:bCs/>
          <w:iCs/>
          <w:color w:val="0070C0"/>
          <w:lang w:val="en-GB" w:eastAsia="zh-CN"/>
        </w:rPr>
      </w:pPr>
      <w:r w:rsidRPr="00D30847">
        <w:rPr>
          <w:rFonts w:eastAsia="MS PGothic" w:cs="Calibri"/>
          <w:b/>
          <w:bCs/>
          <w:iCs/>
          <w:color w:val="0070C0"/>
          <w:lang w:val="en-GB" w:eastAsia="zh-CN"/>
        </w:rPr>
        <w:t>Activity 2: Extending the tax models with new modules and installation of Power BI tool</w:t>
      </w:r>
    </w:p>
    <w:p w14:paraId="1071C024" w14:textId="5A2ADA16" w:rsidR="00A64E21" w:rsidRPr="00D30847" w:rsidRDefault="00C10268" w:rsidP="008B435E">
      <w:pPr>
        <w:spacing w:before="240" w:line="240" w:lineRule="auto"/>
        <w:jc w:val="both"/>
        <w:rPr>
          <w:rFonts w:cs="Calibri"/>
          <w:lang w:val="en-GB"/>
        </w:rPr>
      </w:pPr>
      <w:r w:rsidRPr="00D30847">
        <w:rPr>
          <w:rFonts w:cs="Calibri"/>
          <w:lang w:val="en-GB"/>
        </w:rPr>
        <w:t xml:space="preserve">There is a need to extend the already developed tax models with a new module for estimating of the tax expenditures that are </w:t>
      </w:r>
      <w:r w:rsidR="00944D78" w:rsidRPr="00D30847">
        <w:rPr>
          <w:rFonts w:cs="Calibri"/>
          <w:lang w:val="en-GB"/>
        </w:rPr>
        <w:t>embedded</w:t>
      </w:r>
      <w:r w:rsidRPr="00D30847">
        <w:rPr>
          <w:rFonts w:cs="Calibri"/>
          <w:lang w:val="en-GB"/>
        </w:rPr>
        <w:t xml:space="preserve"> into the tax legislation. Such a module will help accelerate the process of cost-benefit analysis of the tax expenditures and will serve as a basis for preparing comprehensive and timely tax expenditures reporting. Installation of a Power BI tool for the different tax instruments will significantly assist the process of regular and timely monitoring of the revenue realization and of analysing any deviations with the planned tax revenues.</w:t>
      </w:r>
    </w:p>
    <w:p w14:paraId="51E90B84" w14:textId="4A072DB8" w:rsidR="00D91B99" w:rsidRPr="00D30847" w:rsidRDefault="00D91B99" w:rsidP="008B435E">
      <w:pPr>
        <w:spacing w:before="240" w:line="240" w:lineRule="auto"/>
        <w:jc w:val="both"/>
        <w:rPr>
          <w:rFonts w:cs="Calibri"/>
          <w:b/>
          <w:i/>
          <w:color w:val="0070C0"/>
          <w:lang w:val="en-GB" w:eastAsia="zh-CN"/>
        </w:rPr>
      </w:pPr>
      <w:r w:rsidRPr="00D30847">
        <w:rPr>
          <w:rFonts w:cs="Calibri"/>
          <w:b/>
          <w:i/>
          <w:color w:val="0070C0"/>
          <w:lang w:val="en-GB" w:eastAsia="zh-CN"/>
        </w:rPr>
        <w:t>Implementation</w:t>
      </w:r>
    </w:p>
    <w:tbl>
      <w:tblPr>
        <w:tblW w:w="0" w:type="auto"/>
        <w:tblBorders>
          <w:insideH w:val="single" w:sz="4" w:space="0" w:color="FFFFFF"/>
        </w:tblBorders>
        <w:tblLayout w:type="fixed"/>
        <w:tblLook w:val="0080" w:firstRow="0" w:lastRow="0" w:firstColumn="1" w:lastColumn="0" w:noHBand="0" w:noVBand="0"/>
      </w:tblPr>
      <w:tblGrid>
        <w:gridCol w:w="3119"/>
        <w:gridCol w:w="5645"/>
      </w:tblGrid>
      <w:tr w:rsidR="00D91B99" w:rsidRPr="00D30847" w14:paraId="0319818A" w14:textId="77777777" w:rsidTr="00A64926">
        <w:tc>
          <w:tcPr>
            <w:tcW w:w="3119" w:type="dxa"/>
            <w:tcBorders>
              <w:top w:val="nil"/>
              <w:bottom w:val="single" w:sz="4" w:space="0" w:color="FFFFFF"/>
            </w:tcBorders>
            <w:shd w:val="clear" w:color="auto" w:fill="002060"/>
          </w:tcPr>
          <w:p w14:paraId="746B9C98" w14:textId="235107EA" w:rsidR="00D91B99" w:rsidRPr="00D30847" w:rsidRDefault="00D91B99" w:rsidP="008B435E">
            <w:pPr>
              <w:spacing w:before="240" w:line="240" w:lineRule="auto"/>
              <w:jc w:val="both"/>
              <w:rPr>
                <w:rFonts w:cs="Calibri"/>
                <w:b/>
                <w:color w:val="FFFFFF"/>
                <w:sz w:val="20"/>
                <w:szCs w:val="20"/>
                <w:lang w:val="en-GB"/>
              </w:rPr>
            </w:pPr>
            <w:r w:rsidRPr="00D30847">
              <w:rPr>
                <w:rFonts w:cs="Calibri"/>
                <w:b/>
                <w:color w:val="FFFFFF"/>
                <w:sz w:val="20"/>
                <w:szCs w:val="20"/>
                <w:lang w:val="en-GB"/>
              </w:rPr>
              <w:t>Completed</w:t>
            </w:r>
            <w:r w:rsidR="00642D10" w:rsidRPr="00D30847">
              <w:rPr>
                <w:rFonts w:cs="Calibri"/>
                <w:b/>
                <w:color w:val="FFFFFF"/>
                <w:sz w:val="20"/>
                <w:szCs w:val="20"/>
                <w:lang w:val="en-GB"/>
              </w:rPr>
              <w:t xml:space="preserve"> </w:t>
            </w:r>
            <w:r w:rsidRPr="00D30847">
              <w:rPr>
                <w:rFonts w:cs="Calibri"/>
                <w:b/>
                <w:color w:val="FFFFFF"/>
                <w:sz w:val="20"/>
                <w:szCs w:val="20"/>
                <w:lang w:val="en-GB"/>
              </w:rPr>
              <w:t>in</w:t>
            </w:r>
            <w:r w:rsidR="00642D10" w:rsidRPr="00D30847">
              <w:rPr>
                <w:rFonts w:cs="Calibri"/>
                <w:b/>
                <w:color w:val="FFFFFF"/>
                <w:sz w:val="20"/>
                <w:szCs w:val="20"/>
                <w:lang w:val="en-GB"/>
              </w:rPr>
              <w:t xml:space="preserve"> </w:t>
            </w:r>
            <w:r w:rsidRPr="00D30847">
              <w:rPr>
                <w:rFonts w:cs="Calibri"/>
                <w:b/>
                <w:color w:val="FFFFFF"/>
                <w:sz w:val="20"/>
                <w:szCs w:val="20"/>
                <w:lang w:val="en-GB"/>
              </w:rPr>
              <w:t>year:</w:t>
            </w:r>
          </w:p>
        </w:tc>
        <w:tc>
          <w:tcPr>
            <w:tcW w:w="5645" w:type="dxa"/>
            <w:tcBorders>
              <w:top w:val="nil"/>
              <w:bottom w:val="single" w:sz="4" w:space="0" w:color="FFFFFF"/>
            </w:tcBorders>
            <w:shd w:val="clear" w:color="auto" w:fill="D9E2F3"/>
          </w:tcPr>
          <w:p w14:paraId="5F6364A9" w14:textId="5F8144F1" w:rsidR="00D91B99" w:rsidRPr="00D30847" w:rsidRDefault="00936202" w:rsidP="008B435E">
            <w:pPr>
              <w:spacing w:before="240" w:line="240" w:lineRule="auto"/>
              <w:jc w:val="both"/>
              <w:rPr>
                <w:rFonts w:cs="Calibri"/>
                <w:sz w:val="20"/>
                <w:szCs w:val="20"/>
                <w:lang w:val="en-GB"/>
              </w:rPr>
            </w:pPr>
            <w:r w:rsidRPr="00D30847">
              <w:rPr>
                <w:rFonts w:cs="Calibri"/>
                <w:sz w:val="20"/>
                <w:szCs w:val="20"/>
                <w:lang w:val="en-GB"/>
              </w:rPr>
              <w:t>202</w:t>
            </w:r>
            <w:r w:rsidR="00A64E21" w:rsidRPr="00D30847">
              <w:rPr>
                <w:rFonts w:cs="Calibri"/>
                <w:sz w:val="20"/>
                <w:szCs w:val="20"/>
                <w:lang w:val="en-GB"/>
              </w:rPr>
              <w:t>8</w:t>
            </w:r>
          </w:p>
        </w:tc>
      </w:tr>
      <w:tr w:rsidR="00D91B99" w:rsidRPr="00D30847" w14:paraId="00FC6C2E" w14:textId="77777777" w:rsidTr="00A64926">
        <w:tc>
          <w:tcPr>
            <w:tcW w:w="3119" w:type="dxa"/>
            <w:tcBorders>
              <w:top w:val="single" w:sz="4" w:space="0" w:color="FFFFFF"/>
              <w:bottom w:val="single" w:sz="4" w:space="0" w:color="FFFFFF"/>
            </w:tcBorders>
            <w:shd w:val="clear" w:color="auto" w:fill="002060"/>
          </w:tcPr>
          <w:p w14:paraId="048B2BF5" w14:textId="77777777" w:rsidR="00D91B99" w:rsidRPr="00D30847" w:rsidRDefault="00D91B99" w:rsidP="00E84CD0">
            <w:pPr>
              <w:spacing w:line="240" w:lineRule="auto"/>
              <w:jc w:val="both"/>
              <w:rPr>
                <w:rFonts w:cs="Calibri"/>
                <w:b/>
                <w:color w:val="FFFFFF"/>
                <w:sz w:val="20"/>
                <w:szCs w:val="20"/>
                <w:lang w:val="en-GB"/>
              </w:rPr>
            </w:pPr>
            <w:r w:rsidRPr="00D30847">
              <w:rPr>
                <w:rFonts w:cs="Calibri"/>
                <w:b/>
                <w:color w:val="FFFFFF"/>
                <w:sz w:val="20"/>
                <w:szCs w:val="20"/>
                <w:lang w:val="en-GB"/>
              </w:rPr>
              <w:t>Deliverables:</w:t>
            </w:r>
          </w:p>
        </w:tc>
        <w:tc>
          <w:tcPr>
            <w:tcW w:w="5645" w:type="dxa"/>
            <w:tcBorders>
              <w:top w:val="single" w:sz="4" w:space="0" w:color="FFFFFF"/>
              <w:bottom w:val="single" w:sz="4" w:space="0" w:color="FFFFFF"/>
            </w:tcBorders>
            <w:shd w:val="clear" w:color="auto" w:fill="D9E2F3"/>
          </w:tcPr>
          <w:p w14:paraId="169258BD" w14:textId="77777777" w:rsidR="00A64E21" w:rsidRPr="00D30847" w:rsidRDefault="00A64E21" w:rsidP="00A64E21">
            <w:pPr>
              <w:spacing w:after="0" w:line="240" w:lineRule="auto"/>
              <w:jc w:val="both"/>
              <w:rPr>
                <w:rFonts w:cs="Calibri"/>
                <w:sz w:val="20"/>
                <w:szCs w:val="20"/>
                <w:lang w:val="en-GB"/>
              </w:rPr>
            </w:pPr>
            <w:r w:rsidRPr="00D30847">
              <w:rPr>
                <w:rFonts w:cs="Calibri"/>
                <w:sz w:val="20"/>
                <w:szCs w:val="20"/>
                <w:lang w:val="en-GB"/>
              </w:rPr>
              <w:t>- Installed models for PIT, CIT, VAT and excise duties;</w:t>
            </w:r>
          </w:p>
          <w:p w14:paraId="07630110" w14:textId="77777777" w:rsidR="00A64E21" w:rsidRPr="00D30847" w:rsidRDefault="00A64E21" w:rsidP="00A64E21">
            <w:pPr>
              <w:spacing w:after="0" w:line="240" w:lineRule="auto"/>
              <w:jc w:val="both"/>
              <w:rPr>
                <w:rFonts w:cs="Calibri"/>
                <w:sz w:val="20"/>
                <w:szCs w:val="20"/>
                <w:lang w:val="en-GB"/>
              </w:rPr>
            </w:pPr>
            <w:r w:rsidRPr="00D30847">
              <w:rPr>
                <w:rFonts w:cs="Calibri"/>
                <w:sz w:val="20"/>
                <w:szCs w:val="20"/>
                <w:lang w:val="en-GB"/>
              </w:rPr>
              <w:t>- Built-in modules for tax expenditures in tax models;</w:t>
            </w:r>
          </w:p>
          <w:p w14:paraId="7C2C7157" w14:textId="77777777" w:rsidR="00A64E21" w:rsidRPr="00D30847" w:rsidRDefault="00A64E21" w:rsidP="00A64E21">
            <w:pPr>
              <w:spacing w:after="0" w:line="240" w:lineRule="auto"/>
              <w:jc w:val="both"/>
              <w:rPr>
                <w:rFonts w:cs="Calibri"/>
                <w:sz w:val="20"/>
                <w:szCs w:val="20"/>
                <w:lang w:val="en-GB"/>
              </w:rPr>
            </w:pPr>
            <w:r w:rsidRPr="00D30847">
              <w:rPr>
                <w:rFonts w:cs="Calibri"/>
                <w:sz w:val="20"/>
                <w:szCs w:val="20"/>
                <w:lang w:val="en-GB"/>
              </w:rPr>
              <w:t>- Installed Power BI tool for regular monitoring of tax revenues;</w:t>
            </w:r>
          </w:p>
          <w:p w14:paraId="0D90A451" w14:textId="15FEFC48" w:rsidR="00D91B99" w:rsidRPr="00D30847" w:rsidRDefault="00A64E21" w:rsidP="00C10268">
            <w:pPr>
              <w:spacing w:after="0" w:line="240" w:lineRule="auto"/>
              <w:jc w:val="both"/>
              <w:rPr>
                <w:rFonts w:cs="Calibri"/>
                <w:sz w:val="20"/>
                <w:szCs w:val="20"/>
                <w:lang w:val="en-GB"/>
              </w:rPr>
            </w:pPr>
            <w:r w:rsidRPr="00D30847">
              <w:rPr>
                <w:rFonts w:cs="Calibri"/>
                <w:sz w:val="20"/>
                <w:szCs w:val="20"/>
                <w:lang w:val="en-GB"/>
              </w:rPr>
              <w:t>- Trained employees for the proper use of tax models;</w:t>
            </w:r>
          </w:p>
        </w:tc>
      </w:tr>
      <w:tr w:rsidR="00D91B99" w:rsidRPr="00D30847" w14:paraId="37162919" w14:textId="77777777" w:rsidTr="0055298F">
        <w:trPr>
          <w:trHeight w:val="314"/>
        </w:trPr>
        <w:tc>
          <w:tcPr>
            <w:tcW w:w="3119" w:type="dxa"/>
            <w:tcBorders>
              <w:top w:val="single" w:sz="4" w:space="0" w:color="FFFFFF"/>
              <w:bottom w:val="single" w:sz="4" w:space="0" w:color="FFFFFF"/>
            </w:tcBorders>
            <w:shd w:val="clear" w:color="auto" w:fill="002060"/>
          </w:tcPr>
          <w:p w14:paraId="6ECECF64" w14:textId="2480C78B" w:rsidR="00D91B99" w:rsidRPr="00D30847" w:rsidRDefault="00D91B99" w:rsidP="00E84CD0">
            <w:pPr>
              <w:spacing w:line="240" w:lineRule="auto"/>
              <w:jc w:val="both"/>
              <w:rPr>
                <w:rFonts w:cs="Calibri"/>
                <w:b/>
                <w:color w:val="FFFFFF"/>
                <w:sz w:val="20"/>
                <w:szCs w:val="20"/>
                <w:lang w:val="en-GB"/>
              </w:rPr>
            </w:pPr>
            <w:r w:rsidRPr="00D30847">
              <w:rPr>
                <w:rFonts w:cs="Calibri"/>
                <w:b/>
                <w:color w:val="FFFFFF"/>
                <w:sz w:val="20"/>
                <w:szCs w:val="20"/>
                <w:lang w:val="en-GB"/>
              </w:rPr>
              <w:t>Costs</w:t>
            </w:r>
            <w:r w:rsidR="006E0B57" w:rsidRPr="00D30847">
              <w:rPr>
                <w:rFonts w:cs="Calibri"/>
                <w:b/>
                <w:color w:val="FFFFFF"/>
                <w:sz w:val="20"/>
                <w:szCs w:val="20"/>
                <w:lang w:val="en-GB"/>
              </w:rPr>
              <w:t xml:space="preserve"> </w:t>
            </w:r>
            <w:r w:rsidRPr="00D30847">
              <w:rPr>
                <w:rFonts w:cs="Calibri"/>
                <w:b/>
                <w:color w:val="FFFFFF"/>
                <w:sz w:val="20"/>
                <w:szCs w:val="20"/>
                <w:lang w:val="en-GB"/>
              </w:rPr>
              <w:t>implications:</w:t>
            </w:r>
          </w:p>
        </w:tc>
        <w:tc>
          <w:tcPr>
            <w:tcW w:w="5645" w:type="dxa"/>
            <w:tcBorders>
              <w:top w:val="single" w:sz="4" w:space="0" w:color="FFFFFF"/>
              <w:bottom w:val="single" w:sz="4" w:space="0" w:color="FFFFFF"/>
            </w:tcBorders>
            <w:shd w:val="clear" w:color="auto" w:fill="D9E2F3"/>
          </w:tcPr>
          <w:p w14:paraId="0EF70F64" w14:textId="72212008" w:rsidR="00D91B99" w:rsidRPr="00D30847" w:rsidRDefault="004B25EB" w:rsidP="004B25EB">
            <w:pPr>
              <w:spacing w:line="240" w:lineRule="auto"/>
              <w:jc w:val="both"/>
              <w:rPr>
                <w:rFonts w:cs="Calibri"/>
                <w:sz w:val="20"/>
                <w:szCs w:val="20"/>
                <w:lang w:val="en-GB"/>
              </w:rPr>
            </w:pPr>
            <w:r w:rsidRPr="00D30847">
              <w:rPr>
                <w:rFonts w:cs="Calibri"/>
                <w:sz w:val="20"/>
                <w:szCs w:val="20"/>
                <w:lang w:val="en-GB"/>
              </w:rPr>
              <w:t xml:space="preserve">EUR </w:t>
            </w:r>
            <w:r w:rsidR="00D91B99" w:rsidRPr="00D30847">
              <w:rPr>
                <w:rFonts w:cs="Calibri"/>
                <w:sz w:val="20"/>
                <w:szCs w:val="20"/>
                <w:lang w:val="en-GB"/>
              </w:rPr>
              <w:t>1</w:t>
            </w:r>
            <w:r w:rsidR="00A64E21" w:rsidRPr="00D30847">
              <w:rPr>
                <w:rFonts w:cs="Calibri"/>
                <w:sz w:val="20"/>
                <w:szCs w:val="20"/>
                <w:lang w:val="en-GB"/>
              </w:rPr>
              <w:t>80</w:t>
            </w:r>
            <w:r w:rsidR="00A01213" w:rsidRPr="00D30847">
              <w:rPr>
                <w:rFonts w:cs="Calibri"/>
                <w:sz w:val="20"/>
                <w:szCs w:val="20"/>
                <w:lang w:val="en-GB"/>
              </w:rPr>
              <w:t>,</w:t>
            </w:r>
            <w:r w:rsidR="00D91B99" w:rsidRPr="00D30847">
              <w:rPr>
                <w:rFonts w:cs="Calibri"/>
                <w:sz w:val="20"/>
                <w:szCs w:val="20"/>
                <w:lang w:val="en-GB"/>
              </w:rPr>
              <w:t xml:space="preserve">000 </w:t>
            </w:r>
          </w:p>
        </w:tc>
      </w:tr>
      <w:tr w:rsidR="00D91B99" w:rsidRPr="00D30847" w14:paraId="21A12AA8" w14:textId="77777777" w:rsidTr="00A64926">
        <w:tc>
          <w:tcPr>
            <w:tcW w:w="3119" w:type="dxa"/>
            <w:tcBorders>
              <w:top w:val="single" w:sz="4" w:space="0" w:color="FFFFFF"/>
              <w:bottom w:val="single" w:sz="4" w:space="0" w:color="FFFFFF"/>
            </w:tcBorders>
            <w:shd w:val="clear" w:color="auto" w:fill="002060"/>
          </w:tcPr>
          <w:p w14:paraId="68337FA4" w14:textId="7B73ED7E" w:rsidR="00D91B99" w:rsidRPr="00D30847" w:rsidRDefault="00D91B99" w:rsidP="00E84CD0">
            <w:pPr>
              <w:spacing w:line="240" w:lineRule="auto"/>
              <w:jc w:val="both"/>
              <w:rPr>
                <w:rFonts w:cs="Calibri"/>
                <w:b/>
                <w:color w:val="FFFFFF"/>
                <w:sz w:val="20"/>
                <w:szCs w:val="20"/>
                <w:lang w:val="en-GB"/>
              </w:rPr>
            </w:pPr>
            <w:r w:rsidRPr="00D30847">
              <w:rPr>
                <w:rFonts w:cs="Calibri"/>
                <w:b/>
                <w:color w:val="FFFFFF"/>
                <w:sz w:val="20"/>
                <w:szCs w:val="20"/>
                <w:lang w:val="en-GB"/>
              </w:rPr>
              <w:t>Responsible</w:t>
            </w:r>
            <w:r w:rsidR="006E0B57" w:rsidRPr="00D30847">
              <w:rPr>
                <w:rFonts w:cs="Calibri"/>
                <w:b/>
                <w:color w:val="FFFFFF"/>
                <w:sz w:val="20"/>
                <w:szCs w:val="20"/>
                <w:lang w:val="en-GB"/>
              </w:rPr>
              <w:t xml:space="preserve"> </w:t>
            </w:r>
            <w:r w:rsidRPr="00D30847">
              <w:rPr>
                <w:rFonts w:cs="Calibri"/>
                <w:b/>
                <w:color w:val="FFFFFF"/>
                <w:sz w:val="20"/>
                <w:szCs w:val="20"/>
                <w:lang w:val="en-GB"/>
              </w:rPr>
              <w:t xml:space="preserve">entity: </w:t>
            </w:r>
          </w:p>
        </w:tc>
        <w:tc>
          <w:tcPr>
            <w:tcW w:w="5645" w:type="dxa"/>
            <w:tcBorders>
              <w:top w:val="single" w:sz="4" w:space="0" w:color="FFFFFF"/>
              <w:bottom w:val="single" w:sz="4" w:space="0" w:color="FFFFFF"/>
            </w:tcBorders>
            <w:shd w:val="clear" w:color="auto" w:fill="D9E2F3"/>
          </w:tcPr>
          <w:p w14:paraId="1AB4B56F" w14:textId="02E7AEC1" w:rsidR="00D91B99" w:rsidRPr="00D30847" w:rsidRDefault="00FA0745" w:rsidP="00E84CD0">
            <w:pPr>
              <w:spacing w:line="240" w:lineRule="auto"/>
              <w:jc w:val="both"/>
              <w:rPr>
                <w:rFonts w:cs="Calibri"/>
                <w:sz w:val="20"/>
                <w:szCs w:val="20"/>
                <w:lang w:val="en-GB"/>
              </w:rPr>
            </w:pPr>
            <w:r w:rsidRPr="00D30847">
              <w:rPr>
                <w:rFonts w:cs="Calibri"/>
                <w:sz w:val="20"/>
                <w:szCs w:val="20"/>
                <w:lang w:val="en-GB"/>
              </w:rPr>
              <w:t>MoF – Public revenues and Tax and Customs Policy Department</w:t>
            </w:r>
          </w:p>
        </w:tc>
      </w:tr>
      <w:tr w:rsidR="00D91B99" w:rsidRPr="00D30847" w14:paraId="40EA4FD8" w14:textId="77777777" w:rsidTr="00560316">
        <w:trPr>
          <w:trHeight w:val="845"/>
        </w:trPr>
        <w:tc>
          <w:tcPr>
            <w:tcW w:w="3119" w:type="dxa"/>
            <w:tcBorders>
              <w:top w:val="single" w:sz="4" w:space="0" w:color="FFFFFF"/>
              <w:bottom w:val="nil"/>
            </w:tcBorders>
            <w:shd w:val="clear" w:color="auto" w:fill="002060"/>
          </w:tcPr>
          <w:p w14:paraId="3EEE45E0" w14:textId="77777777" w:rsidR="00D91B99" w:rsidRPr="00D30847" w:rsidRDefault="00D91B99" w:rsidP="00E84CD0">
            <w:pPr>
              <w:spacing w:line="240" w:lineRule="auto"/>
              <w:jc w:val="both"/>
              <w:rPr>
                <w:rFonts w:cs="Calibri"/>
                <w:b/>
                <w:color w:val="FFFFFF"/>
                <w:sz w:val="20"/>
                <w:szCs w:val="20"/>
                <w:lang w:val="en-GB"/>
              </w:rPr>
            </w:pPr>
            <w:r w:rsidRPr="00D30847">
              <w:rPr>
                <w:rFonts w:cs="Calibri"/>
                <w:b/>
                <w:color w:val="FFFFFF"/>
                <w:sz w:val="20"/>
                <w:szCs w:val="20"/>
                <w:lang w:val="en-GB"/>
              </w:rPr>
              <w:t>Risk:</w:t>
            </w:r>
          </w:p>
        </w:tc>
        <w:tc>
          <w:tcPr>
            <w:tcW w:w="5645" w:type="dxa"/>
            <w:tcBorders>
              <w:top w:val="single" w:sz="4" w:space="0" w:color="FFFFFF"/>
              <w:bottom w:val="nil"/>
            </w:tcBorders>
            <w:shd w:val="clear" w:color="auto" w:fill="D9E2F3"/>
          </w:tcPr>
          <w:p w14:paraId="604EB428" w14:textId="1F5D17D9" w:rsidR="003D47FC" w:rsidRPr="00D30847" w:rsidRDefault="003D47FC" w:rsidP="003B2558">
            <w:pPr>
              <w:spacing w:after="0" w:line="240" w:lineRule="auto"/>
              <w:jc w:val="both"/>
              <w:rPr>
                <w:rFonts w:cs="Calibri"/>
                <w:sz w:val="20"/>
                <w:szCs w:val="20"/>
                <w:lang w:val="en-GB"/>
              </w:rPr>
            </w:pPr>
            <w:r w:rsidRPr="00D30847">
              <w:rPr>
                <w:rFonts w:cs="Calibri"/>
                <w:sz w:val="20"/>
                <w:szCs w:val="20"/>
                <w:lang w:val="en-GB"/>
              </w:rPr>
              <w:t>-  Due to the complexity of the model, it is not fully operational.</w:t>
            </w:r>
          </w:p>
          <w:p w14:paraId="2918DB57" w14:textId="77777777" w:rsidR="003B2558" w:rsidRPr="00D30847" w:rsidRDefault="003B2558" w:rsidP="003B2558">
            <w:pPr>
              <w:spacing w:after="0" w:line="240" w:lineRule="auto"/>
              <w:jc w:val="both"/>
              <w:rPr>
                <w:rFonts w:cs="Calibri"/>
                <w:sz w:val="20"/>
                <w:szCs w:val="20"/>
                <w:lang w:val="en-GB"/>
              </w:rPr>
            </w:pPr>
            <w:r w:rsidRPr="00D30847">
              <w:rPr>
                <w:rFonts w:cs="Calibri"/>
                <w:sz w:val="20"/>
                <w:szCs w:val="20"/>
                <w:lang w:val="en-GB"/>
              </w:rPr>
              <w:t>- Lack of data availability for regular updating of the models with latest tax data;</w:t>
            </w:r>
          </w:p>
          <w:p w14:paraId="39A357D8" w14:textId="77777777" w:rsidR="003B2558" w:rsidRPr="00D30847" w:rsidRDefault="003B2558" w:rsidP="003B2558">
            <w:pPr>
              <w:spacing w:after="0" w:line="240" w:lineRule="auto"/>
              <w:jc w:val="both"/>
              <w:rPr>
                <w:rFonts w:cs="Calibri"/>
                <w:sz w:val="20"/>
                <w:szCs w:val="20"/>
                <w:lang w:val="en-GB"/>
              </w:rPr>
            </w:pPr>
            <w:r w:rsidRPr="00D30847">
              <w:rPr>
                <w:rFonts w:cs="Calibri"/>
                <w:sz w:val="20"/>
                <w:szCs w:val="20"/>
                <w:lang w:val="en-GB"/>
              </w:rPr>
              <w:t>- Insufficient training of the staff in fully utilizing the tax models;</w:t>
            </w:r>
          </w:p>
          <w:p w14:paraId="4A6DDEFF" w14:textId="35B6DA8D" w:rsidR="003B2558" w:rsidRPr="00D30847" w:rsidRDefault="003D47FC" w:rsidP="003B2558">
            <w:pPr>
              <w:spacing w:after="0" w:line="240" w:lineRule="auto"/>
              <w:jc w:val="both"/>
              <w:rPr>
                <w:rFonts w:cs="Calibri"/>
                <w:sz w:val="20"/>
                <w:szCs w:val="20"/>
                <w:lang w:val="en-GB"/>
              </w:rPr>
            </w:pPr>
            <w:r w:rsidRPr="00D30847">
              <w:rPr>
                <w:rFonts w:cs="Calibri"/>
                <w:sz w:val="20"/>
                <w:szCs w:val="20"/>
                <w:lang w:val="en-GB"/>
              </w:rPr>
              <w:t>-  Excessive staff turnover</w:t>
            </w:r>
          </w:p>
          <w:p w14:paraId="7410BB32" w14:textId="77777777" w:rsidR="00D91B99" w:rsidRPr="00D30847" w:rsidRDefault="003B2558" w:rsidP="003B2558">
            <w:pPr>
              <w:spacing w:after="0" w:line="240" w:lineRule="auto"/>
              <w:jc w:val="both"/>
              <w:rPr>
                <w:rFonts w:cs="Calibri"/>
                <w:sz w:val="20"/>
                <w:szCs w:val="20"/>
                <w:lang w:val="en-GB"/>
              </w:rPr>
            </w:pPr>
            <w:r w:rsidRPr="00D30847">
              <w:rPr>
                <w:rFonts w:cs="Calibri"/>
                <w:sz w:val="20"/>
                <w:szCs w:val="20"/>
                <w:lang w:val="en-GB"/>
              </w:rPr>
              <w:t>-  Internal resistance to reform processes;</w:t>
            </w:r>
          </w:p>
        </w:tc>
      </w:tr>
    </w:tbl>
    <w:p w14:paraId="7805F3D9" w14:textId="77777777" w:rsidR="00D91B99" w:rsidRPr="00D30847" w:rsidRDefault="00D91B99" w:rsidP="00E84CD0">
      <w:pPr>
        <w:spacing w:line="240" w:lineRule="auto"/>
        <w:jc w:val="both"/>
        <w:rPr>
          <w:rFonts w:cs="Calibri"/>
          <w:b/>
          <w:i/>
          <w:color w:val="2E74B5"/>
          <w:lang w:val="en-GB" w:eastAsia="zh-CN"/>
        </w:rPr>
      </w:pPr>
    </w:p>
    <w:p w14:paraId="340D6C33" w14:textId="5D66DD90" w:rsidR="00EA02D4" w:rsidRPr="00D30847" w:rsidRDefault="00C67FF9" w:rsidP="006C526B">
      <w:pPr>
        <w:pStyle w:val="Heading1"/>
        <w:spacing w:before="0" w:after="0" w:line="240" w:lineRule="auto"/>
        <w:jc w:val="both"/>
        <w:rPr>
          <w:rFonts w:ascii="Calibri" w:hAnsi="Calibri" w:cs="Calibri"/>
          <w:color w:val="2F5496"/>
          <w:sz w:val="28"/>
          <w:szCs w:val="28"/>
          <w:lang w:val="en-GB"/>
        </w:rPr>
      </w:pPr>
      <w:r w:rsidRPr="00D30847">
        <w:rPr>
          <w:rFonts w:ascii="Calibri" w:hAnsi="Calibri" w:cs="Calibri"/>
          <w:color w:val="0070C0"/>
          <w:lang w:val="en-GB"/>
        </w:rPr>
        <w:br w:type="page"/>
      </w:r>
      <w:bookmarkStart w:id="14" w:name="_Toc187841801"/>
      <w:r w:rsidR="00A64FD7" w:rsidRPr="00D30847">
        <w:rPr>
          <w:rFonts w:ascii="Calibri" w:hAnsi="Calibri" w:cs="Calibri"/>
          <w:color w:val="2F5496"/>
          <w:sz w:val="28"/>
          <w:szCs w:val="28"/>
          <w:lang w:val="en-GB"/>
        </w:rPr>
        <w:lastRenderedPageBreak/>
        <w:t>Priority 2: Economic analysis and Macroeconomic forecasting</w:t>
      </w:r>
      <w:bookmarkEnd w:id="14"/>
    </w:p>
    <w:p w14:paraId="6BD61B42" w14:textId="77777777" w:rsidR="005D0DCC" w:rsidRPr="00D30847" w:rsidRDefault="005D0DCC" w:rsidP="008B435E">
      <w:pPr>
        <w:spacing w:before="240" w:after="0" w:line="240" w:lineRule="auto"/>
        <w:jc w:val="both"/>
        <w:rPr>
          <w:rFonts w:cs="Calibri"/>
          <w:b/>
          <w:i/>
          <w:color w:val="0070C0"/>
          <w:lang w:val="en-GB" w:eastAsia="zh-CN"/>
        </w:rPr>
      </w:pPr>
      <w:r w:rsidRPr="00D30847">
        <w:rPr>
          <w:rFonts w:cs="Calibri"/>
          <w:b/>
          <w:i/>
          <w:color w:val="0070C0"/>
          <w:lang w:val="en-GB" w:eastAsia="zh-CN"/>
        </w:rPr>
        <w:t>Objective</w:t>
      </w:r>
    </w:p>
    <w:p w14:paraId="2BF63D0C" w14:textId="77777777" w:rsidR="00534056" w:rsidRPr="00D30847" w:rsidRDefault="00534056" w:rsidP="008B435E">
      <w:pPr>
        <w:spacing w:before="240" w:after="0" w:line="240" w:lineRule="auto"/>
        <w:jc w:val="both"/>
        <w:rPr>
          <w:rFonts w:eastAsia="MS PGothic" w:cs="Calibri"/>
          <w:lang w:val="en-GB" w:eastAsia="zh-CN"/>
        </w:rPr>
      </w:pPr>
      <w:r w:rsidRPr="00D30847">
        <w:rPr>
          <w:rFonts w:eastAsia="MS PGothic" w:cs="Calibri"/>
          <w:lang w:val="en-GB" w:eastAsia="zh-CN"/>
        </w:rPr>
        <w:t>The objective of this priority is to upgrade the existing macro fiscal framework and capacities for the preparation of the budget plans and forecasts. To achieve the objective, it is necessary to eliminate risks of overly optimistic growth scenarios leading to unsustainable expenditure budgeting and strengthening fiscal risks identification, monitoring, disclosure and management.</w:t>
      </w:r>
    </w:p>
    <w:p w14:paraId="354D05D3" w14:textId="550411EC" w:rsidR="00534056" w:rsidRPr="00D30847" w:rsidRDefault="00534056" w:rsidP="008B565E">
      <w:pPr>
        <w:spacing w:line="240" w:lineRule="auto"/>
        <w:jc w:val="both"/>
        <w:rPr>
          <w:rFonts w:cs="Calibri"/>
          <w:lang w:val="en-GB"/>
        </w:rPr>
      </w:pPr>
      <w:r w:rsidRPr="00D30847">
        <w:rPr>
          <w:rFonts w:eastAsia="MS PGothic" w:cs="Calibri"/>
          <w:lang w:val="en-GB" w:eastAsia="zh-CN"/>
        </w:rPr>
        <w:t>For this it is planned to conduct appropriate trainings to improve skills (Meas</w:t>
      </w:r>
      <w:r w:rsidR="00C2659E" w:rsidRPr="00D30847">
        <w:rPr>
          <w:rFonts w:eastAsia="MS PGothic" w:cs="Calibri"/>
          <w:lang w:val="en-GB" w:eastAsia="zh-CN"/>
        </w:rPr>
        <w:t>ures 1 through 3</w:t>
      </w:r>
      <w:r w:rsidRPr="00D30847">
        <w:rPr>
          <w:rFonts w:eastAsia="MS PGothic" w:cs="Calibri"/>
          <w:lang w:val="en-GB" w:eastAsia="zh-CN"/>
        </w:rPr>
        <w:t>) and build upon the existing inst</w:t>
      </w:r>
      <w:r w:rsidR="00C2659E" w:rsidRPr="00D30847">
        <w:rPr>
          <w:rFonts w:eastAsia="MS PGothic" w:cs="Calibri"/>
          <w:lang w:val="en-GB" w:eastAsia="zh-CN"/>
        </w:rPr>
        <w:t>itutional architecture (</w:t>
      </w:r>
      <w:proofErr w:type="spellStart"/>
      <w:r w:rsidR="00C2659E" w:rsidRPr="00D30847">
        <w:rPr>
          <w:rFonts w:eastAsia="MS PGothic" w:cs="Calibri"/>
          <w:lang w:val="en-GB" w:eastAsia="zh-CN"/>
        </w:rPr>
        <w:t>Measurе</w:t>
      </w:r>
      <w:proofErr w:type="spellEnd"/>
      <w:r w:rsidR="00C2659E" w:rsidRPr="00D30847">
        <w:rPr>
          <w:rFonts w:eastAsia="MS PGothic" w:cs="Calibri"/>
          <w:lang w:val="en-GB" w:eastAsia="zh-CN"/>
        </w:rPr>
        <w:t xml:space="preserve"> 3</w:t>
      </w:r>
      <w:r w:rsidRPr="00D30847">
        <w:rPr>
          <w:rFonts w:eastAsia="MS PGothic" w:cs="Calibri"/>
          <w:lang w:val="en-GB" w:eastAsia="zh-CN"/>
        </w:rPr>
        <w:t xml:space="preserve">). </w:t>
      </w:r>
      <w:r w:rsidRPr="00D30847">
        <w:rPr>
          <w:rFonts w:cs="Calibri"/>
          <w:lang w:val="en-GB"/>
        </w:rPr>
        <w:t>More specifically, the ob</w:t>
      </w:r>
      <w:r w:rsidRPr="00D30847">
        <w:rPr>
          <w:rFonts w:eastAsia="MS PGothic" w:cs="Calibri"/>
          <w:lang w:val="en-GB" w:eastAsia="zh-CN"/>
        </w:rPr>
        <w:t>jective of Priority 2 will be achieved through the following measures and activities:</w:t>
      </w:r>
    </w:p>
    <w:tbl>
      <w:tblPr>
        <w:tblW w:w="8974" w:type="dxa"/>
        <w:jc w:val="center"/>
        <w:tblLayout w:type="fixed"/>
        <w:tblLook w:val="01E0" w:firstRow="1" w:lastRow="1" w:firstColumn="1" w:lastColumn="1" w:noHBand="0" w:noVBand="0"/>
      </w:tblPr>
      <w:tblGrid>
        <w:gridCol w:w="1724"/>
        <w:gridCol w:w="7250"/>
      </w:tblGrid>
      <w:tr w:rsidR="005D0DCC" w:rsidRPr="00D30847" w14:paraId="7D2C5804" w14:textId="77777777" w:rsidTr="005646E2">
        <w:trPr>
          <w:trHeight w:val="322"/>
          <w:jc w:val="center"/>
        </w:trPr>
        <w:tc>
          <w:tcPr>
            <w:tcW w:w="1724" w:type="dxa"/>
            <w:shd w:val="clear" w:color="auto" w:fill="auto"/>
            <w:vAlign w:val="center"/>
          </w:tcPr>
          <w:p w14:paraId="2FCE26E2" w14:textId="77777777" w:rsidR="005D0DCC" w:rsidRPr="00D30847" w:rsidRDefault="005D0DCC" w:rsidP="00E94E7F">
            <w:pPr>
              <w:spacing w:line="240" w:lineRule="auto"/>
              <w:ind w:right="-195"/>
              <w:jc w:val="both"/>
              <w:rPr>
                <w:rFonts w:cs="Calibri"/>
                <w:b/>
                <w:lang w:val="en-GB"/>
              </w:rPr>
            </w:pPr>
            <w:r w:rsidRPr="00D30847">
              <w:rPr>
                <w:rFonts w:cs="Calibri"/>
                <w:b/>
                <w:lang w:val="en-GB"/>
              </w:rPr>
              <w:t>Measure 1</w:t>
            </w:r>
            <w:r w:rsidR="005B0C60" w:rsidRPr="00D30847">
              <w:rPr>
                <w:rFonts w:cs="Calibri"/>
                <w:b/>
                <w:lang w:val="en-GB"/>
              </w:rPr>
              <w:t>:</w:t>
            </w:r>
          </w:p>
        </w:tc>
        <w:tc>
          <w:tcPr>
            <w:tcW w:w="7250" w:type="dxa"/>
            <w:shd w:val="clear" w:color="auto" w:fill="auto"/>
            <w:vAlign w:val="center"/>
          </w:tcPr>
          <w:p w14:paraId="12B67828" w14:textId="77777777" w:rsidR="005D0DCC" w:rsidRPr="00D30847" w:rsidRDefault="005D0DCC" w:rsidP="00E94E7F">
            <w:pPr>
              <w:spacing w:line="240" w:lineRule="auto"/>
              <w:ind w:right="-195"/>
              <w:jc w:val="both"/>
              <w:rPr>
                <w:rFonts w:cs="Calibri"/>
                <w:b/>
                <w:lang w:val="en-GB"/>
              </w:rPr>
            </w:pPr>
            <w:r w:rsidRPr="00D30847">
              <w:rPr>
                <w:rFonts w:cs="Calibri"/>
                <w:b/>
                <w:lang w:val="en-GB"/>
              </w:rPr>
              <w:t xml:space="preserve">Capacity building for economic analyses </w:t>
            </w:r>
          </w:p>
        </w:tc>
      </w:tr>
      <w:tr w:rsidR="005D0DCC" w:rsidRPr="00D30847" w14:paraId="6243B36D" w14:textId="77777777" w:rsidTr="005646E2">
        <w:trPr>
          <w:trHeight w:val="322"/>
          <w:jc w:val="center"/>
        </w:trPr>
        <w:tc>
          <w:tcPr>
            <w:tcW w:w="1724" w:type="dxa"/>
            <w:shd w:val="clear" w:color="auto" w:fill="auto"/>
            <w:vAlign w:val="center"/>
          </w:tcPr>
          <w:p w14:paraId="29398837" w14:textId="77777777" w:rsidR="005D0DCC" w:rsidRPr="00D30847" w:rsidRDefault="005D0DCC" w:rsidP="00E94E7F">
            <w:pPr>
              <w:spacing w:line="240" w:lineRule="auto"/>
              <w:ind w:right="-195"/>
              <w:jc w:val="both"/>
              <w:rPr>
                <w:rFonts w:cs="Calibri"/>
                <w:lang w:val="en-GB"/>
              </w:rPr>
            </w:pPr>
            <w:r w:rsidRPr="00D30847">
              <w:rPr>
                <w:rFonts w:cs="Calibri"/>
                <w:lang w:val="en-GB"/>
              </w:rPr>
              <w:t>Activity 1:</w:t>
            </w:r>
          </w:p>
        </w:tc>
        <w:tc>
          <w:tcPr>
            <w:tcW w:w="7250" w:type="dxa"/>
            <w:shd w:val="clear" w:color="auto" w:fill="auto"/>
            <w:vAlign w:val="center"/>
          </w:tcPr>
          <w:p w14:paraId="1F2B7C13" w14:textId="77777777" w:rsidR="005D0DCC" w:rsidRPr="00D30847" w:rsidRDefault="005D0DCC" w:rsidP="00E94E7F">
            <w:pPr>
              <w:spacing w:line="240" w:lineRule="auto"/>
              <w:ind w:right="-195"/>
              <w:jc w:val="both"/>
              <w:rPr>
                <w:rFonts w:cs="Calibri"/>
                <w:lang w:val="en-GB"/>
              </w:rPr>
            </w:pPr>
            <w:r w:rsidRPr="00D30847">
              <w:rPr>
                <w:rFonts w:cs="Calibri"/>
                <w:lang w:val="en-GB"/>
              </w:rPr>
              <w:t>Increasing the scope of economic analyses</w:t>
            </w:r>
            <w:r w:rsidR="00CF6FC1" w:rsidRPr="00D30847">
              <w:rPr>
                <w:rFonts w:cs="Calibri"/>
                <w:lang w:val="en-GB"/>
              </w:rPr>
              <w:t>;</w:t>
            </w:r>
          </w:p>
        </w:tc>
      </w:tr>
      <w:tr w:rsidR="005D0DCC" w:rsidRPr="00D30847" w14:paraId="5B1B16B1" w14:textId="77777777" w:rsidTr="005646E2">
        <w:trPr>
          <w:trHeight w:val="331"/>
          <w:jc w:val="center"/>
        </w:trPr>
        <w:tc>
          <w:tcPr>
            <w:tcW w:w="1724" w:type="dxa"/>
            <w:shd w:val="clear" w:color="auto" w:fill="auto"/>
            <w:vAlign w:val="center"/>
          </w:tcPr>
          <w:p w14:paraId="5A474439" w14:textId="77777777" w:rsidR="005D0DCC" w:rsidRPr="00D30847" w:rsidRDefault="005D0DCC" w:rsidP="00E94E7F">
            <w:pPr>
              <w:spacing w:line="240" w:lineRule="auto"/>
              <w:ind w:right="-195"/>
              <w:jc w:val="both"/>
              <w:rPr>
                <w:rFonts w:cs="Calibri"/>
                <w:lang w:val="en-GB"/>
              </w:rPr>
            </w:pPr>
            <w:r w:rsidRPr="00D30847">
              <w:rPr>
                <w:rFonts w:cs="Calibri"/>
                <w:lang w:val="en-GB"/>
              </w:rPr>
              <w:t>Activity 2:</w:t>
            </w:r>
          </w:p>
        </w:tc>
        <w:tc>
          <w:tcPr>
            <w:tcW w:w="7250" w:type="dxa"/>
            <w:shd w:val="clear" w:color="auto" w:fill="auto"/>
            <w:vAlign w:val="center"/>
          </w:tcPr>
          <w:p w14:paraId="7B11208F" w14:textId="77777777" w:rsidR="005D0DCC" w:rsidRPr="00D30847" w:rsidRDefault="005D0DCC" w:rsidP="00E94E7F">
            <w:pPr>
              <w:spacing w:line="240" w:lineRule="auto"/>
              <w:ind w:right="-195"/>
              <w:jc w:val="both"/>
              <w:rPr>
                <w:rFonts w:cs="Calibri"/>
                <w:lang w:val="en-GB"/>
              </w:rPr>
            </w:pPr>
            <w:r w:rsidRPr="00D30847">
              <w:rPr>
                <w:rFonts w:cs="Calibri"/>
                <w:lang w:val="en-GB"/>
              </w:rPr>
              <w:t>Economic policy impact assessment</w:t>
            </w:r>
            <w:r w:rsidR="00CF6FC1" w:rsidRPr="00D30847">
              <w:rPr>
                <w:rFonts w:cs="Calibri"/>
                <w:lang w:val="en-GB"/>
              </w:rPr>
              <w:t>;</w:t>
            </w:r>
          </w:p>
        </w:tc>
      </w:tr>
      <w:tr w:rsidR="005D0DCC" w:rsidRPr="00D30847" w14:paraId="252A1B5F" w14:textId="77777777" w:rsidTr="005646E2">
        <w:trPr>
          <w:trHeight w:val="322"/>
          <w:jc w:val="center"/>
        </w:trPr>
        <w:tc>
          <w:tcPr>
            <w:tcW w:w="1724" w:type="dxa"/>
            <w:shd w:val="clear" w:color="auto" w:fill="auto"/>
            <w:vAlign w:val="center"/>
          </w:tcPr>
          <w:p w14:paraId="3942712C" w14:textId="77777777" w:rsidR="005D0DCC" w:rsidRPr="00D30847" w:rsidRDefault="005D0DCC" w:rsidP="00E94E7F">
            <w:pPr>
              <w:spacing w:line="240" w:lineRule="auto"/>
              <w:ind w:right="-195"/>
              <w:jc w:val="both"/>
              <w:rPr>
                <w:rFonts w:cs="Calibri"/>
                <w:b/>
                <w:lang w:val="en-GB"/>
              </w:rPr>
            </w:pPr>
            <w:r w:rsidRPr="00D30847">
              <w:rPr>
                <w:rFonts w:cs="Calibri"/>
                <w:b/>
                <w:lang w:val="en-GB"/>
              </w:rPr>
              <w:t>Measure 2</w:t>
            </w:r>
            <w:r w:rsidR="005B0C60" w:rsidRPr="00D30847">
              <w:rPr>
                <w:rFonts w:cs="Calibri"/>
                <w:b/>
                <w:lang w:val="en-GB"/>
              </w:rPr>
              <w:t>:</w:t>
            </w:r>
          </w:p>
        </w:tc>
        <w:tc>
          <w:tcPr>
            <w:tcW w:w="7250" w:type="dxa"/>
            <w:shd w:val="clear" w:color="auto" w:fill="auto"/>
            <w:vAlign w:val="center"/>
          </w:tcPr>
          <w:p w14:paraId="44FC7BE7" w14:textId="77777777" w:rsidR="005D0DCC" w:rsidRPr="00D30847" w:rsidRDefault="005D0DCC" w:rsidP="00E94E7F">
            <w:pPr>
              <w:spacing w:line="240" w:lineRule="auto"/>
              <w:ind w:right="-195"/>
              <w:jc w:val="both"/>
              <w:rPr>
                <w:rFonts w:cs="Calibri"/>
                <w:b/>
                <w:lang w:val="en-GB"/>
              </w:rPr>
            </w:pPr>
            <w:r w:rsidRPr="00D30847">
              <w:rPr>
                <w:rFonts w:cs="Calibri"/>
                <w:b/>
                <w:lang w:val="en-GB"/>
              </w:rPr>
              <w:t>Developing new macroeconomic models</w:t>
            </w:r>
          </w:p>
        </w:tc>
      </w:tr>
      <w:tr w:rsidR="005D0DCC" w:rsidRPr="00D30847" w14:paraId="12DDEE92" w14:textId="77777777" w:rsidTr="005646E2">
        <w:trPr>
          <w:trHeight w:val="322"/>
          <w:jc w:val="center"/>
        </w:trPr>
        <w:tc>
          <w:tcPr>
            <w:tcW w:w="1724" w:type="dxa"/>
            <w:shd w:val="clear" w:color="auto" w:fill="auto"/>
            <w:vAlign w:val="center"/>
          </w:tcPr>
          <w:p w14:paraId="5B68C5CE" w14:textId="77777777" w:rsidR="005D0DCC" w:rsidRPr="00D30847" w:rsidRDefault="005D0DCC" w:rsidP="00E94E7F">
            <w:pPr>
              <w:spacing w:line="240" w:lineRule="auto"/>
              <w:ind w:right="-195"/>
              <w:jc w:val="both"/>
              <w:rPr>
                <w:rFonts w:cs="Calibri"/>
                <w:lang w:val="en-GB"/>
              </w:rPr>
            </w:pPr>
            <w:r w:rsidRPr="00D30847">
              <w:rPr>
                <w:rFonts w:cs="Calibri"/>
                <w:lang w:val="en-GB"/>
              </w:rPr>
              <w:t>Activity 1:</w:t>
            </w:r>
          </w:p>
        </w:tc>
        <w:tc>
          <w:tcPr>
            <w:tcW w:w="7250" w:type="dxa"/>
            <w:shd w:val="clear" w:color="auto" w:fill="auto"/>
            <w:vAlign w:val="center"/>
          </w:tcPr>
          <w:p w14:paraId="5D7955D0" w14:textId="77777777" w:rsidR="005D0DCC" w:rsidRPr="00D30847" w:rsidRDefault="005D0DCC" w:rsidP="00E94E7F">
            <w:pPr>
              <w:spacing w:line="240" w:lineRule="auto"/>
              <w:ind w:right="-195"/>
              <w:jc w:val="both"/>
              <w:rPr>
                <w:rFonts w:cs="Calibri"/>
                <w:lang w:val="en-GB"/>
              </w:rPr>
            </w:pPr>
            <w:r w:rsidRPr="00D30847">
              <w:rPr>
                <w:rFonts w:cs="Calibri"/>
                <w:lang w:val="en-GB"/>
              </w:rPr>
              <w:t>Developing macroeconomic forecasting tool</w:t>
            </w:r>
            <w:r w:rsidR="005B2203" w:rsidRPr="00D30847">
              <w:rPr>
                <w:rFonts w:cs="Calibri"/>
                <w:lang w:val="en-GB"/>
              </w:rPr>
              <w:t>s</w:t>
            </w:r>
            <w:r w:rsidR="00CF6FC1" w:rsidRPr="00D30847">
              <w:rPr>
                <w:rFonts w:cs="Calibri"/>
                <w:lang w:val="en-GB"/>
              </w:rPr>
              <w:t>;</w:t>
            </w:r>
          </w:p>
        </w:tc>
      </w:tr>
      <w:tr w:rsidR="005D0DCC" w:rsidRPr="00D30847" w14:paraId="32E659B7" w14:textId="77777777" w:rsidTr="005646E2">
        <w:trPr>
          <w:trHeight w:val="322"/>
          <w:jc w:val="center"/>
        </w:trPr>
        <w:tc>
          <w:tcPr>
            <w:tcW w:w="1724" w:type="dxa"/>
            <w:shd w:val="clear" w:color="auto" w:fill="auto"/>
            <w:vAlign w:val="center"/>
          </w:tcPr>
          <w:p w14:paraId="671620FE" w14:textId="77777777" w:rsidR="005D0DCC" w:rsidRPr="00D30847" w:rsidRDefault="005D0DCC" w:rsidP="00E94E7F">
            <w:pPr>
              <w:spacing w:line="240" w:lineRule="auto"/>
              <w:ind w:right="-195"/>
              <w:jc w:val="both"/>
              <w:rPr>
                <w:rFonts w:cs="Calibri"/>
                <w:b/>
                <w:lang w:val="en-GB"/>
              </w:rPr>
            </w:pPr>
            <w:r w:rsidRPr="00D30847">
              <w:rPr>
                <w:rFonts w:cs="Calibri"/>
                <w:b/>
                <w:lang w:val="en-GB"/>
              </w:rPr>
              <w:t>Measure 3</w:t>
            </w:r>
            <w:r w:rsidR="005B0C60" w:rsidRPr="00D30847">
              <w:rPr>
                <w:rFonts w:cs="Calibri"/>
                <w:b/>
                <w:lang w:val="en-GB"/>
              </w:rPr>
              <w:t>:</w:t>
            </w:r>
          </w:p>
        </w:tc>
        <w:tc>
          <w:tcPr>
            <w:tcW w:w="7250" w:type="dxa"/>
            <w:shd w:val="clear" w:color="auto" w:fill="auto"/>
            <w:vAlign w:val="center"/>
          </w:tcPr>
          <w:p w14:paraId="56FC94D3" w14:textId="77777777" w:rsidR="005D0DCC" w:rsidRPr="00D30847" w:rsidRDefault="005D0DCC" w:rsidP="00E94E7F">
            <w:pPr>
              <w:spacing w:line="240" w:lineRule="auto"/>
              <w:ind w:right="-195"/>
              <w:jc w:val="both"/>
              <w:rPr>
                <w:rFonts w:cs="Calibri"/>
                <w:b/>
                <w:lang w:val="en-GB"/>
              </w:rPr>
            </w:pPr>
            <w:r w:rsidRPr="00D30847">
              <w:rPr>
                <w:rFonts w:cs="Calibri"/>
                <w:b/>
                <w:lang w:val="en-GB"/>
              </w:rPr>
              <w:t>Fiscal risks</w:t>
            </w:r>
          </w:p>
        </w:tc>
      </w:tr>
      <w:tr w:rsidR="005D0DCC" w:rsidRPr="00D30847" w14:paraId="7E0B0923" w14:textId="77777777" w:rsidTr="005646E2">
        <w:trPr>
          <w:trHeight w:val="520"/>
          <w:jc w:val="center"/>
        </w:trPr>
        <w:tc>
          <w:tcPr>
            <w:tcW w:w="1724" w:type="dxa"/>
            <w:shd w:val="clear" w:color="auto" w:fill="auto"/>
            <w:vAlign w:val="center"/>
          </w:tcPr>
          <w:p w14:paraId="4A0C8D02" w14:textId="77777777" w:rsidR="005D0DCC" w:rsidRPr="00D30847" w:rsidRDefault="005D0DCC" w:rsidP="00E94E7F">
            <w:pPr>
              <w:spacing w:line="240" w:lineRule="auto"/>
              <w:ind w:right="-195"/>
              <w:jc w:val="both"/>
              <w:rPr>
                <w:rFonts w:cs="Calibri"/>
                <w:b/>
                <w:lang w:val="en-GB"/>
              </w:rPr>
            </w:pPr>
            <w:r w:rsidRPr="00D30847">
              <w:rPr>
                <w:rFonts w:cs="Calibri"/>
                <w:lang w:val="en-GB"/>
              </w:rPr>
              <w:t>Activity 1:</w:t>
            </w:r>
          </w:p>
        </w:tc>
        <w:tc>
          <w:tcPr>
            <w:tcW w:w="7250" w:type="dxa"/>
            <w:shd w:val="clear" w:color="auto" w:fill="auto"/>
            <w:vAlign w:val="center"/>
          </w:tcPr>
          <w:p w14:paraId="5E8A6329" w14:textId="7BFD6473" w:rsidR="005D0DCC" w:rsidRPr="00D30847" w:rsidRDefault="00557927" w:rsidP="00E94E7F">
            <w:pPr>
              <w:spacing w:line="240" w:lineRule="auto"/>
              <w:ind w:right="-195"/>
              <w:jc w:val="both"/>
              <w:rPr>
                <w:rFonts w:cs="Calibri"/>
                <w:lang w:val="en-GB"/>
              </w:rPr>
            </w:pPr>
            <w:r w:rsidRPr="00D30847">
              <w:rPr>
                <w:rFonts w:cs="Calibri"/>
                <w:lang w:val="en-GB"/>
              </w:rPr>
              <w:t>Implementation of a plan with activities to strengthen the capacities for fiscal risks analyses in line with FAD/IMF</w:t>
            </w:r>
          </w:p>
        </w:tc>
      </w:tr>
      <w:tr w:rsidR="005D0DCC" w:rsidRPr="00D30847" w14:paraId="0C8AECAA" w14:textId="77777777" w:rsidTr="005646E2">
        <w:trPr>
          <w:trHeight w:val="509"/>
          <w:jc w:val="center"/>
        </w:trPr>
        <w:tc>
          <w:tcPr>
            <w:tcW w:w="1724" w:type="dxa"/>
            <w:shd w:val="clear" w:color="auto" w:fill="auto"/>
            <w:vAlign w:val="center"/>
          </w:tcPr>
          <w:p w14:paraId="086A7D7A" w14:textId="77777777" w:rsidR="005D0DCC" w:rsidRPr="00D30847" w:rsidRDefault="005D0DCC" w:rsidP="00E94E7F">
            <w:pPr>
              <w:spacing w:line="240" w:lineRule="auto"/>
              <w:ind w:right="-195"/>
              <w:jc w:val="both"/>
              <w:rPr>
                <w:rFonts w:cs="Calibri"/>
                <w:b/>
                <w:lang w:val="en-GB"/>
              </w:rPr>
            </w:pPr>
            <w:r w:rsidRPr="00D30847">
              <w:rPr>
                <w:rFonts w:cs="Calibri"/>
                <w:lang w:val="en-GB"/>
              </w:rPr>
              <w:t>Activity 2:</w:t>
            </w:r>
          </w:p>
        </w:tc>
        <w:tc>
          <w:tcPr>
            <w:tcW w:w="7250" w:type="dxa"/>
            <w:shd w:val="clear" w:color="auto" w:fill="auto"/>
            <w:vAlign w:val="center"/>
          </w:tcPr>
          <w:p w14:paraId="785C6B3D" w14:textId="34DBDF03" w:rsidR="005D0DCC" w:rsidRPr="00D30847" w:rsidRDefault="00557927" w:rsidP="00E94E7F">
            <w:pPr>
              <w:spacing w:line="240" w:lineRule="auto"/>
              <w:ind w:right="-195"/>
              <w:jc w:val="both"/>
              <w:rPr>
                <w:rFonts w:cs="Calibri"/>
                <w:lang w:val="en-GB"/>
              </w:rPr>
            </w:pPr>
            <w:r w:rsidRPr="00D30847">
              <w:rPr>
                <w:rFonts w:cs="Calibri"/>
                <w:lang w:val="en-GB"/>
              </w:rPr>
              <w:t>Development of a Fiscal Risk Registry and Promotion of Institutional Framework according to the best regional and EU practices</w:t>
            </w:r>
          </w:p>
        </w:tc>
      </w:tr>
    </w:tbl>
    <w:p w14:paraId="0A4AB120" w14:textId="77777777" w:rsidR="005D0DCC" w:rsidRPr="00D30847" w:rsidRDefault="005D0DCC" w:rsidP="005646E2">
      <w:pPr>
        <w:spacing w:before="240" w:line="240" w:lineRule="auto"/>
        <w:jc w:val="both"/>
        <w:rPr>
          <w:rFonts w:cs="Calibri"/>
          <w:b/>
          <w:i/>
          <w:color w:val="0070C0"/>
          <w:lang w:val="en-GB" w:eastAsia="zh-CN"/>
        </w:rPr>
      </w:pPr>
      <w:r w:rsidRPr="00D30847">
        <w:rPr>
          <w:rFonts w:cs="Calibri"/>
          <w:b/>
          <w:i/>
          <w:color w:val="0070C0"/>
          <w:lang w:val="en-GB" w:eastAsia="zh-CN"/>
        </w:rPr>
        <w:t>Outcome</w:t>
      </w:r>
      <w:r w:rsidR="00E971C8" w:rsidRPr="00D30847">
        <w:rPr>
          <w:rFonts w:cs="Calibri"/>
          <w:b/>
          <w:i/>
          <w:color w:val="0070C0"/>
          <w:lang w:val="en-GB" w:eastAsia="zh-CN"/>
        </w:rPr>
        <w:t>s</w:t>
      </w:r>
    </w:p>
    <w:p w14:paraId="4D2C1376" w14:textId="05E6EBA8" w:rsidR="00CB6C26" w:rsidRPr="00D30847" w:rsidRDefault="00534056" w:rsidP="005646E2">
      <w:pPr>
        <w:spacing w:before="240" w:line="240" w:lineRule="auto"/>
        <w:jc w:val="both"/>
        <w:rPr>
          <w:rFonts w:cs="Calibri"/>
          <w:lang w:val="en-GB"/>
        </w:rPr>
      </w:pPr>
      <w:r w:rsidRPr="00D30847">
        <w:rPr>
          <w:rFonts w:cs="Calibri"/>
          <w:lang w:val="en-GB"/>
        </w:rPr>
        <w:t>The outcom</w:t>
      </w:r>
      <w:r w:rsidR="002D5E77" w:rsidRPr="00D30847">
        <w:rPr>
          <w:rFonts w:cs="Calibri"/>
          <w:lang w:val="en-GB"/>
        </w:rPr>
        <w:t>e of the realization of the three</w:t>
      </w:r>
      <w:r w:rsidRPr="00D30847">
        <w:rPr>
          <w:rFonts w:cs="Calibri"/>
          <w:lang w:val="en-GB"/>
        </w:rPr>
        <w:t xml:space="preserve"> measures will result in improvement in the preparation and implementation of the fiscal policies.  By providing access to improved assessments of the fiscal risks, the policy makers will be in position to better plan and manage the fiscal expenditures of the country. Thus adequate capacities will be built within MoF and other institutions to detect, monitor and mitigate fiscal risks. Finally, by implementing the reform activities stated in this report the public institutions will retain professional and trained staff which is one of the requirements as a</w:t>
      </w:r>
      <w:r w:rsidR="0061055F" w:rsidRPr="00D30847">
        <w:rPr>
          <w:rFonts w:cs="Calibri"/>
          <w:lang w:val="en-GB"/>
        </w:rPr>
        <w:t xml:space="preserve">n </w:t>
      </w:r>
      <w:r w:rsidRPr="00D30847">
        <w:rPr>
          <w:rFonts w:cs="Calibri"/>
          <w:lang w:val="en-GB"/>
        </w:rPr>
        <w:t>EU candidate country. This will also contribute towards improved planning and budgeting processes by ensuring unbiased and realistic forecasts of GDP and budget expenditures and revenues.</w:t>
      </w:r>
    </w:p>
    <w:p w14:paraId="6F6E9C63" w14:textId="77777777" w:rsidR="003B733F" w:rsidRPr="00D30847" w:rsidRDefault="005D0DCC" w:rsidP="005646E2">
      <w:pPr>
        <w:spacing w:before="240" w:line="240" w:lineRule="auto"/>
        <w:jc w:val="both"/>
        <w:rPr>
          <w:rFonts w:cs="Calibri"/>
          <w:b/>
          <w:i/>
          <w:color w:val="0070C0"/>
          <w:lang w:val="en-GB" w:eastAsia="zh-CN"/>
        </w:rPr>
      </w:pPr>
      <w:r w:rsidRPr="00D30847">
        <w:rPr>
          <w:rFonts w:cs="Calibri"/>
          <w:b/>
          <w:i/>
          <w:color w:val="0070C0"/>
          <w:lang w:val="en-GB" w:eastAsia="zh-CN"/>
        </w:rPr>
        <w:t>Outcome Indicator</w:t>
      </w:r>
      <w:r w:rsidR="00E971C8" w:rsidRPr="00D30847">
        <w:rPr>
          <w:rFonts w:cs="Calibri"/>
          <w:b/>
          <w:i/>
          <w:color w:val="0070C0"/>
          <w:lang w:val="en-GB" w:eastAsia="zh-CN"/>
        </w:rPr>
        <w:t>s</w:t>
      </w:r>
    </w:p>
    <w:p w14:paraId="01726DB7" w14:textId="77777777" w:rsidR="005F3447" w:rsidRPr="00D30847" w:rsidRDefault="005F3447" w:rsidP="005646E2">
      <w:pPr>
        <w:numPr>
          <w:ilvl w:val="0"/>
          <w:numId w:val="53"/>
        </w:numPr>
        <w:spacing w:line="240" w:lineRule="auto"/>
        <w:jc w:val="both"/>
        <w:rPr>
          <w:rFonts w:eastAsia="MS PGothic" w:cs="Calibri"/>
          <w:lang w:val="en-GB" w:eastAsia="zh-CN"/>
        </w:rPr>
      </w:pPr>
      <w:r w:rsidRPr="00D30847">
        <w:rPr>
          <w:rFonts w:eastAsia="MS PGothic" w:cs="Calibri"/>
          <w:lang w:val="en-GB" w:eastAsia="zh-CN"/>
        </w:rPr>
        <w:t>Deviation between realised and forecasted GDP</w:t>
      </w:r>
    </w:p>
    <w:p w14:paraId="1DE7C0C0" w14:textId="77777777" w:rsidR="005F3447" w:rsidRPr="00D30847" w:rsidRDefault="005F3447" w:rsidP="005646E2">
      <w:pPr>
        <w:numPr>
          <w:ilvl w:val="0"/>
          <w:numId w:val="53"/>
        </w:numPr>
        <w:spacing w:line="240" w:lineRule="auto"/>
        <w:jc w:val="both"/>
        <w:rPr>
          <w:rFonts w:eastAsia="MS PGothic" w:cs="Calibri"/>
          <w:lang w:val="en-GB" w:eastAsia="zh-CN"/>
        </w:rPr>
      </w:pPr>
      <w:r w:rsidRPr="00D30847">
        <w:rPr>
          <w:rFonts w:eastAsia="MS PGothic" w:cs="Calibri"/>
          <w:lang w:val="en-GB" w:eastAsia="zh-CN"/>
        </w:rPr>
        <w:t>Deviation between actual and budgeted expenditures for specified risk-prone expenditures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F004A4" w:rsidRPr="00D30847" w14:paraId="3ADC11A9" w14:textId="77777777" w:rsidTr="006A4DA6">
        <w:trPr>
          <w:trHeight w:val="395"/>
        </w:trPr>
        <w:tc>
          <w:tcPr>
            <w:tcW w:w="4508" w:type="dxa"/>
            <w:shd w:val="clear" w:color="auto" w:fill="E8E8E8"/>
          </w:tcPr>
          <w:p w14:paraId="5EDA533A" w14:textId="782696F8" w:rsidR="00F004A4" w:rsidRPr="00D30847" w:rsidRDefault="00F004A4" w:rsidP="002B77A4">
            <w:pPr>
              <w:spacing w:line="240" w:lineRule="auto"/>
              <w:jc w:val="both"/>
              <w:rPr>
                <w:rFonts w:asciiTheme="minorHAnsi" w:eastAsia="Times New Roman" w:hAnsiTheme="minorHAnsi" w:cs="Calibri"/>
                <w:b/>
                <w:bCs/>
                <w:i/>
                <w:iCs/>
                <w:color w:val="202124"/>
                <w:sz w:val="20"/>
                <w:szCs w:val="20"/>
                <w:lang w:val="en-GB"/>
              </w:rPr>
            </w:pPr>
            <w:r w:rsidRPr="00D30847">
              <w:rPr>
                <w:rFonts w:asciiTheme="minorHAnsi" w:eastAsia="Times New Roman" w:hAnsiTheme="minorHAnsi" w:cs="Calibri"/>
                <w:b/>
                <w:bCs/>
                <w:i/>
                <w:iCs/>
                <w:color w:val="202124"/>
                <w:sz w:val="20"/>
                <w:szCs w:val="20"/>
                <w:lang w:val="en-GB"/>
              </w:rPr>
              <w:t>Baseline 202</w:t>
            </w:r>
            <w:r w:rsidR="006660E9" w:rsidRPr="00D30847">
              <w:rPr>
                <w:rFonts w:asciiTheme="minorHAnsi" w:eastAsia="Times New Roman" w:hAnsiTheme="minorHAnsi" w:cs="Calibri"/>
                <w:b/>
                <w:bCs/>
                <w:i/>
                <w:iCs/>
                <w:color w:val="202124"/>
                <w:sz w:val="20"/>
                <w:szCs w:val="20"/>
                <w:lang w:val="en-GB"/>
              </w:rPr>
              <w:t>3</w:t>
            </w:r>
          </w:p>
        </w:tc>
        <w:tc>
          <w:tcPr>
            <w:tcW w:w="4508" w:type="dxa"/>
            <w:shd w:val="clear" w:color="auto" w:fill="E8E8E8"/>
          </w:tcPr>
          <w:p w14:paraId="78B7B65D" w14:textId="7B7A98B5" w:rsidR="00F004A4" w:rsidRPr="00D30847" w:rsidRDefault="00DF6F7F" w:rsidP="002B77A4">
            <w:pPr>
              <w:spacing w:line="240" w:lineRule="auto"/>
              <w:jc w:val="both"/>
              <w:rPr>
                <w:rFonts w:asciiTheme="minorHAnsi" w:eastAsia="Times New Roman" w:hAnsiTheme="minorHAnsi" w:cs="Calibri"/>
                <w:b/>
                <w:bCs/>
                <w:i/>
                <w:iCs/>
                <w:color w:val="202124"/>
                <w:sz w:val="20"/>
                <w:szCs w:val="20"/>
                <w:lang w:val="en-GB"/>
              </w:rPr>
            </w:pPr>
            <w:r w:rsidRPr="00D30847">
              <w:rPr>
                <w:rFonts w:asciiTheme="minorHAnsi" w:eastAsia="Times New Roman" w:hAnsiTheme="minorHAnsi" w:cs="Calibri"/>
                <w:b/>
                <w:bCs/>
                <w:i/>
                <w:iCs/>
                <w:color w:val="202124"/>
                <w:sz w:val="20"/>
                <w:szCs w:val="20"/>
                <w:lang w:val="en-GB"/>
              </w:rPr>
              <w:t>Target 202</w:t>
            </w:r>
            <w:r w:rsidR="006660E9" w:rsidRPr="00D30847">
              <w:rPr>
                <w:rFonts w:asciiTheme="minorHAnsi" w:eastAsia="Times New Roman" w:hAnsiTheme="minorHAnsi" w:cs="Calibri"/>
                <w:b/>
                <w:bCs/>
                <w:i/>
                <w:iCs/>
                <w:color w:val="202124"/>
                <w:sz w:val="20"/>
                <w:szCs w:val="20"/>
                <w:lang w:val="en-GB"/>
              </w:rPr>
              <w:t>8</w:t>
            </w:r>
          </w:p>
        </w:tc>
      </w:tr>
      <w:tr w:rsidR="00DF6F7F" w:rsidRPr="00D30847" w14:paraId="6C89837A" w14:textId="77777777" w:rsidTr="006A4DA6">
        <w:trPr>
          <w:trHeight w:val="278"/>
        </w:trPr>
        <w:tc>
          <w:tcPr>
            <w:tcW w:w="4508" w:type="dxa"/>
            <w:shd w:val="clear" w:color="auto" w:fill="E8E8E8"/>
          </w:tcPr>
          <w:p w14:paraId="279E4E3F" w14:textId="392012C8" w:rsidR="00DF6F7F" w:rsidRPr="00D30847" w:rsidRDefault="00DF6F7F" w:rsidP="006B2781">
            <w:pPr>
              <w:spacing w:after="0" w:line="240" w:lineRule="auto"/>
              <w:jc w:val="both"/>
              <w:rPr>
                <w:rFonts w:eastAsia="Times New Roman" w:cs="Arial"/>
                <w:sz w:val="20"/>
                <w:szCs w:val="20"/>
                <w:lang w:val="en-GB" w:eastAsia="mk-MK"/>
              </w:rPr>
            </w:pPr>
            <w:r w:rsidRPr="00D30847">
              <w:rPr>
                <w:rFonts w:eastAsia="Times New Roman" w:cs="Arial"/>
                <w:sz w:val="20"/>
                <w:szCs w:val="20"/>
                <w:lang w:val="en-GB" w:eastAsia="mk-MK"/>
              </w:rPr>
              <w:t>Analysis of current macroeconomic trends and indicators</w:t>
            </w:r>
          </w:p>
        </w:tc>
        <w:tc>
          <w:tcPr>
            <w:tcW w:w="4508" w:type="dxa"/>
            <w:shd w:val="clear" w:color="auto" w:fill="E8E8E8"/>
            <w:vAlign w:val="center"/>
          </w:tcPr>
          <w:p w14:paraId="5E4D7104" w14:textId="77777777" w:rsidR="00DF6F7F" w:rsidRPr="00D30847" w:rsidRDefault="00DF6F7F" w:rsidP="006B2781">
            <w:pPr>
              <w:spacing w:after="0" w:line="240" w:lineRule="auto"/>
              <w:jc w:val="both"/>
              <w:rPr>
                <w:rFonts w:eastAsia="Times New Roman" w:cs="Arial"/>
                <w:sz w:val="20"/>
                <w:szCs w:val="20"/>
                <w:lang w:val="en-GB" w:eastAsia="mk-MK"/>
              </w:rPr>
            </w:pPr>
            <w:r w:rsidRPr="00D30847">
              <w:rPr>
                <w:rFonts w:eastAsia="Times New Roman" w:cs="Arial"/>
                <w:sz w:val="20"/>
                <w:szCs w:val="20"/>
                <w:lang w:val="en-GB" w:eastAsia="mk-MK"/>
              </w:rPr>
              <w:t> Increased scope of economic analyses and impact assessments</w:t>
            </w:r>
          </w:p>
          <w:p w14:paraId="7F2C9628" w14:textId="5BF5933F" w:rsidR="00DF6F7F" w:rsidRPr="00D30847" w:rsidRDefault="00DF6F7F" w:rsidP="006B2781">
            <w:pPr>
              <w:spacing w:after="0" w:line="240" w:lineRule="auto"/>
              <w:jc w:val="both"/>
              <w:rPr>
                <w:rFonts w:eastAsia="Times New Roman" w:cs="Arial"/>
                <w:sz w:val="20"/>
                <w:szCs w:val="20"/>
                <w:lang w:val="en-GB" w:eastAsia="mk-MK"/>
              </w:rPr>
            </w:pPr>
            <w:r w:rsidRPr="00D30847">
              <w:rPr>
                <w:rFonts w:eastAsia="Times New Roman" w:cs="Arial"/>
                <w:sz w:val="20"/>
                <w:szCs w:val="20"/>
                <w:lang w:val="en-GB" w:eastAsia="mk-MK"/>
              </w:rPr>
              <w:t xml:space="preserve">(from the area of </w:t>
            </w:r>
            <w:proofErr w:type="spellStart"/>
            <w:r w:rsidRPr="00D30847">
              <w:rPr>
                <w:rFonts w:eastAsia="Times New Roman" w:cs="Arial"/>
                <w:sz w:val="20"/>
                <w:szCs w:val="20"/>
                <w:lang w:val="en-GB" w:eastAsia="mk-MK"/>
              </w:rPr>
              <w:t>labor</w:t>
            </w:r>
            <w:proofErr w:type="spellEnd"/>
            <w:r w:rsidRPr="00D30847">
              <w:rPr>
                <w:rFonts w:eastAsia="Times New Roman" w:cs="Arial"/>
                <w:sz w:val="20"/>
                <w:szCs w:val="20"/>
                <w:lang w:val="en-GB" w:eastAsia="mk-MK"/>
              </w:rPr>
              <w:t xml:space="preserve"> market, the informal economy, the assessment of the productivity and the competitiveness of the economy, etc.)</w:t>
            </w:r>
          </w:p>
        </w:tc>
      </w:tr>
      <w:tr w:rsidR="00DF6F7F" w:rsidRPr="00D30847" w14:paraId="1C87F99C" w14:textId="77777777" w:rsidTr="006A4DA6">
        <w:trPr>
          <w:trHeight w:val="278"/>
        </w:trPr>
        <w:tc>
          <w:tcPr>
            <w:tcW w:w="4508" w:type="dxa"/>
            <w:shd w:val="clear" w:color="auto" w:fill="E8E8E8"/>
          </w:tcPr>
          <w:p w14:paraId="080756DB" w14:textId="4C6A15AA" w:rsidR="00DF6F7F" w:rsidRPr="00D30847" w:rsidRDefault="00DF6F7F" w:rsidP="006B2781">
            <w:pPr>
              <w:spacing w:after="0" w:line="240" w:lineRule="auto"/>
              <w:jc w:val="both"/>
              <w:rPr>
                <w:rFonts w:eastAsia="Times New Roman" w:cs="Arial"/>
                <w:sz w:val="20"/>
                <w:szCs w:val="20"/>
                <w:lang w:val="en-GB" w:eastAsia="mk-MK"/>
              </w:rPr>
            </w:pPr>
            <w:r w:rsidRPr="00D30847">
              <w:rPr>
                <w:rFonts w:eastAsia="Times New Roman" w:cs="Arial"/>
                <w:sz w:val="20"/>
                <w:szCs w:val="20"/>
                <w:lang w:val="en-GB" w:eastAsia="mk-MK"/>
              </w:rPr>
              <w:t>Nowcasting tool and a structural macroeconomic model</w:t>
            </w:r>
            <w:r w:rsidRPr="00D30847">
              <w:rPr>
                <w:rFonts w:eastAsia="Times New Roman" w:cs="Arial"/>
                <w:sz w:val="20"/>
                <w:szCs w:val="20"/>
                <w:lang w:val="en-GB" w:eastAsia="mk-MK"/>
              </w:rPr>
              <w:br/>
            </w:r>
            <w:r w:rsidRPr="00D30847">
              <w:rPr>
                <w:rFonts w:eastAsia="Times New Roman" w:cs="Arial"/>
                <w:sz w:val="20"/>
                <w:szCs w:val="20"/>
                <w:lang w:val="en-GB" w:eastAsia="mk-MK"/>
              </w:rPr>
              <w:lastRenderedPageBreak/>
              <w:t>PEFA score PI-14. Macroeconomic and fiscal forecasting (M2) C+</w:t>
            </w:r>
          </w:p>
        </w:tc>
        <w:tc>
          <w:tcPr>
            <w:tcW w:w="4508" w:type="dxa"/>
            <w:shd w:val="clear" w:color="auto" w:fill="E8E8E8"/>
          </w:tcPr>
          <w:p w14:paraId="55CC314B" w14:textId="77777777" w:rsidR="00DF6F7F" w:rsidRPr="00D30847" w:rsidRDefault="00DF6F7F" w:rsidP="00DF6F7F">
            <w:pPr>
              <w:spacing w:after="0" w:line="240" w:lineRule="auto"/>
              <w:jc w:val="both"/>
              <w:rPr>
                <w:rFonts w:eastAsia="Times New Roman" w:cs="Arial"/>
                <w:sz w:val="20"/>
                <w:szCs w:val="20"/>
                <w:lang w:val="en-GB" w:eastAsia="mk-MK"/>
              </w:rPr>
            </w:pPr>
            <w:r w:rsidRPr="00D30847">
              <w:rPr>
                <w:rFonts w:eastAsia="Times New Roman" w:cs="Arial"/>
                <w:sz w:val="20"/>
                <w:szCs w:val="20"/>
                <w:lang w:val="en-GB" w:eastAsia="mk-MK"/>
              </w:rPr>
              <w:lastRenderedPageBreak/>
              <w:t>New tools (short term and macrostructural models) for forecasting and analyses to be developed.</w:t>
            </w:r>
          </w:p>
          <w:p w14:paraId="1C9BB553" w14:textId="158BE0B7" w:rsidR="00DF6F7F" w:rsidRPr="00D30847" w:rsidRDefault="00DF6F7F" w:rsidP="006B2781">
            <w:pPr>
              <w:spacing w:after="0" w:line="240" w:lineRule="auto"/>
              <w:jc w:val="both"/>
              <w:rPr>
                <w:rFonts w:eastAsia="Times New Roman" w:cs="Arial"/>
                <w:sz w:val="20"/>
                <w:szCs w:val="20"/>
                <w:lang w:val="en-GB" w:eastAsia="mk-MK"/>
              </w:rPr>
            </w:pPr>
            <w:r w:rsidRPr="00D30847">
              <w:rPr>
                <w:rFonts w:eastAsia="Times New Roman" w:cs="Arial"/>
                <w:sz w:val="20"/>
                <w:szCs w:val="20"/>
                <w:lang w:val="en-GB" w:eastAsia="mk-MK"/>
              </w:rPr>
              <w:lastRenderedPageBreak/>
              <w:t xml:space="preserve"> PEFA score PI-14. Macroeconomic and fiscal forecasting (M2)   &gt; = B  </w:t>
            </w:r>
          </w:p>
        </w:tc>
      </w:tr>
      <w:tr w:rsidR="00DF6F7F" w:rsidRPr="00D30847" w14:paraId="33E454D9" w14:textId="77777777" w:rsidTr="006A4DA6">
        <w:trPr>
          <w:trHeight w:val="278"/>
        </w:trPr>
        <w:tc>
          <w:tcPr>
            <w:tcW w:w="4508" w:type="dxa"/>
            <w:shd w:val="clear" w:color="auto" w:fill="E8E8E8"/>
            <w:vAlign w:val="center"/>
          </w:tcPr>
          <w:p w14:paraId="761A2D79" w14:textId="5F9B20EE" w:rsidR="00DF6F7F" w:rsidRPr="00D30847" w:rsidRDefault="00DF6F7F" w:rsidP="006B2781">
            <w:pPr>
              <w:spacing w:after="0" w:line="240" w:lineRule="auto"/>
              <w:jc w:val="both"/>
              <w:rPr>
                <w:rFonts w:eastAsia="MS PGothic" w:cs="Calibri"/>
                <w:sz w:val="20"/>
                <w:szCs w:val="20"/>
                <w:lang w:val="en-GB" w:eastAsia="zh-CN"/>
              </w:rPr>
            </w:pPr>
            <w:r w:rsidRPr="00D30847">
              <w:rPr>
                <w:rFonts w:eastAsia="MS PGothic" w:cs="Calibri"/>
                <w:sz w:val="20"/>
                <w:szCs w:val="20"/>
                <w:lang w:val="en-GB" w:eastAsia="zh-CN"/>
              </w:rPr>
              <w:lastRenderedPageBreak/>
              <w:t>Fiscal risks/Sensitive analyses in Fiscal Strategy (2021-2023)</w:t>
            </w:r>
            <w:r w:rsidRPr="00D30847">
              <w:rPr>
                <w:rFonts w:eastAsia="MS PGothic" w:cs="Calibri"/>
                <w:sz w:val="20"/>
                <w:szCs w:val="20"/>
                <w:lang w:val="en-GB" w:eastAsia="zh-CN"/>
              </w:rPr>
              <w:br w:type="page"/>
              <w:t>PEFA scorePI-10. Fiscal risk reporting C+</w:t>
            </w:r>
          </w:p>
        </w:tc>
        <w:tc>
          <w:tcPr>
            <w:tcW w:w="4508" w:type="dxa"/>
            <w:shd w:val="clear" w:color="auto" w:fill="E8E8E8"/>
          </w:tcPr>
          <w:p w14:paraId="1BB1C47F" w14:textId="77777777" w:rsidR="00DF6F7F" w:rsidRPr="00D30847" w:rsidRDefault="00DF6F7F" w:rsidP="006B2781">
            <w:pPr>
              <w:spacing w:after="0" w:line="240" w:lineRule="auto"/>
              <w:jc w:val="both"/>
              <w:rPr>
                <w:rFonts w:eastAsia="MS PGothic" w:cs="Calibri"/>
                <w:sz w:val="20"/>
                <w:szCs w:val="20"/>
                <w:lang w:val="en-GB" w:eastAsia="zh-CN"/>
              </w:rPr>
            </w:pPr>
            <w:r w:rsidRPr="00D30847">
              <w:rPr>
                <w:rFonts w:eastAsia="MS PGothic" w:cs="Calibri"/>
                <w:sz w:val="20"/>
                <w:szCs w:val="20"/>
                <w:lang w:val="en-GB" w:eastAsia="zh-CN"/>
              </w:rPr>
              <w:t>Updated plan of activities for strengthening capacities for fiscal risks assessment and analyses</w:t>
            </w:r>
          </w:p>
          <w:p w14:paraId="654F7264" w14:textId="0DCBEC9E" w:rsidR="00DF6F7F" w:rsidRPr="00D30847" w:rsidRDefault="00DF6F7F" w:rsidP="006B2781">
            <w:pPr>
              <w:spacing w:after="0" w:line="240" w:lineRule="auto"/>
              <w:jc w:val="both"/>
              <w:rPr>
                <w:rFonts w:eastAsia="MS PGothic" w:cs="Calibri"/>
                <w:sz w:val="20"/>
                <w:szCs w:val="20"/>
                <w:lang w:val="en-GB" w:eastAsia="zh-CN"/>
              </w:rPr>
            </w:pPr>
            <w:r w:rsidRPr="00D30847">
              <w:rPr>
                <w:rFonts w:eastAsia="MS PGothic" w:cs="Calibri"/>
                <w:sz w:val="20"/>
                <w:szCs w:val="20"/>
                <w:lang w:val="en-GB" w:eastAsia="zh-CN"/>
              </w:rPr>
              <w:t>PEFA scorePI-10. Fiscal risk reporting &gt; = B   </w:t>
            </w:r>
          </w:p>
        </w:tc>
      </w:tr>
    </w:tbl>
    <w:p w14:paraId="7285BE67" w14:textId="77777777" w:rsidR="006B3D46" w:rsidRPr="00D30847" w:rsidRDefault="005D0DCC" w:rsidP="006B3D46">
      <w:pPr>
        <w:spacing w:before="360" w:line="240" w:lineRule="auto"/>
        <w:jc w:val="both"/>
        <w:rPr>
          <w:rFonts w:cs="Calibri"/>
          <w:b/>
          <w:color w:val="0070C0"/>
          <w:sz w:val="24"/>
          <w:szCs w:val="24"/>
          <w:lang w:val="en-GB"/>
        </w:rPr>
      </w:pPr>
      <w:r w:rsidRPr="00D30847">
        <w:rPr>
          <w:rFonts w:cs="Calibri"/>
          <w:b/>
          <w:color w:val="0070C0"/>
          <w:sz w:val="24"/>
          <w:szCs w:val="24"/>
          <w:lang w:val="en-GB"/>
        </w:rPr>
        <w:t>Measure 1</w:t>
      </w:r>
      <w:r w:rsidR="00BB3D82" w:rsidRPr="00D30847">
        <w:rPr>
          <w:rFonts w:cs="Calibri"/>
          <w:b/>
          <w:color w:val="0070C0"/>
          <w:sz w:val="24"/>
          <w:szCs w:val="24"/>
          <w:lang w:val="en-GB"/>
        </w:rPr>
        <w:t xml:space="preserve">: </w:t>
      </w:r>
      <w:r w:rsidRPr="00D30847">
        <w:rPr>
          <w:rFonts w:cs="Calibri"/>
          <w:b/>
          <w:color w:val="0070C0"/>
          <w:sz w:val="24"/>
          <w:szCs w:val="24"/>
          <w:lang w:val="en-GB"/>
        </w:rPr>
        <w:t xml:space="preserve">Capacity building for economic analyses </w:t>
      </w:r>
    </w:p>
    <w:p w14:paraId="6964195B" w14:textId="77777777" w:rsidR="005D0DCC" w:rsidRPr="00D30847" w:rsidRDefault="005D0DCC" w:rsidP="005646E2">
      <w:pPr>
        <w:spacing w:before="240" w:line="240" w:lineRule="auto"/>
        <w:jc w:val="both"/>
        <w:rPr>
          <w:rFonts w:cs="Calibri"/>
          <w:b/>
          <w:i/>
          <w:color w:val="0070C0"/>
          <w:lang w:val="en-GB" w:eastAsia="zh-CN"/>
        </w:rPr>
      </w:pPr>
      <w:r w:rsidRPr="00D30847">
        <w:rPr>
          <w:rFonts w:cs="Calibri"/>
          <w:b/>
          <w:i/>
          <w:color w:val="0070C0"/>
          <w:lang w:val="en-GB" w:eastAsia="zh-CN"/>
        </w:rPr>
        <w:t xml:space="preserve">Measure </w:t>
      </w:r>
      <w:r w:rsidR="0037602D" w:rsidRPr="00D30847">
        <w:rPr>
          <w:rFonts w:cs="Calibri"/>
          <w:b/>
          <w:i/>
          <w:color w:val="0070C0"/>
          <w:lang w:val="en-GB" w:eastAsia="zh-CN"/>
        </w:rPr>
        <w:t>objective</w:t>
      </w:r>
    </w:p>
    <w:p w14:paraId="402D9618" w14:textId="77777777" w:rsidR="005D0DCC" w:rsidRPr="00D30847" w:rsidRDefault="005D0DCC" w:rsidP="005646E2">
      <w:pPr>
        <w:spacing w:before="240" w:line="240" w:lineRule="auto"/>
        <w:jc w:val="both"/>
        <w:rPr>
          <w:rFonts w:cs="Calibri"/>
          <w:lang w:val="en-GB"/>
        </w:rPr>
      </w:pPr>
      <w:bookmarkStart w:id="15" w:name="_Hlk156373291"/>
      <w:r w:rsidRPr="00D30847">
        <w:rPr>
          <w:rFonts w:cs="Calibri"/>
          <w:lang w:val="en-GB"/>
        </w:rPr>
        <w:t>Capacity building of the Ministry of Finance</w:t>
      </w:r>
      <w:r w:rsidRPr="00D30847">
        <w:rPr>
          <w:rFonts w:eastAsia="MS PGothic" w:cs="Calibri"/>
          <w:lang w:val="en-GB" w:eastAsia="zh-CN"/>
        </w:rPr>
        <w:t>, pertaining to economic analyses, should provide policy makers information on the expected results of economic measures to be undertaken.</w:t>
      </w:r>
    </w:p>
    <w:bookmarkEnd w:id="15"/>
    <w:p w14:paraId="2FE3EEFC" w14:textId="77777777" w:rsidR="005D0DCC" w:rsidRPr="00D30847" w:rsidRDefault="005D0DCC" w:rsidP="0098626A">
      <w:pPr>
        <w:tabs>
          <w:tab w:val="left" w:pos="426"/>
        </w:tabs>
        <w:spacing w:line="240" w:lineRule="auto"/>
        <w:ind w:right="142"/>
        <w:jc w:val="both"/>
        <w:rPr>
          <w:rFonts w:cs="Calibri"/>
          <w:lang w:val="en-GB"/>
        </w:rPr>
      </w:pPr>
      <w:r w:rsidRPr="00D30847">
        <w:rPr>
          <w:rFonts w:cs="Calibri"/>
          <w:b/>
          <w:i/>
          <w:color w:val="0070C0"/>
          <w:lang w:val="en-GB"/>
        </w:rPr>
        <w:t xml:space="preserve">Reference to the external assessments findings: </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382"/>
        <w:gridCol w:w="7832"/>
      </w:tblGrid>
      <w:tr w:rsidR="005D0DCC" w:rsidRPr="00D30847" w14:paraId="0E2B1223" w14:textId="77777777" w:rsidTr="005116C2">
        <w:tc>
          <w:tcPr>
            <w:tcW w:w="1382" w:type="dxa"/>
            <w:shd w:val="clear" w:color="auto" w:fill="DDDDDD"/>
          </w:tcPr>
          <w:p w14:paraId="56541256" w14:textId="2BD75B64" w:rsidR="005D0DCC" w:rsidRPr="00D30847" w:rsidRDefault="005D0DCC" w:rsidP="0098626A">
            <w:pPr>
              <w:spacing w:line="240" w:lineRule="auto"/>
              <w:jc w:val="both"/>
              <w:rPr>
                <w:rFonts w:cs="Calibri"/>
                <w:b/>
                <w:sz w:val="20"/>
                <w:szCs w:val="20"/>
                <w:lang w:val="en-GB"/>
              </w:rPr>
            </w:pPr>
            <w:r w:rsidRPr="00D30847">
              <w:rPr>
                <w:rFonts w:cs="Calibri"/>
                <w:b/>
                <w:sz w:val="20"/>
                <w:szCs w:val="20"/>
                <w:lang w:val="en-GB"/>
              </w:rPr>
              <w:t>SIGMA</w:t>
            </w:r>
            <w:r w:rsidR="00E971C8" w:rsidRPr="00D30847">
              <w:rPr>
                <w:rFonts w:cs="Calibri"/>
                <w:b/>
                <w:sz w:val="20"/>
                <w:szCs w:val="20"/>
                <w:lang w:val="en-GB"/>
              </w:rPr>
              <w:t xml:space="preserve"> 2021</w:t>
            </w:r>
          </w:p>
        </w:tc>
        <w:tc>
          <w:tcPr>
            <w:tcW w:w="7832" w:type="dxa"/>
            <w:shd w:val="clear" w:color="auto" w:fill="DDDDDD"/>
          </w:tcPr>
          <w:p w14:paraId="72505072" w14:textId="77777777" w:rsidR="005D0DCC" w:rsidRPr="00D30847" w:rsidRDefault="005D0DCC" w:rsidP="0098626A">
            <w:pPr>
              <w:spacing w:line="240" w:lineRule="auto"/>
              <w:jc w:val="both"/>
              <w:rPr>
                <w:rFonts w:cs="Calibri"/>
                <w:sz w:val="20"/>
                <w:szCs w:val="20"/>
                <w:lang w:val="en-GB"/>
              </w:rPr>
            </w:pPr>
            <w:r w:rsidRPr="00D30847">
              <w:rPr>
                <w:rFonts w:eastAsia="MS PGothic" w:cs="Calibri"/>
                <w:sz w:val="20"/>
                <w:szCs w:val="20"/>
                <w:lang w:val="en-GB" w:eastAsia="zh-CN"/>
              </w:rPr>
              <w:t>Fiscal Strategy does not yet play a strategic role in the policy planning of the Government (Monitoring Report, 2021)</w:t>
            </w:r>
          </w:p>
        </w:tc>
      </w:tr>
      <w:tr w:rsidR="005D0DCC" w:rsidRPr="00D30847" w14:paraId="50675CDB" w14:textId="77777777" w:rsidTr="005116C2">
        <w:tc>
          <w:tcPr>
            <w:tcW w:w="1382" w:type="dxa"/>
            <w:shd w:val="clear" w:color="auto" w:fill="DDDDDD"/>
          </w:tcPr>
          <w:p w14:paraId="256391C6" w14:textId="7FD9E41D" w:rsidR="005D0DCC" w:rsidRPr="00D30847" w:rsidRDefault="005D0DCC" w:rsidP="00E84CD0">
            <w:pPr>
              <w:spacing w:line="240" w:lineRule="auto"/>
              <w:jc w:val="both"/>
              <w:rPr>
                <w:rFonts w:cs="Calibri"/>
                <w:b/>
                <w:sz w:val="20"/>
                <w:szCs w:val="20"/>
                <w:lang w:val="en-GB"/>
              </w:rPr>
            </w:pPr>
            <w:r w:rsidRPr="00D30847">
              <w:rPr>
                <w:rFonts w:cs="Calibri"/>
                <w:b/>
                <w:sz w:val="20"/>
                <w:szCs w:val="20"/>
                <w:lang w:val="en-GB"/>
              </w:rPr>
              <w:t>EU</w:t>
            </w:r>
          </w:p>
        </w:tc>
        <w:tc>
          <w:tcPr>
            <w:tcW w:w="7832" w:type="dxa"/>
            <w:shd w:val="clear" w:color="auto" w:fill="DDDDDD"/>
          </w:tcPr>
          <w:p w14:paraId="77DC1039" w14:textId="0A0343CE" w:rsidR="005D0DCC" w:rsidRPr="00D30847" w:rsidRDefault="005D0DCC" w:rsidP="00E84CD0">
            <w:pPr>
              <w:spacing w:line="240" w:lineRule="auto"/>
              <w:jc w:val="both"/>
              <w:rPr>
                <w:rFonts w:cs="Calibri"/>
                <w:sz w:val="20"/>
                <w:szCs w:val="20"/>
                <w:lang w:val="en-GB"/>
              </w:rPr>
            </w:pPr>
            <w:r w:rsidRPr="00D30847">
              <w:rPr>
                <w:rFonts w:eastAsia="MS PGothic" w:cs="Calibri"/>
                <w:sz w:val="20"/>
                <w:szCs w:val="20"/>
                <w:lang w:val="en-GB" w:eastAsia="zh-CN"/>
              </w:rPr>
              <w:t>ERP’s sensitivity analysis would have benefited from a more comprehensive impact assessment.</w:t>
            </w:r>
            <w:r w:rsidR="00944D78" w:rsidRPr="00D30847">
              <w:rPr>
                <w:rFonts w:eastAsia="MS PGothic" w:cs="Calibri"/>
                <w:sz w:val="20"/>
                <w:szCs w:val="20"/>
                <w:lang w:val="en-GB" w:eastAsia="zh-CN"/>
              </w:rPr>
              <w:t xml:space="preserve"> </w:t>
            </w:r>
            <w:r w:rsidRPr="00D30847">
              <w:rPr>
                <w:rFonts w:eastAsia="MS PGothic" w:cs="Calibri"/>
                <w:sz w:val="20"/>
                <w:szCs w:val="20"/>
                <w:lang w:val="en-GB" w:eastAsia="zh-CN"/>
              </w:rPr>
              <w:t>More efforts are needed to quantify the impact for each measure and make the ERP the most relevant policy document to guide economic reforms (Commission's Assessment on 2021-2023 Economic Reform Program of North Macedonia).</w:t>
            </w:r>
          </w:p>
        </w:tc>
      </w:tr>
    </w:tbl>
    <w:p w14:paraId="28622B08" w14:textId="77777777" w:rsidR="005B0C60" w:rsidRPr="00D30847" w:rsidRDefault="005B0C60" w:rsidP="00E84CD0">
      <w:pPr>
        <w:spacing w:line="240" w:lineRule="auto"/>
        <w:jc w:val="both"/>
        <w:rPr>
          <w:rFonts w:cs="Calibri"/>
          <w:lang w:val="en-GB"/>
        </w:rPr>
      </w:pPr>
    </w:p>
    <w:p w14:paraId="591993D8" w14:textId="77777777" w:rsidR="005D0DCC" w:rsidRPr="00D30847" w:rsidRDefault="005D0DCC" w:rsidP="005646E2">
      <w:pPr>
        <w:spacing w:before="240" w:line="240" w:lineRule="auto"/>
        <w:jc w:val="both"/>
        <w:rPr>
          <w:rFonts w:cs="Calibri"/>
          <w:b/>
          <w:i/>
          <w:color w:val="0070C0"/>
          <w:lang w:val="en-GB" w:eastAsia="zh-CN"/>
        </w:rPr>
      </w:pPr>
      <w:r w:rsidRPr="00D30847">
        <w:rPr>
          <w:rFonts w:cs="Calibri"/>
          <w:b/>
          <w:i/>
          <w:color w:val="0070C0"/>
          <w:lang w:val="en-GB" w:eastAsia="zh-CN"/>
        </w:rPr>
        <w:t>Context/Background</w:t>
      </w:r>
    </w:p>
    <w:p w14:paraId="45499950" w14:textId="2822A039" w:rsidR="005F3447" w:rsidRPr="00D30847" w:rsidRDefault="005F3447" w:rsidP="005646E2">
      <w:pPr>
        <w:spacing w:before="240" w:line="240" w:lineRule="auto"/>
        <w:jc w:val="both"/>
        <w:rPr>
          <w:rFonts w:eastAsia="MS PGothic" w:cs="Calibri"/>
          <w:lang w:val="en-GB" w:eastAsia="zh-CN"/>
        </w:rPr>
      </w:pPr>
      <w:r w:rsidRPr="00D30847">
        <w:rPr>
          <w:rFonts w:eastAsia="MS PGothic" w:cs="Calibri"/>
          <w:lang w:val="en-GB" w:eastAsia="zh-CN"/>
        </w:rPr>
        <w:t>Ministry of Finance prepares regular monthly and quarterly reports on economic trends, as well as the Budget and the medium-term budget framework, also coordinating and contributing significantly to the preparation of the Economic Reform Program and the Fiscal Strategy.</w:t>
      </w:r>
      <w:r w:rsidR="00944D78" w:rsidRPr="00D30847">
        <w:rPr>
          <w:rFonts w:eastAsia="MS PGothic" w:cs="Calibri"/>
          <w:lang w:val="en-GB" w:eastAsia="zh-CN"/>
        </w:rPr>
        <w:t xml:space="preserve"> </w:t>
      </w:r>
      <w:r w:rsidRPr="00D30847">
        <w:rPr>
          <w:rFonts w:cs="Calibri"/>
          <w:lang w:val="en-GB"/>
        </w:rPr>
        <w:t xml:space="preserve">Improving the quality of these documents also implies increasing the scope of economic analyses and </w:t>
      </w:r>
      <w:r w:rsidRPr="00D30847">
        <w:rPr>
          <w:rFonts w:eastAsia="MS PGothic" w:cs="Calibri"/>
          <w:lang w:val="en-GB" w:eastAsia="zh-CN"/>
        </w:rPr>
        <w:t>providing impact assessment on economic policies, reforms or measures.</w:t>
      </w:r>
    </w:p>
    <w:p w14:paraId="0D32B3B7" w14:textId="06D9C8A7" w:rsidR="004C736B" w:rsidRPr="00D30847" w:rsidRDefault="0001343F" w:rsidP="005646E2">
      <w:pPr>
        <w:spacing w:before="240" w:line="240" w:lineRule="auto"/>
        <w:jc w:val="both"/>
        <w:rPr>
          <w:rFonts w:eastAsia="MS PGothic" w:cs="Calibri"/>
          <w:lang w:val="en-GB" w:eastAsia="zh-CN"/>
        </w:rPr>
      </w:pPr>
      <w:r w:rsidRPr="00D30847">
        <w:rPr>
          <w:rFonts w:eastAsia="MS PGothic" w:cs="Calibri"/>
          <w:lang w:val="en-GB" w:eastAsia="zh-CN"/>
        </w:rPr>
        <w:t xml:space="preserve">To support these activities, an international project on macroeconomic planning and management is being implemented, based on the IMF Instrument for Financial Programming. The project is funded by the Swiss government through the State Secretariat for Economic Affairs of Switzerland (SECO). The implementation of the project is supported by experts from </w:t>
      </w:r>
      <w:proofErr w:type="spellStart"/>
      <w:r w:rsidRPr="00D30847">
        <w:rPr>
          <w:rFonts w:eastAsia="MS PGothic" w:cs="Calibri"/>
          <w:lang w:val="en-GB" w:eastAsia="zh-CN"/>
        </w:rPr>
        <w:t>OGResearch</w:t>
      </w:r>
      <w:proofErr w:type="spellEnd"/>
      <w:r w:rsidRPr="00D30847">
        <w:rPr>
          <w:rFonts w:eastAsia="MS PGothic" w:cs="Calibri"/>
          <w:lang w:val="en-GB" w:eastAsia="zh-CN"/>
        </w:rPr>
        <w:t xml:space="preserve">. The project is implemented through a modular approach, with the first module implemented during 2022 and 2023, and the second module in 2024. All training missions planned for 2022-2024 were realized. In addition, </w:t>
      </w:r>
      <w:r w:rsidR="00D30847" w:rsidRPr="00D30847">
        <w:rPr>
          <w:rFonts w:eastAsia="MS PGothic" w:cs="Calibri"/>
          <w:lang w:val="en-GB" w:eastAsia="zh-CN"/>
        </w:rPr>
        <w:t>continuation</w:t>
      </w:r>
      <w:r w:rsidRPr="00D30847">
        <w:rPr>
          <w:rFonts w:eastAsia="MS PGothic" w:cs="Calibri"/>
          <w:lang w:val="en-GB" w:eastAsia="zh-CN"/>
        </w:rPr>
        <w:t xml:space="preserve"> of the project is planned for 2025 and 2026 with the implementation of the third module. This project establishes a framework for macroeconomic planning with the FPP model, a concept that will enable coherent analysis of macroeconomic and fiscal movements, consistent short -term and medium -term design of macroeconomic and fiscal variables and policy analyses.</w:t>
      </w:r>
      <w:r w:rsidR="004C736B" w:rsidRPr="00D30847">
        <w:rPr>
          <w:rFonts w:eastAsia="MS PGothic" w:cs="Calibri"/>
          <w:lang w:val="en-GB" w:eastAsia="zh-CN"/>
        </w:rPr>
        <w:t xml:space="preserve"> </w:t>
      </w:r>
    </w:p>
    <w:p w14:paraId="2F56FFEC" w14:textId="3B001502" w:rsidR="005D0DCC" w:rsidRPr="00D30847" w:rsidRDefault="005D0DCC" w:rsidP="005646E2">
      <w:pPr>
        <w:spacing w:line="240" w:lineRule="auto"/>
        <w:jc w:val="both"/>
        <w:rPr>
          <w:rFonts w:cs="Calibri"/>
          <w:b/>
          <w:color w:val="0070C0"/>
          <w:lang w:val="en-GB"/>
        </w:rPr>
      </w:pPr>
      <w:r w:rsidRPr="00D30847">
        <w:rPr>
          <w:rFonts w:cs="Calibri"/>
          <w:b/>
          <w:color w:val="0070C0"/>
          <w:lang w:val="en-GB"/>
        </w:rPr>
        <w:t>Activity 1:</w:t>
      </w:r>
      <w:r w:rsidR="005116C2" w:rsidRPr="00D30847">
        <w:rPr>
          <w:rFonts w:cs="Calibri"/>
          <w:b/>
          <w:color w:val="0070C0"/>
          <w:lang w:val="en-GB"/>
        </w:rPr>
        <w:t xml:space="preserve"> </w:t>
      </w:r>
      <w:r w:rsidRPr="00D30847">
        <w:rPr>
          <w:rFonts w:cs="Calibri"/>
          <w:b/>
          <w:color w:val="0070C0"/>
          <w:lang w:val="en-GB"/>
        </w:rPr>
        <w:t>Increasing the scope of economic analyses</w:t>
      </w:r>
    </w:p>
    <w:tbl>
      <w:tblPr>
        <w:tblW w:w="9108" w:type="dxa"/>
        <w:tblLook w:val="01E0" w:firstRow="1" w:lastRow="1" w:firstColumn="1" w:lastColumn="1" w:noHBand="0" w:noVBand="0"/>
      </w:tblPr>
      <w:tblGrid>
        <w:gridCol w:w="9108"/>
      </w:tblGrid>
      <w:tr w:rsidR="005D0DCC" w:rsidRPr="00D30847" w14:paraId="4A3F8CA0" w14:textId="77777777" w:rsidTr="0098626A">
        <w:tc>
          <w:tcPr>
            <w:tcW w:w="9108" w:type="dxa"/>
            <w:shd w:val="clear" w:color="auto" w:fill="auto"/>
          </w:tcPr>
          <w:p w14:paraId="42A00FE8" w14:textId="77777777" w:rsidR="005D0DCC" w:rsidRDefault="006B3D46" w:rsidP="005646E2">
            <w:pPr>
              <w:spacing w:line="240" w:lineRule="auto"/>
              <w:ind w:left="-120"/>
              <w:jc w:val="both"/>
              <w:rPr>
                <w:rFonts w:eastAsia="MS PGothic" w:cs="Calibri"/>
                <w:lang w:val="en-GB" w:eastAsia="zh-CN"/>
              </w:rPr>
            </w:pPr>
            <w:r w:rsidRPr="00D30847">
              <w:rPr>
                <w:rFonts w:eastAsia="MS PGothic" w:cs="Calibri"/>
                <w:lang w:val="en-GB" w:eastAsia="zh-CN"/>
              </w:rPr>
              <w:t>Relevant units</w:t>
            </w:r>
            <w:r w:rsidR="006E0B57" w:rsidRPr="00D30847">
              <w:rPr>
                <w:rFonts w:eastAsia="MS PGothic" w:cs="Calibri"/>
                <w:lang w:val="en-GB" w:eastAsia="zh-CN"/>
              </w:rPr>
              <w:t xml:space="preserve"> </w:t>
            </w:r>
            <w:r w:rsidRPr="00D30847">
              <w:rPr>
                <w:rFonts w:eastAsia="MS PGothic" w:cs="Calibri"/>
                <w:lang w:val="en-GB" w:eastAsia="zh-CN"/>
              </w:rPr>
              <w:t>at MoF prepare analyses of the trends, covering certain areas of the domestic economy, which include</w:t>
            </w:r>
            <w:r w:rsidR="004C736B" w:rsidRPr="00D30847">
              <w:rPr>
                <w:rFonts w:eastAsia="MS PGothic" w:cs="Calibri"/>
                <w:lang w:val="en-GB" w:eastAsia="zh-CN"/>
              </w:rPr>
              <w:t>:</w:t>
            </w:r>
            <w:r w:rsidR="00944D78" w:rsidRPr="00D30847">
              <w:rPr>
                <w:rFonts w:eastAsia="MS PGothic" w:cs="Calibri"/>
                <w:lang w:val="en-GB" w:eastAsia="zh-CN"/>
              </w:rPr>
              <w:t xml:space="preserve"> </w:t>
            </w:r>
            <w:proofErr w:type="spellStart"/>
            <w:r w:rsidRPr="00D30847">
              <w:rPr>
                <w:rFonts w:eastAsia="MS PGothic" w:cs="Calibri"/>
                <w:lang w:val="en-GB" w:eastAsia="zh-CN"/>
              </w:rPr>
              <w:t>labor</w:t>
            </w:r>
            <w:proofErr w:type="spellEnd"/>
            <w:r w:rsidRPr="00D30847">
              <w:rPr>
                <w:rFonts w:eastAsia="MS PGothic" w:cs="Calibri"/>
                <w:lang w:val="en-GB" w:eastAsia="zh-CN"/>
              </w:rPr>
              <w:t xml:space="preserve"> market developments, the informal economy, the assessment of the productivity and the competitiveness of the economy, etc.</w:t>
            </w:r>
            <w:r w:rsidR="00944D78" w:rsidRPr="00D30847">
              <w:rPr>
                <w:rFonts w:eastAsia="MS PGothic" w:cs="Calibri"/>
                <w:lang w:val="en-GB" w:eastAsia="zh-CN"/>
              </w:rPr>
              <w:t xml:space="preserve"> </w:t>
            </w:r>
            <w:r w:rsidRPr="00D30847">
              <w:rPr>
                <w:rFonts w:eastAsia="MS PGothic" w:cs="Calibri"/>
                <w:lang w:val="en-GB" w:eastAsia="zh-CN"/>
              </w:rPr>
              <w:t>Through</w:t>
            </w:r>
            <w:r w:rsidR="00944D78" w:rsidRPr="00D30847">
              <w:rPr>
                <w:rFonts w:eastAsia="MS PGothic" w:cs="Calibri"/>
                <w:lang w:val="en-GB" w:eastAsia="zh-CN"/>
              </w:rPr>
              <w:t xml:space="preserve"> </w:t>
            </w:r>
            <w:r w:rsidRPr="00D30847">
              <w:rPr>
                <w:rFonts w:eastAsia="MS PGothic" w:cs="Calibri"/>
                <w:lang w:val="en-GB" w:eastAsia="zh-CN"/>
              </w:rPr>
              <w:t>trainings</w:t>
            </w:r>
            <w:r w:rsidR="00944D78" w:rsidRPr="00D30847">
              <w:rPr>
                <w:rFonts w:eastAsia="MS PGothic" w:cs="Calibri"/>
                <w:lang w:val="en-GB" w:eastAsia="zh-CN"/>
              </w:rPr>
              <w:t xml:space="preserve"> </w:t>
            </w:r>
            <w:r w:rsidRPr="00D30847">
              <w:rPr>
                <w:rFonts w:eastAsia="MS PGothic" w:cs="Calibri"/>
                <w:lang w:val="en-GB" w:eastAsia="zh-CN"/>
              </w:rPr>
              <w:t>of</w:t>
            </w:r>
            <w:r w:rsidR="00944D78" w:rsidRPr="00D30847">
              <w:rPr>
                <w:rFonts w:eastAsia="MS PGothic" w:cs="Calibri"/>
                <w:lang w:val="en-GB" w:eastAsia="zh-CN"/>
              </w:rPr>
              <w:t xml:space="preserve"> </w:t>
            </w:r>
            <w:r w:rsidRPr="00D30847">
              <w:rPr>
                <w:rFonts w:eastAsia="MS PGothic" w:cs="Calibri"/>
                <w:lang w:val="en-GB" w:eastAsia="zh-CN"/>
              </w:rPr>
              <w:t xml:space="preserve">staff the analytical skills will be improved and new </w:t>
            </w:r>
            <w:r w:rsidR="00D30847" w:rsidRPr="00D30847">
              <w:rPr>
                <w:rFonts w:eastAsia="MS PGothic" w:cs="Calibri"/>
                <w:lang w:val="en-GB" w:eastAsia="zh-CN"/>
              </w:rPr>
              <w:t>analytical</w:t>
            </w:r>
            <w:r w:rsidRPr="00D30847">
              <w:rPr>
                <w:rFonts w:eastAsia="MS PGothic" w:cs="Calibri"/>
                <w:lang w:val="en-GB" w:eastAsia="zh-CN"/>
              </w:rPr>
              <w:t xml:space="preserve"> tools will be introduced. The staff should be able to prepare more sophisticated analyses on regular basis in the next period.</w:t>
            </w:r>
          </w:p>
          <w:p w14:paraId="5488CB47" w14:textId="77777777" w:rsidR="00AC5DE9" w:rsidRDefault="00AC5DE9" w:rsidP="005646E2">
            <w:pPr>
              <w:spacing w:line="240" w:lineRule="auto"/>
              <w:ind w:left="-120"/>
              <w:jc w:val="both"/>
              <w:rPr>
                <w:rFonts w:eastAsia="MS PGothic" w:cs="Calibri"/>
                <w:lang w:val="en-GB" w:eastAsia="zh-CN"/>
              </w:rPr>
            </w:pPr>
          </w:p>
          <w:p w14:paraId="37A4D9AD" w14:textId="4C8990E7" w:rsidR="00AC5DE9" w:rsidRPr="00D30847" w:rsidRDefault="00AC5DE9" w:rsidP="005646E2">
            <w:pPr>
              <w:spacing w:line="240" w:lineRule="auto"/>
              <w:ind w:left="-120"/>
              <w:jc w:val="both"/>
              <w:rPr>
                <w:rFonts w:cs="Calibri"/>
                <w:lang w:val="en-GB"/>
              </w:rPr>
            </w:pPr>
          </w:p>
        </w:tc>
      </w:tr>
    </w:tbl>
    <w:p w14:paraId="0302BA9C" w14:textId="5B2627A4" w:rsidR="005D0DCC" w:rsidRPr="00D30847" w:rsidRDefault="005D0DCC" w:rsidP="005646E2">
      <w:pPr>
        <w:spacing w:before="240" w:after="0" w:line="240" w:lineRule="auto"/>
        <w:jc w:val="both"/>
        <w:rPr>
          <w:rFonts w:cs="Calibri"/>
          <w:b/>
          <w:color w:val="0070C0"/>
          <w:lang w:val="en-GB"/>
        </w:rPr>
      </w:pPr>
      <w:r w:rsidRPr="00D30847">
        <w:rPr>
          <w:rFonts w:cs="Calibri"/>
          <w:b/>
          <w:color w:val="0070C0"/>
          <w:lang w:val="en-GB"/>
        </w:rPr>
        <w:lastRenderedPageBreak/>
        <w:t>Activity 2:</w:t>
      </w:r>
      <w:r w:rsidR="005116C2" w:rsidRPr="00D30847">
        <w:rPr>
          <w:rFonts w:cs="Calibri"/>
          <w:b/>
          <w:color w:val="0070C0"/>
          <w:lang w:val="en-GB"/>
        </w:rPr>
        <w:t xml:space="preserve"> </w:t>
      </w:r>
      <w:r w:rsidRPr="00D30847">
        <w:rPr>
          <w:rFonts w:cs="Calibri"/>
          <w:b/>
          <w:color w:val="0070C0"/>
          <w:lang w:val="en-GB"/>
        </w:rPr>
        <w:t>Economic policy impact assessment</w:t>
      </w:r>
    </w:p>
    <w:tbl>
      <w:tblPr>
        <w:tblW w:w="9162" w:type="dxa"/>
        <w:tblInd w:w="18" w:type="dxa"/>
        <w:tblLook w:val="01E0" w:firstRow="1" w:lastRow="1" w:firstColumn="1" w:lastColumn="1" w:noHBand="0" w:noVBand="0"/>
      </w:tblPr>
      <w:tblGrid>
        <w:gridCol w:w="9162"/>
      </w:tblGrid>
      <w:tr w:rsidR="005D0DCC" w:rsidRPr="00D30847" w14:paraId="7631CD48" w14:textId="77777777" w:rsidTr="0098626A">
        <w:tc>
          <w:tcPr>
            <w:tcW w:w="9162" w:type="dxa"/>
            <w:shd w:val="clear" w:color="auto" w:fill="auto"/>
          </w:tcPr>
          <w:p w14:paraId="1ABD960A" w14:textId="67D5469E" w:rsidR="005D0DCC" w:rsidRPr="00D30847" w:rsidRDefault="005D0DCC" w:rsidP="005646E2">
            <w:pPr>
              <w:spacing w:before="240" w:after="0" w:line="240" w:lineRule="auto"/>
              <w:ind w:left="-120" w:right="55"/>
              <w:jc w:val="both"/>
              <w:rPr>
                <w:rFonts w:cs="Calibri"/>
                <w:lang w:val="en-GB"/>
              </w:rPr>
            </w:pPr>
            <w:r w:rsidRPr="00D30847">
              <w:rPr>
                <w:rFonts w:cs="Calibri"/>
                <w:lang w:val="en-GB"/>
              </w:rPr>
              <w:t>Staff will, via trainings carried out by the relevant institutions, be able to assess the impact from certain economic policies, reforms or measures.</w:t>
            </w:r>
            <w:r w:rsidR="00944D78" w:rsidRPr="00D30847">
              <w:rPr>
                <w:rFonts w:cs="Calibri"/>
                <w:lang w:val="en-GB"/>
              </w:rPr>
              <w:t xml:space="preserve"> </w:t>
            </w:r>
            <w:r w:rsidRPr="00D30847">
              <w:rPr>
                <w:rFonts w:eastAsia="MS PGothic" w:cs="Calibri"/>
                <w:lang w:val="en-GB" w:eastAsia="zh-CN"/>
              </w:rPr>
              <w:t>Economic policies and reforms that are part of the Government Program, as well as economic measures to be included in the Economic Reform Program are potential areas that this activity could focus on.</w:t>
            </w:r>
            <w:r w:rsidR="005F251D" w:rsidRPr="00D30847">
              <w:rPr>
                <w:rFonts w:eastAsia="MS PGothic" w:cs="Calibri"/>
                <w:lang w:val="en-GB" w:eastAsia="zh-CN"/>
              </w:rPr>
              <w:t xml:space="preserve"> </w:t>
            </w:r>
            <w:r w:rsidRPr="00D30847">
              <w:rPr>
                <w:rFonts w:eastAsia="MS PGothic" w:cs="Calibri"/>
                <w:lang w:val="en-GB" w:eastAsia="zh-CN"/>
              </w:rPr>
              <w:t>Within this activity, trainings should provide the staff with knowledge and toolkit, in order for them to be able to conduct independently the impact assessment as regards the future economic policies, reforms or measures.</w:t>
            </w:r>
          </w:p>
        </w:tc>
      </w:tr>
    </w:tbl>
    <w:p w14:paraId="6F9D3738" w14:textId="455630C6" w:rsidR="005D0DCC" w:rsidRPr="00D30847" w:rsidRDefault="00CB6C26" w:rsidP="00CB6C26">
      <w:pPr>
        <w:spacing w:before="240" w:line="240" w:lineRule="auto"/>
        <w:jc w:val="both"/>
        <w:rPr>
          <w:rFonts w:cs="Calibri"/>
          <w:b/>
          <w:i/>
          <w:color w:val="0070C0"/>
          <w:lang w:val="en-GB" w:eastAsia="zh-CN"/>
        </w:rPr>
      </w:pPr>
      <w:r w:rsidRPr="00D30847">
        <w:rPr>
          <w:rFonts w:cs="Calibri"/>
          <w:b/>
          <w:i/>
          <w:color w:val="0070C0"/>
          <w:lang w:val="en-GB" w:eastAsia="zh-CN"/>
        </w:rPr>
        <w:t>Implementation</w:t>
      </w:r>
    </w:p>
    <w:tbl>
      <w:tblPr>
        <w:tblW w:w="0" w:type="auto"/>
        <w:tblBorders>
          <w:insideH w:val="single" w:sz="4" w:space="0" w:color="FFFFFF"/>
        </w:tblBorders>
        <w:tblLayout w:type="fixed"/>
        <w:tblLook w:val="0080" w:firstRow="0" w:lastRow="0" w:firstColumn="1" w:lastColumn="0" w:noHBand="0" w:noVBand="0"/>
      </w:tblPr>
      <w:tblGrid>
        <w:gridCol w:w="2435"/>
        <w:gridCol w:w="6040"/>
      </w:tblGrid>
      <w:tr w:rsidR="005D0DCC" w:rsidRPr="00D30847" w14:paraId="0DB1F563" w14:textId="77777777" w:rsidTr="006B2781">
        <w:trPr>
          <w:trHeight w:val="419"/>
        </w:trPr>
        <w:tc>
          <w:tcPr>
            <w:tcW w:w="2435" w:type="dxa"/>
            <w:tcBorders>
              <w:top w:val="nil"/>
              <w:bottom w:val="single" w:sz="4" w:space="0" w:color="FFFFFF"/>
            </w:tcBorders>
            <w:shd w:val="clear" w:color="auto" w:fill="002060"/>
          </w:tcPr>
          <w:p w14:paraId="7D5C471E" w14:textId="77777777" w:rsidR="005D0DCC" w:rsidRPr="00D30847" w:rsidRDefault="005D0DCC" w:rsidP="00E84CD0">
            <w:pPr>
              <w:spacing w:line="240" w:lineRule="auto"/>
              <w:jc w:val="both"/>
              <w:rPr>
                <w:rFonts w:cs="Calibri"/>
                <w:color w:val="FFFFFF"/>
                <w:sz w:val="20"/>
                <w:szCs w:val="20"/>
                <w:lang w:val="en-GB"/>
              </w:rPr>
            </w:pPr>
            <w:r w:rsidRPr="00D30847">
              <w:rPr>
                <w:rFonts w:cs="Calibri"/>
                <w:b/>
                <w:color w:val="FFFFFF"/>
                <w:sz w:val="20"/>
                <w:szCs w:val="20"/>
                <w:lang w:val="en-GB"/>
              </w:rPr>
              <w:t>Completed in year:</w:t>
            </w:r>
            <w:r w:rsidRPr="00D30847">
              <w:rPr>
                <w:rFonts w:cs="Calibri"/>
                <w:color w:val="FFFFFF"/>
                <w:sz w:val="20"/>
                <w:szCs w:val="20"/>
                <w:lang w:val="en-GB"/>
              </w:rPr>
              <w:tab/>
            </w:r>
          </w:p>
        </w:tc>
        <w:tc>
          <w:tcPr>
            <w:tcW w:w="6040" w:type="dxa"/>
            <w:tcBorders>
              <w:top w:val="nil"/>
              <w:bottom w:val="single" w:sz="4" w:space="0" w:color="FFFFFF"/>
            </w:tcBorders>
            <w:shd w:val="clear" w:color="auto" w:fill="D9E2F3"/>
          </w:tcPr>
          <w:p w14:paraId="582139C4" w14:textId="6AE5EF81" w:rsidR="005D0DCC" w:rsidRPr="00D30847" w:rsidRDefault="005D0DCC" w:rsidP="00E84CD0">
            <w:pPr>
              <w:spacing w:line="240" w:lineRule="auto"/>
              <w:jc w:val="both"/>
              <w:rPr>
                <w:rFonts w:cs="Calibri"/>
                <w:sz w:val="20"/>
                <w:szCs w:val="20"/>
                <w:lang w:val="en-GB"/>
              </w:rPr>
            </w:pPr>
            <w:r w:rsidRPr="00D30847">
              <w:rPr>
                <w:rFonts w:cs="Calibri"/>
                <w:sz w:val="20"/>
                <w:szCs w:val="20"/>
                <w:lang w:val="en-GB"/>
              </w:rPr>
              <w:t>202</w:t>
            </w:r>
            <w:r w:rsidR="00600944" w:rsidRPr="00D30847">
              <w:rPr>
                <w:rFonts w:cs="Calibri"/>
                <w:sz w:val="20"/>
                <w:szCs w:val="20"/>
                <w:lang w:val="en-GB"/>
              </w:rPr>
              <w:t>6</w:t>
            </w:r>
          </w:p>
        </w:tc>
      </w:tr>
      <w:tr w:rsidR="005D0DCC" w:rsidRPr="00D30847" w14:paraId="71CE4FC7" w14:textId="77777777" w:rsidTr="006B2781">
        <w:trPr>
          <w:trHeight w:val="707"/>
        </w:trPr>
        <w:tc>
          <w:tcPr>
            <w:tcW w:w="2435" w:type="dxa"/>
            <w:tcBorders>
              <w:top w:val="single" w:sz="4" w:space="0" w:color="FFFFFF"/>
              <w:bottom w:val="single" w:sz="4" w:space="0" w:color="FFFFFF"/>
            </w:tcBorders>
            <w:shd w:val="clear" w:color="auto" w:fill="002060"/>
          </w:tcPr>
          <w:p w14:paraId="7F1FA0FE" w14:textId="77777777" w:rsidR="005D0DCC" w:rsidRPr="00D30847" w:rsidRDefault="005D0DCC" w:rsidP="00E84CD0">
            <w:pPr>
              <w:spacing w:line="240" w:lineRule="auto"/>
              <w:jc w:val="both"/>
              <w:rPr>
                <w:rFonts w:cs="Calibri"/>
                <w:color w:val="FFFFFF"/>
                <w:sz w:val="20"/>
                <w:szCs w:val="20"/>
                <w:lang w:val="en-GB"/>
              </w:rPr>
            </w:pPr>
            <w:r w:rsidRPr="00D30847">
              <w:rPr>
                <w:rFonts w:cs="Calibri"/>
                <w:b/>
                <w:color w:val="FFFFFF"/>
                <w:sz w:val="20"/>
                <w:szCs w:val="20"/>
                <w:lang w:val="en-GB"/>
              </w:rPr>
              <w:t>Deliverables:</w:t>
            </w:r>
          </w:p>
        </w:tc>
        <w:tc>
          <w:tcPr>
            <w:tcW w:w="6040" w:type="dxa"/>
            <w:tcBorders>
              <w:top w:val="single" w:sz="4" w:space="0" w:color="FFFFFF"/>
              <w:bottom w:val="single" w:sz="4" w:space="0" w:color="FFFFFF"/>
            </w:tcBorders>
            <w:shd w:val="clear" w:color="auto" w:fill="D9E2F3"/>
          </w:tcPr>
          <w:p w14:paraId="7B701BCB" w14:textId="7977C663" w:rsidR="005D0DCC" w:rsidRPr="00D30847" w:rsidRDefault="00B55D2F" w:rsidP="00B55D2F">
            <w:pPr>
              <w:spacing w:after="0" w:line="240" w:lineRule="auto"/>
              <w:jc w:val="both"/>
              <w:rPr>
                <w:rFonts w:cs="Calibri"/>
                <w:sz w:val="20"/>
                <w:szCs w:val="20"/>
                <w:lang w:val="en-GB"/>
              </w:rPr>
            </w:pPr>
            <w:r w:rsidRPr="00D30847">
              <w:rPr>
                <w:rFonts w:cs="Calibri"/>
                <w:sz w:val="20"/>
                <w:szCs w:val="20"/>
                <w:lang w:val="en-GB"/>
              </w:rPr>
              <w:t xml:space="preserve">- </w:t>
            </w:r>
            <w:r w:rsidR="005D0DCC" w:rsidRPr="00D30847">
              <w:rPr>
                <w:rFonts w:cs="Calibri"/>
                <w:sz w:val="20"/>
                <w:szCs w:val="20"/>
                <w:lang w:val="en-GB"/>
              </w:rPr>
              <w:t>Additional economic analyses</w:t>
            </w:r>
            <w:r w:rsidR="006A657E" w:rsidRPr="00D30847">
              <w:rPr>
                <w:rFonts w:cs="Calibri"/>
                <w:sz w:val="20"/>
                <w:szCs w:val="20"/>
                <w:lang w:val="en-GB"/>
              </w:rPr>
              <w:t>;</w:t>
            </w:r>
          </w:p>
          <w:p w14:paraId="16E72DC4" w14:textId="53CE8D86" w:rsidR="005D0DCC" w:rsidRPr="00D30847" w:rsidRDefault="00B55D2F" w:rsidP="00B55D2F">
            <w:pPr>
              <w:spacing w:after="0" w:line="240" w:lineRule="auto"/>
              <w:jc w:val="both"/>
              <w:rPr>
                <w:rFonts w:cs="Calibri"/>
                <w:sz w:val="20"/>
                <w:szCs w:val="20"/>
                <w:lang w:val="en-GB"/>
              </w:rPr>
            </w:pPr>
            <w:r w:rsidRPr="00D30847">
              <w:rPr>
                <w:rFonts w:cs="Calibri"/>
                <w:sz w:val="20"/>
                <w:szCs w:val="20"/>
                <w:lang w:val="en-GB"/>
              </w:rPr>
              <w:t xml:space="preserve">- </w:t>
            </w:r>
            <w:r w:rsidR="005D0DCC" w:rsidRPr="00D30847">
              <w:rPr>
                <w:rFonts w:cs="Calibri"/>
                <w:sz w:val="20"/>
                <w:szCs w:val="20"/>
                <w:lang w:val="en-GB"/>
              </w:rPr>
              <w:t>Conducted impact assessment;</w:t>
            </w:r>
          </w:p>
          <w:p w14:paraId="3DD364C9" w14:textId="59A7F45B" w:rsidR="005D0DCC" w:rsidRPr="00D30847" w:rsidRDefault="00B55D2F" w:rsidP="00B55D2F">
            <w:pPr>
              <w:spacing w:after="0" w:line="240" w:lineRule="auto"/>
              <w:jc w:val="both"/>
              <w:rPr>
                <w:rFonts w:cs="Calibri"/>
                <w:sz w:val="20"/>
                <w:szCs w:val="20"/>
                <w:lang w:val="en-GB"/>
              </w:rPr>
            </w:pPr>
            <w:r w:rsidRPr="00D30847">
              <w:rPr>
                <w:rFonts w:cs="Calibri"/>
                <w:sz w:val="20"/>
                <w:szCs w:val="20"/>
                <w:lang w:val="en-GB"/>
              </w:rPr>
              <w:t xml:space="preserve">- </w:t>
            </w:r>
            <w:r w:rsidR="005D0DCC" w:rsidRPr="00D30847">
              <w:rPr>
                <w:rFonts w:cs="Calibri"/>
                <w:sz w:val="20"/>
                <w:szCs w:val="20"/>
                <w:lang w:val="en-GB"/>
              </w:rPr>
              <w:t>Carried out trainings</w:t>
            </w:r>
            <w:r w:rsidR="006A657E" w:rsidRPr="00D30847">
              <w:rPr>
                <w:rFonts w:cs="Calibri"/>
                <w:sz w:val="20"/>
                <w:szCs w:val="20"/>
                <w:lang w:val="en-GB"/>
              </w:rPr>
              <w:t>;</w:t>
            </w:r>
          </w:p>
        </w:tc>
      </w:tr>
      <w:tr w:rsidR="005D0DCC" w:rsidRPr="00D30847" w14:paraId="6537B3AC" w14:textId="77777777" w:rsidTr="006B2781">
        <w:trPr>
          <w:trHeight w:val="419"/>
        </w:trPr>
        <w:tc>
          <w:tcPr>
            <w:tcW w:w="2435" w:type="dxa"/>
            <w:tcBorders>
              <w:top w:val="single" w:sz="4" w:space="0" w:color="FFFFFF"/>
              <w:bottom w:val="single" w:sz="4" w:space="0" w:color="FFFFFF"/>
            </w:tcBorders>
            <w:shd w:val="clear" w:color="auto" w:fill="002060"/>
          </w:tcPr>
          <w:p w14:paraId="12D7808E" w14:textId="77777777" w:rsidR="005D0DCC" w:rsidRPr="00D30847" w:rsidRDefault="005D0DCC" w:rsidP="00E84CD0">
            <w:pPr>
              <w:spacing w:line="240" w:lineRule="auto"/>
              <w:jc w:val="both"/>
              <w:rPr>
                <w:rFonts w:cs="Calibri"/>
                <w:b/>
                <w:color w:val="FFFFFF"/>
                <w:sz w:val="20"/>
                <w:szCs w:val="20"/>
                <w:lang w:val="en-GB"/>
              </w:rPr>
            </w:pPr>
            <w:r w:rsidRPr="00D30847">
              <w:rPr>
                <w:rFonts w:cs="Calibri"/>
                <w:b/>
                <w:color w:val="FFFFFF"/>
                <w:sz w:val="20"/>
                <w:szCs w:val="20"/>
                <w:lang w:val="en-GB"/>
              </w:rPr>
              <w:t>Cost implications:</w:t>
            </w:r>
          </w:p>
        </w:tc>
        <w:tc>
          <w:tcPr>
            <w:tcW w:w="6040" w:type="dxa"/>
            <w:tcBorders>
              <w:top w:val="single" w:sz="4" w:space="0" w:color="FFFFFF"/>
              <w:bottom w:val="single" w:sz="4" w:space="0" w:color="FFFFFF"/>
            </w:tcBorders>
            <w:shd w:val="clear" w:color="auto" w:fill="D9E2F3"/>
          </w:tcPr>
          <w:p w14:paraId="706B736B" w14:textId="4544735A" w:rsidR="005D0DCC" w:rsidRPr="00D30847" w:rsidRDefault="005D0DCC" w:rsidP="00E84CD0">
            <w:pPr>
              <w:spacing w:line="240" w:lineRule="auto"/>
              <w:jc w:val="both"/>
              <w:rPr>
                <w:rFonts w:cs="Calibri"/>
                <w:sz w:val="20"/>
                <w:szCs w:val="20"/>
                <w:lang w:val="en-GB"/>
              </w:rPr>
            </w:pPr>
            <w:r w:rsidRPr="00D30847">
              <w:rPr>
                <w:rFonts w:cs="Calibri"/>
                <w:sz w:val="20"/>
                <w:szCs w:val="20"/>
                <w:lang w:val="en-GB"/>
              </w:rPr>
              <w:t xml:space="preserve">EUR </w:t>
            </w:r>
            <w:r w:rsidR="0071387F" w:rsidRPr="00D30847">
              <w:rPr>
                <w:rFonts w:cs="Calibri"/>
                <w:sz w:val="20"/>
                <w:szCs w:val="20"/>
                <w:lang w:val="en-GB"/>
              </w:rPr>
              <w:t>14</w:t>
            </w:r>
            <w:r w:rsidR="001B0643" w:rsidRPr="00D30847">
              <w:rPr>
                <w:rFonts w:cs="Calibri"/>
                <w:sz w:val="20"/>
                <w:szCs w:val="20"/>
                <w:lang w:val="en-GB"/>
              </w:rPr>
              <w:t>0</w:t>
            </w:r>
            <w:r w:rsidRPr="00D30847">
              <w:rPr>
                <w:rFonts w:cs="Calibri"/>
                <w:sz w:val="20"/>
                <w:szCs w:val="20"/>
                <w:lang w:val="en-GB"/>
              </w:rPr>
              <w:t>,000</w:t>
            </w:r>
          </w:p>
        </w:tc>
      </w:tr>
      <w:tr w:rsidR="005D0DCC" w:rsidRPr="00D30847" w14:paraId="6C81671F" w14:textId="77777777" w:rsidTr="006B2781">
        <w:trPr>
          <w:trHeight w:val="419"/>
        </w:trPr>
        <w:tc>
          <w:tcPr>
            <w:tcW w:w="2435" w:type="dxa"/>
            <w:tcBorders>
              <w:top w:val="single" w:sz="4" w:space="0" w:color="FFFFFF"/>
              <w:bottom w:val="single" w:sz="4" w:space="0" w:color="FFFFFF"/>
            </w:tcBorders>
            <w:shd w:val="clear" w:color="auto" w:fill="002060"/>
          </w:tcPr>
          <w:p w14:paraId="24F4CB97" w14:textId="77777777" w:rsidR="005D0DCC" w:rsidRPr="00D30847" w:rsidRDefault="005D0DCC" w:rsidP="00E84CD0">
            <w:pPr>
              <w:spacing w:line="240" w:lineRule="auto"/>
              <w:jc w:val="both"/>
              <w:rPr>
                <w:rFonts w:cs="Calibri"/>
                <w:b/>
                <w:color w:val="FFFFFF"/>
                <w:sz w:val="20"/>
                <w:szCs w:val="20"/>
                <w:lang w:val="en-GB"/>
              </w:rPr>
            </w:pPr>
            <w:r w:rsidRPr="00D30847">
              <w:rPr>
                <w:rFonts w:cs="Calibri"/>
                <w:b/>
                <w:color w:val="FFFFFF"/>
                <w:sz w:val="20"/>
                <w:szCs w:val="20"/>
                <w:lang w:val="en-GB"/>
              </w:rPr>
              <w:t>Responsible entity:</w:t>
            </w:r>
          </w:p>
        </w:tc>
        <w:tc>
          <w:tcPr>
            <w:tcW w:w="6040" w:type="dxa"/>
            <w:tcBorders>
              <w:top w:val="single" w:sz="4" w:space="0" w:color="FFFFFF"/>
              <w:bottom w:val="single" w:sz="4" w:space="0" w:color="FFFFFF"/>
            </w:tcBorders>
            <w:shd w:val="clear" w:color="auto" w:fill="D9E2F3"/>
          </w:tcPr>
          <w:p w14:paraId="5E332E3B" w14:textId="77777777" w:rsidR="005D0DCC" w:rsidRPr="00D30847" w:rsidRDefault="005D0DCC" w:rsidP="00E84CD0">
            <w:pPr>
              <w:spacing w:line="240" w:lineRule="auto"/>
              <w:jc w:val="both"/>
              <w:rPr>
                <w:rFonts w:cs="Calibri"/>
                <w:sz w:val="20"/>
                <w:szCs w:val="20"/>
                <w:lang w:val="en-GB"/>
              </w:rPr>
            </w:pPr>
            <w:r w:rsidRPr="00D30847">
              <w:rPr>
                <w:rFonts w:cs="Calibri"/>
                <w:sz w:val="20"/>
                <w:szCs w:val="20"/>
                <w:lang w:val="en-GB"/>
              </w:rPr>
              <w:t xml:space="preserve">Ministry of Finance - </w:t>
            </w:r>
            <w:r w:rsidR="006B3D46" w:rsidRPr="00D30847">
              <w:rPr>
                <w:rFonts w:cs="Calibri"/>
                <w:sz w:val="20"/>
                <w:szCs w:val="20"/>
                <w:lang w:val="en-GB"/>
              </w:rPr>
              <w:t>Economic policy and development Department</w:t>
            </w:r>
          </w:p>
        </w:tc>
      </w:tr>
      <w:tr w:rsidR="005D0DCC" w:rsidRPr="00D30847" w14:paraId="55051A1B" w14:textId="77777777" w:rsidTr="006B2781">
        <w:trPr>
          <w:trHeight w:val="1088"/>
        </w:trPr>
        <w:tc>
          <w:tcPr>
            <w:tcW w:w="2435" w:type="dxa"/>
            <w:tcBorders>
              <w:top w:val="single" w:sz="4" w:space="0" w:color="FFFFFF"/>
              <w:bottom w:val="nil"/>
            </w:tcBorders>
            <w:shd w:val="clear" w:color="auto" w:fill="002060"/>
          </w:tcPr>
          <w:p w14:paraId="3B5DFA5C" w14:textId="77777777" w:rsidR="005D0DCC" w:rsidRPr="00D30847" w:rsidRDefault="005D0DCC" w:rsidP="00E84CD0">
            <w:pPr>
              <w:spacing w:line="240" w:lineRule="auto"/>
              <w:jc w:val="both"/>
              <w:rPr>
                <w:rFonts w:cs="Calibri"/>
                <w:b/>
                <w:color w:val="FFFFFF"/>
                <w:sz w:val="20"/>
                <w:szCs w:val="20"/>
                <w:lang w:val="en-GB"/>
              </w:rPr>
            </w:pPr>
            <w:r w:rsidRPr="00D30847">
              <w:rPr>
                <w:rFonts w:cs="Calibri"/>
                <w:b/>
                <w:color w:val="FFFFFF"/>
                <w:sz w:val="20"/>
                <w:szCs w:val="20"/>
                <w:lang w:val="en-GB"/>
              </w:rPr>
              <w:t>Risk:</w:t>
            </w:r>
          </w:p>
        </w:tc>
        <w:tc>
          <w:tcPr>
            <w:tcW w:w="6040" w:type="dxa"/>
            <w:tcBorders>
              <w:top w:val="single" w:sz="4" w:space="0" w:color="FFFFFF"/>
              <w:bottom w:val="nil"/>
            </w:tcBorders>
            <w:shd w:val="clear" w:color="auto" w:fill="D9E2F3"/>
          </w:tcPr>
          <w:p w14:paraId="1F5A7D0E" w14:textId="77777777" w:rsidR="005D0DCC" w:rsidRPr="00D30847" w:rsidRDefault="006B3D46" w:rsidP="00AD2AD5">
            <w:pPr>
              <w:numPr>
                <w:ilvl w:val="0"/>
                <w:numId w:val="31"/>
              </w:numPr>
              <w:spacing w:after="0" w:line="240" w:lineRule="auto"/>
              <w:ind w:left="181" w:hanging="147"/>
              <w:jc w:val="both"/>
              <w:rPr>
                <w:rFonts w:cs="Calibri"/>
                <w:sz w:val="20"/>
                <w:szCs w:val="20"/>
                <w:lang w:val="en-GB"/>
              </w:rPr>
            </w:pPr>
            <w:r w:rsidRPr="00D30847">
              <w:rPr>
                <w:rFonts w:eastAsia="MS PGothic" w:cs="Calibri"/>
                <w:sz w:val="20"/>
                <w:szCs w:val="20"/>
                <w:lang w:val="en-GB" w:eastAsia="zh-CN"/>
              </w:rPr>
              <w:t>Externalities, as in the case with the energy crisis, inflation pressures and war in Ukraine disrupting the quality of economic forecasting;</w:t>
            </w:r>
          </w:p>
          <w:p w14:paraId="6D7C4F8F" w14:textId="77777777" w:rsidR="00600944" w:rsidRPr="00D30847" w:rsidRDefault="00600944" w:rsidP="00AD2AD5">
            <w:pPr>
              <w:numPr>
                <w:ilvl w:val="0"/>
                <w:numId w:val="31"/>
              </w:numPr>
              <w:spacing w:after="0" w:line="240" w:lineRule="auto"/>
              <w:ind w:left="181" w:hanging="147"/>
              <w:jc w:val="both"/>
              <w:rPr>
                <w:rFonts w:cs="Calibri"/>
                <w:sz w:val="20"/>
                <w:szCs w:val="20"/>
                <w:lang w:val="en-GB"/>
              </w:rPr>
            </w:pPr>
            <w:r w:rsidRPr="00D30847">
              <w:rPr>
                <w:rFonts w:cs="Calibri"/>
                <w:sz w:val="20"/>
                <w:szCs w:val="20"/>
                <w:lang w:val="en-GB"/>
              </w:rPr>
              <w:t>Availability of official national statistical data as input for economic analysis;</w:t>
            </w:r>
          </w:p>
        </w:tc>
      </w:tr>
    </w:tbl>
    <w:p w14:paraId="306DB127" w14:textId="77987A2F" w:rsidR="005116C2" w:rsidRPr="00D30847" w:rsidRDefault="005116C2" w:rsidP="00E84CD0">
      <w:pPr>
        <w:spacing w:line="240" w:lineRule="auto"/>
        <w:jc w:val="both"/>
        <w:rPr>
          <w:rFonts w:cs="Calibri"/>
          <w:b/>
          <w:bCs/>
          <w:iCs/>
          <w:color w:val="0070C0"/>
          <w:sz w:val="24"/>
          <w:szCs w:val="24"/>
          <w:lang w:val="en-GB"/>
        </w:rPr>
      </w:pPr>
    </w:p>
    <w:p w14:paraId="61965DA4" w14:textId="37436B07" w:rsidR="005D0DCC" w:rsidRPr="00D30847" w:rsidRDefault="005D0DCC" w:rsidP="00E84CD0">
      <w:pPr>
        <w:spacing w:line="240" w:lineRule="auto"/>
        <w:jc w:val="both"/>
        <w:rPr>
          <w:rFonts w:cs="Calibri"/>
          <w:b/>
          <w:bCs/>
          <w:iCs/>
          <w:color w:val="0070C0"/>
          <w:sz w:val="24"/>
          <w:szCs w:val="24"/>
          <w:lang w:val="en-GB"/>
        </w:rPr>
      </w:pPr>
      <w:r w:rsidRPr="00D30847">
        <w:rPr>
          <w:rFonts w:cs="Calibri"/>
          <w:b/>
          <w:bCs/>
          <w:iCs/>
          <w:color w:val="0070C0"/>
          <w:sz w:val="24"/>
          <w:szCs w:val="24"/>
          <w:lang w:val="en-GB"/>
        </w:rPr>
        <w:t>Measure 2</w:t>
      </w:r>
      <w:r w:rsidR="00FF28E1" w:rsidRPr="00D30847">
        <w:rPr>
          <w:rFonts w:cs="Calibri"/>
          <w:b/>
          <w:bCs/>
          <w:iCs/>
          <w:color w:val="0070C0"/>
          <w:sz w:val="24"/>
          <w:szCs w:val="24"/>
          <w:lang w:val="en-GB"/>
        </w:rPr>
        <w:t>:</w:t>
      </w:r>
      <w:r w:rsidR="005116C2" w:rsidRPr="00D30847">
        <w:rPr>
          <w:rFonts w:cs="Calibri"/>
          <w:b/>
          <w:bCs/>
          <w:iCs/>
          <w:color w:val="0070C0"/>
          <w:sz w:val="24"/>
          <w:szCs w:val="24"/>
          <w:lang w:val="en-GB"/>
        </w:rPr>
        <w:t xml:space="preserve"> </w:t>
      </w:r>
      <w:r w:rsidRPr="00D30847">
        <w:rPr>
          <w:rFonts w:cs="Calibri"/>
          <w:b/>
          <w:bCs/>
          <w:iCs/>
          <w:color w:val="0070C0"/>
          <w:sz w:val="24"/>
          <w:szCs w:val="24"/>
          <w:lang w:val="en-GB"/>
        </w:rPr>
        <w:t>Developing new macroeconomic models</w:t>
      </w:r>
    </w:p>
    <w:p w14:paraId="380A9046" w14:textId="77777777" w:rsidR="005D0DCC" w:rsidRPr="00D30847" w:rsidRDefault="005D0DCC" w:rsidP="0081628C">
      <w:pPr>
        <w:spacing w:before="240" w:after="0" w:line="240" w:lineRule="auto"/>
        <w:jc w:val="both"/>
        <w:rPr>
          <w:rFonts w:cs="Calibri"/>
          <w:b/>
          <w:bCs/>
          <w:i/>
          <w:iCs/>
          <w:color w:val="4F81BD"/>
          <w:lang w:val="en-GB"/>
        </w:rPr>
      </w:pPr>
      <w:r w:rsidRPr="00D30847">
        <w:rPr>
          <w:rFonts w:cs="Calibri"/>
          <w:b/>
          <w:bCs/>
          <w:i/>
          <w:iCs/>
          <w:color w:val="4F81BD"/>
          <w:lang w:val="en-GB"/>
        </w:rPr>
        <w:t>Measure objective</w:t>
      </w:r>
    </w:p>
    <w:p w14:paraId="084DA972" w14:textId="256A62CA" w:rsidR="001D7B80" w:rsidRPr="00D30847" w:rsidRDefault="001D7B80" w:rsidP="0081628C">
      <w:pPr>
        <w:spacing w:before="240" w:after="0" w:line="240" w:lineRule="auto"/>
        <w:jc w:val="both"/>
        <w:rPr>
          <w:rFonts w:cs="Calibri"/>
          <w:lang w:val="en-GB"/>
        </w:rPr>
      </w:pPr>
      <w:r w:rsidRPr="00D30847">
        <w:rPr>
          <w:rFonts w:cs="Calibri"/>
          <w:color w:val="000000"/>
          <w:lang w:val="en-GB"/>
        </w:rPr>
        <w:t>Strengthening the capacity of the Ministry of Finance for macroeconomic forecasting and analyses,</w:t>
      </w:r>
      <w:r w:rsidR="00BD394C" w:rsidRPr="00D30847">
        <w:rPr>
          <w:rFonts w:cs="Calibri"/>
          <w:color w:val="000000"/>
          <w:lang w:val="en-GB"/>
        </w:rPr>
        <w:t xml:space="preserve"> </w:t>
      </w:r>
      <w:r w:rsidRPr="00D30847">
        <w:rPr>
          <w:rFonts w:cs="Calibri"/>
          <w:color w:val="000000"/>
          <w:lang w:val="en-GB"/>
        </w:rPr>
        <w:t xml:space="preserve">as well as developing </w:t>
      </w:r>
      <w:r w:rsidR="008F391C" w:rsidRPr="00D30847">
        <w:rPr>
          <w:rFonts w:cs="Calibri"/>
          <w:color w:val="000000"/>
          <w:lang w:val="en-GB"/>
        </w:rPr>
        <w:t>new econometric</w:t>
      </w:r>
      <w:r w:rsidRPr="00D30847">
        <w:rPr>
          <w:rFonts w:cs="Calibri"/>
          <w:color w:val="000000"/>
          <w:lang w:val="en-GB"/>
        </w:rPr>
        <w:t xml:space="preserve"> models.</w:t>
      </w:r>
    </w:p>
    <w:p w14:paraId="266A2FFD" w14:textId="77777777" w:rsidR="005D0DCC" w:rsidRPr="00D30847" w:rsidRDefault="005D0DCC" w:rsidP="0098626A">
      <w:pPr>
        <w:spacing w:before="240" w:line="240" w:lineRule="auto"/>
        <w:jc w:val="both"/>
        <w:rPr>
          <w:rFonts w:cs="Calibri"/>
          <w:b/>
          <w:bCs/>
          <w:i/>
          <w:iCs/>
          <w:color w:val="4F81BD"/>
          <w:lang w:val="en-GB"/>
        </w:rPr>
      </w:pPr>
      <w:r w:rsidRPr="00D30847">
        <w:rPr>
          <w:rFonts w:cs="Calibri"/>
          <w:b/>
          <w:bCs/>
          <w:i/>
          <w:iCs/>
          <w:color w:val="4F81BD"/>
          <w:lang w:val="en-GB"/>
        </w:rPr>
        <w:t>Reference to the external assessments findings:</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40"/>
        <w:gridCol w:w="7407"/>
      </w:tblGrid>
      <w:tr w:rsidR="005D0DCC" w:rsidRPr="00D30847" w14:paraId="695F06BB" w14:textId="77777777" w:rsidTr="00CE0F6C">
        <w:tc>
          <w:tcPr>
            <w:tcW w:w="1240" w:type="dxa"/>
            <w:shd w:val="clear" w:color="auto" w:fill="DDDDDD"/>
          </w:tcPr>
          <w:p w14:paraId="52BFD1E1" w14:textId="3FEEFE0F" w:rsidR="005D0DCC" w:rsidRPr="00D30847" w:rsidRDefault="005D0DCC" w:rsidP="00E84CD0">
            <w:pPr>
              <w:spacing w:line="240" w:lineRule="auto"/>
              <w:jc w:val="both"/>
              <w:rPr>
                <w:rFonts w:cs="Calibri"/>
                <w:b/>
                <w:sz w:val="20"/>
                <w:szCs w:val="20"/>
                <w:lang w:val="en-GB"/>
              </w:rPr>
            </w:pPr>
            <w:r w:rsidRPr="00D30847">
              <w:rPr>
                <w:rFonts w:cs="Calibri"/>
                <w:b/>
                <w:sz w:val="20"/>
                <w:szCs w:val="20"/>
                <w:lang w:val="en-GB"/>
              </w:rPr>
              <w:t>EU</w:t>
            </w:r>
          </w:p>
        </w:tc>
        <w:tc>
          <w:tcPr>
            <w:tcW w:w="7407" w:type="dxa"/>
            <w:shd w:val="clear" w:color="auto" w:fill="DDDDDD"/>
          </w:tcPr>
          <w:p w14:paraId="23E37DD4" w14:textId="77777777" w:rsidR="005D0DCC" w:rsidRPr="00D30847" w:rsidRDefault="001D7B80" w:rsidP="00E84CD0">
            <w:pPr>
              <w:spacing w:line="240" w:lineRule="auto"/>
              <w:jc w:val="both"/>
              <w:rPr>
                <w:rFonts w:cs="Calibri"/>
                <w:sz w:val="20"/>
                <w:szCs w:val="20"/>
                <w:lang w:val="en-GB"/>
              </w:rPr>
            </w:pPr>
            <w:r w:rsidRPr="00D30847">
              <w:rPr>
                <w:rFonts w:cs="Calibri"/>
                <w:sz w:val="20"/>
                <w:szCs w:val="20"/>
                <w:lang w:val="en-GB"/>
              </w:rPr>
              <w:t>The ERP’s growth scenario seems somewhat optimistic given significant downward risks to growth (e.g. uncertainties about the future course of the war in Ukraine, of global energy and commodity prices, and of global financial market conditions; domestic pressure on inflation, such as wage growth; and major implementation and management risks for both private and public investments). Commission’s Assessment on ERP 2023-2025.</w:t>
            </w:r>
          </w:p>
        </w:tc>
      </w:tr>
    </w:tbl>
    <w:p w14:paraId="7D92102B" w14:textId="77777777" w:rsidR="00FF28E1" w:rsidRPr="00D30847" w:rsidRDefault="00FF28E1" w:rsidP="00E84CD0">
      <w:pPr>
        <w:spacing w:line="240" w:lineRule="auto"/>
        <w:jc w:val="both"/>
        <w:rPr>
          <w:rFonts w:cs="Calibri"/>
          <w:b/>
          <w:bCs/>
          <w:i/>
          <w:iCs/>
          <w:color w:val="4F81BD"/>
          <w:lang w:val="en-GB"/>
        </w:rPr>
      </w:pPr>
    </w:p>
    <w:p w14:paraId="67833276" w14:textId="77777777" w:rsidR="005D0DCC" w:rsidRPr="00D30847" w:rsidRDefault="005D0DCC" w:rsidP="008B565E">
      <w:pPr>
        <w:spacing w:line="240" w:lineRule="auto"/>
        <w:jc w:val="both"/>
        <w:rPr>
          <w:rFonts w:cs="Calibri"/>
          <w:b/>
          <w:bCs/>
          <w:i/>
          <w:iCs/>
          <w:color w:val="4F81BD"/>
          <w:lang w:val="en-GB"/>
        </w:rPr>
      </w:pPr>
      <w:r w:rsidRPr="00D30847">
        <w:rPr>
          <w:rFonts w:cs="Calibri"/>
          <w:b/>
          <w:bCs/>
          <w:i/>
          <w:iCs/>
          <w:color w:val="4F81BD"/>
          <w:lang w:val="en-GB"/>
        </w:rPr>
        <w:t>Context/Background</w:t>
      </w:r>
    </w:p>
    <w:p w14:paraId="2F33C7FD" w14:textId="4A3D7B67" w:rsidR="005D0DCC" w:rsidRPr="00D30847" w:rsidRDefault="005D0DCC" w:rsidP="008B565E">
      <w:pPr>
        <w:spacing w:line="240" w:lineRule="auto"/>
        <w:jc w:val="both"/>
        <w:rPr>
          <w:rFonts w:eastAsia="MS PGothic" w:cs="Calibri"/>
          <w:lang w:val="en-GB" w:eastAsia="zh-CN"/>
        </w:rPr>
      </w:pPr>
      <w:r w:rsidRPr="00D30847">
        <w:rPr>
          <w:rFonts w:cs="Calibri"/>
          <w:lang w:val="en-GB"/>
        </w:rPr>
        <w:t>Ministry of Finance is responsible for preparing the Budget and the Fiscal Strategy, also coordinating and significantly contributing to the preparation of the Economic Reform Program.</w:t>
      </w:r>
      <w:r w:rsidR="00BD394C" w:rsidRPr="00D30847">
        <w:rPr>
          <w:rFonts w:cs="Calibri"/>
          <w:lang w:val="en-GB"/>
        </w:rPr>
        <w:t xml:space="preserve"> </w:t>
      </w:r>
      <w:r w:rsidRPr="00D30847">
        <w:rPr>
          <w:rFonts w:eastAsia="MS PGothic" w:cs="Calibri"/>
          <w:lang w:val="en-GB" w:eastAsia="zh-CN"/>
        </w:rPr>
        <w:t>Macroeconomic forecasts are important input in the process of budget planning and fiscal policy formulation.</w:t>
      </w:r>
      <w:r w:rsidR="00BD394C" w:rsidRPr="00D30847">
        <w:rPr>
          <w:rFonts w:eastAsia="MS PGothic" w:cs="Calibri"/>
          <w:lang w:val="en-GB" w:eastAsia="zh-CN"/>
        </w:rPr>
        <w:t xml:space="preserve"> </w:t>
      </w:r>
      <w:r w:rsidRPr="00D30847">
        <w:rPr>
          <w:rFonts w:eastAsia="MS PGothic" w:cs="Calibri"/>
          <w:lang w:val="en-GB" w:eastAsia="zh-CN"/>
        </w:rPr>
        <w:t>Therefore, expanding and developing new macroeconomic models will enrich the toolkit for macroeconomic forecasting, to the end of increasing its scope and quality.</w:t>
      </w:r>
      <w:r w:rsidR="00BD394C" w:rsidRPr="00D30847">
        <w:rPr>
          <w:rFonts w:eastAsia="MS PGothic" w:cs="Calibri"/>
          <w:lang w:val="en-GB" w:eastAsia="zh-CN"/>
        </w:rPr>
        <w:t xml:space="preserve"> </w:t>
      </w:r>
      <w:r w:rsidRPr="00D30847">
        <w:rPr>
          <w:rFonts w:eastAsia="MS PGothic" w:cs="Calibri"/>
          <w:lang w:val="en-GB" w:eastAsia="zh-CN"/>
        </w:rPr>
        <w:t>Developing macroeconomic models can also help measure and evaluate economic effects of policy changes and will increase the quality of policy decisions.</w:t>
      </w:r>
    </w:p>
    <w:p w14:paraId="6C587E71" w14:textId="77777777" w:rsidR="00015266" w:rsidRPr="00D30847" w:rsidRDefault="0071387F" w:rsidP="00E84CD0">
      <w:pPr>
        <w:spacing w:line="240" w:lineRule="auto"/>
        <w:jc w:val="both"/>
        <w:rPr>
          <w:rFonts w:cs="Calibri"/>
          <w:color w:val="000000"/>
          <w:lang w:val="en-GB"/>
        </w:rPr>
      </w:pPr>
      <w:r w:rsidRPr="00D30847">
        <w:rPr>
          <w:rFonts w:cs="Calibri"/>
          <w:color w:val="000000"/>
          <w:lang w:val="en-GB"/>
        </w:rPr>
        <w:t xml:space="preserve">In this regard, according to the plan in the previous report, a new model for short -term prediction of inflation is developed and in use, while a short-term GDP model that was developed needs additional adjustments. The third, macrostructural model, intended for medium-term projections is in </w:t>
      </w:r>
      <w:r w:rsidRPr="00D30847">
        <w:rPr>
          <w:rFonts w:cs="Calibri"/>
          <w:color w:val="000000"/>
          <w:lang w:val="en-GB"/>
        </w:rPr>
        <w:lastRenderedPageBreak/>
        <w:t>development phase and consultations with experts on its use are carried out, including staff training. Together with the short-term model, it is planned to be used as tools for economic analysis and medium-term projections. Upon completion of these activities, a plan for the development of the CGE model will be prepared in the next subsequent period.</w:t>
      </w:r>
    </w:p>
    <w:p w14:paraId="4483F6EF" w14:textId="38FD66AB" w:rsidR="005D0DCC" w:rsidRPr="00D30847" w:rsidRDefault="005D0DCC" w:rsidP="00E84CD0">
      <w:pPr>
        <w:spacing w:line="240" w:lineRule="auto"/>
        <w:jc w:val="both"/>
        <w:rPr>
          <w:rFonts w:cs="Calibri"/>
          <w:b/>
          <w:color w:val="0070C0"/>
          <w:lang w:val="en-GB"/>
        </w:rPr>
      </w:pPr>
      <w:r w:rsidRPr="00D30847">
        <w:rPr>
          <w:rFonts w:cs="Calibri"/>
          <w:b/>
          <w:color w:val="0070C0"/>
          <w:lang w:val="en-GB"/>
        </w:rPr>
        <w:t>Activity 1:</w:t>
      </w:r>
      <w:r w:rsidR="00CA0BA6" w:rsidRPr="00D30847">
        <w:rPr>
          <w:rFonts w:cs="Calibri"/>
          <w:b/>
          <w:color w:val="0070C0"/>
          <w:lang w:val="en-GB"/>
        </w:rPr>
        <w:t xml:space="preserve"> </w:t>
      </w:r>
      <w:r w:rsidRPr="00D30847">
        <w:rPr>
          <w:rFonts w:cs="Calibri"/>
          <w:b/>
          <w:color w:val="0070C0"/>
          <w:lang w:val="en-GB"/>
        </w:rPr>
        <w:t>Developing macroeconomic forecasting tools</w:t>
      </w:r>
    </w:p>
    <w:tbl>
      <w:tblPr>
        <w:tblW w:w="9180" w:type="dxa"/>
        <w:tblInd w:w="18" w:type="dxa"/>
        <w:tblLook w:val="01E0" w:firstRow="1" w:lastRow="1" w:firstColumn="1" w:lastColumn="1" w:noHBand="0" w:noVBand="0"/>
      </w:tblPr>
      <w:tblGrid>
        <w:gridCol w:w="9180"/>
      </w:tblGrid>
      <w:tr w:rsidR="005D0DCC" w:rsidRPr="00D30847" w14:paraId="7A01D421" w14:textId="77777777" w:rsidTr="00DB0B2A">
        <w:tc>
          <w:tcPr>
            <w:tcW w:w="9180" w:type="dxa"/>
            <w:shd w:val="clear" w:color="auto" w:fill="auto"/>
          </w:tcPr>
          <w:p w14:paraId="15A51ACC" w14:textId="1F61F2F5" w:rsidR="00CA0BA6" w:rsidRPr="00D30847" w:rsidRDefault="00600944" w:rsidP="008B565E">
            <w:pPr>
              <w:spacing w:line="240" w:lineRule="auto"/>
              <w:ind w:left="-120"/>
              <w:jc w:val="both"/>
              <w:rPr>
                <w:rFonts w:eastAsia="MS PGothic" w:cs="Calibri"/>
                <w:lang w:val="en-GB" w:eastAsia="zh-CN"/>
              </w:rPr>
            </w:pPr>
            <w:r w:rsidRPr="00D30847">
              <w:rPr>
                <w:rFonts w:cs="Calibri"/>
                <w:lang w:val="en-GB"/>
              </w:rPr>
              <w:t xml:space="preserve">Under this activity, </w:t>
            </w:r>
            <w:r w:rsidRPr="00D30847">
              <w:rPr>
                <w:rFonts w:eastAsia="MS PGothic" w:cs="Calibri"/>
                <w:lang w:val="en-GB" w:eastAsia="zh-CN"/>
              </w:rPr>
              <w:t>new tools for forecasting and analyses are envisaged to be developed. Two models for short-term forecasting are developed for forecasting Inflation and GDP through the use of nowcasting and E-views. The inflation model has been completed includin</w:t>
            </w:r>
            <w:r w:rsidR="00705C79" w:rsidRPr="00D30847">
              <w:rPr>
                <w:rFonts w:eastAsia="MS PGothic" w:cs="Calibri"/>
                <w:lang w:val="en-GB" w:eastAsia="zh-CN"/>
              </w:rPr>
              <w:t xml:space="preserve">g training of staff, while the </w:t>
            </w:r>
            <w:r w:rsidRPr="00D30847">
              <w:rPr>
                <w:rFonts w:eastAsia="MS PGothic" w:cs="Calibri"/>
                <w:lang w:val="en-GB" w:eastAsia="zh-CN"/>
              </w:rPr>
              <w:t xml:space="preserve">GDP short-term model is to be upgraded and tested with additional training to be provided. Also, building of macrostructural model for the purpose of macroeconomic forecasting and policy analyses has started and initial theoretical and hands-on trainings were organized. </w:t>
            </w:r>
            <w:r w:rsidR="0071387F" w:rsidRPr="00D30847">
              <w:rPr>
                <w:rFonts w:eastAsia="MS PGothic" w:cs="Calibri"/>
                <w:lang w:val="en-GB" w:eastAsia="zh-CN"/>
              </w:rPr>
              <w:t>Further work of the macrostructural model with periodic staff training is envisaged to be carried out in stages during 2025 and 2026. The project is also planned to develop a module on the impact of climate change as part of the macrostructural model. Upon completion of these activities, it is envisaged to start preparing a plan for the development of a complex CGGE model in 2027.</w:t>
            </w:r>
          </w:p>
        </w:tc>
      </w:tr>
    </w:tbl>
    <w:p w14:paraId="3333F5E4" w14:textId="77777777" w:rsidR="005D0DCC" w:rsidRPr="00D30847" w:rsidRDefault="005D0DCC" w:rsidP="00E84CD0">
      <w:pPr>
        <w:spacing w:line="240" w:lineRule="auto"/>
        <w:jc w:val="both"/>
        <w:rPr>
          <w:rFonts w:cs="Calibri"/>
          <w:b/>
          <w:bCs/>
          <w:i/>
          <w:iCs/>
          <w:color w:val="4F81BD"/>
          <w:lang w:val="en-GB"/>
        </w:rPr>
      </w:pPr>
      <w:r w:rsidRPr="00D30847">
        <w:rPr>
          <w:rFonts w:cs="Calibri"/>
          <w:b/>
          <w:bCs/>
          <w:i/>
          <w:iCs/>
          <w:color w:val="4F81BD"/>
          <w:lang w:val="en-GB"/>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5D0DCC" w:rsidRPr="00D30847" w14:paraId="05FF7BCA" w14:textId="77777777" w:rsidTr="006B2781">
        <w:tc>
          <w:tcPr>
            <w:tcW w:w="2518" w:type="dxa"/>
            <w:tcBorders>
              <w:top w:val="nil"/>
              <w:bottom w:val="single" w:sz="4" w:space="0" w:color="FFFFFF"/>
            </w:tcBorders>
            <w:shd w:val="clear" w:color="auto" w:fill="002060"/>
          </w:tcPr>
          <w:p w14:paraId="6B6D0810" w14:textId="77777777" w:rsidR="005D0DCC" w:rsidRPr="00D30847" w:rsidRDefault="005D0DCC" w:rsidP="00E84CD0">
            <w:pPr>
              <w:spacing w:line="240" w:lineRule="auto"/>
              <w:jc w:val="both"/>
              <w:rPr>
                <w:rFonts w:cs="Calibri"/>
                <w:color w:val="FFFFFF"/>
                <w:sz w:val="20"/>
                <w:szCs w:val="20"/>
                <w:lang w:val="en-GB"/>
              </w:rPr>
            </w:pPr>
            <w:r w:rsidRPr="00D30847">
              <w:rPr>
                <w:rFonts w:cs="Calibri"/>
                <w:b/>
                <w:color w:val="FFFFFF"/>
                <w:sz w:val="20"/>
                <w:szCs w:val="20"/>
                <w:lang w:val="en-GB"/>
              </w:rPr>
              <w:t>Completed in year:</w:t>
            </w:r>
            <w:r w:rsidRPr="00D30847">
              <w:rPr>
                <w:rFonts w:cs="Calibri"/>
                <w:color w:val="FFFFFF"/>
                <w:sz w:val="20"/>
                <w:szCs w:val="20"/>
                <w:lang w:val="en-GB"/>
              </w:rPr>
              <w:tab/>
            </w:r>
          </w:p>
        </w:tc>
        <w:tc>
          <w:tcPr>
            <w:tcW w:w="6246" w:type="dxa"/>
            <w:tcBorders>
              <w:top w:val="nil"/>
              <w:bottom w:val="single" w:sz="4" w:space="0" w:color="FFFFFF"/>
            </w:tcBorders>
            <w:shd w:val="clear" w:color="auto" w:fill="D9E2F3"/>
          </w:tcPr>
          <w:p w14:paraId="50DB3EA7" w14:textId="12A47C23" w:rsidR="005D0DCC" w:rsidRPr="00D30847" w:rsidRDefault="005D0DCC" w:rsidP="00E84CD0">
            <w:pPr>
              <w:spacing w:line="240" w:lineRule="auto"/>
              <w:jc w:val="both"/>
              <w:rPr>
                <w:rFonts w:cs="Calibri"/>
                <w:color w:val="FF0000"/>
                <w:sz w:val="20"/>
                <w:szCs w:val="20"/>
                <w:lang w:val="en-GB"/>
              </w:rPr>
            </w:pPr>
            <w:r w:rsidRPr="00D30847">
              <w:rPr>
                <w:rFonts w:cs="Calibri"/>
                <w:sz w:val="20"/>
                <w:szCs w:val="20"/>
                <w:lang w:val="en-GB"/>
              </w:rPr>
              <w:t>202</w:t>
            </w:r>
            <w:r w:rsidR="005D7742" w:rsidRPr="00D30847">
              <w:rPr>
                <w:rFonts w:cs="Calibri"/>
                <w:sz w:val="20"/>
                <w:szCs w:val="20"/>
                <w:lang w:val="en-GB"/>
              </w:rPr>
              <w:t>6</w:t>
            </w:r>
          </w:p>
        </w:tc>
      </w:tr>
      <w:tr w:rsidR="005D0DCC" w:rsidRPr="00D30847" w14:paraId="299CD6CF" w14:textId="77777777" w:rsidTr="006B2781">
        <w:tc>
          <w:tcPr>
            <w:tcW w:w="2518" w:type="dxa"/>
            <w:tcBorders>
              <w:top w:val="single" w:sz="4" w:space="0" w:color="FFFFFF"/>
              <w:bottom w:val="single" w:sz="4" w:space="0" w:color="FFFFFF"/>
            </w:tcBorders>
            <w:shd w:val="clear" w:color="auto" w:fill="002060"/>
          </w:tcPr>
          <w:p w14:paraId="353CB62C" w14:textId="77777777" w:rsidR="005D0DCC" w:rsidRPr="00D30847" w:rsidRDefault="005D0DCC" w:rsidP="00E84CD0">
            <w:pPr>
              <w:spacing w:line="240" w:lineRule="auto"/>
              <w:jc w:val="both"/>
              <w:rPr>
                <w:rFonts w:cs="Calibri"/>
                <w:color w:val="FFFFFF"/>
                <w:sz w:val="20"/>
                <w:szCs w:val="20"/>
                <w:lang w:val="en-GB"/>
              </w:rPr>
            </w:pPr>
            <w:r w:rsidRPr="00D30847">
              <w:rPr>
                <w:rFonts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75257BE4" w14:textId="7A6CB27A" w:rsidR="001D7B80" w:rsidRPr="00D30847" w:rsidRDefault="00A26387" w:rsidP="00A26387">
            <w:pPr>
              <w:spacing w:after="0" w:line="240" w:lineRule="auto"/>
              <w:jc w:val="both"/>
              <w:rPr>
                <w:rFonts w:cs="Calibri"/>
                <w:sz w:val="20"/>
                <w:szCs w:val="20"/>
                <w:lang w:val="en-GB"/>
              </w:rPr>
            </w:pPr>
            <w:r w:rsidRPr="00D30847">
              <w:rPr>
                <w:rFonts w:cs="Calibri"/>
                <w:sz w:val="20"/>
                <w:szCs w:val="20"/>
                <w:lang w:val="en-GB"/>
              </w:rPr>
              <w:t xml:space="preserve">- </w:t>
            </w:r>
            <w:r w:rsidR="001D7B80" w:rsidRPr="00D30847">
              <w:rPr>
                <w:rFonts w:cs="Calibri"/>
                <w:sz w:val="20"/>
                <w:szCs w:val="20"/>
                <w:lang w:val="en-GB"/>
              </w:rPr>
              <w:t>Developed macroeconomic forecasting tools;</w:t>
            </w:r>
          </w:p>
          <w:p w14:paraId="3A0EC5BA" w14:textId="5767EBC0" w:rsidR="001D7B80" w:rsidRPr="00D30847" w:rsidRDefault="00A26387" w:rsidP="00A26387">
            <w:pPr>
              <w:spacing w:after="0" w:line="240" w:lineRule="auto"/>
              <w:jc w:val="both"/>
              <w:rPr>
                <w:rFonts w:cs="Calibri"/>
                <w:sz w:val="20"/>
                <w:szCs w:val="20"/>
                <w:lang w:val="en-GB"/>
              </w:rPr>
            </w:pPr>
            <w:r w:rsidRPr="00D30847">
              <w:rPr>
                <w:rFonts w:cs="Calibri"/>
                <w:sz w:val="20"/>
                <w:szCs w:val="20"/>
                <w:lang w:val="en-GB"/>
              </w:rPr>
              <w:t xml:space="preserve">- </w:t>
            </w:r>
            <w:r w:rsidR="001D7B80" w:rsidRPr="00D30847">
              <w:rPr>
                <w:rFonts w:cs="Calibri"/>
                <w:sz w:val="20"/>
                <w:szCs w:val="20"/>
                <w:lang w:val="en-GB"/>
              </w:rPr>
              <w:t>Macrostructural model built;</w:t>
            </w:r>
          </w:p>
          <w:p w14:paraId="63C439A0" w14:textId="58009559" w:rsidR="005D0DCC" w:rsidRPr="00D30847" w:rsidRDefault="00A26387" w:rsidP="00A26387">
            <w:pPr>
              <w:spacing w:after="0" w:line="240" w:lineRule="auto"/>
              <w:jc w:val="both"/>
              <w:rPr>
                <w:rFonts w:cs="Calibri"/>
                <w:sz w:val="20"/>
                <w:szCs w:val="20"/>
                <w:lang w:val="en-GB"/>
              </w:rPr>
            </w:pPr>
            <w:r w:rsidRPr="00D30847">
              <w:rPr>
                <w:rFonts w:cs="Calibri"/>
                <w:sz w:val="20"/>
                <w:szCs w:val="20"/>
                <w:lang w:val="en-GB"/>
              </w:rPr>
              <w:t xml:space="preserve">- </w:t>
            </w:r>
            <w:r w:rsidR="001D7B80" w:rsidRPr="00D30847">
              <w:rPr>
                <w:rFonts w:cs="Calibri"/>
                <w:sz w:val="20"/>
                <w:szCs w:val="20"/>
                <w:lang w:val="en-GB"/>
              </w:rPr>
              <w:t>Carried out trainings;</w:t>
            </w:r>
          </w:p>
          <w:p w14:paraId="79E38CC8" w14:textId="0C9963B5" w:rsidR="00600944" w:rsidRPr="00D30847" w:rsidRDefault="00A26387" w:rsidP="00A26387">
            <w:pPr>
              <w:spacing w:after="0" w:line="240" w:lineRule="auto"/>
              <w:jc w:val="both"/>
              <w:rPr>
                <w:rFonts w:cs="Calibri"/>
                <w:sz w:val="20"/>
                <w:szCs w:val="20"/>
                <w:lang w:val="en-GB"/>
              </w:rPr>
            </w:pPr>
            <w:r w:rsidRPr="00D30847">
              <w:rPr>
                <w:rFonts w:cs="Calibri"/>
                <w:sz w:val="20"/>
                <w:szCs w:val="20"/>
                <w:lang w:val="en-GB"/>
              </w:rPr>
              <w:t xml:space="preserve">- </w:t>
            </w:r>
            <w:r w:rsidR="00600944" w:rsidRPr="00D30847">
              <w:rPr>
                <w:rFonts w:cs="Calibri"/>
                <w:sz w:val="20"/>
                <w:szCs w:val="20"/>
                <w:lang w:val="en-GB"/>
              </w:rPr>
              <w:t>Plan for developing CGE model prepared;</w:t>
            </w:r>
          </w:p>
        </w:tc>
      </w:tr>
      <w:tr w:rsidR="005D0DCC" w:rsidRPr="00D30847" w14:paraId="31E3D310" w14:textId="77777777" w:rsidTr="006B2781">
        <w:tc>
          <w:tcPr>
            <w:tcW w:w="2518" w:type="dxa"/>
            <w:tcBorders>
              <w:top w:val="single" w:sz="4" w:space="0" w:color="FFFFFF"/>
              <w:bottom w:val="single" w:sz="4" w:space="0" w:color="FFFFFF"/>
            </w:tcBorders>
            <w:shd w:val="clear" w:color="auto" w:fill="002060"/>
          </w:tcPr>
          <w:p w14:paraId="00E98A4F" w14:textId="77777777" w:rsidR="005D0DCC" w:rsidRPr="00D30847" w:rsidRDefault="005D0DCC" w:rsidP="00E84CD0">
            <w:pPr>
              <w:spacing w:line="240" w:lineRule="auto"/>
              <w:jc w:val="both"/>
              <w:rPr>
                <w:rFonts w:cs="Calibri"/>
                <w:b/>
                <w:color w:val="FFFFFF"/>
                <w:sz w:val="20"/>
                <w:szCs w:val="20"/>
                <w:lang w:val="en-GB"/>
              </w:rPr>
            </w:pPr>
            <w:r w:rsidRPr="00D30847">
              <w:rPr>
                <w:rFonts w:cs="Calibri"/>
                <w:b/>
                <w:color w:val="FFFFFF"/>
                <w:sz w:val="20"/>
                <w:szCs w:val="20"/>
                <w:lang w:val="en-GB"/>
              </w:rPr>
              <w:t>Cost implications:</w:t>
            </w:r>
          </w:p>
        </w:tc>
        <w:tc>
          <w:tcPr>
            <w:tcW w:w="6246" w:type="dxa"/>
            <w:tcBorders>
              <w:top w:val="single" w:sz="4" w:space="0" w:color="FFFFFF"/>
              <w:bottom w:val="single" w:sz="4" w:space="0" w:color="FFFFFF"/>
            </w:tcBorders>
            <w:shd w:val="clear" w:color="auto" w:fill="D9E2F3"/>
          </w:tcPr>
          <w:p w14:paraId="1A6BBAA4" w14:textId="5570AC8F" w:rsidR="005D0DCC" w:rsidRPr="00D30847" w:rsidRDefault="005D0DCC" w:rsidP="00E84CD0">
            <w:pPr>
              <w:spacing w:line="240" w:lineRule="auto"/>
              <w:jc w:val="both"/>
              <w:rPr>
                <w:rFonts w:cs="Calibri"/>
                <w:sz w:val="20"/>
                <w:szCs w:val="20"/>
                <w:lang w:val="en-GB"/>
              </w:rPr>
            </w:pPr>
            <w:r w:rsidRPr="00D30847">
              <w:rPr>
                <w:rFonts w:cs="Calibri"/>
                <w:sz w:val="20"/>
                <w:szCs w:val="20"/>
                <w:lang w:val="en-GB"/>
              </w:rPr>
              <w:t xml:space="preserve">EUR </w:t>
            </w:r>
            <w:r w:rsidR="0071387F" w:rsidRPr="00D30847">
              <w:rPr>
                <w:rFonts w:cs="Calibri"/>
                <w:sz w:val="20"/>
                <w:szCs w:val="20"/>
                <w:lang w:val="en-GB"/>
              </w:rPr>
              <w:t>14</w:t>
            </w:r>
            <w:r w:rsidR="008A70A1" w:rsidRPr="00D30847">
              <w:rPr>
                <w:rFonts w:cs="Calibri"/>
                <w:sz w:val="20"/>
                <w:szCs w:val="20"/>
                <w:lang w:val="en-GB"/>
              </w:rPr>
              <w:t>0</w:t>
            </w:r>
            <w:r w:rsidRPr="00D30847">
              <w:rPr>
                <w:rFonts w:cs="Calibri"/>
                <w:sz w:val="20"/>
                <w:szCs w:val="20"/>
                <w:lang w:val="en-GB"/>
              </w:rPr>
              <w:t>,000</w:t>
            </w:r>
          </w:p>
        </w:tc>
      </w:tr>
      <w:tr w:rsidR="005D0DCC" w:rsidRPr="00D30847" w14:paraId="771CD6DE" w14:textId="77777777" w:rsidTr="006B2781">
        <w:tc>
          <w:tcPr>
            <w:tcW w:w="2518" w:type="dxa"/>
            <w:tcBorders>
              <w:top w:val="single" w:sz="4" w:space="0" w:color="FFFFFF"/>
              <w:bottom w:val="single" w:sz="4" w:space="0" w:color="FFFFFF"/>
            </w:tcBorders>
            <w:shd w:val="clear" w:color="auto" w:fill="002060"/>
          </w:tcPr>
          <w:p w14:paraId="0C24D59C" w14:textId="77777777" w:rsidR="005D0DCC" w:rsidRPr="00D30847" w:rsidRDefault="005D0DCC" w:rsidP="00E84CD0">
            <w:pPr>
              <w:spacing w:line="240" w:lineRule="auto"/>
              <w:jc w:val="both"/>
              <w:rPr>
                <w:rFonts w:cs="Calibri"/>
                <w:b/>
                <w:color w:val="FFFFFF"/>
                <w:sz w:val="20"/>
                <w:szCs w:val="20"/>
                <w:lang w:val="en-GB"/>
              </w:rPr>
            </w:pPr>
            <w:r w:rsidRPr="00D30847">
              <w:rPr>
                <w:rFonts w:cs="Calibri"/>
                <w:b/>
                <w:color w:val="FFFFFF"/>
                <w:sz w:val="20"/>
                <w:szCs w:val="20"/>
                <w:lang w:val="en-GB"/>
              </w:rPr>
              <w:t>Responsible entity:</w:t>
            </w:r>
          </w:p>
        </w:tc>
        <w:tc>
          <w:tcPr>
            <w:tcW w:w="6246" w:type="dxa"/>
            <w:tcBorders>
              <w:top w:val="single" w:sz="4" w:space="0" w:color="FFFFFF"/>
              <w:bottom w:val="single" w:sz="4" w:space="0" w:color="FFFFFF"/>
            </w:tcBorders>
            <w:shd w:val="clear" w:color="auto" w:fill="D9E2F3"/>
          </w:tcPr>
          <w:p w14:paraId="7C2373C2" w14:textId="6E7F8C18" w:rsidR="005D0DCC" w:rsidRPr="00D30847" w:rsidRDefault="00600944" w:rsidP="00E84CD0">
            <w:pPr>
              <w:spacing w:line="240" w:lineRule="auto"/>
              <w:jc w:val="both"/>
              <w:rPr>
                <w:rFonts w:cs="Calibri"/>
                <w:sz w:val="20"/>
                <w:szCs w:val="20"/>
                <w:lang w:val="en-GB"/>
              </w:rPr>
            </w:pPr>
            <w:r w:rsidRPr="00D30847">
              <w:rPr>
                <w:rFonts w:cs="Calibri"/>
                <w:sz w:val="20"/>
                <w:szCs w:val="20"/>
                <w:lang w:val="en-GB"/>
              </w:rPr>
              <w:t>Ministry of Finance – Economic policy and development Department</w:t>
            </w:r>
          </w:p>
        </w:tc>
      </w:tr>
      <w:tr w:rsidR="005D0DCC" w:rsidRPr="00D30847" w14:paraId="3D59680D" w14:textId="77777777" w:rsidTr="006B2781">
        <w:tc>
          <w:tcPr>
            <w:tcW w:w="2518" w:type="dxa"/>
            <w:tcBorders>
              <w:top w:val="single" w:sz="4" w:space="0" w:color="FFFFFF"/>
              <w:bottom w:val="nil"/>
            </w:tcBorders>
            <w:shd w:val="clear" w:color="auto" w:fill="002060"/>
          </w:tcPr>
          <w:p w14:paraId="286BEEC6" w14:textId="77777777" w:rsidR="005D0DCC" w:rsidRPr="00D30847" w:rsidRDefault="005D0DCC" w:rsidP="00E84CD0">
            <w:pPr>
              <w:spacing w:line="240" w:lineRule="auto"/>
              <w:jc w:val="both"/>
              <w:rPr>
                <w:rFonts w:cs="Calibri"/>
                <w:b/>
                <w:color w:val="FFFFFF"/>
                <w:sz w:val="20"/>
                <w:szCs w:val="20"/>
                <w:lang w:val="en-GB"/>
              </w:rPr>
            </w:pPr>
            <w:r w:rsidRPr="00D30847">
              <w:rPr>
                <w:rFonts w:cs="Calibri"/>
                <w:b/>
                <w:color w:val="FFFFFF"/>
                <w:sz w:val="20"/>
                <w:szCs w:val="20"/>
                <w:lang w:val="en-GB"/>
              </w:rPr>
              <w:t>Risk:</w:t>
            </w:r>
          </w:p>
        </w:tc>
        <w:tc>
          <w:tcPr>
            <w:tcW w:w="6246" w:type="dxa"/>
            <w:tcBorders>
              <w:top w:val="single" w:sz="4" w:space="0" w:color="FFFFFF"/>
              <w:bottom w:val="nil"/>
            </w:tcBorders>
            <w:shd w:val="clear" w:color="auto" w:fill="D9E2F3"/>
          </w:tcPr>
          <w:p w14:paraId="4FB3D99A" w14:textId="5F76A159" w:rsidR="00600944" w:rsidRPr="00D30847" w:rsidRDefault="00A26387" w:rsidP="00A26387">
            <w:pPr>
              <w:spacing w:after="0" w:line="240" w:lineRule="auto"/>
              <w:jc w:val="both"/>
              <w:rPr>
                <w:rFonts w:cs="Calibri"/>
                <w:sz w:val="20"/>
                <w:szCs w:val="20"/>
                <w:lang w:val="en-GB"/>
              </w:rPr>
            </w:pPr>
            <w:r w:rsidRPr="00D30847">
              <w:rPr>
                <w:rFonts w:cs="Calibri"/>
                <w:sz w:val="20"/>
                <w:szCs w:val="20"/>
                <w:lang w:val="en-GB"/>
              </w:rPr>
              <w:t xml:space="preserve">- </w:t>
            </w:r>
            <w:r w:rsidR="00600944" w:rsidRPr="00D30847">
              <w:rPr>
                <w:rFonts w:cs="Calibri"/>
                <w:sz w:val="20"/>
                <w:szCs w:val="20"/>
                <w:lang w:val="en-GB"/>
              </w:rPr>
              <w:t>Over optimistic growth forecasts;</w:t>
            </w:r>
          </w:p>
          <w:p w14:paraId="41AFC136" w14:textId="331191D1" w:rsidR="00600944" w:rsidRPr="00D30847" w:rsidRDefault="00A26387" w:rsidP="00A26387">
            <w:pPr>
              <w:spacing w:after="0" w:line="240" w:lineRule="auto"/>
              <w:jc w:val="both"/>
              <w:rPr>
                <w:rFonts w:cs="Calibri"/>
                <w:sz w:val="20"/>
                <w:szCs w:val="20"/>
                <w:lang w:val="en-GB"/>
              </w:rPr>
            </w:pPr>
            <w:r w:rsidRPr="00D30847">
              <w:rPr>
                <w:rFonts w:cs="Calibri"/>
                <w:sz w:val="20"/>
                <w:szCs w:val="20"/>
                <w:lang w:val="en-GB"/>
              </w:rPr>
              <w:t xml:space="preserve">- </w:t>
            </w:r>
            <w:r w:rsidR="00600944" w:rsidRPr="00D30847">
              <w:rPr>
                <w:rFonts w:cs="Calibri"/>
                <w:sz w:val="20"/>
                <w:szCs w:val="20"/>
                <w:lang w:val="en-GB"/>
              </w:rPr>
              <w:t>High staff</w:t>
            </w:r>
            <w:r w:rsidR="00705C79" w:rsidRPr="00D30847">
              <w:rPr>
                <w:rFonts w:cs="Calibri"/>
                <w:sz w:val="20"/>
                <w:szCs w:val="20"/>
                <w:lang w:val="en-GB"/>
              </w:rPr>
              <w:t xml:space="preserve"> </w:t>
            </w:r>
            <w:r w:rsidR="00600944" w:rsidRPr="00D30847">
              <w:rPr>
                <w:rFonts w:cs="Calibri"/>
                <w:sz w:val="20"/>
                <w:szCs w:val="20"/>
                <w:lang w:val="en-GB"/>
              </w:rPr>
              <w:t>turnover;</w:t>
            </w:r>
          </w:p>
          <w:p w14:paraId="0E940D69" w14:textId="4A432C71" w:rsidR="00600944" w:rsidRPr="00D30847" w:rsidRDefault="00A26387" w:rsidP="00A26387">
            <w:pPr>
              <w:spacing w:after="0" w:line="240" w:lineRule="auto"/>
              <w:jc w:val="both"/>
              <w:rPr>
                <w:rFonts w:cs="Calibri"/>
                <w:sz w:val="20"/>
                <w:szCs w:val="20"/>
                <w:lang w:val="en-GB"/>
              </w:rPr>
            </w:pPr>
            <w:r w:rsidRPr="00D30847">
              <w:rPr>
                <w:rFonts w:cs="Calibri"/>
                <w:sz w:val="20"/>
                <w:szCs w:val="20"/>
                <w:lang w:val="en-GB"/>
              </w:rPr>
              <w:t xml:space="preserve">- </w:t>
            </w:r>
            <w:r w:rsidR="00600944" w:rsidRPr="00D30847">
              <w:rPr>
                <w:rFonts w:cs="Calibri"/>
                <w:sz w:val="20"/>
                <w:szCs w:val="20"/>
                <w:lang w:val="en-GB"/>
              </w:rPr>
              <w:t>Availability of official national statistical data as input for economic forecasting and analysis;</w:t>
            </w:r>
          </w:p>
          <w:p w14:paraId="029F890D" w14:textId="1B742A4B" w:rsidR="003C20E4" w:rsidRPr="00D30847" w:rsidRDefault="00A26387" w:rsidP="00A26387">
            <w:pPr>
              <w:spacing w:after="0" w:line="240" w:lineRule="auto"/>
              <w:jc w:val="both"/>
              <w:rPr>
                <w:rFonts w:cs="Calibri"/>
                <w:sz w:val="20"/>
                <w:szCs w:val="20"/>
                <w:lang w:val="en-GB"/>
              </w:rPr>
            </w:pPr>
            <w:r w:rsidRPr="00D30847">
              <w:rPr>
                <w:rFonts w:cs="Calibri"/>
                <w:sz w:val="20"/>
                <w:szCs w:val="20"/>
                <w:lang w:val="en-GB"/>
              </w:rPr>
              <w:t xml:space="preserve">- </w:t>
            </w:r>
            <w:r w:rsidR="00600944" w:rsidRPr="00D30847">
              <w:rPr>
                <w:rFonts w:cs="Calibri"/>
                <w:sz w:val="20"/>
                <w:szCs w:val="20"/>
                <w:lang w:val="en-GB"/>
              </w:rPr>
              <w:t>Failure to procure appropriate software.</w:t>
            </w:r>
          </w:p>
        </w:tc>
      </w:tr>
    </w:tbl>
    <w:p w14:paraId="09EA3798" w14:textId="77777777" w:rsidR="00A26387" w:rsidRPr="00D30847" w:rsidRDefault="00A26387" w:rsidP="00E84CD0">
      <w:pPr>
        <w:spacing w:line="240" w:lineRule="auto"/>
        <w:jc w:val="both"/>
        <w:rPr>
          <w:rFonts w:cs="Calibri"/>
          <w:b/>
          <w:bCs/>
          <w:iCs/>
          <w:color w:val="0070C0"/>
          <w:sz w:val="24"/>
          <w:szCs w:val="24"/>
          <w:lang w:val="en-GB"/>
        </w:rPr>
      </w:pPr>
    </w:p>
    <w:p w14:paraId="67AE1683" w14:textId="68A12A8C" w:rsidR="005D0DCC" w:rsidRPr="00D30847" w:rsidRDefault="005D0DCC" w:rsidP="00E84CD0">
      <w:pPr>
        <w:spacing w:line="240" w:lineRule="auto"/>
        <w:jc w:val="both"/>
        <w:rPr>
          <w:rFonts w:cs="Calibri"/>
          <w:b/>
          <w:bCs/>
          <w:iCs/>
          <w:color w:val="0070C0"/>
          <w:sz w:val="24"/>
          <w:szCs w:val="24"/>
          <w:lang w:val="en-GB"/>
        </w:rPr>
      </w:pPr>
      <w:r w:rsidRPr="00D30847">
        <w:rPr>
          <w:rFonts w:cs="Calibri"/>
          <w:b/>
          <w:bCs/>
          <w:iCs/>
          <w:color w:val="0070C0"/>
          <w:sz w:val="24"/>
          <w:szCs w:val="24"/>
          <w:lang w:val="en-GB"/>
        </w:rPr>
        <w:t>Measure 3:</w:t>
      </w:r>
      <w:r w:rsidR="00CA0BA6" w:rsidRPr="00D30847">
        <w:rPr>
          <w:rFonts w:cs="Calibri"/>
          <w:b/>
          <w:bCs/>
          <w:iCs/>
          <w:color w:val="0070C0"/>
          <w:sz w:val="24"/>
          <w:szCs w:val="24"/>
          <w:lang w:val="en-GB"/>
        </w:rPr>
        <w:t xml:space="preserve"> </w:t>
      </w:r>
      <w:r w:rsidRPr="00D30847">
        <w:rPr>
          <w:rFonts w:cs="Calibri"/>
          <w:b/>
          <w:bCs/>
          <w:iCs/>
          <w:color w:val="0070C0"/>
          <w:sz w:val="24"/>
          <w:szCs w:val="24"/>
          <w:lang w:val="en-GB"/>
        </w:rPr>
        <w:t>Fiscal risks</w:t>
      </w:r>
    </w:p>
    <w:p w14:paraId="3744DB66" w14:textId="77777777" w:rsidR="005D0DCC" w:rsidRPr="00D30847" w:rsidRDefault="005D0DCC" w:rsidP="00E84CD0">
      <w:pPr>
        <w:spacing w:line="240" w:lineRule="auto"/>
        <w:jc w:val="both"/>
        <w:rPr>
          <w:rFonts w:cs="Calibri"/>
          <w:b/>
          <w:bCs/>
          <w:i/>
          <w:iCs/>
          <w:color w:val="4F81BD"/>
          <w:lang w:val="en-GB"/>
        </w:rPr>
      </w:pPr>
      <w:r w:rsidRPr="00D30847">
        <w:rPr>
          <w:rFonts w:cs="Calibri"/>
          <w:b/>
          <w:bCs/>
          <w:i/>
          <w:iCs/>
          <w:color w:val="4F81BD"/>
          <w:lang w:val="en-GB"/>
        </w:rPr>
        <w:t>Measure objective</w:t>
      </w:r>
    </w:p>
    <w:p w14:paraId="518F0994" w14:textId="19F7AA77" w:rsidR="006D14ED" w:rsidRPr="00D30847" w:rsidRDefault="00534056" w:rsidP="00534056">
      <w:pPr>
        <w:spacing w:line="240" w:lineRule="auto"/>
        <w:jc w:val="both"/>
        <w:rPr>
          <w:rFonts w:eastAsia="MS PGothic" w:cs="Calibri"/>
          <w:lang w:val="en-GB" w:eastAsia="zh-CN"/>
        </w:rPr>
      </w:pPr>
      <w:r w:rsidRPr="00D30847">
        <w:rPr>
          <w:rFonts w:eastAsia="MS PGothic" w:cs="Calibri"/>
          <w:lang w:val="en-GB" w:eastAsia="zh-CN"/>
        </w:rPr>
        <w:t xml:space="preserve">To strengthen the institutional architecture of beneficiaries for fiscal risks assessment in order to provide timely information on potential threats to the country's fiscal position and an integrated approach to managing these risks. </w:t>
      </w:r>
    </w:p>
    <w:p w14:paraId="0219F36A" w14:textId="77777777" w:rsidR="005D0DCC" w:rsidRPr="00D30847" w:rsidRDefault="005D0DCC" w:rsidP="00E84CD0">
      <w:pPr>
        <w:spacing w:line="240" w:lineRule="auto"/>
        <w:jc w:val="both"/>
        <w:rPr>
          <w:rFonts w:cs="Calibri"/>
          <w:b/>
          <w:bCs/>
          <w:i/>
          <w:iCs/>
          <w:color w:val="4F81BD"/>
          <w:lang w:val="en-GB"/>
        </w:rPr>
      </w:pPr>
      <w:r w:rsidRPr="00D30847">
        <w:rPr>
          <w:rFonts w:cs="Calibri"/>
          <w:b/>
          <w:bCs/>
          <w:i/>
          <w:iCs/>
          <w:color w:val="4F81BD"/>
          <w:lang w:val="en-GB"/>
        </w:rPr>
        <w:t xml:space="preserve">Reference to the external assessments findings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40"/>
        <w:gridCol w:w="7832"/>
      </w:tblGrid>
      <w:tr w:rsidR="005D0DCC" w:rsidRPr="00D30847" w14:paraId="095B605B" w14:textId="77777777" w:rsidTr="00CE0F6C">
        <w:tc>
          <w:tcPr>
            <w:tcW w:w="1240" w:type="dxa"/>
            <w:shd w:val="clear" w:color="auto" w:fill="DDDDDD"/>
          </w:tcPr>
          <w:p w14:paraId="389BC801" w14:textId="3477A648" w:rsidR="005D0DCC" w:rsidRPr="00D30847" w:rsidRDefault="005D0DCC" w:rsidP="00E84CD0">
            <w:pPr>
              <w:spacing w:line="240" w:lineRule="auto"/>
              <w:jc w:val="both"/>
              <w:rPr>
                <w:rFonts w:cs="Calibri"/>
                <w:b/>
                <w:sz w:val="20"/>
                <w:szCs w:val="20"/>
                <w:lang w:val="en-GB"/>
              </w:rPr>
            </w:pPr>
            <w:r w:rsidRPr="00D30847">
              <w:rPr>
                <w:rFonts w:cs="Calibri"/>
                <w:b/>
                <w:sz w:val="20"/>
                <w:szCs w:val="20"/>
                <w:lang w:val="en-GB"/>
              </w:rPr>
              <w:t>PEFA</w:t>
            </w:r>
            <w:r w:rsidR="00B86D6E" w:rsidRPr="00D30847">
              <w:rPr>
                <w:rFonts w:cs="Calibri"/>
                <w:b/>
                <w:sz w:val="20"/>
                <w:szCs w:val="20"/>
                <w:lang w:val="en-GB"/>
              </w:rPr>
              <w:t xml:space="preserve"> 2021</w:t>
            </w:r>
          </w:p>
        </w:tc>
        <w:tc>
          <w:tcPr>
            <w:tcW w:w="7832" w:type="dxa"/>
            <w:shd w:val="clear" w:color="auto" w:fill="DDDDDD"/>
          </w:tcPr>
          <w:p w14:paraId="4B54A56F" w14:textId="77777777" w:rsidR="005D0DCC" w:rsidRPr="00D30847" w:rsidRDefault="005D0DCC" w:rsidP="00E84CD0">
            <w:pPr>
              <w:spacing w:line="240" w:lineRule="auto"/>
              <w:jc w:val="both"/>
              <w:rPr>
                <w:rFonts w:cs="Calibri"/>
                <w:sz w:val="20"/>
                <w:szCs w:val="20"/>
                <w:lang w:val="en-GB"/>
              </w:rPr>
            </w:pPr>
            <w:r w:rsidRPr="00D30847">
              <w:rPr>
                <w:rFonts w:eastAsia="MS PGothic" w:cs="Calibri"/>
                <w:sz w:val="20"/>
                <w:szCs w:val="20"/>
                <w:lang w:val="en-GB" w:eastAsia="zh-CN"/>
              </w:rPr>
              <w:t xml:space="preserve">To consolidate reporting of fiscal risks including: macroeconomic risks, risks arising from public debt, arrears, as well as unpaid liabilities, risks from potential costs arising from PPPs and natural and other type of disasters. </w:t>
            </w:r>
            <w:r w:rsidRPr="00D30847">
              <w:rPr>
                <w:rFonts w:cs="Calibri"/>
                <w:sz w:val="20"/>
                <w:szCs w:val="20"/>
                <w:lang w:val="en-GB"/>
              </w:rPr>
              <w:t xml:space="preserve">At the same time, </w:t>
            </w:r>
            <w:r w:rsidRPr="00D30847">
              <w:rPr>
                <w:rFonts w:eastAsia="MS PGothic" w:cs="Calibri"/>
                <w:sz w:val="20"/>
                <w:szCs w:val="20"/>
                <w:lang w:val="en-GB" w:eastAsia="zh-CN"/>
              </w:rPr>
              <w:t xml:space="preserve">it is recommended carry out additional analyses of fiscal risks arising from the operations of public enterprises and municipalities, as well as potential risks at central level, i.e. at the level of </w:t>
            </w:r>
            <w:r w:rsidRPr="00D30847">
              <w:rPr>
                <w:rFonts w:cs="Calibri"/>
                <w:sz w:val="20"/>
                <w:szCs w:val="20"/>
                <w:lang w:val="en-GB"/>
              </w:rPr>
              <w:t>the State Budget</w:t>
            </w:r>
            <w:r w:rsidRPr="00D30847">
              <w:rPr>
                <w:rFonts w:eastAsia="MS PGothic" w:cs="Calibri"/>
                <w:sz w:val="20"/>
                <w:szCs w:val="20"/>
                <w:lang w:val="en-GB" w:eastAsia="zh-CN"/>
              </w:rPr>
              <w:t>.</w:t>
            </w:r>
          </w:p>
        </w:tc>
      </w:tr>
      <w:tr w:rsidR="005D0DCC" w:rsidRPr="00D30847" w14:paraId="2B682BE3" w14:textId="77777777" w:rsidTr="00CE0F6C">
        <w:tc>
          <w:tcPr>
            <w:tcW w:w="1240" w:type="dxa"/>
            <w:shd w:val="clear" w:color="auto" w:fill="DDDDDD"/>
          </w:tcPr>
          <w:p w14:paraId="118C2C0C" w14:textId="6D32D991" w:rsidR="005D0DCC" w:rsidRPr="00D30847" w:rsidRDefault="005D0DCC" w:rsidP="00E84CD0">
            <w:pPr>
              <w:spacing w:line="240" w:lineRule="auto"/>
              <w:jc w:val="both"/>
              <w:rPr>
                <w:rFonts w:cs="Calibri"/>
                <w:b/>
                <w:sz w:val="20"/>
                <w:szCs w:val="20"/>
                <w:lang w:val="en-GB"/>
              </w:rPr>
            </w:pPr>
            <w:r w:rsidRPr="00D30847">
              <w:rPr>
                <w:rFonts w:cs="Calibri"/>
                <w:b/>
                <w:sz w:val="20"/>
                <w:szCs w:val="20"/>
                <w:lang w:val="en-GB"/>
              </w:rPr>
              <w:t>IMF</w:t>
            </w:r>
          </w:p>
        </w:tc>
        <w:tc>
          <w:tcPr>
            <w:tcW w:w="7832" w:type="dxa"/>
            <w:shd w:val="clear" w:color="auto" w:fill="DDDDDD"/>
          </w:tcPr>
          <w:p w14:paraId="773C5F75" w14:textId="38351167" w:rsidR="00534056" w:rsidRPr="00D30847" w:rsidRDefault="00534056" w:rsidP="00534056">
            <w:pPr>
              <w:spacing w:after="0" w:line="240" w:lineRule="auto"/>
              <w:jc w:val="both"/>
              <w:rPr>
                <w:rFonts w:cs="Calibri"/>
                <w:sz w:val="20"/>
                <w:szCs w:val="20"/>
                <w:lang w:val="en-GB"/>
              </w:rPr>
            </w:pPr>
            <w:r w:rsidRPr="00D30847">
              <w:rPr>
                <w:rFonts w:cs="Calibri"/>
                <w:sz w:val="20"/>
                <w:szCs w:val="20"/>
                <w:lang w:val="en-GB"/>
              </w:rPr>
              <w:t xml:space="preserve">Government should </w:t>
            </w:r>
            <w:r w:rsidRPr="00D30847">
              <w:rPr>
                <w:rFonts w:eastAsia="MS PGothic" w:cs="Calibri"/>
                <w:sz w:val="20"/>
                <w:szCs w:val="20"/>
                <w:lang w:val="en-GB" w:eastAsia="zh-CN"/>
              </w:rPr>
              <w:t xml:space="preserve">disclose, </w:t>
            </w:r>
            <w:r w:rsidR="008F391C" w:rsidRPr="00D30847">
              <w:rPr>
                <w:rFonts w:eastAsia="MS PGothic" w:cs="Calibri"/>
                <w:sz w:val="20"/>
                <w:szCs w:val="20"/>
                <w:lang w:val="en-GB" w:eastAsia="zh-CN"/>
              </w:rPr>
              <w:t>analyse</w:t>
            </w:r>
            <w:r w:rsidRPr="00D30847">
              <w:rPr>
                <w:rFonts w:eastAsia="MS PGothic" w:cs="Calibri"/>
                <w:sz w:val="20"/>
                <w:szCs w:val="20"/>
                <w:lang w:val="en-GB" w:eastAsia="zh-CN"/>
              </w:rPr>
              <w:t xml:space="preserve"> and manage risks related to the public finances and ensure effective coordination of fiscal decision-making across the public sector. </w:t>
            </w:r>
          </w:p>
          <w:p w14:paraId="62271200" w14:textId="77777777" w:rsidR="00534056" w:rsidRPr="00D30847" w:rsidRDefault="00534056" w:rsidP="00534056">
            <w:pPr>
              <w:spacing w:after="0" w:line="240" w:lineRule="auto"/>
              <w:jc w:val="both"/>
              <w:rPr>
                <w:rFonts w:cs="Calibri"/>
                <w:sz w:val="20"/>
                <w:szCs w:val="20"/>
                <w:lang w:val="en-GB"/>
              </w:rPr>
            </w:pPr>
            <w:r w:rsidRPr="00D30847">
              <w:rPr>
                <w:rFonts w:cs="Calibri"/>
                <w:sz w:val="20"/>
                <w:szCs w:val="20"/>
                <w:lang w:val="en-GB"/>
              </w:rPr>
              <w:t xml:space="preserve">- To publish a comprehensive statement on fiscal risks. </w:t>
            </w:r>
          </w:p>
          <w:p w14:paraId="0FEA65A4" w14:textId="77777777" w:rsidR="00534056" w:rsidRPr="00D30847" w:rsidRDefault="00534056" w:rsidP="00534056">
            <w:pPr>
              <w:spacing w:after="0" w:line="240" w:lineRule="auto"/>
              <w:jc w:val="both"/>
              <w:rPr>
                <w:rFonts w:eastAsia="MS PGothic" w:cs="Calibri"/>
                <w:sz w:val="20"/>
                <w:szCs w:val="20"/>
                <w:lang w:val="en-GB" w:eastAsia="zh-CN"/>
              </w:rPr>
            </w:pPr>
            <w:r w:rsidRPr="00D30847">
              <w:rPr>
                <w:rFonts w:cs="Calibri"/>
                <w:sz w:val="20"/>
                <w:szCs w:val="20"/>
                <w:lang w:val="en-GB"/>
              </w:rPr>
              <w:t xml:space="preserve">- To strengthen long-run fiscal </w:t>
            </w:r>
            <w:r w:rsidRPr="00D30847">
              <w:rPr>
                <w:rFonts w:eastAsia="MS PGothic" w:cs="Calibri"/>
                <w:sz w:val="20"/>
                <w:szCs w:val="20"/>
                <w:lang w:val="en-GB" w:eastAsia="zh-CN"/>
              </w:rPr>
              <w:t>sustainability analysis and disclose by including projections for general government debt</w:t>
            </w:r>
          </w:p>
          <w:p w14:paraId="49B477E3" w14:textId="2E49FDAD" w:rsidR="005D0DCC" w:rsidRPr="00D30847" w:rsidRDefault="00534056" w:rsidP="00534056">
            <w:pPr>
              <w:spacing w:line="240" w:lineRule="auto"/>
              <w:jc w:val="both"/>
              <w:rPr>
                <w:rFonts w:cs="Calibri"/>
                <w:sz w:val="20"/>
                <w:szCs w:val="20"/>
                <w:lang w:val="en-GB"/>
              </w:rPr>
            </w:pPr>
            <w:r w:rsidRPr="00D30847">
              <w:rPr>
                <w:rFonts w:eastAsia="MS PGothic" w:cs="Calibri"/>
                <w:sz w:val="20"/>
                <w:szCs w:val="20"/>
                <w:lang w:val="en-GB" w:eastAsia="zh-CN"/>
              </w:rPr>
              <w:lastRenderedPageBreak/>
              <w:t>- Strengthen the oversight over SOEs and PPPs (Fiscal Transparency Evaluation 2018)</w:t>
            </w:r>
          </w:p>
        </w:tc>
      </w:tr>
    </w:tbl>
    <w:p w14:paraId="566876EF" w14:textId="77777777" w:rsidR="005D0DCC" w:rsidRPr="00D30847" w:rsidRDefault="005D0DCC" w:rsidP="00E84CD0">
      <w:pPr>
        <w:spacing w:line="240" w:lineRule="auto"/>
        <w:jc w:val="both"/>
        <w:rPr>
          <w:rFonts w:cs="Calibri"/>
          <w:lang w:val="en-GB"/>
        </w:rPr>
      </w:pPr>
    </w:p>
    <w:p w14:paraId="00A79601" w14:textId="77777777" w:rsidR="005D0DCC" w:rsidRPr="00D30847" w:rsidRDefault="005D0DCC" w:rsidP="0059607C">
      <w:pPr>
        <w:spacing w:line="240" w:lineRule="auto"/>
        <w:jc w:val="both"/>
        <w:rPr>
          <w:rFonts w:cs="Calibri"/>
          <w:b/>
          <w:bCs/>
          <w:i/>
          <w:iCs/>
          <w:color w:val="4F81BD"/>
          <w:lang w:val="en-GB"/>
        </w:rPr>
      </w:pPr>
      <w:r w:rsidRPr="00D30847">
        <w:rPr>
          <w:rFonts w:cs="Calibri"/>
          <w:b/>
          <w:bCs/>
          <w:i/>
          <w:iCs/>
          <w:color w:val="4F81BD"/>
          <w:lang w:val="en-GB"/>
        </w:rPr>
        <w:t>Context/Background</w:t>
      </w:r>
    </w:p>
    <w:p w14:paraId="38325C69" w14:textId="1F53134A" w:rsidR="005D0DCC" w:rsidRPr="00D30847" w:rsidRDefault="005D0DCC" w:rsidP="0059607C">
      <w:pPr>
        <w:spacing w:line="240" w:lineRule="auto"/>
        <w:jc w:val="both"/>
        <w:rPr>
          <w:rFonts w:cs="Calibri"/>
          <w:lang w:val="en-GB"/>
        </w:rPr>
      </w:pPr>
      <w:r w:rsidRPr="00D30847">
        <w:rPr>
          <w:rFonts w:eastAsia="MS PGothic" w:cs="Calibri"/>
          <w:lang w:val="en-GB" w:eastAsia="zh-CN"/>
        </w:rPr>
        <w:t xml:space="preserve">According to the analyses carried out by the international financial institutions (IFIs), the Government announces and assesses most of the existing fiscal risks, including potential macroeconomic risks, risks in the financial sector, long-term risks related to the operations of health and pension funds, which are part of the reporting obligations throughout the </w:t>
      </w:r>
      <w:r w:rsidRPr="00D30847">
        <w:rPr>
          <w:rFonts w:cs="Calibri"/>
          <w:lang w:val="en-GB"/>
        </w:rPr>
        <w:t>EU accession talks.</w:t>
      </w:r>
      <w:r w:rsidR="006E0B57" w:rsidRPr="00D30847">
        <w:rPr>
          <w:rFonts w:cs="Calibri"/>
          <w:lang w:val="en-GB"/>
        </w:rPr>
        <w:t xml:space="preserve"> </w:t>
      </w:r>
      <w:r w:rsidRPr="00D30847">
        <w:rPr>
          <w:rFonts w:cs="Calibri"/>
          <w:lang w:val="en-GB"/>
        </w:rPr>
        <w:t>However, it is pointed that no such analyses exist for certain areas.</w:t>
      </w:r>
      <w:r w:rsidR="00705C79" w:rsidRPr="00D30847">
        <w:rPr>
          <w:rFonts w:cs="Calibri"/>
          <w:lang w:val="en-GB"/>
        </w:rPr>
        <w:t xml:space="preserve"> </w:t>
      </w:r>
      <w:r w:rsidRPr="00D30847">
        <w:rPr>
          <w:rFonts w:cs="Calibri"/>
          <w:lang w:val="en-GB"/>
        </w:rPr>
        <w:t xml:space="preserve">What is indicated in the analyses of the international financial institutions is the lack of an overall consolidated analysis of fiscal risks in order to determine their size and potential impact on public finances. </w:t>
      </w:r>
    </w:p>
    <w:p w14:paraId="3F7791BB" w14:textId="77777777" w:rsidR="00534056" w:rsidRPr="00D30847" w:rsidRDefault="00534056" w:rsidP="0059607C">
      <w:pPr>
        <w:spacing w:line="240" w:lineRule="auto"/>
        <w:jc w:val="both"/>
        <w:rPr>
          <w:rFonts w:eastAsia="MS PGothic" w:cs="Calibri"/>
          <w:lang w:val="en-GB" w:eastAsia="zh-CN"/>
        </w:rPr>
      </w:pPr>
      <w:r w:rsidRPr="00D30847">
        <w:rPr>
          <w:rFonts w:eastAsia="MS PGothic" w:cs="Calibri"/>
          <w:lang w:val="en-GB" w:eastAsia="zh-CN"/>
        </w:rPr>
        <w:t xml:space="preserve">Establishing capacities in the Ministry of finance and other institutions for comprehensive fiscal risks assessments, including risks related to: macroeconomic developments, SOEs, local governments finances, loan guarantees and public debt levels,  natural disasters, legal litigations and other fiscal risk; will enable the assessment of the cumulative risk exposure of these institutions, as well as the identification of systemic relationships and interactions between the risks, i.e. whether the risks arising from different sources are neutralized or reinforced by each other. </w:t>
      </w:r>
    </w:p>
    <w:p w14:paraId="1D6E50C8" w14:textId="77777777" w:rsidR="0071387F" w:rsidRPr="00D30847" w:rsidRDefault="0071387F" w:rsidP="0059607C">
      <w:pPr>
        <w:spacing w:line="240" w:lineRule="auto"/>
        <w:jc w:val="both"/>
        <w:rPr>
          <w:rFonts w:eastAsia="MS PGothic" w:cs="Calibri"/>
          <w:lang w:val="en-GB" w:eastAsia="zh-CN"/>
        </w:rPr>
      </w:pPr>
      <w:r w:rsidRPr="00D30847">
        <w:rPr>
          <w:rFonts w:eastAsia="MS PGothic" w:cs="Calibri"/>
          <w:lang w:val="en-GB" w:eastAsia="zh-CN"/>
        </w:rPr>
        <w:t xml:space="preserve">As part of this priority, a comprehensive assessment of fiscal risks with the support of FAD/IMF is envisaged, to identify potential threats to the country's fiscal position and to provide expert proposals for integrated approach to managing these risks. The measure provides that during the preparation of the State Budget, to report on the fiscal risks within a special fiscal risks chapter in the Fiscal Strategy, which is submitted to the Parliament together with the Budget. The preparation and promotion of this and other analysis at the MoF will contribute to a better understanding of the position of public finances, thus providing support for cautious fiscal policy, as well as strengthening the capacities for fiscal risks management. </w:t>
      </w:r>
    </w:p>
    <w:p w14:paraId="2C1DBC0F" w14:textId="77777777" w:rsidR="0071387F" w:rsidRPr="00D30847" w:rsidRDefault="0071387F" w:rsidP="0071387F">
      <w:pPr>
        <w:spacing w:line="240" w:lineRule="auto"/>
        <w:jc w:val="both"/>
        <w:rPr>
          <w:rFonts w:cs="Calibri"/>
          <w:b/>
          <w:color w:val="0070C0"/>
          <w:lang w:val="en-GB"/>
        </w:rPr>
      </w:pPr>
      <w:r w:rsidRPr="00D30847">
        <w:rPr>
          <w:rFonts w:cs="Calibri"/>
          <w:b/>
          <w:color w:val="0070C0"/>
          <w:lang w:val="en-GB"/>
        </w:rPr>
        <w:t xml:space="preserve">Activity 1: Implementation of a plan with activities to strengthen the capacities for fiscal risks analyses in line with FAD/IMF recommendations </w:t>
      </w:r>
    </w:p>
    <w:p w14:paraId="252C4504" w14:textId="7A85AAB1" w:rsidR="0081628C" w:rsidRPr="00D30847" w:rsidRDefault="0071387F" w:rsidP="0071387F">
      <w:pPr>
        <w:spacing w:line="240" w:lineRule="auto"/>
        <w:jc w:val="both"/>
        <w:rPr>
          <w:rFonts w:eastAsia="MS PGothic" w:cs="Calibri"/>
          <w:lang w:val="en-GB" w:eastAsia="zh-CN"/>
        </w:rPr>
      </w:pPr>
      <w:r w:rsidRPr="00D30847">
        <w:rPr>
          <w:rFonts w:eastAsia="MS PGothic" w:cs="Calibri"/>
          <w:lang w:val="en-GB" w:eastAsia="zh-CN"/>
        </w:rPr>
        <w:t xml:space="preserve">As part of the ongoing activities IMF has prepared a report on "Strengthening the Analysis and Reporting of Fiscal Risks" in 2024. In addition to examining the existing system of reporting on fiscal risks and </w:t>
      </w:r>
      <w:r w:rsidR="008F391C" w:rsidRPr="00D30847">
        <w:rPr>
          <w:rFonts w:eastAsia="MS PGothic" w:cs="Calibri"/>
          <w:lang w:val="en-GB" w:eastAsia="zh-CN"/>
        </w:rPr>
        <w:t>identifying</w:t>
      </w:r>
      <w:r w:rsidRPr="00D30847">
        <w:rPr>
          <w:rFonts w:eastAsia="MS PGothic" w:cs="Calibri"/>
          <w:lang w:val="en-GB" w:eastAsia="zh-CN"/>
        </w:rPr>
        <w:t xml:space="preserve"> the competent institutions, the report also includes recommendations for future development. The main proposals for im</w:t>
      </w:r>
      <w:r w:rsidR="00E3596A" w:rsidRPr="00D30847">
        <w:rPr>
          <w:rFonts w:eastAsia="MS PGothic" w:cs="Calibri"/>
          <w:lang w:val="en-GB" w:eastAsia="zh-CN"/>
        </w:rPr>
        <w:t>pr</w:t>
      </w:r>
      <w:r w:rsidRPr="00D30847">
        <w:rPr>
          <w:rFonts w:eastAsia="MS PGothic" w:cs="Calibri"/>
          <w:lang w:val="en-GB" w:eastAsia="zh-CN"/>
        </w:rPr>
        <w:t xml:space="preserve">ovement are directed towards: 1/ improving the identification and </w:t>
      </w:r>
      <w:r w:rsidR="008F391C" w:rsidRPr="00D30847">
        <w:rPr>
          <w:rFonts w:eastAsia="MS PGothic" w:cs="Calibri"/>
          <w:lang w:val="en-GB" w:eastAsia="zh-CN"/>
        </w:rPr>
        <w:t>analysing</w:t>
      </w:r>
      <w:r w:rsidRPr="00D30847">
        <w:rPr>
          <w:rFonts w:eastAsia="MS PGothic" w:cs="Calibri"/>
          <w:lang w:val="en-GB" w:eastAsia="zh-CN"/>
        </w:rPr>
        <w:t xml:space="preserve"> of key areas where fiscal risks originate; 2/ strengthening the institutional framework for managing fiscal risks; 3/ Improving transparency in reporting fiscal risks. In each of these areas, IMF/FAD proposes action plan with medium and short term sub-activities. Some of the recommendations have been implemented, including for the promotion of the fiscal risk chapter within the Fiscal Strategy, while others are expected to be implemented in the upcoming period. Starting from 2024, the activities are coordinated by working group for Fiscal Risks within the MoF with representatives from relevant departments. To improve the management of fiscal risks on institutional level, the working group is tasked with identifying the best regional and EU practices that can be applied in the medium term. The implementation of the recommendations will be monitored and new activities will be proposed for further strengthening the capacities to implement fiscal risks assessment,</w:t>
      </w:r>
      <w:r w:rsidR="00AC5DE9">
        <w:rPr>
          <w:rFonts w:eastAsia="MS PGothic" w:cs="Calibri"/>
          <w:lang w:val="en-GB" w:eastAsia="zh-CN"/>
        </w:rPr>
        <w:t xml:space="preserve"> analyses and reporting (2027).</w:t>
      </w:r>
    </w:p>
    <w:p w14:paraId="0629F3AF" w14:textId="77777777" w:rsidR="0071387F" w:rsidRPr="00D30847" w:rsidRDefault="0071387F" w:rsidP="0071387F">
      <w:pPr>
        <w:spacing w:line="240" w:lineRule="auto"/>
        <w:jc w:val="both"/>
        <w:rPr>
          <w:rFonts w:cs="Calibri"/>
          <w:b/>
          <w:color w:val="0070C0"/>
          <w:lang w:val="en-GB"/>
        </w:rPr>
      </w:pPr>
      <w:r w:rsidRPr="00D30847">
        <w:rPr>
          <w:rFonts w:cs="Calibri"/>
          <w:b/>
          <w:color w:val="0070C0"/>
          <w:lang w:val="en-GB"/>
        </w:rPr>
        <w:t xml:space="preserve">Activity 2: Development of a Fiscal Risk Registry and promotion of Institutional Framework according to the best regional and EU practices </w:t>
      </w:r>
    </w:p>
    <w:p w14:paraId="7BC7B841" w14:textId="31EB505D" w:rsidR="00015266" w:rsidRPr="00D30847" w:rsidRDefault="0071387F" w:rsidP="0056153D">
      <w:pPr>
        <w:spacing w:line="240" w:lineRule="auto"/>
        <w:jc w:val="both"/>
        <w:rPr>
          <w:rFonts w:eastAsia="MS PGothic" w:cs="Calibri"/>
          <w:lang w:val="en-GB" w:eastAsia="zh-CN"/>
        </w:rPr>
      </w:pPr>
      <w:r w:rsidRPr="00D30847">
        <w:rPr>
          <w:rFonts w:eastAsia="MS PGothic" w:cs="Calibri"/>
          <w:lang w:val="en-GB" w:eastAsia="zh-CN"/>
        </w:rPr>
        <w:t xml:space="preserve">The working group for Fiscal Risks within its activities and according to the IMF recommendations will need to develop a comprehensive list of fiscal risks that will be included in the Fiscal Risk Registry. According to the available data, an individual assessment will be made to each of these risks, and </w:t>
      </w:r>
      <w:r w:rsidRPr="00D30847">
        <w:rPr>
          <w:rFonts w:eastAsia="MS PGothic" w:cs="Calibri"/>
          <w:lang w:val="en-GB" w:eastAsia="zh-CN"/>
        </w:rPr>
        <w:lastRenderedPageBreak/>
        <w:t>those for which no data is available there will be recommendations how to improve their collection. The Fiscal Risk Registry and the available data will be used for analyses of the necessary and budgeted funds, to determine the likelihood of risk materialization with optimistic and pessimistic short and medium -term scenarios, as well as the preparation of appropriate analyses and consolidated reports. According to the best practices in the region and the EU, the possibility of creation of a separate organizational unit for Fiscal Risks in the Ministry of Finance will be explored. Potential responsibilities of the unit will include maintaining the fiscal risks registry, coordination of fiscal risks activities, preparation and promotion of fiscal chapter on fiscal risks in the Fiscal Strategy and preparation of other analyses.</w:t>
      </w:r>
    </w:p>
    <w:p w14:paraId="1ACFA543" w14:textId="5113B305" w:rsidR="005D0DCC" w:rsidRPr="00D30847" w:rsidRDefault="005D0DCC" w:rsidP="0056153D">
      <w:pPr>
        <w:spacing w:line="240" w:lineRule="auto"/>
        <w:jc w:val="both"/>
        <w:rPr>
          <w:rFonts w:cs="Calibri"/>
          <w:b/>
          <w:bCs/>
          <w:i/>
          <w:iCs/>
          <w:color w:val="4F81BD"/>
          <w:lang w:val="en-GB"/>
        </w:rPr>
      </w:pPr>
      <w:r w:rsidRPr="00D30847">
        <w:rPr>
          <w:rFonts w:cs="Calibri"/>
          <w:b/>
          <w:bCs/>
          <w:i/>
          <w:iCs/>
          <w:color w:val="4F81BD"/>
          <w:lang w:val="en-GB"/>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5D0DCC" w:rsidRPr="00D30847" w14:paraId="098185D0" w14:textId="77777777" w:rsidTr="006B2781">
        <w:tc>
          <w:tcPr>
            <w:tcW w:w="2518" w:type="dxa"/>
            <w:tcBorders>
              <w:top w:val="nil"/>
              <w:bottom w:val="single" w:sz="4" w:space="0" w:color="FFFFFF"/>
            </w:tcBorders>
            <w:shd w:val="clear" w:color="auto" w:fill="002060"/>
          </w:tcPr>
          <w:p w14:paraId="2B03BF60" w14:textId="77777777" w:rsidR="005D0DCC" w:rsidRPr="00D30847" w:rsidRDefault="005D0DCC" w:rsidP="00E84CD0">
            <w:pPr>
              <w:spacing w:line="240" w:lineRule="auto"/>
              <w:jc w:val="both"/>
              <w:rPr>
                <w:rFonts w:cs="Calibri"/>
                <w:color w:val="FFFFFF"/>
                <w:sz w:val="20"/>
                <w:szCs w:val="20"/>
                <w:lang w:val="en-GB"/>
              </w:rPr>
            </w:pPr>
            <w:r w:rsidRPr="00D30847">
              <w:rPr>
                <w:rFonts w:cs="Calibri"/>
                <w:b/>
                <w:color w:val="FFFFFF"/>
                <w:sz w:val="20"/>
                <w:szCs w:val="20"/>
                <w:lang w:val="en-GB"/>
              </w:rPr>
              <w:t>Completed in year:</w:t>
            </w:r>
            <w:r w:rsidRPr="00D30847">
              <w:rPr>
                <w:rFonts w:cs="Calibri"/>
                <w:color w:val="FFFFFF"/>
                <w:sz w:val="20"/>
                <w:szCs w:val="20"/>
                <w:lang w:val="en-GB"/>
              </w:rPr>
              <w:tab/>
            </w:r>
          </w:p>
        </w:tc>
        <w:tc>
          <w:tcPr>
            <w:tcW w:w="6246" w:type="dxa"/>
            <w:tcBorders>
              <w:top w:val="nil"/>
              <w:bottom w:val="single" w:sz="4" w:space="0" w:color="FFFFFF"/>
            </w:tcBorders>
            <w:shd w:val="clear" w:color="auto" w:fill="D9E2F3"/>
          </w:tcPr>
          <w:p w14:paraId="49D19D04" w14:textId="2829530C" w:rsidR="005D0DCC" w:rsidRPr="00D30847" w:rsidRDefault="005D0DCC" w:rsidP="00E84CD0">
            <w:pPr>
              <w:spacing w:line="240" w:lineRule="auto"/>
              <w:jc w:val="both"/>
              <w:rPr>
                <w:rFonts w:cs="Calibri"/>
                <w:color w:val="FF0000"/>
                <w:sz w:val="20"/>
                <w:szCs w:val="20"/>
                <w:lang w:val="en-GB"/>
              </w:rPr>
            </w:pPr>
            <w:r w:rsidRPr="00D30847">
              <w:rPr>
                <w:rFonts w:cs="Calibri"/>
                <w:sz w:val="20"/>
                <w:szCs w:val="20"/>
                <w:lang w:val="en-GB"/>
              </w:rPr>
              <w:t>202</w:t>
            </w:r>
            <w:r w:rsidR="005D7742" w:rsidRPr="00D30847">
              <w:rPr>
                <w:rFonts w:cs="Calibri"/>
                <w:sz w:val="20"/>
                <w:szCs w:val="20"/>
                <w:lang w:val="en-GB"/>
              </w:rPr>
              <w:t>6</w:t>
            </w:r>
          </w:p>
        </w:tc>
      </w:tr>
      <w:tr w:rsidR="005D0DCC" w:rsidRPr="00D30847" w14:paraId="7C342DA9" w14:textId="77777777" w:rsidTr="006B2781">
        <w:tc>
          <w:tcPr>
            <w:tcW w:w="2518" w:type="dxa"/>
            <w:tcBorders>
              <w:top w:val="single" w:sz="4" w:space="0" w:color="FFFFFF"/>
              <w:bottom w:val="single" w:sz="4" w:space="0" w:color="FFFFFF"/>
            </w:tcBorders>
            <w:shd w:val="clear" w:color="auto" w:fill="002060"/>
          </w:tcPr>
          <w:p w14:paraId="48F72A7E" w14:textId="77777777" w:rsidR="005D0DCC" w:rsidRPr="00D30847" w:rsidRDefault="005D0DCC" w:rsidP="00E84CD0">
            <w:pPr>
              <w:spacing w:line="240" w:lineRule="auto"/>
              <w:jc w:val="both"/>
              <w:rPr>
                <w:rFonts w:cs="Calibri"/>
                <w:color w:val="FFFFFF"/>
                <w:sz w:val="20"/>
                <w:szCs w:val="20"/>
                <w:lang w:val="en-GB"/>
              </w:rPr>
            </w:pPr>
            <w:r w:rsidRPr="00D30847">
              <w:rPr>
                <w:rFonts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78F616ED" w14:textId="77777777" w:rsidR="0071387F" w:rsidRPr="00D30847" w:rsidRDefault="0071387F" w:rsidP="00015266">
            <w:pPr>
              <w:spacing w:after="0" w:line="240" w:lineRule="auto"/>
              <w:jc w:val="both"/>
              <w:rPr>
                <w:rFonts w:cs="Calibri"/>
                <w:sz w:val="20"/>
                <w:szCs w:val="20"/>
                <w:lang w:val="en-GB"/>
              </w:rPr>
            </w:pPr>
            <w:r w:rsidRPr="00D30847">
              <w:rPr>
                <w:rFonts w:cs="Calibri"/>
                <w:sz w:val="20"/>
                <w:szCs w:val="20"/>
                <w:lang w:val="en-GB"/>
              </w:rPr>
              <w:t>- Improving existing and developing additional analysis related to fiscal risks;</w:t>
            </w:r>
          </w:p>
          <w:p w14:paraId="13DA87B3" w14:textId="77777777" w:rsidR="0071387F" w:rsidRPr="00D30847" w:rsidRDefault="0071387F" w:rsidP="00015266">
            <w:pPr>
              <w:spacing w:after="0" w:line="240" w:lineRule="auto"/>
              <w:jc w:val="both"/>
              <w:rPr>
                <w:rFonts w:cs="Calibri"/>
                <w:sz w:val="20"/>
                <w:szCs w:val="20"/>
                <w:lang w:val="en-GB"/>
              </w:rPr>
            </w:pPr>
            <w:r w:rsidRPr="00D30847">
              <w:rPr>
                <w:rFonts w:cs="Calibri"/>
                <w:sz w:val="20"/>
                <w:szCs w:val="20"/>
                <w:lang w:val="en-GB"/>
              </w:rPr>
              <w:t>- Further advancement of the Fiscal Risks part in Fiscal Strategy;</w:t>
            </w:r>
          </w:p>
          <w:p w14:paraId="34B76F43" w14:textId="4D48FEA0" w:rsidR="005D0DCC" w:rsidRPr="00D30847" w:rsidRDefault="0071387F" w:rsidP="00015266">
            <w:pPr>
              <w:spacing w:line="240" w:lineRule="auto"/>
              <w:jc w:val="both"/>
              <w:rPr>
                <w:rFonts w:cs="Calibri"/>
                <w:sz w:val="20"/>
                <w:szCs w:val="20"/>
                <w:lang w:val="en-GB"/>
              </w:rPr>
            </w:pPr>
            <w:r w:rsidRPr="00D30847">
              <w:rPr>
                <w:rFonts w:cs="Calibri"/>
                <w:sz w:val="20"/>
                <w:szCs w:val="20"/>
                <w:lang w:val="en-GB"/>
              </w:rPr>
              <w:t>- Creating a Fiscal Risk Registry;</w:t>
            </w:r>
          </w:p>
        </w:tc>
      </w:tr>
      <w:tr w:rsidR="005D0DCC" w:rsidRPr="00D30847" w14:paraId="0E5F55B2" w14:textId="77777777" w:rsidTr="006B2781">
        <w:tc>
          <w:tcPr>
            <w:tcW w:w="2518" w:type="dxa"/>
            <w:tcBorders>
              <w:top w:val="single" w:sz="4" w:space="0" w:color="FFFFFF"/>
              <w:bottom w:val="single" w:sz="4" w:space="0" w:color="FFFFFF"/>
            </w:tcBorders>
            <w:shd w:val="clear" w:color="auto" w:fill="002060"/>
          </w:tcPr>
          <w:p w14:paraId="78C8A1CE" w14:textId="77777777" w:rsidR="005D0DCC" w:rsidRPr="00D30847" w:rsidRDefault="005D0DCC" w:rsidP="00E84CD0">
            <w:pPr>
              <w:spacing w:line="240" w:lineRule="auto"/>
              <w:jc w:val="both"/>
              <w:rPr>
                <w:rFonts w:cs="Calibri"/>
                <w:b/>
                <w:color w:val="FFFFFF"/>
                <w:sz w:val="20"/>
                <w:szCs w:val="20"/>
                <w:lang w:val="en-GB"/>
              </w:rPr>
            </w:pPr>
            <w:r w:rsidRPr="00D30847">
              <w:rPr>
                <w:rFonts w:cs="Calibri"/>
                <w:b/>
                <w:color w:val="FFFFFF"/>
                <w:sz w:val="20"/>
                <w:szCs w:val="20"/>
                <w:lang w:val="en-GB"/>
              </w:rPr>
              <w:t>Cost implications:</w:t>
            </w:r>
          </w:p>
        </w:tc>
        <w:tc>
          <w:tcPr>
            <w:tcW w:w="6246" w:type="dxa"/>
            <w:tcBorders>
              <w:top w:val="single" w:sz="4" w:space="0" w:color="FFFFFF"/>
              <w:bottom w:val="single" w:sz="4" w:space="0" w:color="FFFFFF"/>
            </w:tcBorders>
            <w:shd w:val="clear" w:color="auto" w:fill="D9E2F3"/>
          </w:tcPr>
          <w:p w14:paraId="43F44DF4" w14:textId="045D1BC4" w:rsidR="005D0DCC" w:rsidRPr="00D30847" w:rsidRDefault="005D0DCC" w:rsidP="00E84CD0">
            <w:pPr>
              <w:spacing w:line="240" w:lineRule="auto"/>
              <w:jc w:val="both"/>
              <w:rPr>
                <w:rFonts w:cs="Calibri"/>
                <w:sz w:val="20"/>
                <w:szCs w:val="20"/>
                <w:lang w:val="en-GB"/>
              </w:rPr>
            </w:pPr>
            <w:r w:rsidRPr="00D30847">
              <w:rPr>
                <w:rFonts w:cs="Calibri"/>
                <w:sz w:val="20"/>
                <w:szCs w:val="20"/>
                <w:lang w:val="en-GB"/>
              </w:rPr>
              <w:t xml:space="preserve">EUR </w:t>
            </w:r>
            <w:r w:rsidR="0071387F" w:rsidRPr="00D30847">
              <w:rPr>
                <w:rFonts w:cs="Calibri"/>
                <w:sz w:val="20"/>
                <w:szCs w:val="20"/>
                <w:lang w:val="en-GB"/>
              </w:rPr>
              <w:t>14</w:t>
            </w:r>
            <w:r w:rsidR="005D7742" w:rsidRPr="00D30847">
              <w:rPr>
                <w:rFonts w:cs="Calibri"/>
                <w:sz w:val="20"/>
                <w:szCs w:val="20"/>
                <w:lang w:val="en-GB"/>
              </w:rPr>
              <w:t>0</w:t>
            </w:r>
            <w:r w:rsidRPr="00D30847">
              <w:rPr>
                <w:rFonts w:cs="Calibri"/>
                <w:sz w:val="20"/>
                <w:szCs w:val="20"/>
                <w:lang w:val="en-GB"/>
              </w:rPr>
              <w:t>,000</w:t>
            </w:r>
          </w:p>
        </w:tc>
      </w:tr>
      <w:tr w:rsidR="005D0DCC" w:rsidRPr="00D30847" w14:paraId="07499FC6" w14:textId="77777777" w:rsidTr="006B2781">
        <w:tc>
          <w:tcPr>
            <w:tcW w:w="2518" w:type="dxa"/>
            <w:tcBorders>
              <w:top w:val="single" w:sz="4" w:space="0" w:color="FFFFFF"/>
              <w:bottom w:val="single" w:sz="4" w:space="0" w:color="FFFFFF"/>
            </w:tcBorders>
            <w:shd w:val="clear" w:color="auto" w:fill="002060"/>
          </w:tcPr>
          <w:p w14:paraId="7A674F26" w14:textId="77777777" w:rsidR="005D0DCC" w:rsidRPr="00D30847" w:rsidRDefault="005D0DCC" w:rsidP="00E84CD0">
            <w:pPr>
              <w:spacing w:line="240" w:lineRule="auto"/>
              <w:jc w:val="both"/>
              <w:rPr>
                <w:rFonts w:cs="Calibri"/>
                <w:b/>
                <w:color w:val="FFFFFF"/>
                <w:sz w:val="20"/>
                <w:szCs w:val="20"/>
                <w:lang w:val="en-GB"/>
              </w:rPr>
            </w:pPr>
            <w:r w:rsidRPr="00D30847">
              <w:rPr>
                <w:rFonts w:cs="Calibri"/>
                <w:b/>
                <w:color w:val="FFFFFF"/>
                <w:sz w:val="20"/>
                <w:szCs w:val="20"/>
                <w:lang w:val="en-GB"/>
              </w:rPr>
              <w:t>Responsible entity:</w:t>
            </w:r>
          </w:p>
        </w:tc>
        <w:tc>
          <w:tcPr>
            <w:tcW w:w="6246" w:type="dxa"/>
            <w:tcBorders>
              <w:top w:val="single" w:sz="4" w:space="0" w:color="FFFFFF"/>
              <w:bottom w:val="single" w:sz="4" w:space="0" w:color="FFFFFF"/>
            </w:tcBorders>
            <w:shd w:val="clear" w:color="auto" w:fill="D9E2F3"/>
          </w:tcPr>
          <w:p w14:paraId="68545B90" w14:textId="57FFC6EF" w:rsidR="005D0DCC" w:rsidRPr="00D30847" w:rsidRDefault="00FA0745" w:rsidP="00E84CD0">
            <w:pPr>
              <w:spacing w:line="240" w:lineRule="auto"/>
              <w:jc w:val="both"/>
              <w:rPr>
                <w:rFonts w:cs="Calibri"/>
                <w:sz w:val="20"/>
                <w:szCs w:val="20"/>
                <w:lang w:val="en-GB"/>
              </w:rPr>
            </w:pPr>
            <w:r w:rsidRPr="00D30847">
              <w:rPr>
                <w:rFonts w:cs="Calibri"/>
                <w:sz w:val="20"/>
                <w:szCs w:val="20"/>
                <w:lang w:val="en-GB"/>
              </w:rPr>
              <w:t>MoF – Economic Policy and Development Department</w:t>
            </w:r>
          </w:p>
        </w:tc>
      </w:tr>
      <w:tr w:rsidR="005D0DCC" w:rsidRPr="00D30847" w14:paraId="3461F4A1" w14:textId="77777777" w:rsidTr="006B2781">
        <w:tc>
          <w:tcPr>
            <w:tcW w:w="2518" w:type="dxa"/>
            <w:tcBorders>
              <w:top w:val="single" w:sz="4" w:space="0" w:color="FFFFFF"/>
              <w:bottom w:val="nil"/>
            </w:tcBorders>
            <w:shd w:val="clear" w:color="auto" w:fill="002060"/>
          </w:tcPr>
          <w:p w14:paraId="2E831718" w14:textId="77777777" w:rsidR="005D0DCC" w:rsidRPr="00D30847" w:rsidRDefault="005D0DCC" w:rsidP="00E84CD0">
            <w:pPr>
              <w:spacing w:line="240" w:lineRule="auto"/>
              <w:jc w:val="both"/>
              <w:rPr>
                <w:rFonts w:cs="Calibri"/>
                <w:b/>
                <w:color w:val="FFFFFF"/>
                <w:sz w:val="20"/>
                <w:szCs w:val="20"/>
                <w:lang w:val="en-GB"/>
              </w:rPr>
            </w:pPr>
            <w:r w:rsidRPr="00D30847">
              <w:rPr>
                <w:rFonts w:cs="Calibri"/>
                <w:b/>
                <w:color w:val="FFFFFF"/>
                <w:sz w:val="20"/>
                <w:szCs w:val="20"/>
                <w:lang w:val="en-GB"/>
              </w:rPr>
              <w:t>Risk:</w:t>
            </w:r>
          </w:p>
        </w:tc>
        <w:tc>
          <w:tcPr>
            <w:tcW w:w="6246" w:type="dxa"/>
            <w:tcBorders>
              <w:top w:val="single" w:sz="4" w:space="0" w:color="FFFFFF"/>
              <w:bottom w:val="nil"/>
            </w:tcBorders>
            <w:shd w:val="clear" w:color="auto" w:fill="D9E2F3"/>
          </w:tcPr>
          <w:p w14:paraId="7619B4FA" w14:textId="07FC3830" w:rsidR="009C56A3" w:rsidRPr="00D30847" w:rsidRDefault="009C56A3" w:rsidP="00AD2AD5">
            <w:pPr>
              <w:numPr>
                <w:ilvl w:val="0"/>
                <w:numId w:val="23"/>
              </w:numPr>
              <w:spacing w:after="0" w:line="240" w:lineRule="auto"/>
              <w:ind w:left="183" w:hanging="177"/>
              <w:jc w:val="both"/>
              <w:rPr>
                <w:rFonts w:cs="Calibri"/>
                <w:sz w:val="20"/>
                <w:szCs w:val="20"/>
                <w:lang w:val="en-GB"/>
              </w:rPr>
            </w:pPr>
            <w:r w:rsidRPr="00D30847">
              <w:rPr>
                <w:rFonts w:cs="Calibri"/>
                <w:sz w:val="20"/>
                <w:szCs w:val="20"/>
                <w:lang w:val="en-GB"/>
              </w:rPr>
              <w:t xml:space="preserve">Certain institutions and sectors may not be able to provide data and analyses relevant for the preparation </w:t>
            </w:r>
            <w:r w:rsidR="0071387F" w:rsidRPr="00D30847">
              <w:rPr>
                <w:rFonts w:cs="Calibri"/>
                <w:sz w:val="20"/>
                <w:szCs w:val="20"/>
                <w:lang w:val="en-GB"/>
              </w:rPr>
              <w:t>of the Fiscal Risks section</w:t>
            </w:r>
          </w:p>
          <w:p w14:paraId="5340E30A" w14:textId="77777777" w:rsidR="009C56A3" w:rsidRPr="00D30847" w:rsidRDefault="009C56A3" w:rsidP="00AD2AD5">
            <w:pPr>
              <w:numPr>
                <w:ilvl w:val="0"/>
                <w:numId w:val="23"/>
              </w:numPr>
              <w:spacing w:after="0" w:line="240" w:lineRule="auto"/>
              <w:ind w:left="183" w:hanging="177"/>
              <w:jc w:val="both"/>
              <w:rPr>
                <w:rFonts w:cs="Calibri"/>
                <w:sz w:val="20"/>
                <w:szCs w:val="20"/>
                <w:lang w:val="en-GB"/>
              </w:rPr>
            </w:pPr>
            <w:r w:rsidRPr="00D30847">
              <w:rPr>
                <w:rFonts w:cs="Calibri"/>
                <w:sz w:val="20"/>
                <w:szCs w:val="20"/>
                <w:lang w:val="en-GB"/>
              </w:rPr>
              <w:t>Lack of adequate capacity in the Ministry of Finance to implement the activities for implementation of the fiscal risks analyses</w:t>
            </w:r>
          </w:p>
          <w:p w14:paraId="7B52D929" w14:textId="6AF133A7" w:rsidR="003C20E4" w:rsidRPr="00D30847" w:rsidRDefault="009C56A3" w:rsidP="00AD2AD5">
            <w:pPr>
              <w:numPr>
                <w:ilvl w:val="0"/>
                <w:numId w:val="23"/>
              </w:numPr>
              <w:spacing w:after="0" w:line="240" w:lineRule="auto"/>
              <w:ind w:left="183" w:hanging="177"/>
              <w:jc w:val="both"/>
              <w:rPr>
                <w:rFonts w:cs="Calibri"/>
                <w:sz w:val="20"/>
                <w:szCs w:val="20"/>
                <w:lang w:val="en-GB"/>
              </w:rPr>
            </w:pPr>
            <w:r w:rsidRPr="00D30847">
              <w:rPr>
                <w:rFonts w:cs="Calibri"/>
                <w:sz w:val="20"/>
                <w:szCs w:val="20"/>
                <w:lang w:val="en-GB"/>
              </w:rPr>
              <w:t>Inadequate and incomplete trainings of employees in MoF</w:t>
            </w:r>
          </w:p>
        </w:tc>
      </w:tr>
    </w:tbl>
    <w:p w14:paraId="2CF28C59" w14:textId="77777777" w:rsidR="005D0DCC" w:rsidRPr="00D30847" w:rsidRDefault="005D0DCC" w:rsidP="00E84CD0">
      <w:pPr>
        <w:spacing w:line="240" w:lineRule="auto"/>
        <w:jc w:val="both"/>
        <w:rPr>
          <w:rFonts w:cs="Calibri"/>
          <w:b/>
          <w:color w:val="0070C0"/>
          <w:lang w:val="en-GB"/>
        </w:rPr>
      </w:pPr>
    </w:p>
    <w:p w14:paraId="3D802297" w14:textId="77777777" w:rsidR="004540A9" w:rsidRPr="00D30847" w:rsidRDefault="004540A9" w:rsidP="00E84CD0">
      <w:pPr>
        <w:spacing w:line="240" w:lineRule="auto"/>
        <w:jc w:val="both"/>
        <w:rPr>
          <w:rFonts w:cs="Calibri"/>
          <w:b/>
          <w:color w:val="0070C0"/>
          <w:lang w:val="en-GB"/>
        </w:rPr>
      </w:pPr>
    </w:p>
    <w:p w14:paraId="78662A2A" w14:textId="77777777" w:rsidR="004540A9" w:rsidRPr="00D30847" w:rsidRDefault="004540A9" w:rsidP="00E84CD0">
      <w:pPr>
        <w:spacing w:line="240" w:lineRule="auto"/>
        <w:jc w:val="both"/>
        <w:rPr>
          <w:rFonts w:cs="Calibri"/>
          <w:b/>
          <w:color w:val="0070C0"/>
          <w:lang w:val="en-GB"/>
        </w:rPr>
      </w:pPr>
    </w:p>
    <w:p w14:paraId="517EB54B" w14:textId="77777777" w:rsidR="004540A9" w:rsidRPr="00D30847" w:rsidRDefault="004540A9" w:rsidP="00E84CD0">
      <w:pPr>
        <w:spacing w:line="240" w:lineRule="auto"/>
        <w:jc w:val="both"/>
        <w:rPr>
          <w:rFonts w:cs="Calibri"/>
          <w:b/>
          <w:color w:val="0070C0"/>
          <w:lang w:val="en-GB"/>
        </w:rPr>
      </w:pPr>
    </w:p>
    <w:p w14:paraId="1046BF87" w14:textId="77777777" w:rsidR="004540A9" w:rsidRPr="00D30847" w:rsidRDefault="004540A9" w:rsidP="00E84CD0">
      <w:pPr>
        <w:spacing w:line="240" w:lineRule="auto"/>
        <w:jc w:val="both"/>
        <w:rPr>
          <w:rFonts w:cs="Calibri"/>
          <w:b/>
          <w:color w:val="0070C0"/>
          <w:lang w:val="en-GB"/>
        </w:rPr>
      </w:pPr>
    </w:p>
    <w:p w14:paraId="28FCEE9A" w14:textId="77777777" w:rsidR="004540A9" w:rsidRPr="00D30847" w:rsidRDefault="004540A9" w:rsidP="00E84CD0">
      <w:pPr>
        <w:spacing w:line="240" w:lineRule="auto"/>
        <w:jc w:val="both"/>
        <w:rPr>
          <w:rFonts w:cs="Calibri"/>
          <w:b/>
          <w:color w:val="0070C0"/>
          <w:lang w:val="en-GB"/>
        </w:rPr>
      </w:pPr>
    </w:p>
    <w:p w14:paraId="3001BFBC" w14:textId="77777777" w:rsidR="004540A9" w:rsidRPr="00D30847" w:rsidRDefault="004540A9" w:rsidP="00E84CD0">
      <w:pPr>
        <w:spacing w:line="240" w:lineRule="auto"/>
        <w:jc w:val="both"/>
        <w:rPr>
          <w:rFonts w:cs="Calibri"/>
          <w:b/>
          <w:color w:val="0070C0"/>
          <w:lang w:val="en-GB"/>
        </w:rPr>
      </w:pPr>
    </w:p>
    <w:p w14:paraId="5B54E2C9" w14:textId="77777777" w:rsidR="004540A9" w:rsidRPr="00D30847" w:rsidRDefault="004540A9" w:rsidP="00E84CD0">
      <w:pPr>
        <w:spacing w:line="240" w:lineRule="auto"/>
        <w:jc w:val="both"/>
        <w:rPr>
          <w:rFonts w:cs="Calibri"/>
          <w:b/>
          <w:color w:val="0070C0"/>
          <w:lang w:val="en-GB"/>
        </w:rPr>
      </w:pPr>
    </w:p>
    <w:p w14:paraId="08239F00" w14:textId="77777777" w:rsidR="004540A9" w:rsidRPr="00D30847" w:rsidRDefault="004540A9" w:rsidP="00E84CD0">
      <w:pPr>
        <w:spacing w:line="240" w:lineRule="auto"/>
        <w:jc w:val="both"/>
        <w:rPr>
          <w:rFonts w:cs="Calibri"/>
          <w:b/>
          <w:color w:val="0070C0"/>
          <w:lang w:val="en-GB"/>
        </w:rPr>
      </w:pPr>
    </w:p>
    <w:p w14:paraId="1F837870" w14:textId="77777777" w:rsidR="004540A9" w:rsidRPr="00D30847" w:rsidRDefault="004540A9" w:rsidP="00E84CD0">
      <w:pPr>
        <w:spacing w:line="240" w:lineRule="auto"/>
        <w:jc w:val="both"/>
        <w:rPr>
          <w:rFonts w:cs="Calibri"/>
          <w:b/>
          <w:color w:val="0070C0"/>
          <w:lang w:val="en-GB"/>
        </w:rPr>
      </w:pPr>
    </w:p>
    <w:p w14:paraId="341ADC17" w14:textId="77777777" w:rsidR="004540A9" w:rsidRPr="00D30847" w:rsidRDefault="004540A9" w:rsidP="00E84CD0">
      <w:pPr>
        <w:spacing w:line="240" w:lineRule="auto"/>
        <w:jc w:val="both"/>
        <w:rPr>
          <w:rFonts w:cs="Calibri"/>
          <w:b/>
          <w:color w:val="0070C0"/>
          <w:lang w:val="en-GB"/>
        </w:rPr>
      </w:pPr>
    </w:p>
    <w:p w14:paraId="308432DD" w14:textId="77777777" w:rsidR="00111A7C" w:rsidRPr="00D30847" w:rsidRDefault="00111A7C" w:rsidP="00E84CD0">
      <w:pPr>
        <w:spacing w:line="240" w:lineRule="auto"/>
        <w:jc w:val="both"/>
        <w:rPr>
          <w:rFonts w:cs="Calibri"/>
          <w:b/>
          <w:color w:val="0070C0"/>
          <w:lang w:val="en-GB"/>
        </w:rPr>
      </w:pPr>
    </w:p>
    <w:p w14:paraId="5AA01F0D" w14:textId="77777777" w:rsidR="00111A7C" w:rsidRPr="00D30847" w:rsidRDefault="00111A7C" w:rsidP="00E84CD0">
      <w:pPr>
        <w:spacing w:line="240" w:lineRule="auto"/>
        <w:jc w:val="both"/>
        <w:rPr>
          <w:rFonts w:cs="Calibri"/>
          <w:b/>
          <w:color w:val="0070C0"/>
          <w:lang w:val="en-GB"/>
        </w:rPr>
      </w:pPr>
    </w:p>
    <w:p w14:paraId="49B8CEB2" w14:textId="4304232A" w:rsidR="004540A9" w:rsidRDefault="004540A9" w:rsidP="00E84CD0">
      <w:pPr>
        <w:spacing w:line="240" w:lineRule="auto"/>
        <w:jc w:val="both"/>
        <w:rPr>
          <w:rFonts w:cs="Calibri"/>
          <w:b/>
          <w:color w:val="0070C0"/>
          <w:lang w:val="en-GB"/>
        </w:rPr>
      </w:pPr>
    </w:p>
    <w:p w14:paraId="10C5E52B" w14:textId="31AA4A31" w:rsidR="00AC5DE9" w:rsidRDefault="00AC5DE9" w:rsidP="00E84CD0">
      <w:pPr>
        <w:spacing w:line="240" w:lineRule="auto"/>
        <w:jc w:val="both"/>
        <w:rPr>
          <w:rFonts w:cs="Calibri"/>
          <w:b/>
          <w:color w:val="0070C0"/>
          <w:lang w:val="en-GB"/>
        </w:rPr>
      </w:pPr>
    </w:p>
    <w:p w14:paraId="6CED0F71" w14:textId="77777777" w:rsidR="00AC5DE9" w:rsidRPr="00D30847" w:rsidRDefault="00AC5DE9" w:rsidP="00E84CD0">
      <w:pPr>
        <w:spacing w:line="240" w:lineRule="auto"/>
        <w:jc w:val="both"/>
        <w:rPr>
          <w:rFonts w:cs="Calibri"/>
          <w:b/>
          <w:color w:val="0070C0"/>
          <w:lang w:val="en-GB"/>
        </w:rPr>
      </w:pPr>
    </w:p>
    <w:p w14:paraId="659571F3" w14:textId="3141699E" w:rsidR="008B565E" w:rsidRPr="00D30847" w:rsidRDefault="00A64FD7" w:rsidP="004540A9">
      <w:pPr>
        <w:pStyle w:val="Heading1"/>
        <w:spacing w:before="0" w:after="0" w:line="240" w:lineRule="auto"/>
        <w:jc w:val="both"/>
        <w:rPr>
          <w:rFonts w:ascii="Calibri" w:hAnsi="Calibri" w:cs="Calibri"/>
          <w:color w:val="2F5496"/>
          <w:sz w:val="28"/>
          <w:szCs w:val="28"/>
          <w:lang w:val="en-GB"/>
        </w:rPr>
      </w:pPr>
      <w:bookmarkStart w:id="16" w:name="_Toc187841802"/>
      <w:r w:rsidRPr="00D30847">
        <w:rPr>
          <w:rFonts w:ascii="Calibri" w:hAnsi="Calibri" w:cs="Calibri"/>
          <w:color w:val="2F5496"/>
          <w:sz w:val="28"/>
          <w:szCs w:val="28"/>
          <w:lang w:val="en-GB"/>
        </w:rPr>
        <w:lastRenderedPageBreak/>
        <w:t xml:space="preserve">Priority 3: </w:t>
      </w:r>
      <w:r w:rsidR="00CF0FEA" w:rsidRPr="00D30847">
        <w:rPr>
          <w:rFonts w:ascii="Calibri" w:hAnsi="Calibri" w:cs="Calibri"/>
          <w:color w:val="2F5496"/>
          <w:sz w:val="28"/>
          <w:szCs w:val="28"/>
          <w:lang w:val="en-GB"/>
        </w:rPr>
        <w:t xml:space="preserve">Strengthening </w:t>
      </w:r>
      <w:r w:rsidRPr="00D30847">
        <w:rPr>
          <w:rFonts w:ascii="Calibri" w:hAnsi="Calibri" w:cs="Calibri"/>
          <w:color w:val="2F5496"/>
          <w:sz w:val="28"/>
          <w:szCs w:val="28"/>
          <w:lang w:val="en-GB"/>
        </w:rPr>
        <w:t xml:space="preserve">Debt </w:t>
      </w:r>
      <w:r w:rsidR="003647C6" w:rsidRPr="00D30847">
        <w:rPr>
          <w:rFonts w:ascii="Calibri" w:hAnsi="Calibri" w:cs="Calibri"/>
          <w:color w:val="2F5496"/>
          <w:sz w:val="28"/>
          <w:szCs w:val="28"/>
          <w:lang w:val="en-GB"/>
        </w:rPr>
        <w:t>Management</w:t>
      </w:r>
      <w:bookmarkEnd w:id="16"/>
    </w:p>
    <w:p w14:paraId="17474B5D" w14:textId="77777777" w:rsidR="004540A9" w:rsidRPr="00D30847" w:rsidRDefault="004540A9" w:rsidP="004540A9">
      <w:pPr>
        <w:spacing w:after="0"/>
        <w:rPr>
          <w:lang w:val="en-GB"/>
        </w:rPr>
      </w:pPr>
    </w:p>
    <w:p w14:paraId="59CE8959" w14:textId="77777777" w:rsidR="0073528B" w:rsidRPr="00D30847" w:rsidRDefault="0073528B" w:rsidP="004540A9">
      <w:pPr>
        <w:pStyle w:val="Heading4"/>
        <w:spacing w:before="0" w:line="240" w:lineRule="auto"/>
        <w:rPr>
          <w:rFonts w:cs="Calibri"/>
          <w:sz w:val="22"/>
          <w:szCs w:val="22"/>
        </w:rPr>
      </w:pPr>
      <w:r w:rsidRPr="00D30847">
        <w:rPr>
          <w:rFonts w:cs="Calibri"/>
          <w:sz w:val="22"/>
          <w:szCs w:val="22"/>
        </w:rPr>
        <w:t>Objective</w:t>
      </w:r>
    </w:p>
    <w:p w14:paraId="6377FF96" w14:textId="77777777" w:rsidR="00361D95" w:rsidRPr="00D30847" w:rsidRDefault="004E1E75" w:rsidP="007C21D8">
      <w:pPr>
        <w:pStyle w:val="NormalPFM1"/>
        <w:spacing w:before="0" w:line="240" w:lineRule="auto"/>
        <w:rPr>
          <w:rFonts w:cs="Calibri"/>
          <w:sz w:val="22"/>
          <w:szCs w:val="22"/>
        </w:rPr>
      </w:pPr>
      <w:r w:rsidRPr="00D30847">
        <w:rPr>
          <w:rFonts w:cs="Calibri"/>
          <w:sz w:val="22"/>
          <w:szCs w:val="22"/>
        </w:rPr>
        <w:t>Improving the quality of public debt management on medium and long term</w:t>
      </w:r>
      <w:r w:rsidR="00361D95" w:rsidRPr="00D30847">
        <w:rPr>
          <w:rFonts w:cs="Calibri"/>
          <w:sz w:val="22"/>
          <w:szCs w:val="22"/>
        </w:rPr>
        <w:t>.</w:t>
      </w:r>
    </w:p>
    <w:p w14:paraId="091D59AA" w14:textId="46058F32" w:rsidR="00410A18" w:rsidRPr="00D30847" w:rsidRDefault="004E1E75" w:rsidP="0081628C">
      <w:pPr>
        <w:pStyle w:val="NormalPFM1"/>
        <w:spacing w:line="240" w:lineRule="auto"/>
        <w:rPr>
          <w:rFonts w:cs="Calibri"/>
          <w:sz w:val="22"/>
          <w:szCs w:val="22"/>
        </w:rPr>
      </w:pPr>
      <w:r w:rsidRPr="00D30847">
        <w:rPr>
          <w:rFonts w:cs="Calibri"/>
          <w:sz w:val="22"/>
          <w:szCs w:val="22"/>
        </w:rPr>
        <w:t>The objective of this priority will be achieved through the following measures and activities:</w:t>
      </w:r>
    </w:p>
    <w:tbl>
      <w:tblPr>
        <w:tblW w:w="8259" w:type="dxa"/>
        <w:tblInd w:w="-90" w:type="dxa"/>
        <w:tblLook w:val="01E0" w:firstRow="1" w:lastRow="1" w:firstColumn="1" w:lastColumn="1" w:noHBand="0" w:noVBand="0"/>
      </w:tblPr>
      <w:tblGrid>
        <w:gridCol w:w="1453"/>
        <w:gridCol w:w="6806"/>
      </w:tblGrid>
      <w:tr w:rsidR="0073528B" w:rsidRPr="00D30847" w14:paraId="477F961C" w14:textId="77777777" w:rsidTr="0081628C">
        <w:trPr>
          <w:trHeight w:val="263"/>
        </w:trPr>
        <w:tc>
          <w:tcPr>
            <w:tcW w:w="1453" w:type="dxa"/>
            <w:shd w:val="clear" w:color="auto" w:fill="auto"/>
          </w:tcPr>
          <w:p w14:paraId="2AE492E3" w14:textId="77777777" w:rsidR="0073528B" w:rsidRPr="00D30847" w:rsidRDefault="0073528B" w:rsidP="0081628C">
            <w:pPr>
              <w:spacing w:before="80" w:after="80" w:line="240" w:lineRule="auto"/>
              <w:jc w:val="both"/>
              <w:rPr>
                <w:rFonts w:cs="Calibri"/>
                <w:b/>
                <w:lang w:val="en-GB"/>
              </w:rPr>
            </w:pPr>
            <w:r w:rsidRPr="00D30847">
              <w:rPr>
                <w:rFonts w:cs="Calibri"/>
                <w:b/>
                <w:lang w:val="en-GB"/>
              </w:rPr>
              <w:t>Measure 1:</w:t>
            </w:r>
          </w:p>
        </w:tc>
        <w:tc>
          <w:tcPr>
            <w:tcW w:w="6806" w:type="dxa"/>
            <w:shd w:val="clear" w:color="auto" w:fill="auto"/>
          </w:tcPr>
          <w:p w14:paraId="1DE3CEC1" w14:textId="77777777" w:rsidR="0073528B" w:rsidRPr="00D30847" w:rsidRDefault="0073528B" w:rsidP="0081628C">
            <w:pPr>
              <w:spacing w:before="80" w:after="80" w:line="240" w:lineRule="auto"/>
              <w:ind w:left="-101"/>
              <w:jc w:val="both"/>
              <w:rPr>
                <w:rFonts w:cs="Calibri"/>
                <w:b/>
                <w:lang w:val="en-GB"/>
              </w:rPr>
            </w:pPr>
            <w:r w:rsidRPr="00D30847">
              <w:rPr>
                <w:rFonts w:cs="Calibri"/>
                <w:b/>
                <w:lang w:val="en-GB"/>
              </w:rPr>
              <w:t>Reducing operational risks at public debt management</w:t>
            </w:r>
          </w:p>
        </w:tc>
      </w:tr>
      <w:tr w:rsidR="0073528B" w:rsidRPr="00D30847" w14:paraId="665D778C" w14:textId="77777777" w:rsidTr="0081628C">
        <w:trPr>
          <w:trHeight w:val="381"/>
        </w:trPr>
        <w:tc>
          <w:tcPr>
            <w:tcW w:w="1453" w:type="dxa"/>
            <w:shd w:val="clear" w:color="auto" w:fill="auto"/>
          </w:tcPr>
          <w:p w14:paraId="04AE7B67" w14:textId="77777777" w:rsidR="0073528B" w:rsidRPr="00D30847" w:rsidRDefault="0073528B" w:rsidP="007C21D8">
            <w:pPr>
              <w:spacing w:after="80" w:line="240" w:lineRule="auto"/>
              <w:jc w:val="both"/>
              <w:rPr>
                <w:rFonts w:cs="Calibri"/>
                <w:b/>
                <w:color w:val="000000"/>
                <w:lang w:val="en-GB"/>
              </w:rPr>
            </w:pPr>
            <w:r w:rsidRPr="00D30847">
              <w:rPr>
                <w:rFonts w:cs="Calibri"/>
                <w:color w:val="000000"/>
                <w:lang w:val="en-GB"/>
              </w:rPr>
              <w:t>Activity 1:</w:t>
            </w:r>
          </w:p>
        </w:tc>
        <w:tc>
          <w:tcPr>
            <w:tcW w:w="6806" w:type="dxa"/>
            <w:shd w:val="clear" w:color="auto" w:fill="auto"/>
          </w:tcPr>
          <w:p w14:paraId="34C0DFFB" w14:textId="77777777" w:rsidR="0073528B" w:rsidRPr="00D30847" w:rsidRDefault="0073528B" w:rsidP="007C21D8">
            <w:pPr>
              <w:spacing w:after="80" w:line="240" w:lineRule="auto"/>
              <w:jc w:val="both"/>
              <w:rPr>
                <w:rFonts w:cs="Calibri"/>
                <w:lang w:val="en-GB"/>
              </w:rPr>
            </w:pPr>
            <w:r w:rsidRPr="00D30847">
              <w:rPr>
                <w:rFonts w:cs="Calibri"/>
                <w:lang w:val="en-GB"/>
              </w:rPr>
              <w:t>Introducing e-banking with NBRNM for external debt repayment</w:t>
            </w:r>
            <w:r w:rsidR="004B0866" w:rsidRPr="00D30847">
              <w:rPr>
                <w:rFonts w:cs="Calibri"/>
                <w:lang w:val="en-GB"/>
              </w:rPr>
              <w:t>;</w:t>
            </w:r>
          </w:p>
        </w:tc>
      </w:tr>
      <w:tr w:rsidR="0073528B" w:rsidRPr="00D30847" w14:paraId="4B70F707" w14:textId="77777777" w:rsidTr="0081628C">
        <w:trPr>
          <w:trHeight w:val="381"/>
        </w:trPr>
        <w:tc>
          <w:tcPr>
            <w:tcW w:w="1453" w:type="dxa"/>
            <w:shd w:val="clear" w:color="auto" w:fill="auto"/>
          </w:tcPr>
          <w:p w14:paraId="2AC02E1F" w14:textId="77777777" w:rsidR="0073528B" w:rsidRPr="00D30847" w:rsidRDefault="0073528B" w:rsidP="007C21D8">
            <w:pPr>
              <w:spacing w:after="80" w:line="240" w:lineRule="auto"/>
              <w:jc w:val="both"/>
              <w:rPr>
                <w:rFonts w:cs="Calibri"/>
                <w:color w:val="000000"/>
                <w:lang w:val="en-GB"/>
              </w:rPr>
            </w:pPr>
            <w:r w:rsidRPr="00D30847">
              <w:rPr>
                <w:rFonts w:cs="Calibri"/>
                <w:color w:val="000000"/>
                <w:lang w:val="en-GB"/>
              </w:rPr>
              <w:t>Activity 2:</w:t>
            </w:r>
          </w:p>
        </w:tc>
        <w:tc>
          <w:tcPr>
            <w:tcW w:w="6806" w:type="dxa"/>
            <w:shd w:val="clear" w:color="auto" w:fill="auto"/>
          </w:tcPr>
          <w:p w14:paraId="29B62332" w14:textId="77777777" w:rsidR="0073528B" w:rsidRPr="00D30847" w:rsidRDefault="0073528B" w:rsidP="007C21D8">
            <w:pPr>
              <w:spacing w:after="80" w:line="240" w:lineRule="auto"/>
              <w:jc w:val="both"/>
              <w:rPr>
                <w:rFonts w:cs="Calibri"/>
                <w:lang w:val="en-GB"/>
              </w:rPr>
            </w:pPr>
            <w:r w:rsidRPr="00D30847">
              <w:rPr>
                <w:rFonts w:cs="Calibri"/>
                <w:lang w:val="en-GB"/>
              </w:rPr>
              <w:t>Strengthening public debt management capacities</w:t>
            </w:r>
            <w:r w:rsidR="004B0866" w:rsidRPr="00D30847">
              <w:rPr>
                <w:rFonts w:cs="Calibri"/>
                <w:lang w:val="en-GB"/>
              </w:rPr>
              <w:t>;</w:t>
            </w:r>
          </w:p>
        </w:tc>
      </w:tr>
      <w:tr w:rsidR="0073528B" w:rsidRPr="00D30847" w14:paraId="6D8A0DBB" w14:textId="77777777" w:rsidTr="0081628C">
        <w:trPr>
          <w:trHeight w:val="381"/>
        </w:trPr>
        <w:tc>
          <w:tcPr>
            <w:tcW w:w="1453" w:type="dxa"/>
            <w:shd w:val="clear" w:color="auto" w:fill="auto"/>
          </w:tcPr>
          <w:p w14:paraId="47C1946B" w14:textId="6052567C" w:rsidR="0073528B" w:rsidRPr="00D30847" w:rsidRDefault="0073528B" w:rsidP="007C21D8">
            <w:pPr>
              <w:spacing w:after="80" w:line="240" w:lineRule="auto"/>
              <w:jc w:val="both"/>
              <w:rPr>
                <w:rFonts w:cs="Calibri"/>
                <w:color w:val="000000"/>
                <w:lang w:val="en-GB"/>
              </w:rPr>
            </w:pPr>
            <w:bookmarkStart w:id="17" w:name="_Hlk89258608"/>
            <w:r w:rsidRPr="00D30847">
              <w:rPr>
                <w:rFonts w:cs="Calibri"/>
                <w:color w:val="000000"/>
                <w:lang w:val="en-GB"/>
              </w:rPr>
              <w:t>Activ</w:t>
            </w:r>
            <w:r w:rsidR="007C21D8" w:rsidRPr="00D30847">
              <w:rPr>
                <w:rFonts w:cs="Calibri"/>
                <w:color w:val="000000"/>
                <w:lang w:val="en-GB"/>
              </w:rPr>
              <w:t>i</w:t>
            </w:r>
            <w:r w:rsidRPr="00D30847">
              <w:rPr>
                <w:rFonts w:cs="Calibri"/>
                <w:color w:val="000000"/>
                <w:lang w:val="en-GB"/>
              </w:rPr>
              <w:t>ty 3:</w:t>
            </w:r>
          </w:p>
        </w:tc>
        <w:tc>
          <w:tcPr>
            <w:tcW w:w="6806" w:type="dxa"/>
            <w:shd w:val="clear" w:color="auto" w:fill="auto"/>
          </w:tcPr>
          <w:p w14:paraId="6867B4A5" w14:textId="51CCBAF9" w:rsidR="0059607C" w:rsidRPr="00D30847" w:rsidRDefault="0073528B" w:rsidP="007C21D8">
            <w:pPr>
              <w:spacing w:after="80" w:line="240" w:lineRule="auto"/>
              <w:jc w:val="both"/>
              <w:rPr>
                <w:rFonts w:cs="Calibri"/>
                <w:lang w:val="en-GB"/>
              </w:rPr>
            </w:pPr>
            <w:r w:rsidRPr="00D30847">
              <w:rPr>
                <w:rFonts w:cs="Calibri"/>
                <w:lang w:val="en-GB"/>
              </w:rPr>
              <w:t>Reconciling the debt stock with the creditors</w:t>
            </w:r>
            <w:r w:rsidR="004B0866" w:rsidRPr="00D30847">
              <w:rPr>
                <w:rFonts w:cs="Calibri"/>
                <w:lang w:val="en-GB"/>
              </w:rPr>
              <w:t>;</w:t>
            </w:r>
          </w:p>
        </w:tc>
      </w:tr>
      <w:bookmarkEnd w:id="17"/>
      <w:tr w:rsidR="0073528B" w:rsidRPr="00D30847" w14:paraId="77E77F66" w14:textId="77777777" w:rsidTr="0081628C">
        <w:trPr>
          <w:trHeight w:val="249"/>
        </w:trPr>
        <w:tc>
          <w:tcPr>
            <w:tcW w:w="1453" w:type="dxa"/>
            <w:shd w:val="clear" w:color="auto" w:fill="auto"/>
          </w:tcPr>
          <w:p w14:paraId="3205F9FD" w14:textId="77777777" w:rsidR="0073528B" w:rsidRPr="00D30847" w:rsidRDefault="0073528B" w:rsidP="007C21D8">
            <w:pPr>
              <w:spacing w:after="80" w:line="240" w:lineRule="auto"/>
              <w:jc w:val="both"/>
              <w:rPr>
                <w:rFonts w:cs="Calibri"/>
                <w:b/>
                <w:lang w:val="en-GB"/>
              </w:rPr>
            </w:pPr>
            <w:r w:rsidRPr="00D30847">
              <w:rPr>
                <w:rFonts w:cs="Calibri"/>
                <w:b/>
                <w:lang w:val="en-GB"/>
              </w:rPr>
              <w:t>Measure 2:</w:t>
            </w:r>
          </w:p>
        </w:tc>
        <w:tc>
          <w:tcPr>
            <w:tcW w:w="6806" w:type="dxa"/>
            <w:shd w:val="clear" w:color="auto" w:fill="auto"/>
          </w:tcPr>
          <w:p w14:paraId="2A541CF4" w14:textId="77777777" w:rsidR="0073528B" w:rsidRPr="00D30847" w:rsidRDefault="0073528B" w:rsidP="007C21D8">
            <w:pPr>
              <w:tabs>
                <w:tab w:val="left" w:pos="1250"/>
              </w:tabs>
              <w:spacing w:after="80" w:line="240" w:lineRule="auto"/>
              <w:ind w:left="-101"/>
              <w:jc w:val="both"/>
              <w:rPr>
                <w:rFonts w:cs="Calibri"/>
                <w:b/>
                <w:lang w:val="en-GB"/>
              </w:rPr>
            </w:pPr>
            <w:r w:rsidRPr="00D30847">
              <w:rPr>
                <w:rFonts w:cs="Calibri"/>
                <w:b/>
                <w:lang w:val="en-GB"/>
              </w:rPr>
              <w:t>Increasing public debt transparency</w:t>
            </w:r>
          </w:p>
        </w:tc>
      </w:tr>
      <w:tr w:rsidR="0073528B" w:rsidRPr="00D30847" w14:paraId="6ED9854A" w14:textId="77777777" w:rsidTr="0081628C">
        <w:trPr>
          <w:trHeight w:val="645"/>
        </w:trPr>
        <w:tc>
          <w:tcPr>
            <w:tcW w:w="1453" w:type="dxa"/>
            <w:shd w:val="clear" w:color="auto" w:fill="auto"/>
          </w:tcPr>
          <w:p w14:paraId="070F6631" w14:textId="77777777" w:rsidR="0073528B" w:rsidRPr="00D30847" w:rsidRDefault="0073528B" w:rsidP="007C21D8">
            <w:pPr>
              <w:spacing w:after="80" w:line="240" w:lineRule="auto"/>
              <w:jc w:val="both"/>
              <w:rPr>
                <w:rFonts w:cs="Calibri"/>
                <w:color w:val="000000"/>
                <w:lang w:val="en-GB"/>
              </w:rPr>
            </w:pPr>
            <w:bookmarkStart w:id="18" w:name="_Hlk89263209"/>
            <w:r w:rsidRPr="00D30847">
              <w:rPr>
                <w:rFonts w:cs="Calibri"/>
                <w:color w:val="000000"/>
                <w:lang w:val="en-GB"/>
              </w:rPr>
              <w:t>Activity 1:</w:t>
            </w:r>
          </w:p>
        </w:tc>
        <w:tc>
          <w:tcPr>
            <w:tcW w:w="6806" w:type="dxa"/>
            <w:shd w:val="clear" w:color="auto" w:fill="auto"/>
            <w:vAlign w:val="center"/>
          </w:tcPr>
          <w:p w14:paraId="74D01C45" w14:textId="4004B7D3" w:rsidR="0073528B" w:rsidRPr="00D30847" w:rsidRDefault="0073528B" w:rsidP="007C21D8">
            <w:pPr>
              <w:spacing w:after="80" w:line="240" w:lineRule="auto"/>
              <w:jc w:val="both"/>
              <w:rPr>
                <w:rFonts w:cs="Calibri"/>
                <w:lang w:val="en-GB"/>
              </w:rPr>
            </w:pPr>
            <w:r w:rsidRPr="00D30847">
              <w:rPr>
                <w:rFonts w:cs="Calibri"/>
                <w:lang w:val="en-GB"/>
              </w:rPr>
              <w:t>Modifications and amendments to Public Debt Law to the end of aligning the debt definition with the</w:t>
            </w:r>
            <w:r w:rsidR="00C36B25" w:rsidRPr="00D30847">
              <w:rPr>
                <w:rFonts w:cs="Calibri"/>
                <w:lang w:val="en-GB"/>
              </w:rPr>
              <w:t xml:space="preserve"> </w:t>
            </w:r>
            <w:r w:rsidR="00F44E52" w:rsidRPr="00D30847">
              <w:rPr>
                <w:rFonts w:cs="Calibri"/>
                <w:lang w:val="en-GB"/>
              </w:rPr>
              <w:t>Organic Budget Law</w:t>
            </w:r>
            <w:r w:rsidR="00F44E52" w:rsidRPr="00D30847" w:rsidDel="00F44E52">
              <w:rPr>
                <w:rFonts w:cs="Calibri"/>
                <w:lang w:val="en-GB"/>
              </w:rPr>
              <w:t xml:space="preserve"> </w:t>
            </w:r>
            <w:r w:rsidR="004B0866" w:rsidRPr="00D30847">
              <w:rPr>
                <w:rFonts w:cs="Calibri"/>
                <w:lang w:val="en-GB"/>
              </w:rPr>
              <w:t>;</w:t>
            </w:r>
          </w:p>
        </w:tc>
      </w:tr>
      <w:bookmarkEnd w:id="18"/>
      <w:tr w:rsidR="0073528B" w:rsidRPr="00D30847" w14:paraId="6A013D34" w14:textId="77777777" w:rsidTr="0081628C">
        <w:trPr>
          <w:trHeight w:val="1143"/>
        </w:trPr>
        <w:tc>
          <w:tcPr>
            <w:tcW w:w="1453" w:type="dxa"/>
            <w:shd w:val="clear" w:color="auto" w:fill="auto"/>
          </w:tcPr>
          <w:p w14:paraId="29DB5C66" w14:textId="77777777" w:rsidR="0073528B" w:rsidRPr="00D30847" w:rsidRDefault="0073528B" w:rsidP="007C21D8">
            <w:pPr>
              <w:spacing w:after="80" w:line="240" w:lineRule="auto"/>
              <w:jc w:val="both"/>
              <w:rPr>
                <w:rFonts w:cs="Calibri"/>
                <w:lang w:val="en-GB"/>
              </w:rPr>
            </w:pPr>
            <w:r w:rsidRPr="00D30847">
              <w:rPr>
                <w:rFonts w:cs="Calibri"/>
                <w:lang w:val="en-GB"/>
              </w:rPr>
              <w:t>Activity 2:</w:t>
            </w:r>
          </w:p>
          <w:p w14:paraId="5F7479EA" w14:textId="77777777" w:rsidR="004E1E75" w:rsidRPr="00D30847" w:rsidRDefault="004E1E75" w:rsidP="007C21D8">
            <w:pPr>
              <w:spacing w:after="80" w:line="240" w:lineRule="auto"/>
              <w:jc w:val="both"/>
              <w:rPr>
                <w:rFonts w:cs="Calibri"/>
                <w:lang w:val="en-GB"/>
              </w:rPr>
            </w:pPr>
            <w:r w:rsidRPr="00D30847">
              <w:rPr>
                <w:rFonts w:cs="Calibri"/>
                <w:lang w:val="en-GB"/>
              </w:rPr>
              <w:t>Activity 3</w:t>
            </w:r>
          </w:p>
          <w:p w14:paraId="1275DD14" w14:textId="77777777" w:rsidR="004E1E75" w:rsidRPr="00D30847" w:rsidRDefault="004E1E75" w:rsidP="007C21D8">
            <w:pPr>
              <w:spacing w:after="80" w:line="240" w:lineRule="auto"/>
              <w:jc w:val="both"/>
              <w:rPr>
                <w:rFonts w:cs="Calibri"/>
                <w:lang w:val="en-GB"/>
              </w:rPr>
            </w:pPr>
            <w:r w:rsidRPr="00D30847">
              <w:rPr>
                <w:rFonts w:cs="Calibri"/>
                <w:lang w:val="en-GB"/>
              </w:rPr>
              <w:t>Activity 4</w:t>
            </w:r>
          </w:p>
        </w:tc>
        <w:tc>
          <w:tcPr>
            <w:tcW w:w="6806" w:type="dxa"/>
            <w:shd w:val="clear" w:color="auto" w:fill="auto"/>
          </w:tcPr>
          <w:p w14:paraId="4EAEFE4A" w14:textId="77777777" w:rsidR="0073528B" w:rsidRPr="00D30847" w:rsidRDefault="0073528B" w:rsidP="007C21D8">
            <w:pPr>
              <w:spacing w:after="80" w:line="240" w:lineRule="auto"/>
              <w:ind w:right="1384"/>
              <w:jc w:val="both"/>
              <w:rPr>
                <w:rFonts w:cs="Calibri"/>
                <w:lang w:val="en-GB"/>
              </w:rPr>
            </w:pPr>
            <w:r w:rsidRPr="00D30847">
              <w:rPr>
                <w:rFonts w:cs="Calibri"/>
                <w:lang w:val="en-GB"/>
              </w:rPr>
              <w:t>Incorporating debt data in the Budget document</w:t>
            </w:r>
            <w:r w:rsidR="004B0866" w:rsidRPr="00D30847">
              <w:rPr>
                <w:rFonts w:cs="Calibri"/>
                <w:lang w:val="en-GB"/>
              </w:rPr>
              <w:t>;</w:t>
            </w:r>
          </w:p>
          <w:p w14:paraId="2A5E354D" w14:textId="77777777" w:rsidR="004E1E75" w:rsidRPr="00D30847" w:rsidRDefault="004E1E75" w:rsidP="007C21D8">
            <w:pPr>
              <w:spacing w:after="80" w:line="240" w:lineRule="auto"/>
              <w:ind w:right="1384"/>
              <w:jc w:val="both"/>
              <w:rPr>
                <w:rFonts w:cs="Calibri"/>
                <w:lang w:val="en-GB"/>
              </w:rPr>
            </w:pPr>
            <w:r w:rsidRPr="00D30847">
              <w:rPr>
                <w:rFonts w:cs="Calibri"/>
                <w:lang w:val="en-GB"/>
              </w:rPr>
              <w:t>Preparation Annual Borrowing Plan</w:t>
            </w:r>
          </w:p>
          <w:p w14:paraId="7B2F8B55" w14:textId="568AA427" w:rsidR="0059607C" w:rsidRPr="00D30847" w:rsidRDefault="004E1E75" w:rsidP="007C21D8">
            <w:pPr>
              <w:spacing w:after="80" w:line="240" w:lineRule="auto"/>
              <w:ind w:right="1384"/>
              <w:jc w:val="both"/>
              <w:rPr>
                <w:rFonts w:cs="Calibri"/>
                <w:lang w:val="en-GB"/>
              </w:rPr>
            </w:pPr>
            <w:r w:rsidRPr="00D30847">
              <w:rPr>
                <w:rFonts w:cs="Calibri"/>
                <w:lang w:val="en-GB"/>
              </w:rPr>
              <w:t>Improving Debt Reporting</w:t>
            </w:r>
          </w:p>
        </w:tc>
      </w:tr>
      <w:tr w:rsidR="0073528B" w:rsidRPr="00D30847" w14:paraId="40AFBE6D" w14:textId="77777777" w:rsidTr="0081628C">
        <w:trPr>
          <w:trHeight w:val="80"/>
        </w:trPr>
        <w:tc>
          <w:tcPr>
            <w:tcW w:w="1453" w:type="dxa"/>
            <w:shd w:val="clear" w:color="auto" w:fill="auto"/>
          </w:tcPr>
          <w:p w14:paraId="19A80DC9" w14:textId="77777777" w:rsidR="0073528B" w:rsidRPr="00D30847" w:rsidRDefault="0073528B" w:rsidP="007C21D8">
            <w:pPr>
              <w:spacing w:after="80" w:line="240" w:lineRule="auto"/>
              <w:jc w:val="both"/>
              <w:rPr>
                <w:rFonts w:cs="Calibri"/>
                <w:b/>
                <w:lang w:val="en-GB"/>
              </w:rPr>
            </w:pPr>
            <w:r w:rsidRPr="00D30847">
              <w:rPr>
                <w:rFonts w:cs="Calibri"/>
                <w:b/>
                <w:lang w:val="en-GB"/>
              </w:rPr>
              <w:t>Measure 3:</w:t>
            </w:r>
          </w:p>
        </w:tc>
        <w:tc>
          <w:tcPr>
            <w:tcW w:w="6806" w:type="dxa"/>
            <w:shd w:val="clear" w:color="auto" w:fill="auto"/>
          </w:tcPr>
          <w:p w14:paraId="5F259AC7" w14:textId="1AB3B40F" w:rsidR="00A077F9" w:rsidRPr="00D30847" w:rsidRDefault="0073528B" w:rsidP="007C21D8">
            <w:pPr>
              <w:tabs>
                <w:tab w:val="left" w:pos="1250"/>
              </w:tabs>
              <w:spacing w:after="80" w:line="240" w:lineRule="auto"/>
              <w:jc w:val="both"/>
              <w:rPr>
                <w:rFonts w:cs="Calibri"/>
                <w:b/>
                <w:lang w:val="en-GB"/>
              </w:rPr>
            </w:pPr>
            <w:r w:rsidRPr="00D30847">
              <w:rPr>
                <w:rFonts w:cs="Calibri"/>
                <w:b/>
                <w:lang w:val="en-GB"/>
              </w:rPr>
              <w:t>Introducing new debt instruments</w:t>
            </w:r>
          </w:p>
        </w:tc>
      </w:tr>
      <w:tr w:rsidR="0073528B" w:rsidRPr="00D30847" w14:paraId="4968466E" w14:textId="77777777" w:rsidTr="0081628C">
        <w:trPr>
          <w:trHeight w:val="974"/>
        </w:trPr>
        <w:tc>
          <w:tcPr>
            <w:tcW w:w="1453" w:type="dxa"/>
            <w:shd w:val="clear" w:color="auto" w:fill="auto"/>
          </w:tcPr>
          <w:p w14:paraId="465EAE7E" w14:textId="1D399F39" w:rsidR="004E1E75" w:rsidRPr="00D30847" w:rsidRDefault="0073528B" w:rsidP="007C21D8">
            <w:pPr>
              <w:spacing w:after="80" w:line="240" w:lineRule="auto"/>
              <w:jc w:val="both"/>
              <w:rPr>
                <w:rFonts w:cs="Calibri"/>
                <w:bCs/>
                <w:lang w:val="en-GB"/>
              </w:rPr>
            </w:pPr>
            <w:r w:rsidRPr="00D30847">
              <w:rPr>
                <w:rFonts w:cs="Calibri"/>
                <w:bCs/>
                <w:lang w:val="en-GB"/>
              </w:rPr>
              <w:t>Activity 1:</w:t>
            </w:r>
          </w:p>
        </w:tc>
        <w:tc>
          <w:tcPr>
            <w:tcW w:w="6806" w:type="dxa"/>
            <w:shd w:val="clear" w:color="auto" w:fill="auto"/>
          </w:tcPr>
          <w:p w14:paraId="5FC5FC2D" w14:textId="283E9FFC" w:rsidR="003C20E4" w:rsidRPr="00D30847" w:rsidRDefault="001733BE" w:rsidP="0081628C">
            <w:pPr>
              <w:spacing w:after="80" w:line="240" w:lineRule="auto"/>
              <w:rPr>
                <w:rFonts w:cs="Calibri"/>
                <w:bCs/>
                <w:lang w:val="en-GB"/>
              </w:rPr>
            </w:pPr>
            <w:r w:rsidRPr="00D30847">
              <w:rPr>
                <w:rFonts w:cs="Calibri"/>
                <w:bCs/>
                <w:lang w:val="en-GB"/>
              </w:rPr>
              <w:t xml:space="preserve">Issuing of Development bond for citizens </w:t>
            </w:r>
          </w:p>
        </w:tc>
      </w:tr>
    </w:tbl>
    <w:p w14:paraId="6809A184" w14:textId="77777777" w:rsidR="0073528B" w:rsidRPr="00D30847" w:rsidRDefault="0073528B" w:rsidP="0081628C">
      <w:pPr>
        <w:pStyle w:val="Heading4"/>
        <w:spacing w:before="0" w:line="240" w:lineRule="auto"/>
        <w:rPr>
          <w:rFonts w:cs="Calibri"/>
          <w:sz w:val="22"/>
          <w:szCs w:val="22"/>
        </w:rPr>
      </w:pPr>
      <w:r w:rsidRPr="00D30847">
        <w:rPr>
          <w:rFonts w:cs="Calibri"/>
          <w:sz w:val="22"/>
          <w:szCs w:val="22"/>
        </w:rPr>
        <w:t>Outcome</w:t>
      </w:r>
    </w:p>
    <w:p w14:paraId="548625AF" w14:textId="7E73B9D9" w:rsidR="004E1E75" w:rsidRPr="00D30847" w:rsidRDefault="004E1E75" w:rsidP="0081628C">
      <w:pPr>
        <w:pStyle w:val="ListParagraph"/>
        <w:numPr>
          <w:ilvl w:val="0"/>
          <w:numId w:val="49"/>
        </w:numPr>
        <w:spacing w:after="0" w:line="276" w:lineRule="auto"/>
        <w:ind w:left="270" w:hanging="270"/>
        <w:rPr>
          <w:rFonts w:cs="Calibri"/>
        </w:rPr>
      </w:pPr>
      <w:r w:rsidRPr="00D30847">
        <w:rPr>
          <w:rFonts w:cs="Calibri"/>
        </w:rPr>
        <w:t>Improved quality of the reports for public debt.</w:t>
      </w:r>
    </w:p>
    <w:p w14:paraId="39609785" w14:textId="77777777" w:rsidR="004E1E75" w:rsidRPr="00D30847" w:rsidRDefault="004E1E75" w:rsidP="0081628C">
      <w:pPr>
        <w:numPr>
          <w:ilvl w:val="0"/>
          <w:numId w:val="49"/>
        </w:numPr>
        <w:spacing w:after="0"/>
        <w:ind w:left="270" w:hanging="270"/>
        <w:rPr>
          <w:rFonts w:eastAsia="MS PGothic" w:cs="Calibri"/>
          <w:lang w:val="en-GB" w:eastAsia="zh-CN"/>
        </w:rPr>
      </w:pPr>
      <w:r w:rsidRPr="00D30847">
        <w:rPr>
          <w:rFonts w:eastAsia="MS PGothic" w:cs="Calibri"/>
          <w:lang w:val="en-GB" w:eastAsia="zh-CN"/>
        </w:rPr>
        <w:t>Strengthened Public debt management Strategy.</w:t>
      </w:r>
    </w:p>
    <w:p w14:paraId="49A1A734" w14:textId="77777777" w:rsidR="004E1E75" w:rsidRPr="00D30847" w:rsidRDefault="004E1E75" w:rsidP="0081628C">
      <w:pPr>
        <w:numPr>
          <w:ilvl w:val="0"/>
          <w:numId w:val="49"/>
        </w:numPr>
        <w:spacing w:after="0"/>
        <w:ind w:left="270" w:hanging="270"/>
        <w:rPr>
          <w:rFonts w:eastAsia="MS PGothic" w:cs="Calibri"/>
          <w:lang w:val="en-GB" w:eastAsia="zh-CN"/>
        </w:rPr>
      </w:pPr>
      <w:r w:rsidRPr="00D30847">
        <w:rPr>
          <w:rFonts w:eastAsia="MS PGothic" w:cs="Calibri"/>
          <w:lang w:val="en-GB" w:eastAsia="zh-CN"/>
        </w:rPr>
        <w:t>Diversification of the investor base</w:t>
      </w:r>
    </w:p>
    <w:p w14:paraId="59984038" w14:textId="77777777" w:rsidR="0073528B" w:rsidRPr="00D30847" w:rsidRDefault="0073528B" w:rsidP="0081628C">
      <w:pPr>
        <w:pStyle w:val="normalPFMIoutcomes"/>
        <w:tabs>
          <w:tab w:val="left" w:pos="851"/>
        </w:tabs>
        <w:spacing w:line="240" w:lineRule="auto"/>
        <w:ind w:left="1843" w:hanging="992"/>
        <w:rPr>
          <w:rFonts w:cs="Calibri"/>
          <w:color w:val="FF0000"/>
          <w:sz w:val="22"/>
          <w:szCs w:val="22"/>
        </w:rPr>
      </w:pPr>
    </w:p>
    <w:p w14:paraId="40E48560" w14:textId="77777777" w:rsidR="0073528B" w:rsidRPr="00D30847" w:rsidRDefault="0073528B" w:rsidP="00E84CD0">
      <w:pPr>
        <w:pStyle w:val="Heading4"/>
        <w:spacing w:line="240" w:lineRule="auto"/>
        <w:rPr>
          <w:rFonts w:cs="Calibri"/>
          <w:sz w:val="22"/>
          <w:szCs w:val="22"/>
        </w:rPr>
      </w:pPr>
      <w:r w:rsidRPr="00D30847">
        <w:rPr>
          <w:rFonts w:cs="Calibri"/>
          <w:sz w:val="22"/>
          <w:szCs w:val="22"/>
        </w:rPr>
        <w:t>Outcome indicators</w:t>
      </w:r>
    </w:p>
    <w:p w14:paraId="1E6B832C" w14:textId="78A324FB" w:rsidR="00EC011C" w:rsidRPr="00D30847" w:rsidRDefault="006B2781" w:rsidP="006B2781">
      <w:pPr>
        <w:spacing w:line="240" w:lineRule="auto"/>
        <w:jc w:val="both"/>
        <w:rPr>
          <w:rFonts w:cs="Calibri"/>
          <w:color w:val="000000"/>
          <w:lang w:val="en-GB"/>
        </w:rPr>
      </w:pPr>
      <w:bookmarkStart w:id="19" w:name="_Toc501441602"/>
      <w:r w:rsidRPr="00D30847">
        <w:rPr>
          <w:rFonts w:cs="Calibri"/>
          <w:color w:val="000000"/>
          <w:lang w:val="en-GB"/>
        </w:rPr>
        <w:t xml:space="preserve">1. </w:t>
      </w:r>
      <w:r w:rsidR="00EC011C" w:rsidRPr="00D30847">
        <w:rPr>
          <w:rFonts w:cs="Calibri"/>
          <w:color w:val="000000"/>
          <w:lang w:val="en-GB"/>
        </w:rPr>
        <w:t>Increased grade for the i</w:t>
      </w:r>
      <w:r w:rsidR="00EC011C" w:rsidRPr="00D30847">
        <w:rPr>
          <w:lang w:val="en-GB"/>
        </w:rPr>
        <w:t>ndicator 6.4.1 - Quality of public debt management</w:t>
      </w:r>
      <w:r w:rsidR="00EC011C" w:rsidRPr="00D30847">
        <w:rPr>
          <w:rFonts w:cs="Calibri"/>
          <w:color w:val="000000"/>
          <w:lang w:val="en-GB"/>
        </w:rPr>
        <w:t xml:space="preserve"> in SIGMA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F004A4" w:rsidRPr="00D30847" w14:paraId="4B54FF7E" w14:textId="77777777" w:rsidTr="002B77A4">
        <w:trPr>
          <w:trHeight w:val="395"/>
        </w:trPr>
        <w:tc>
          <w:tcPr>
            <w:tcW w:w="4608" w:type="dxa"/>
            <w:shd w:val="clear" w:color="auto" w:fill="E8E8E8"/>
          </w:tcPr>
          <w:p w14:paraId="64DD0847" w14:textId="025106AC" w:rsidR="00F004A4" w:rsidRPr="00D30847" w:rsidRDefault="00F004A4"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E77C3C" w:rsidRPr="00D30847">
              <w:rPr>
                <w:rFonts w:eastAsia="Times New Roman" w:cs="Calibri"/>
                <w:b/>
                <w:bCs/>
                <w:i/>
                <w:iCs/>
                <w:color w:val="202124"/>
                <w:sz w:val="20"/>
                <w:szCs w:val="20"/>
                <w:lang w:val="en-GB"/>
              </w:rPr>
              <w:t>3</w:t>
            </w:r>
          </w:p>
        </w:tc>
        <w:tc>
          <w:tcPr>
            <w:tcW w:w="4608" w:type="dxa"/>
            <w:shd w:val="clear" w:color="auto" w:fill="E8E8E8"/>
          </w:tcPr>
          <w:p w14:paraId="0E937DFD" w14:textId="79799A9F" w:rsidR="00F004A4" w:rsidRPr="00D30847" w:rsidRDefault="00F004A4"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F44E52" w:rsidRPr="00D30847">
              <w:rPr>
                <w:rFonts w:eastAsia="Times New Roman" w:cs="Calibri"/>
                <w:b/>
                <w:bCs/>
                <w:i/>
                <w:iCs/>
                <w:color w:val="202124"/>
                <w:sz w:val="20"/>
                <w:szCs w:val="20"/>
                <w:lang w:val="en-GB"/>
              </w:rPr>
              <w:t>8</w:t>
            </w:r>
          </w:p>
        </w:tc>
      </w:tr>
      <w:tr w:rsidR="00F004A4" w:rsidRPr="00D30847" w14:paraId="73FFE0E0" w14:textId="77777777" w:rsidTr="002B77A4">
        <w:trPr>
          <w:trHeight w:val="278"/>
        </w:trPr>
        <w:tc>
          <w:tcPr>
            <w:tcW w:w="4608" w:type="dxa"/>
            <w:shd w:val="clear" w:color="auto" w:fill="E8E8E8"/>
          </w:tcPr>
          <w:p w14:paraId="16DA618A" w14:textId="2C797036" w:rsidR="00F004A4" w:rsidRPr="00D30847" w:rsidRDefault="00EC011C" w:rsidP="002B77A4">
            <w:pPr>
              <w:tabs>
                <w:tab w:val="left" w:pos="1390"/>
              </w:tabs>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SIGMA grade for quality of public debt management is 3</w:t>
            </w:r>
          </w:p>
        </w:tc>
        <w:tc>
          <w:tcPr>
            <w:tcW w:w="4608" w:type="dxa"/>
            <w:shd w:val="clear" w:color="auto" w:fill="E8E8E8"/>
          </w:tcPr>
          <w:p w14:paraId="52DC99AA" w14:textId="2B8B07A0" w:rsidR="00F004A4" w:rsidRPr="00D30847" w:rsidRDefault="00EC011C"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Improvement of the indicator in the SIGMA report for risk mitigation in the stock of public debt</w:t>
            </w:r>
          </w:p>
        </w:tc>
      </w:tr>
    </w:tbl>
    <w:p w14:paraId="3A62F493" w14:textId="77777777" w:rsidR="00F004A4" w:rsidRPr="00D30847" w:rsidRDefault="00F004A4" w:rsidP="00F004A4">
      <w:pPr>
        <w:spacing w:line="240" w:lineRule="auto"/>
        <w:ind w:left="720"/>
        <w:jc w:val="both"/>
        <w:rPr>
          <w:rFonts w:cs="Calibri"/>
          <w:color w:val="000000"/>
          <w:lang w:val="en-GB"/>
        </w:rPr>
      </w:pPr>
    </w:p>
    <w:p w14:paraId="014D8758" w14:textId="6F94153C" w:rsidR="0073528B" w:rsidRPr="00D30847" w:rsidRDefault="0073528B" w:rsidP="00E84CD0">
      <w:pPr>
        <w:spacing w:before="360" w:line="240" w:lineRule="auto"/>
        <w:jc w:val="both"/>
        <w:rPr>
          <w:rFonts w:cs="Calibri"/>
          <w:b/>
          <w:color w:val="0070C0"/>
          <w:sz w:val="24"/>
          <w:szCs w:val="24"/>
          <w:lang w:val="en-GB"/>
        </w:rPr>
      </w:pPr>
      <w:r w:rsidRPr="00D30847">
        <w:rPr>
          <w:rFonts w:cs="Calibri"/>
          <w:b/>
          <w:color w:val="0070C0"/>
          <w:sz w:val="24"/>
          <w:szCs w:val="24"/>
          <w:lang w:val="en-GB"/>
        </w:rPr>
        <w:t>M</w:t>
      </w:r>
      <w:r w:rsidR="009036A5" w:rsidRPr="00D30847">
        <w:rPr>
          <w:rFonts w:cs="Calibri"/>
          <w:b/>
          <w:color w:val="0070C0"/>
          <w:sz w:val="24"/>
          <w:szCs w:val="24"/>
          <w:lang w:val="en-GB"/>
        </w:rPr>
        <w:t>easure</w:t>
      </w:r>
      <w:r w:rsidR="00696C29" w:rsidRPr="00D30847">
        <w:rPr>
          <w:rFonts w:cs="Calibri"/>
          <w:b/>
          <w:color w:val="0070C0"/>
          <w:sz w:val="24"/>
          <w:szCs w:val="24"/>
          <w:lang w:val="en-GB"/>
        </w:rPr>
        <w:t xml:space="preserve"> </w:t>
      </w:r>
      <w:r w:rsidRPr="00D30847">
        <w:rPr>
          <w:rFonts w:cs="Calibri"/>
          <w:b/>
          <w:color w:val="0070C0"/>
          <w:sz w:val="24"/>
          <w:szCs w:val="24"/>
          <w:lang w:val="en-GB"/>
        </w:rPr>
        <w:t>1:</w:t>
      </w:r>
      <w:bookmarkEnd w:id="19"/>
      <w:r w:rsidR="00277BB8" w:rsidRPr="00D30847">
        <w:rPr>
          <w:rFonts w:cs="Calibri"/>
          <w:b/>
          <w:color w:val="0070C0"/>
          <w:sz w:val="24"/>
          <w:szCs w:val="24"/>
          <w:lang w:val="en-GB"/>
        </w:rPr>
        <w:t xml:space="preserve"> </w:t>
      </w:r>
      <w:r w:rsidRPr="00D30847">
        <w:rPr>
          <w:rFonts w:cs="Calibri"/>
          <w:b/>
          <w:color w:val="0070C0"/>
          <w:sz w:val="24"/>
          <w:szCs w:val="24"/>
          <w:lang w:val="en-GB"/>
        </w:rPr>
        <w:t>Reducing operational risks at public debt management</w:t>
      </w:r>
    </w:p>
    <w:p w14:paraId="164DE994" w14:textId="77777777" w:rsidR="0073528B" w:rsidRPr="00D30847" w:rsidRDefault="0073528B" w:rsidP="0081628C">
      <w:pPr>
        <w:pStyle w:val="Heading4"/>
        <w:spacing w:line="240" w:lineRule="auto"/>
        <w:jc w:val="left"/>
        <w:rPr>
          <w:rFonts w:cs="Calibri"/>
          <w:sz w:val="22"/>
          <w:szCs w:val="22"/>
        </w:rPr>
      </w:pPr>
      <w:r w:rsidRPr="00D30847">
        <w:rPr>
          <w:rFonts w:cs="Calibri"/>
          <w:sz w:val="22"/>
          <w:szCs w:val="22"/>
        </w:rPr>
        <w:t>Measure objective</w:t>
      </w:r>
    </w:p>
    <w:p w14:paraId="4606857E" w14:textId="77777777" w:rsidR="0073528B" w:rsidRPr="00D30847" w:rsidRDefault="0073528B" w:rsidP="0081628C">
      <w:pPr>
        <w:spacing w:before="160" w:after="60" w:line="240" w:lineRule="auto"/>
        <w:rPr>
          <w:rFonts w:cs="Calibri"/>
          <w:lang w:val="en-GB"/>
        </w:rPr>
      </w:pPr>
      <w:r w:rsidRPr="00D30847">
        <w:rPr>
          <w:rFonts w:cs="Calibri"/>
          <w:lang w:val="en-GB"/>
        </w:rPr>
        <w:t>More efficient public debt management by optimizing risks which public debt portfolio is susceptible to.</w:t>
      </w:r>
    </w:p>
    <w:p w14:paraId="033C16FE" w14:textId="77777777" w:rsidR="0073528B" w:rsidRPr="00D30847" w:rsidRDefault="0073528B" w:rsidP="0081628C">
      <w:pPr>
        <w:pStyle w:val="Heading4"/>
        <w:spacing w:line="240" w:lineRule="auto"/>
        <w:rPr>
          <w:rFonts w:cs="Calibri"/>
          <w:sz w:val="22"/>
          <w:szCs w:val="22"/>
        </w:rPr>
      </w:pPr>
      <w:r w:rsidRPr="00D30847">
        <w:rPr>
          <w:rFonts w:cs="Calibri"/>
          <w:sz w:val="22"/>
          <w:szCs w:val="22"/>
        </w:rPr>
        <w:t>Reference to findings from external assessments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ayout w:type="fixed"/>
        <w:tblLook w:val="01E0" w:firstRow="1" w:lastRow="1" w:firstColumn="1" w:lastColumn="1" w:noHBand="0" w:noVBand="0"/>
      </w:tblPr>
      <w:tblGrid>
        <w:gridCol w:w="1240"/>
        <w:gridCol w:w="7832"/>
      </w:tblGrid>
      <w:tr w:rsidR="0073528B" w:rsidRPr="00D30847" w14:paraId="2A949D57" w14:textId="77777777" w:rsidTr="00C640AE">
        <w:tc>
          <w:tcPr>
            <w:tcW w:w="1240" w:type="dxa"/>
            <w:shd w:val="clear" w:color="auto" w:fill="DDDDDD"/>
          </w:tcPr>
          <w:p w14:paraId="334AD2C2" w14:textId="45AA1A35" w:rsidR="0073528B" w:rsidRPr="00D30847" w:rsidRDefault="0073528B" w:rsidP="0081628C">
            <w:pPr>
              <w:spacing w:before="160" w:after="60" w:line="240" w:lineRule="auto"/>
              <w:jc w:val="both"/>
              <w:rPr>
                <w:rFonts w:cs="Calibri"/>
                <w:b/>
                <w:sz w:val="20"/>
                <w:szCs w:val="20"/>
                <w:lang w:val="en-GB"/>
              </w:rPr>
            </w:pPr>
            <w:r w:rsidRPr="00D30847">
              <w:rPr>
                <w:rFonts w:cs="Calibri"/>
                <w:b/>
                <w:sz w:val="20"/>
                <w:szCs w:val="20"/>
                <w:lang w:val="en-GB"/>
              </w:rPr>
              <w:t>PEFA</w:t>
            </w:r>
            <w:r w:rsidR="00B94C83" w:rsidRPr="00D30847">
              <w:rPr>
                <w:rFonts w:cs="Calibri"/>
                <w:b/>
                <w:sz w:val="20"/>
                <w:szCs w:val="20"/>
                <w:lang w:val="en-GB"/>
              </w:rPr>
              <w:t xml:space="preserve"> 2021</w:t>
            </w:r>
          </w:p>
        </w:tc>
        <w:tc>
          <w:tcPr>
            <w:tcW w:w="7832" w:type="dxa"/>
            <w:shd w:val="clear" w:color="auto" w:fill="DDDDDD"/>
          </w:tcPr>
          <w:p w14:paraId="58843711" w14:textId="175E9CCB" w:rsidR="0073528B" w:rsidRPr="00D30847" w:rsidRDefault="0073528B" w:rsidP="0081628C">
            <w:pPr>
              <w:tabs>
                <w:tab w:val="left" w:pos="851"/>
              </w:tabs>
              <w:spacing w:before="160" w:after="60" w:line="240" w:lineRule="auto"/>
              <w:jc w:val="both"/>
              <w:rPr>
                <w:rFonts w:cs="Calibri"/>
                <w:sz w:val="20"/>
                <w:szCs w:val="20"/>
                <w:lang w:val="en-GB"/>
              </w:rPr>
            </w:pPr>
            <w:r w:rsidRPr="00D30847">
              <w:rPr>
                <w:rFonts w:cs="Calibri"/>
                <w:sz w:val="20"/>
                <w:szCs w:val="20"/>
                <w:lang w:val="en-GB"/>
              </w:rPr>
              <w:t>PEFA 2021 Assessment Report contains several indicators as regards public debt management on the basis of which the assessment is made.</w:t>
            </w:r>
            <w:r w:rsidR="00D53B29" w:rsidRPr="00D30847">
              <w:rPr>
                <w:rFonts w:cs="Calibri"/>
                <w:sz w:val="20"/>
                <w:szCs w:val="20"/>
                <w:lang w:val="en-GB"/>
              </w:rPr>
              <w:t xml:space="preserve"> </w:t>
            </w:r>
            <w:r w:rsidRPr="00D30847">
              <w:rPr>
                <w:rFonts w:cs="Calibri"/>
                <w:sz w:val="20"/>
                <w:szCs w:val="20"/>
                <w:lang w:val="en-GB"/>
              </w:rPr>
              <w:t>Following findings are listed in the latest Report:</w:t>
            </w:r>
          </w:p>
          <w:p w14:paraId="634168CE" w14:textId="09FF9063" w:rsidR="0073528B" w:rsidRPr="00D30847" w:rsidRDefault="00277BB8" w:rsidP="0081628C">
            <w:pPr>
              <w:tabs>
                <w:tab w:val="left" w:pos="851"/>
              </w:tabs>
              <w:spacing w:before="160" w:after="60" w:line="240" w:lineRule="auto"/>
              <w:rPr>
                <w:rFonts w:cs="Calibri"/>
                <w:sz w:val="20"/>
                <w:szCs w:val="20"/>
                <w:lang w:val="en-GB"/>
              </w:rPr>
            </w:pPr>
            <w:r w:rsidRPr="00D30847">
              <w:rPr>
                <w:rFonts w:cs="Calibri"/>
                <w:sz w:val="20"/>
                <w:szCs w:val="20"/>
                <w:lang w:val="en-GB"/>
              </w:rPr>
              <w:t xml:space="preserve">- </w:t>
            </w:r>
            <w:r w:rsidR="0073528B" w:rsidRPr="00D30847">
              <w:rPr>
                <w:rFonts w:cs="Calibri"/>
                <w:sz w:val="20"/>
                <w:szCs w:val="20"/>
                <w:lang w:val="en-GB"/>
              </w:rPr>
              <w:t>The data is registered in the DMIS by the IFRDMD without delays.</w:t>
            </w:r>
          </w:p>
          <w:p w14:paraId="5F5E9AAC" w14:textId="62013692" w:rsidR="0073528B" w:rsidRPr="00D30847" w:rsidRDefault="00277BB8" w:rsidP="0081628C">
            <w:pPr>
              <w:tabs>
                <w:tab w:val="left" w:pos="851"/>
              </w:tabs>
              <w:spacing w:before="160" w:after="60" w:line="240" w:lineRule="auto"/>
              <w:rPr>
                <w:rFonts w:cs="Calibri"/>
                <w:sz w:val="20"/>
                <w:szCs w:val="20"/>
                <w:lang w:val="en-GB"/>
              </w:rPr>
            </w:pPr>
            <w:r w:rsidRPr="00D30847">
              <w:rPr>
                <w:rFonts w:cs="Calibri"/>
                <w:sz w:val="20"/>
                <w:szCs w:val="20"/>
                <w:lang w:val="en-GB"/>
              </w:rPr>
              <w:lastRenderedPageBreak/>
              <w:t xml:space="preserve">- </w:t>
            </w:r>
            <w:r w:rsidR="0073528B" w:rsidRPr="00D30847">
              <w:rPr>
                <w:rFonts w:cs="Calibri"/>
                <w:sz w:val="20"/>
                <w:szCs w:val="20"/>
                <w:lang w:val="en-GB"/>
              </w:rPr>
              <w:t xml:space="preserve">Formal reconciliation with creditors is carried out </w:t>
            </w:r>
            <w:r w:rsidR="00DD20CD" w:rsidRPr="00D30847">
              <w:rPr>
                <w:rFonts w:cs="Calibri"/>
                <w:sz w:val="20"/>
                <w:szCs w:val="20"/>
                <w:lang w:val="en-GB"/>
              </w:rPr>
              <w:t>quarterly or monthly</w:t>
            </w:r>
            <w:r w:rsidR="0073528B" w:rsidRPr="00D30847">
              <w:rPr>
                <w:rFonts w:cs="Calibri"/>
                <w:sz w:val="20"/>
                <w:szCs w:val="20"/>
                <w:lang w:val="en-GB"/>
              </w:rPr>
              <w:t xml:space="preserve">, however, assessment findings explicitly </w:t>
            </w:r>
            <w:r w:rsidR="008F391C" w:rsidRPr="00D30847">
              <w:rPr>
                <w:rFonts w:cs="Calibri"/>
                <w:sz w:val="20"/>
                <w:szCs w:val="20"/>
                <w:lang w:val="en-GB"/>
              </w:rPr>
              <w:t>suggest</w:t>
            </w:r>
            <w:r w:rsidR="0073528B" w:rsidRPr="00D30847">
              <w:rPr>
                <w:rFonts w:cs="Calibri"/>
                <w:sz w:val="20"/>
                <w:szCs w:val="20"/>
                <w:lang w:val="en-GB"/>
              </w:rPr>
              <w:t xml:space="preserve"> reconciliation practices could be more frequent.</w:t>
            </w:r>
          </w:p>
          <w:p w14:paraId="4B60B1A5" w14:textId="64F32BCC" w:rsidR="0073528B" w:rsidRPr="00D30847" w:rsidRDefault="0073528B" w:rsidP="0081628C">
            <w:pPr>
              <w:tabs>
                <w:tab w:val="left" w:pos="851"/>
              </w:tabs>
              <w:spacing w:before="160" w:after="60" w:line="240" w:lineRule="auto"/>
              <w:jc w:val="both"/>
              <w:rPr>
                <w:rFonts w:cs="Calibri"/>
                <w:sz w:val="20"/>
                <w:szCs w:val="20"/>
                <w:lang w:val="en-GB"/>
              </w:rPr>
            </w:pPr>
            <w:r w:rsidRPr="00D30847">
              <w:rPr>
                <w:rFonts w:cs="Calibri"/>
                <w:sz w:val="20"/>
                <w:szCs w:val="20"/>
                <w:lang w:val="en-GB"/>
              </w:rPr>
              <w:t>Total score for public debt management indicator is A, with the ratings for the dimensions within this indicators being the following:</w:t>
            </w:r>
            <w:r w:rsidR="00D53B29" w:rsidRPr="00D30847">
              <w:rPr>
                <w:rFonts w:cs="Calibri"/>
                <w:sz w:val="20"/>
                <w:szCs w:val="20"/>
                <w:lang w:val="en-GB"/>
              </w:rPr>
              <w:t xml:space="preserve"> </w:t>
            </w:r>
            <w:r w:rsidRPr="00D30847">
              <w:rPr>
                <w:rFonts w:cs="Calibri"/>
                <w:sz w:val="20"/>
                <w:szCs w:val="20"/>
                <w:lang w:val="en-GB"/>
              </w:rPr>
              <w:t>debt recording and reporting - B, approval of debt and guarantees - A and Public Debt Management Strategy - A.</w:t>
            </w:r>
          </w:p>
          <w:p w14:paraId="578BD5C4" w14:textId="77777777" w:rsidR="0073528B" w:rsidRPr="00D30847" w:rsidRDefault="0073528B" w:rsidP="0081628C">
            <w:pPr>
              <w:tabs>
                <w:tab w:val="left" w:pos="851"/>
              </w:tabs>
              <w:spacing w:before="160" w:after="60" w:line="240" w:lineRule="auto"/>
              <w:jc w:val="both"/>
              <w:rPr>
                <w:rFonts w:cs="Calibri"/>
                <w:sz w:val="20"/>
                <w:szCs w:val="20"/>
                <w:lang w:val="en-GB"/>
              </w:rPr>
            </w:pPr>
            <w:r w:rsidRPr="00D30847">
              <w:rPr>
                <w:rFonts w:cs="Calibri"/>
                <w:sz w:val="20"/>
                <w:szCs w:val="20"/>
                <w:lang w:val="en-GB"/>
              </w:rPr>
              <w:t>Respective activities are to be undertaken in the coming period on the basis of these ratings, all to the end of improving public debt management.</w:t>
            </w:r>
          </w:p>
        </w:tc>
      </w:tr>
      <w:tr w:rsidR="0073528B" w:rsidRPr="00D30847" w14:paraId="7C5010EB" w14:textId="77777777" w:rsidTr="00C640AE">
        <w:tc>
          <w:tcPr>
            <w:tcW w:w="1240" w:type="dxa"/>
            <w:shd w:val="clear" w:color="auto" w:fill="DDDDDD"/>
          </w:tcPr>
          <w:p w14:paraId="2264E3FB" w14:textId="29BC4543" w:rsidR="0073528B" w:rsidRPr="00D30847" w:rsidRDefault="0073528B" w:rsidP="00E84CD0">
            <w:pPr>
              <w:spacing w:before="80" w:after="0" w:line="240" w:lineRule="auto"/>
              <w:jc w:val="both"/>
              <w:rPr>
                <w:rFonts w:cs="Calibri"/>
                <w:b/>
                <w:sz w:val="20"/>
                <w:szCs w:val="20"/>
                <w:lang w:val="en-GB"/>
              </w:rPr>
            </w:pPr>
            <w:r w:rsidRPr="00D30847">
              <w:rPr>
                <w:rFonts w:cs="Calibri"/>
                <w:b/>
                <w:sz w:val="20"/>
                <w:szCs w:val="20"/>
                <w:lang w:val="en-GB"/>
              </w:rPr>
              <w:lastRenderedPageBreak/>
              <w:t>SIGMA</w:t>
            </w:r>
          </w:p>
        </w:tc>
        <w:tc>
          <w:tcPr>
            <w:tcW w:w="7832" w:type="dxa"/>
            <w:shd w:val="clear" w:color="auto" w:fill="DDDDDD"/>
          </w:tcPr>
          <w:p w14:paraId="138AD1B4" w14:textId="77777777" w:rsidR="0073528B" w:rsidRPr="00D30847" w:rsidRDefault="0073528B" w:rsidP="00E84CD0">
            <w:pPr>
              <w:pStyle w:val="ListParagraph"/>
              <w:tabs>
                <w:tab w:val="left" w:pos="212"/>
              </w:tabs>
              <w:spacing w:after="0" w:line="240" w:lineRule="auto"/>
              <w:ind w:left="0"/>
              <w:rPr>
                <w:rFonts w:cs="Calibri"/>
                <w:sz w:val="20"/>
                <w:szCs w:val="20"/>
              </w:rPr>
            </w:pPr>
            <w:r w:rsidRPr="00D30847">
              <w:rPr>
                <w:rFonts w:cs="Calibri"/>
                <w:sz w:val="20"/>
                <w:szCs w:val="20"/>
              </w:rPr>
              <w:t>Recent Report notes improvement in public debt management with the upgrading of the Public Debt Management Strategy to an independent document, separate from the Fiscal Strategy, providing data about the debt developments in the past several years, as well as targets for debt management in the medium term.</w:t>
            </w:r>
          </w:p>
          <w:p w14:paraId="4F9B9EBC" w14:textId="77777777" w:rsidR="0073528B" w:rsidRPr="00D30847" w:rsidRDefault="0073528B" w:rsidP="00E84CD0">
            <w:pPr>
              <w:pStyle w:val="ListParagraph"/>
              <w:tabs>
                <w:tab w:val="left" w:pos="122"/>
                <w:tab w:val="left" w:pos="4219"/>
              </w:tabs>
              <w:spacing w:before="120" w:line="240" w:lineRule="auto"/>
              <w:ind w:left="0"/>
              <w:rPr>
                <w:rFonts w:cs="Calibri"/>
                <w:sz w:val="20"/>
                <w:szCs w:val="20"/>
              </w:rPr>
            </w:pPr>
            <w:r w:rsidRPr="00D30847">
              <w:rPr>
                <w:rFonts w:cs="Calibri"/>
                <w:sz w:val="20"/>
                <w:szCs w:val="20"/>
              </w:rPr>
              <w:t>It is also stated that Annual Report on Public Debt Management is published.</w:t>
            </w:r>
          </w:p>
          <w:p w14:paraId="202582EB" w14:textId="5B1FF897" w:rsidR="0073528B" w:rsidRPr="00D30847" w:rsidRDefault="0073528B" w:rsidP="00E84CD0">
            <w:pPr>
              <w:tabs>
                <w:tab w:val="left" w:pos="851"/>
              </w:tabs>
              <w:spacing w:before="120" w:line="240" w:lineRule="auto"/>
              <w:jc w:val="both"/>
              <w:rPr>
                <w:rFonts w:cs="Calibri"/>
                <w:sz w:val="20"/>
                <w:szCs w:val="20"/>
                <w:lang w:val="en-GB"/>
              </w:rPr>
            </w:pPr>
            <w:r w:rsidRPr="00D30847">
              <w:rPr>
                <w:rFonts w:cs="Calibri"/>
                <w:color w:val="000000"/>
                <w:sz w:val="20"/>
                <w:szCs w:val="20"/>
                <w:shd w:val="clear" w:color="auto" w:fill="D9D9D9"/>
                <w:lang w:val="en-GB"/>
              </w:rPr>
              <w:t>Although the risk profile of the debt portfolio has improved, it is still high.</w:t>
            </w:r>
            <w:r w:rsidR="00D53B29" w:rsidRPr="00D30847">
              <w:rPr>
                <w:rFonts w:cs="Calibri"/>
                <w:color w:val="000000"/>
                <w:sz w:val="20"/>
                <w:szCs w:val="20"/>
                <w:shd w:val="clear" w:color="auto" w:fill="D9D9D9"/>
                <w:lang w:val="en-GB"/>
              </w:rPr>
              <w:t xml:space="preserve"> </w:t>
            </w:r>
            <w:r w:rsidRPr="00D30847">
              <w:rPr>
                <w:rFonts w:cs="Calibri"/>
                <w:sz w:val="20"/>
                <w:szCs w:val="20"/>
                <w:lang w:val="en-GB"/>
              </w:rPr>
              <w:t>Considering that total level of public debt has reached the maximum limit of 60% of GDP, measures to reduce the debt rate and the risk profile are called for.</w:t>
            </w:r>
          </w:p>
          <w:p w14:paraId="5A1C2512" w14:textId="77777777" w:rsidR="0073528B" w:rsidRPr="00D30847" w:rsidRDefault="0073528B" w:rsidP="00E84CD0">
            <w:pPr>
              <w:tabs>
                <w:tab w:val="left" w:pos="851"/>
              </w:tabs>
              <w:spacing w:line="240" w:lineRule="auto"/>
              <w:jc w:val="both"/>
              <w:rPr>
                <w:rFonts w:cs="Calibri"/>
                <w:sz w:val="20"/>
                <w:szCs w:val="20"/>
                <w:lang w:val="en-GB"/>
              </w:rPr>
            </w:pPr>
            <w:r w:rsidRPr="00D30847">
              <w:rPr>
                <w:rFonts w:cs="Calibri"/>
                <w:sz w:val="20"/>
                <w:szCs w:val="20"/>
                <w:lang w:val="en-GB"/>
              </w:rPr>
              <w:t>Within 2021 SIGMA assessment as regards public debt management, values for this indicator are as follows:</w:t>
            </w:r>
          </w:p>
          <w:p w14:paraId="04C70A1F" w14:textId="77777777" w:rsidR="0073528B" w:rsidRPr="00D30847" w:rsidRDefault="0073528B" w:rsidP="00E84CD0">
            <w:pPr>
              <w:tabs>
                <w:tab w:val="left" w:pos="851"/>
              </w:tabs>
              <w:spacing w:after="0" w:line="240" w:lineRule="auto"/>
              <w:jc w:val="both"/>
              <w:rPr>
                <w:rFonts w:cs="Calibri"/>
                <w:sz w:val="20"/>
                <w:szCs w:val="20"/>
                <w:lang w:val="en-GB"/>
              </w:rPr>
            </w:pPr>
            <w:r w:rsidRPr="00D30847">
              <w:rPr>
                <w:rFonts w:cs="Calibri"/>
                <w:sz w:val="20"/>
                <w:szCs w:val="20"/>
                <w:lang w:val="en-GB"/>
              </w:rPr>
              <w:t xml:space="preserve">1. </w:t>
            </w:r>
            <w:r w:rsidRPr="00D30847">
              <w:rPr>
                <w:rFonts w:cs="Calibri"/>
                <w:color w:val="000000"/>
                <w:sz w:val="20"/>
                <w:szCs w:val="20"/>
                <w:shd w:val="clear" w:color="auto" w:fill="D9D9D9"/>
                <w:lang w:val="en-GB"/>
              </w:rPr>
              <w:t>Existence of requirements and limitations for borrowing in the legal framework 3/3</w:t>
            </w:r>
          </w:p>
          <w:p w14:paraId="62DBEDEC" w14:textId="77777777" w:rsidR="0073528B" w:rsidRPr="00D30847" w:rsidRDefault="0073528B" w:rsidP="00E84CD0">
            <w:pPr>
              <w:tabs>
                <w:tab w:val="left" w:pos="851"/>
              </w:tabs>
              <w:spacing w:after="0" w:line="240" w:lineRule="auto"/>
              <w:jc w:val="both"/>
              <w:rPr>
                <w:rFonts w:cs="Calibri"/>
                <w:sz w:val="20"/>
                <w:szCs w:val="20"/>
                <w:lang w:val="en-GB"/>
              </w:rPr>
            </w:pPr>
            <w:r w:rsidRPr="00D30847">
              <w:rPr>
                <w:rFonts w:cs="Calibri"/>
                <w:sz w:val="20"/>
                <w:szCs w:val="20"/>
                <w:lang w:val="en-GB"/>
              </w:rPr>
              <w:t xml:space="preserve">2. </w:t>
            </w:r>
            <w:r w:rsidRPr="00D30847">
              <w:rPr>
                <w:rFonts w:cs="Calibri"/>
                <w:color w:val="000000"/>
                <w:sz w:val="20"/>
                <w:szCs w:val="20"/>
                <w:shd w:val="clear" w:color="auto" w:fill="D9D9D9"/>
                <w:lang w:val="en-GB"/>
              </w:rPr>
              <w:t>Existence and minimum content of a public debt management strategy 4/4</w:t>
            </w:r>
          </w:p>
          <w:p w14:paraId="2A436C73" w14:textId="77777777" w:rsidR="0073528B" w:rsidRPr="00D30847" w:rsidRDefault="0073528B" w:rsidP="00E84CD0">
            <w:pPr>
              <w:shd w:val="clear" w:color="auto" w:fill="D9D9D9"/>
              <w:tabs>
                <w:tab w:val="left" w:pos="851"/>
              </w:tabs>
              <w:spacing w:after="0" w:line="240" w:lineRule="auto"/>
              <w:jc w:val="both"/>
              <w:rPr>
                <w:rFonts w:cs="Calibri"/>
                <w:sz w:val="20"/>
                <w:szCs w:val="20"/>
                <w:lang w:val="en-GB"/>
              </w:rPr>
            </w:pPr>
            <w:r w:rsidRPr="00D30847">
              <w:rPr>
                <w:rFonts w:cs="Calibri"/>
                <w:sz w:val="20"/>
                <w:szCs w:val="20"/>
                <w:lang w:val="en-GB"/>
              </w:rPr>
              <w:t xml:space="preserve">3. </w:t>
            </w:r>
            <w:r w:rsidRPr="00D30847">
              <w:rPr>
                <w:rFonts w:cs="Calibri"/>
                <w:color w:val="000000"/>
                <w:sz w:val="20"/>
                <w:szCs w:val="20"/>
                <w:shd w:val="clear" w:color="auto" w:fill="D9D9D9"/>
                <w:lang w:val="en-GB"/>
              </w:rPr>
              <w:t>Clarity of reporting on public debt 3/4</w:t>
            </w:r>
          </w:p>
          <w:p w14:paraId="77A438F6" w14:textId="77777777" w:rsidR="0073528B" w:rsidRPr="00D30847" w:rsidRDefault="0073528B" w:rsidP="00E84CD0">
            <w:pPr>
              <w:shd w:val="clear" w:color="auto" w:fill="D9D9D9"/>
              <w:tabs>
                <w:tab w:val="left" w:pos="851"/>
              </w:tabs>
              <w:spacing w:after="0" w:line="240" w:lineRule="auto"/>
              <w:jc w:val="both"/>
              <w:rPr>
                <w:rFonts w:cs="Calibri"/>
                <w:sz w:val="20"/>
                <w:szCs w:val="20"/>
                <w:lang w:val="en-GB"/>
              </w:rPr>
            </w:pPr>
            <w:r w:rsidRPr="00D30847">
              <w:rPr>
                <w:rFonts w:cs="Calibri"/>
                <w:sz w:val="20"/>
                <w:szCs w:val="20"/>
                <w:lang w:val="en-GB"/>
              </w:rPr>
              <w:t xml:space="preserve">4. </w:t>
            </w:r>
            <w:r w:rsidRPr="00D30847">
              <w:rPr>
                <w:rFonts w:cs="Calibri"/>
                <w:color w:val="000000"/>
                <w:sz w:val="20"/>
                <w:szCs w:val="20"/>
                <w:shd w:val="clear" w:color="auto" w:fill="D9D9D9"/>
                <w:lang w:val="en-GB"/>
              </w:rPr>
              <w:t>Risk mitigation in the stock of public debt 1/6</w:t>
            </w:r>
          </w:p>
          <w:p w14:paraId="722A369E" w14:textId="77777777" w:rsidR="004A5321" w:rsidRPr="00D30847" w:rsidRDefault="0073528B" w:rsidP="00E84CD0">
            <w:pPr>
              <w:shd w:val="clear" w:color="auto" w:fill="D9D9D9"/>
              <w:tabs>
                <w:tab w:val="left" w:pos="851"/>
              </w:tabs>
              <w:spacing w:after="0" w:line="240" w:lineRule="auto"/>
              <w:jc w:val="both"/>
              <w:rPr>
                <w:rFonts w:cs="Calibri"/>
                <w:sz w:val="20"/>
                <w:szCs w:val="20"/>
                <w:lang w:val="en-GB"/>
              </w:rPr>
            </w:pPr>
            <w:r w:rsidRPr="00D30847">
              <w:rPr>
                <w:rFonts w:cs="Calibri"/>
                <w:sz w:val="20"/>
                <w:szCs w:val="20"/>
                <w:lang w:val="en-GB"/>
              </w:rPr>
              <w:t xml:space="preserve">5. </w:t>
            </w:r>
            <w:r w:rsidRPr="00D30847">
              <w:rPr>
                <w:rFonts w:cs="Calibri"/>
                <w:color w:val="000000"/>
                <w:sz w:val="20"/>
                <w:szCs w:val="20"/>
                <w:shd w:val="clear" w:color="auto" w:fill="D9D9D9"/>
                <w:lang w:val="en-GB"/>
              </w:rPr>
              <w:t>Difference between public sector debt outturn from target (%) 3/3</w:t>
            </w:r>
          </w:p>
          <w:p w14:paraId="587E31F9" w14:textId="77777777" w:rsidR="0073528B" w:rsidRPr="00D30847" w:rsidRDefault="0073528B" w:rsidP="00E84CD0">
            <w:pPr>
              <w:shd w:val="clear" w:color="auto" w:fill="D9D9D9"/>
              <w:tabs>
                <w:tab w:val="left" w:pos="851"/>
              </w:tabs>
              <w:spacing w:after="0" w:line="240" w:lineRule="auto"/>
              <w:jc w:val="both"/>
              <w:rPr>
                <w:rFonts w:cs="Calibri"/>
                <w:sz w:val="20"/>
                <w:szCs w:val="20"/>
                <w:lang w:val="en-GB"/>
              </w:rPr>
            </w:pPr>
            <w:r w:rsidRPr="00D30847">
              <w:rPr>
                <w:rFonts w:cs="Calibri"/>
                <w:sz w:val="20"/>
                <w:szCs w:val="20"/>
                <w:lang w:val="en-GB"/>
              </w:rPr>
              <w:t xml:space="preserve">6. </w:t>
            </w:r>
            <w:r w:rsidRPr="00D30847">
              <w:rPr>
                <w:rFonts w:cs="Calibri"/>
                <w:color w:val="000000"/>
                <w:sz w:val="20"/>
                <w:szCs w:val="20"/>
                <w:shd w:val="clear" w:color="auto" w:fill="D9D9D9"/>
                <w:lang w:val="en-GB"/>
              </w:rPr>
              <w:t>Public debt as a share of GDP (%) 2/2</w:t>
            </w:r>
          </w:p>
        </w:tc>
      </w:tr>
    </w:tbl>
    <w:p w14:paraId="67F0CF95" w14:textId="77777777" w:rsidR="0059607C" w:rsidRPr="00D30847" w:rsidRDefault="0059607C" w:rsidP="0059607C">
      <w:pPr>
        <w:pStyle w:val="Heading4"/>
        <w:spacing w:before="0" w:line="240" w:lineRule="auto"/>
        <w:rPr>
          <w:rFonts w:cs="Calibri"/>
          <w:sz w:val="22"/>
          <w:szCs w:val="22"/>
        </w:rPr>
      </w:pPr>
    </w:p>
    <w:p w14:paraId="49F64A27" w14:textId="661FAB05" w:rsidR="0073528B" w:rsidRPr="00D30847" w:rsidRDefault="0073528B" w:rsidP="0081628C">
      <w:pPr>
        <w:pStyle w:val="Heading4"/>
        <w:spacing w:line="240" w:lineRule="auto"/>
        <w:rPr>
          <w:rFonts w:cs="Calibri"/>
          <w:sz w:val="22"/>
          <w:szCs w:val="22"/>
        </w:rPr>
      </w:pPr>
      <w:r w:rsidRPr="00D30847">
        <w:rPr>
          <w:rFonts w:cs="Calibri"/>
          <w:sz w:val="22"/>
          <w:szCs w:val="22"/>
        </w:rPr>
        <w:t>Context/Background</w:t>
      </w:r>
    </w:p>
    <w:p w14:paraId="0887956F" w14:textId="251C7A9E" w:rsidR="0073528B" w:rsidRPr="00D30847" w:rsidRDefault="0073528B" w:rsidP="0081628C">
      <w:pPr>
        <w:pStyle w:val="NormalPFM1"/>
        <w:spacing w:before="160" w:line="240" w:lineRule="auto"/>
        <w:rPr>
          <w:rFonts w:cs="Calibri"/>
          <w:bCs/>
          <w:iCs/>
          <w:color w:val="000000"/>
          <w:sz w:val="22"/>
          <w:szCs w:val="22"/>
        </w:rPr>
      </w:pPr>
      <w:r w:rsidRPr="00D30847">
        <w:rPr>
          <w:rFonts w:cs="Calibri"/>
          <w:bCs/>
          <w:iCs/>
          <w:color w:val="000000"/>
          <w:sz w:val="22"/>
          <w:szCs w:val="22"/>
        </w:rPr>
        <w:t>Risk management policy is of crucial importance for public debt management, being the main link between the proposing, designing, adopting and implementing the Public Debt Management Strategy.</w:t>
      </w:r>
      <w:r w:rsidR="00D53B29" w:rsidRPr="00D30847">
        <w:rPr>
          <w:rFonts w:cs="Calibri"/>
          <w:bCs/>
          <w:iCs/>
          <w:color w:val="000000"/>
          <w:sz w:val="22"/>
          <w:szCs w:val="22"/>
        </w:rPr>
        <w:t xml:space="preserve"> </w:t>
      </w:r>
      <w:r w:rsidRPr="00D30847">
        <w:rPr>
          <w:rFonts w:cs="Calibri"/>
          <w:bCs/>
          <w:iCs/>
          <w:color w:val="000000"/>
          <w:sz w:val="22"/>
          <w:szCs w:val="22"/>
        </w:rPr>
        <w:t>Settlement risk occurs if numerous non-automated activities are used during data processing, while error risk is closely related to the manner of segregating the tasks related to execution of transactions and their settlement across the units within the institution in charge of debt management.</w:t>
      </w:r>
      <w:r w:rsidR="00D53B29" w:rsidRPr="00D30847">
        <w:rPr>
          <w:rFonts w:cs="Calibri"/>
          <w:bCs/>
          <w:iCs/>
          <w:color w:val="000000"/>
          <w:sz w:val="22"/>
          <w:szCs w:val="22"/>
        </w:rPr>
        <w:t xml:space="preserve"> </w:t>
      </w:r>
      <w:r w:rsidRPr="00D30847">
        <w:rPr>
          <w:rFonts w:cs="Calibri"/>
          <w:bCs/>
          <w:iCs/>
          <w:color w:val="000000"/>
          <w:sz w:val="22"/>
          <w:szCs w:val="22"/>
        </w:rPr>
        <w:t>Public debt management is carried out by an IT system and adequate software platform, thus significantly reducing the risk of human errors.</w:t>
      </w:r>
    </w:p>
    <w:p w14:paraId="547C7FF1" w14:textId="77777777" w:rsidR="0073528B" w:rsidRPr="00D30847" w:rsidRDefault="0073528B" w:rsidP="0081628C">
      <w:pPr>
        <w:pStyle w:val="NormalPFM1"/>
        <w:spacing w:before="160" w:line="240" w:lineRule="auto"/>
        <w:rPr>
          <w:rFonts w:cs="Calibri"/>
          <w:bCs/>
          <w:iCs/>
          <w:color w:val="000000"/>
          <w:sz w:val="22"/>
          <w:szCs w:val="22"/>
        </w:rPr>
      </w:pPr>
      <w:r w:rsidRPr="00D30847">
        <w:rPr>
          <w:rFonts w:cs="Calibri"/>
          <w:bCs/>
          <w:iCs/>
          <w:color w:val="000000"/>
          <w:sz w:val="22"/>
          <w:szCs w:val="22"/>
        </w:rPr>
        <w:t>Moreover, under the WB Debt Management Performance Assessment, indicators for assessment of the Strategy recommend for an annual plan on borrowing to be prepared as part of the budget process, which is to be aligned with the Public Debt Management Strategy, which is a medium-term document.</w:t>
      </w:r>
    </w:p>
    <w:p w14:paraId="4F89957E" w14:textId="55EAAF3E" w:rsidR="0059607C" w:rsidRPr="00D30847" w:rsidRDefault="0073528B" w:rsidP="0081628C">
      <w:pPr>
        <w:pStyle w:val="NormalPFM1"/>
        <w:spacing w:before="160" w:line="240" w:lineRule="auto"/>
        <w:rPr>
          <w:rFonts w:cs="Calibri"/>
          <w:sz w:val="22"/>
          <w:szCs w:val="22"/>
        </w:rPr>
      </w:pPr>
      <w:r w:rsidRPr="00D30847">
        <w:rPr>
          <w:rFonts w:cs="Calibri"/>
          <w:sz w:val="22"/>
          <w:szCs w:val="22"/>
        </w:rPr>
        <w:t>It is necessary to reduce the operational risk of payment.</w:t>
      </w:r>
      <w:r w:rsidR="00D53B29" w:rsidRPr="00D30847">
        <w:rPr>
          <w:rFonts w:cs="Calibri"/>
          <w:sz w:val="22"/>
          <w:szCs w:val="22"/>
        </w:rPr>
        <w:t xml:space="preserve"> </w:t>
      </w:r>
      <w:r w:rsidRPr="00D30847">
        <w:rPr>
          <w:rFonts w:cs="Calibri"/>
          <w:sz w:val="22"/>
          <w:szCs w:val="22"/>
        </w:rPr>
        <w:t>This need has become even greater with the entry into force of pandemic prevention measures, with the remote working making the process digitalization all the more important.</w:t>
      </w:r>
      <w:r w:rsidR="00D53B29" w:rsidRPr="00D30847">
        <w:rPr>
          <w:rFonts w:cs="Calibri"/>
          <w:sz w:val="22"/>
          <w:szCs w:val="22"/>
        </w:rPr>
        <w:t xml:space="preserve"> </w:t>
      </w:r>
      <w:r w:rsidRPr="00D30847">
        <w:rPr>
          <w:rFonts w:cs="Calibri"/>
          <w:sz w:val="22"/>
          <w:szCs w:val="22"/>
        </w:rPr>
        <w:t>Furthermore, it is required to improve the planning process in the field of public debt management, i.e. to present the time frame in which the government plans to borrow.</w:t>
      </w:r>
      <w:r w:rsidR="00D53B29" w:rsidRPr="00D30847">
        <w:rPr>
          <w:rFonts w:cs="Calibri"/>
          <w:sz w:val="22"/>
          <w:szCs w:val="22"/>
        </w:rPr>
        <w:t xml:space="preserve"> </w:t>
      </w:r>
      <w:r w:rsidRPr="00D30847">
        <w:rPr>
          <w:rFonts w:cs="Calibri"/>
          <w:sz w:val="22"/>
          <w:szCs w:val="22"/>
        </w:rPr>
        <w:t>In addition, risk</w:t>
      </w:r>
      <w:r w:rsidR="00D53B29" w:rsidRPr="00D30847">
        <w:rPr>
          <w:rFonts w:cs="Calibri"/>
          <w:sz w:val="22"/>
          <w:szCs w:val="22"/>
        </w:rPr>
        <w:t xml:space="preserve"> </w:t>
      </w:r>
      <w:r w:rsidRPr="00D30847">
        <w:rPr>
          <w:rFonts w:cs="Calibri"/>
          <w:sz w:val="22"/>
          <w:szCs w:val="22"/>
        </w:rPr>
        <w:t>of uninterrupted processes is perceived in the Ministry of Finance due to outflow of staff.</w:t>
      </w:r>
    </w:p>
    <w:p w14:paraId="40C4A37E" w14:textId="23FE9CD0" w:rsidR="0073528B" w:rsidRPr="00D30847" w:rsidRDefault="0073528B" w:rsidP="0081628C">
      <w:pPr>
        <w:spacing w:before="160" w:after="80" w:line="240" w:lineRule="auto"/>
        <w:jc w:val="both"/>
        <w:rPr>
          <w:rFonts w:eastAsia="MS PGothic" w:cs="Calibri"/>
          <w:b/>
          <w:bCs/>
          <w:iCs/>
          <w:color w:val="0070C0"/>
          <w:lang w:val="en-GB" w:eastAsia="zh-CN"/>
        </w:rPr>
      </w:pPr>
      <w:r w:rsidRPr="00D30847">
        <w:rPr>
          <w:rFonts w:eastAsia="MS PGothic" w:cs="Calibri"/>
          <w:b/>
          <w:bCs/>
          <w:iCs/>
          <w:color w:val="0070C0"/>
          <w:lang w:val="en-GB" w:eastAsia="zh-CN"/>
        </w:rPr>
        <w:t>Activity 1:</w:t>
      </w:r>
      <w:r w:rsidR="00CA0BA6" w:rsidRPr="00D30847">
        <w:rPr>
          <w:rFonts w:eastAsia="MS PGothic" w:cs="Calibri"/>
          <w:b/>
          <w:bCs/>
          <w:iCs/>
          <w:color w:val="0070C0"/>
          <w:lang w:val="en-GB" w:eastAsia="zh-CN"/>
        </w:rPr>
        <w:t xml:space="preserve"> </w:t>
      </w:r>
      <w:r w:rsidRPr="00D30847">
        <w:rPr>
          <w:rFonts w:eastAsia="MS PGothic" w:cs="Calibri"/>
          <w:b/>
          <w:bCs/>
          <w:iCs/>
          <w:color w:val="0070C0"/>
          <w:lang w:val="en-GB" w:eastAsia="zh-CN"/>
        </w:rPr>
        <w:t>Introducing e-banking with NBRNM for external debt repayment</w:t>
      </w:r>
    </w:p>
    <w:p w14:paraId="5E994C01" w14:textId="2751B9B0" w:rsidR="0059607C" w:rsidRPr="00D30847" w:rsidRDefault="004E1E75" w:rsidP="0081628C">
      <w:pPr>
        <w:spacing w:before="160" w:after="80" w:line="240" w:lineRule="auto"/>
        <w:jc w:val="both"/>
        <w:rPr>
          <w:rFonts w:cs="Calibri"/>
          <w:lang w:val="en-GB"/>
        </w:rPr>
      </w:pPr>
      <w:r w:rsidRPr="00D30847">
        <w:rPr>
          <w:rFonts w:cs="Calibri"/>
          <w:lang w:val="en-GB"/>
        </w:rPr>
        <w:t xml:space="preserve">Recording and monitoring debt management transactions are essential for ensuring accuracy of debt records and for detecting error and fraud. Payments processes must also include safeguards to ensure that they are timely and accurate. For reducing the operational risks, and by following the digitalization trends of foreign payment operations, it is necessary to introduce digitalized payments </w:t>
      </w:r>
      <w:r w:rsidRPr="00D30847">
        <w:rPr>
          <w:rFonts w:cs="Calibri"/>
          <w:lang w:val="en-GB"/>
        </w:rPr>
        <w:lastRenderedPageBreak/>
        <w:t>towards foreign creditors, by introducing electronic banking with NBRNM, through which repayments to foreign creditors are being made.</w:t>
      </w:r>
    </w:p>
    <w:p w14:paraId="4E846A14" w14:textId="2200D8B2" w:rsidR="0073528B" w:rsidRPr="00D30847" w:rsidRDefault="0073528B" w:rsidP="0081628C">
      <w:pPr>
        <w:spacing w:before="160" w:after="80" w:line="240" w:lineRule="auto"/>
        <w:jc w:val="both"/>
        <w:rPr>
          <w:rFonts w:eastAsia="MS PGothic" w:cs="Calibri"/>
          <w:b/>
          <w:bCs/>
          <w:iCs/>
          <w:color w:val="0070C0"/>
          <w:lang w:val="en-GB" w:eastAsia="zh-CN"/>
        </w:rPr>
      </w:pPr>
      <w:r w:rsidRPr="00D30847">
        <w:rPr>
          <w:rFonts w:eastAsia="MS PGothic" w:cs="Calibri"/>
          <w:b/>
          <w:bCs/>
          <w:iCs/>
          <w:color w:val="0070C0"/>
          <w:lang w:val="en-GB" w:eastAsia="zh-CN"/>
        </w:rPr>
        <w:t>Activity 2:</w:t>
      </w:r>
      <w:r w:rsidR="00CA0BA6" w:rsidRPr="00D30847">
        <w:rPr>
          <w:rFonts w:eastAsia="MS PGothic" w:cs="Calibri"/>
          <w:b/>
          <w:bCs/>
          <w:iCs/>
          <w:color w:val="0070C0"/>
          <w:lang w:val="en-GB" w:eastAsia="zh-CN"/>
        </w:rPr>
        <w:t xml:space="preserve"> </w:t>
      </w:r>
      <w:r w:rsidRPr="00D30847">
        <w:rPr>
          <w:rFonts w:eastAsia="MS PGothic" w:cs="Calibri"/>
          <w:b/>
          <w:bCs/>
          <w:iCs/>
          <w:color w:val="0070C0"/>
          <w:lang w:val="en-GB" w:eastAsia="zh-CN"/>
        </w:rPr>
        <w:t>Strengthening public debt management capacities</w:t>
      </w:r>
    </w:p>
    <w:p w14:paraId="06FDE945" w14:textId="054D5874" w:rsidR="0059607C" w:rsidRPr="00D30847" w:rsidRDefault="0073528B" w:rsidP="0081628C">
      <w:pPr>
        <w:spacing w:before="160" w:after="80" w:line="240" w:lineRule="auto"/>
        <w:jc w:val="both"/>
        <w:rPr>
          <w:rFonts w:cs="Calibri"/>
          <w:lang w:val="en-GB"/>
        </w:rPr>
      </w:pPr>
      <w:r w:rsidRPr="00D30847">
        <w:rPr>
          <w:rFonts w:cs="Calibri"/>
          <w:lang w:val="en-GB"/>
        </w:rPr>
        <w:t>To the end of strengthening public debt management, Ministry of Finance needs to strengthen the public debt capacities by employing, as well as training the existing staff.</w:t>
      </w:r>
      <w:r w:rsidR="00D53B29" w:rsidRPr="00D30847">
        <w:rPr>
          <w:rFonts w:cs="Calibri"/>
          <w:lang w:val="en-GB"/>
        </w:rPr>
        <w:t xml:space="preserve"> </w:t>
      </w:r>
      <w:r w:rsidRPr="00D30847">
        <w:rPr>
          <w:rFonts w:cs="Calibri"/>
          <w:lang w:val="en-GB"/>
        </w:rPr>
        <w:t>Operational risk will be reduced only through a sustainable human resources framework, i.e. the risk of untimely completion of tasks will be avoided.</w:t>
      </w:r>
    </w:p>
    <w:p w14:paraId="48E5C51C" w14:textId="4F5679FC" w:rsidR="0073528B" w:rsidRPr="00D30847" w:rsidRDefault="0073528B" w:rsidP="0081628C">
      <w:pPr>
        <w:spacing w:before="160" w:after="80" w:line="240" w:lineRule="auto"/>
        <w:jc w:val="both"/>
        <w:rPr>
          <w:rFonts w:eastAsia="MS PGothic" w:cs="Calibri"/>
          <w:b/>
          <w:bCs/>
          <w:iCs/>
          <w:color w:val="0070C0"/>
          <w:lang w:val="en-GB" w:eastAsia="zh-CN"/>
        </w:rPr>
      </w:pPr>
      <w:r w:rsidRPr="00D30847">
        <w:rPr>
          <w:rFonts w:eastAsia="MS PGothic" w:cs="Calibri"/>
          <w:b/>
          <w:bCs/>
          <w:iCs/>
          <w:color w:val="0070C0"/>
          <w:lang w:val="en-GB" w:eastAsia="zh-CN"/>
        </w:rPr>
        <w:t>Activity 3:</w:t>
      </w:r>
      <w:r w:rsidR="00CA0BA6" w:rsidRPr="00D30847">
        <w:rPr>
          <w:rFonts w:eastAsia="MS PGothic" w:cs="Calibri"/>
          <w:b/>
          <w:bCs/>
          <w:iCs/>
          <w:color w:val="0070C0"/>
          <w:lang w:val="en-GB" w:eastAsia="zh-CN"/>
        </w:rPr>
        <w:t xml:space="preserve"> </w:t>
      </w:r>
      <w:r w:rsidRPr="00D30847">
        <w:rPr>
          <w:rFonts w:eastAsia="MS PGothic" w:cs="Calibri"/>
          <w:b/>
          <w:bCs/>
          <w:iCs/>
          <w:color w:val="0070C0"/>
          <w:lang w:val="en-GB" w:eastAsia="zh-CN"/>
        </w:rPr>
        <w:t>Reconciling the debt stock with the creditors</w:t>
      </w:r>
    </w:p>
    <w:p w14:paraId="3D2A046A" w14:textId="400699E6" w:rsidR="00015266" w:rsidRDefault="0073528B" w:rsidP="00AC5DE9">
      <w:pPr>
        <w:spacing w:before="160" w:after="80" w:line="240" w:lineRule="auto"/>
        <w:jc w:val="both"/>
        <w:rPr>
          <w:rFonts w:cs="Calibri"/>
          <w:lang w:val="en-GB"/>
        </w:rPr>
      </w:pPr>
      <w:r w:rsidRPr="00D30847">
        <w:rPr>
          <w:rFonts w:cs="Calibri"/>
          <w:lang w:val="en-GB"/>
        </w:rPr>
        <w:t>Ministry of Finance will develop a procedure that will formally regulate the process of reconciling the</w:t>
      </w:r>
      <w:r w:rsidR="00111A7C" w:rsidRPr="00D30847">
        <w:rPr>
          <w:rFonts w:cs="Calibri"/>
          <w:lang w:val="en-GB"/>
        </w:rPr>
        <w:t xml:space="preserve"> central government</w:t>
      </w:r>
      <w:r w:rsidRPr="00D30847">
        <w:rPr>
          <w:rFonts w:cs="Calibri"/>
          <w:lang w:val="en-GB"/>
        </w:rPr>
        <w:t xml:space="preserve"> debt stock with the creditors. Reconciliation with creditors is carried out</w:t>
      </w:r>
      <w:r w:rsidR="00D53B29" w:rsidRPr="00D30847">
        <w:rPr>
          <w:rFonts w:cs="Calibri"/>
          <w:lang w:val="en-GB"/>
        </w:rPr>
        <w:t xml:space="preserve"> </w:t>
      </w:r>
      <w:r w:rsidR="004B4957" w:rsidRPr="00D30847">
        <w:rPr>
          <w:rFonts w:cs="Calibri"/>
          <w:lang w:val="en-GB"/>
        </w:rPr>
        <w:t>quarterly or monthly</w:t>
      </w:r>
      <w:r w:rsidRPr="00D30847">
        <w:rPr>
          <w:rFonts w:cs="Calibri"/>
          <w:lang w:val="en-GB"/>
        </w:rPr>
        <w:t xml:space="preserve">, but it is necessary to design a procedure for a more frequent reconciliation of the </w:t>
      </w:r>
      <w:r w:rsidR="00111A7C" w:rsidRPr="00D30847">
        <w:rPr>
          <w:rFonts w:cs="Calibri"/>
          <w:lang w:val="en-GB"/>
        </w:rPr>
        <w:t xml:space="preserve">central government </w:t>
      </w:r>
      <w:r w:rsidR="00AC5DE9">
        <w:rPr>
          <w:rFonts w:cs="Calibri"/>
          <w:lang w:val="en-GB"/>
        </w:rPr>
        <w:t>debt stock with the creditors.</w:t>
      </w:r>
    </w:p>
    <w:p w14:paraId="584AEFE9" w14:textId="77777777" w:rsidR="00AC5DE9" w:rsidRPr="00AC5DE9" w:rsidRDefault="00AC5DE9" w:rsidP="00AC5DE9">
      <w:pPr>
        <w:spacing w:before="160" w:after="80" w:line="240" w:lineRule="auto"/>
        <w:jc w:val="both"/>
        <w:rPr>
          <w:rFonts w:cs="Calibri"/>
          <w:sz w:val="10"/>
          <w:szCs w:val="10"/>
          <w:lang w:val="en-GB"/>
        </w:rPr>
      </w:pPr>
    </w:p>
    <w:p w14:paraId="5118F6AF" w14:textId="77777777" w:rsidR="0073528B" w:rsidRPr="00D30847" w:rsidRDefault="0073528B" w:rsidP="00E84CD0">
      <w:pPr>
        <w:pStyle w:val="Heading4"/>
        <w:spacing w:line="240" w:lineRule="auto"/>
        <w:rPr>
          <w:rFonts w:cs="Calibri"/>
          <w:sz w:val="22"/>
          <w:szCs w:val="22"/>
        </w:rPr>
      </w:pPr>
      <w:r w:rsidRPr="00D30847">
        <w:rPr>
          <w:rFonts w:cs="Calibri"/>
          <w:sz w:val="22"/>
          <w:szCs w:val="22"/>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73528B" w:rsidRPr="00D30847" w14:paraId="34FDA6B0" w14:textId="77777777" w:rsidTr="00871CB3">
        <w:tc>
          <w:tcPr>
            <w:tcW w:w="2518" w:type="dxa"/>
            <w:tcBorders>
              <w:top w:val="nil"/>
              <w:bottom w:val="single" w:sz="4" w:space="0" w:color="FFFFFF"/>
            </w:tcBorders>
            <w:shd w:val="clear" w:color="auto" w:fill="002060"/>
          </w:tcPr>
          <w:p w14:paraId="45BC80C6" w14:textId="77777777" w:rsidR="0073528B" w:rsidRPr="00D30847" w:rsidRDefault="0073528B" w:rsidP="00E84CD0">
            <w:pPr>
              <w:tabs>
                <w:tab w:val="left" w:pos="1526"/>
              </w:tabs>
              <w:spacing w:after="0" w:line="240" w:lineRule="auto"/>
              <w:jc w:val="both"/>
              <w:rPr>
                <w:rFonts w:cs="Calibri"/>
                <w:b/>
                <w:color w:val="FFFFFF"/>
                <w:sz w:val="20"/>
                <w:szCs w:val="20"/>
                <w:lang w:val="en-GB"/>
              </w:rPr>
            </w:pPr>
            <w:r w:rsidRPr="00D30847">
              <w:rPr>
                <w:rFonts w:cs="Calibri"/>
                <w:b/>
                <w:color w:val="FFFFFF"/>
                <w:sz w:val="20"/>
                <w:szCs w:val="20"/>
                <w:lang w:val="en-GB"/>
              </w:rPr>
              <w:t>Completed in year:</w:t>
            </w:r>
            <w:r w:rsidRPr="00D30847">
              <w:rPr>
                <w:rFonts w:cs="Calibri"/>
                <w:b/>
                <w:color w:val="FFFFFF"/>
                <w:sz w:val="20"/>
                <w:szCs w:val="20"/>
                <w:lang w:val="en-GB"/>
              </w:rPr>
              <w:tab/>
            </w:r>
          </w:p>
        </w:tc>
        <w:tc>
          <w:tcPr>
            <w:tcW w:w="6246" w:type="dxa"/>
            <w:tcBorders>
              <w:top w:val="nil"/>
              <w:bottom w:val="single" w:sz="4" w:space="0" w:color="FFFFFF"/>
            </w:tcBorders>
            <w:shd w:val="clear" w:color="auto" w:fill="D9E2F3"/>
          </w:tcPr>
          <w:p w14:paraId="6BA506AA" w14:textId="4B880567" w:rsidR="0073528B" w:rsidRPr="00D30847" w:rsidRDefault="0073528B" w:rsidP="00E84CD0">
            <w:pPr>
              <w:tabs>
                <w:tab w:val="left" w:pos="1526"/>
              </w:tabs>
              <w:spacing w:after="0" w:line="240" w:lineRule="auto"/>
              <w:jc w:val="both"/>
              <w:rPr>
                <w:rFonts w:cs="Calibri"/>
                <w:sz w:val="20"/>
                <w:szCs w:val="20"/>
                <w:lang w:val="en-GB"/>
              </w:rPr>
            </w:pPr>
            <w:r w:rsidRPr="00D30847">
              <w:rPr>
                <w:rFonts w:cs="Calibri"/>
                <w:sz w:val="20"/>
                <w:szCs w:val="20"/>
                <w:lang w:val="en-GB"/>
              </w:rPr>
              <w:t>202</w:t>
            </w:r>
            <w:r w:rsidR="00F44E52" w:rsidRPr="00D30847">
              <w:rPr>
                <w:rFonts w:cs="Calibri"/>
                <w:sz w:val="20"/>
                <w:szCs w:val="20"/>
                <w:lang w:val="en-GB"/>
              </w:rPr>
              <w:t>8</w:t>
            </w:r>
          </w:p>
        </w:tc>
      </w:tr>
      <w:tr w:rsidR="0073528B" w:rsidRPr="00D30847" w14:paraId="14A6A35F" w14:textId="77777777" w:rsidTr="00871CB3">
        <w:tc>
          <w:tcPr>
            <w:tcW w:w="2518" w:type="dxa"/>
            <w:tcBorders>
              <w:top w:val="single" w:sz="4" w:space="0" w:color="FFFFFF"/>
              <w:bottom w:val="single" w:sz="4" w:space="0" w:color="FFFFFF"/>
            </w:tcBorders>
            <w:shd w:val="clear" w:color="auto" w:fill="002060"/>
          </w:tcPr>
          <w:p w14:paraId="01F07C64" w14:textId="77777777" w:rsidR="0073528B" w:rsidRPr="00D30847" w:rsidRDefault="0073528B"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01E0C2A0" w14:textId="77777777" w:rsidR="0073528B" w:rsidRPr="00D30847" w:rsidRDefault="0073528B" w:rsidP="00AD2AD5">
            <w:pPr>
              <w:pStyle w:val="ListParagraph"/>
              <w:numPr>
                <w:ilvl w:val="0"/>
                <w:numId w:val="12"/>
              </w:numPr>
              <w:spacing w:after="0" w:line="240" w:lineRule="auto"/>
              <w:ind w:left="183" w:hanging="226"/>
              <w:rPr>
                <w:rFonts w:cs="Calibri"/>
                <w:sz w:val="20"/>
                <w:szCs w:val="20"/>
              </w:rPr>
            </w:pPr>
            <w:r w:rsidRPr="00D30847">
              <w:rPr>
                <w:rFonts w:cs="Calibri"/>
                <w:sz w:val="20"/>
                <w:szCs w:val="20"/>
              </w:rPr>
              <w:t>Increased number of external debt orders paid electronically</w:t>
            </w:r>
            <w:r w:rsidR="00775A75" w:rsidRPr="00D30847">
              <w:rPr>
                <w:rFonts w:cs="Calibri"/>
                <w:sz w:val="20"/>
                <w:szCs w:val="20"/>
              </w:rPr>
              <w:t>;</w:t>
            </w:r>
          </w:p>
          <w:p w14:paraId="269733BE" w14:textId="77777777" w:rsidR="0073528B" w:rsidRPr="00D30847" w:rsidRDefault="0073528B" w:rsidP="00AD2AD5">
            <w:pPr>
              <w:pStyle w:val="ListParagraph"/>
              <w:numPr>
                <w:ilvl w:val="0"/>
                <w:numId w:val="12"/>
              </w:numPr>
              <w:spacing w:after="0" w:line="240" w:lineRule="auto"/>
              <w:ind w:left="183" w:hanging="226"/>
              <w:rPr>
                <w:rFonts w:cs="Calibri"/>
                <w:sz w:val="20"/>
                <w:szCs w:val="20"/>
              </w:rPr>
            </w:pPr>
            <w:r w:rsidRPr="00D30847">
              <w:rPr>
                <w:rFonts w:cs="Calibri"/>
                <w:sz w:val="20"/>
                <w:szCs w:val="20"/>
              </w:rPr>
              <w:t>Increase</w:t>
            </w:r>
            <w:r w:rsidR="00775A75" w:rsidRPr="00D30847">
              <w:rPr>
                <w:rFonts w:cs="Calibri"/>
                <w:sz w:val="20"/>
                <w:szCs w:val="20"/>
              </w:rPr>
              <w:t>d</w:t>
            </w:r>
            <w:r w:rsidRPr="00D30847">
              <w:rPr>
                <w:rFonts w:cs="Calibri"/>
                <w:sz w:val="20"/>
                <w:szCs w:val="20"/>
              </w:rPr>
              <w:t xml:space="preserve"> number of employees in the Department</w:t>
            </w:r>
            <w:r w:rsidR="00775A75" w:rsidRPr="00D30847">
              <w:rPr>
                <w:rFonts w:cs="Calibri"/>
                <w:sz w:val="20"/>
                <w:szCs w:val="20"/>
              </w:rPr>
              <w:t>;</w:t>
            </w:r>
          </w:p>
          <w:p w14:paraId="11A8D2AB" w14:textId="77777777" w:rsidR="0073528B" w:rsidRPr="00D30847" w:rsidRDefault="0073528B" w:rsidP="00AD2AD5">
            <w:pPr>
              <w:pStyle w:val="ListParagraph"/>
              <w:numPr>
                <w:ilvl w:val="0"/>
                <w:numId w:val="12"/>
              </w:numPr>
              <w:spacing w:after="0" w:line="240" w:lineRule="auto"/>
              <w:ind w:left="183" w:hanging="226"/>
              <w:rPr>
                <w:rFonts w:cs="Calibri"/>
                <w:sz w:val="20"/>
                <w:szCs w:val="20"/>
              </w:rPr>
            </w:pPr>
            <w:r w:rsidRPr="00D30847">
              <w:rPr>
                <w:rFonts w:cs="Calibri"/>
                <w:sz w:val="20"/>
                <w:szCs w:val="20"/>
              </w:rPr>
              <w:t>Prepared procedure for quarterly reconciliation of the debt with the foreign creditors</w:t>
            </w:r>
            <w:r w:rsidR="00775A75" w:rsidRPr="00D30847">
              <w:rPr>
                <w:rFonts w:cs="Calibri"/>
                <w:sz w:val="20"/>
                <w:szCs w:val="20"/>
              </w:rPr>
              <w:t>;</w:t>
            </w:r>
          </w:p>
        </w:tc>
      </w:tr>
      <w:tr w:rsidR="0073528B" w:rsidRPr="00D30847" w14:paraId="779CF733" w14:textId="77777777" w:rsidTr="00871CB3">
        <w:tc>
          <w:tcPr>
            <w:tcW w:w="2518" w:type="dxa"/>
            <w:tcBorders>
              <w:top w:val="single" w:sz="4" w:space="0" w:color="FFFFFF"/>
              <w:bottom w:val="single" w:sz="4" w:space="0" w:color="FFFFFF"/>
            </w:tcBorders>
            <w:shd w:val="clear" w:color="auto" w:fill="002060"/>
          </w:tcPr>
          <w:p w14:paraId="57D61E4B" w14:textId="77777777" w:rsidR="0073528B" w:rsidRPr="00D30847" w:rsidRDefault="0073528B"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Cost implications:</w:t>
            </w:r>
            <w:r w:rsidRPr="00D30847">
              <w:rPr>
                <w:rFonts w:cs="Calibri"/>
                <w:b/>
                <w:color w:val="FFFFFF"/>
                <w:sz w:val="20"/>
                <w:szCs w:val="20"/>
                <w:lang w:val="en-GB"/>
              </w:rPr>
              <w:tab/>
            </w:r>
          </w:p>
        </w:tc>
        <w:tc>
          <w:tcPr>
            <w:tcW w:w="6246" w:type="dxa"/>
            <w:tcBorders>
              <w:top w:val="single" w:sz="4" w:space="0" w:color="FFFFFF"/>
              <w:bottom w:val="single" w:sz="4" w:space="0" w:color="FFFFFF"/>
            </w:tcBorders>
            <w:shd w:val="clear" w:color="auto" w:fill="D9E2F3"/>
          </w:tcPr>
          <w:p w14:paraId="4C551895" w14:textId="3C4413D0" w:rsidR="0073528B" w:rsidRPr="00D30847" w:rsidRDefault="00A9690C" w:rsidP="0004385D">
            <w:pPr>
              <w:tabs>
                <w:tab w:val="left" w:pos="1526"/>
              </w:tabs>
              <w:spacing w:after="0" w:line="240" w:lineRule="auto"/>
              <w:ind w:left="183" w:hanging="226"/>
              <w:jc w:val="both"/>
              <w:rPr>
                <w:rFonts w:cs="Calibri"/>
                <w:sz w:val="20"/>
                <w:szCs w:val="20"/>
                <w:lang w:val="en-GB"/>
              </w:rPr>
            </w:pPr>
            <w:r w:rsidRPr="00D30847">
              <w:rPr>
                <w:rFonts w:cs="Calibri"/>
                <w:sz w:val="20"/>
                <w:szCs w:val="20"/>
                <w:lang w:val="en-GB"/>
              </w:rPr>
              <w:t xml:space="preserve">EUR </w:t>
            </w:r>
            <w:r w:rsidR="00E77C3C" w:rsidRPr="00D30847">
              <w:rPr>
                <w:rFonts w:cs="Calibri"/>
                <w:sz w:val="20"/>
                <w:szCs w:val="20"/>
                <w:lang w:val="en-GB"/>
              </w:rPr>
              <w:t>227</w:t>
            </w:r>
            <w:r w:rsidR="00775A75" w:rsidRPr="00D30847">
              <w:rPr>
                <w:rFonts w:cs="Calibri"/>
                <w:sz w:val="20"/>
                <w:szCs w:val="20"/>
                <w:lang w:val="en-GB"/>
              </w:rPr>
              <w:t xml:space="preserve">,000 </w:t>
            </w:r>
          </w:p>
        </w:tc>
      </w:tr>
      <w:tr w:rsidR="0073528B" w:rsidRPr="00D30847" w14:paraId="61DF8814" w14:textId="77777777" w:rsidTr="00871CB3">
        <w:tc>
          <w:tcPr>
            <w:tcW w:w="2518" w:type="dxa"/>
            <w:tcBorders>
              <w:top w:val="single" w:sz="4" w:space="0" w:color="FFFFFF"/>
              <w:bottom w:val="single" w:sz="4" w:space="0" w:color="FFFFFF"/>
            </w:tcBorders>
            <w:shd w:val="clear" w:color="auto" w:fill="002060"/>
          </w:tcPr>
          <w:p w14:paraId="5BC44F05" w14:textId="77777777" w:rsidR="0073528B" w:rsidRPr="00D30847" w:rsidRDefault="0073528B"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Responsible entity:</w:t>
            </w:r>
          </w:p>
        </w:tc>
        <w:tc>
          <w:tcPr>
            <w:tcW w:w="6246" w:type="dxa"/>
            <w:tcBorders>
              <w:top w:val="single" w:sz="4" w:space="0" w:color="FFFFFF"/>
              <w:bottom w:val="single" w:sz="4" w:space="0" w:color="FFFFFF"/>
            </w:tcBorders>
            <w:shd w:val="clear" w:color="auto" w:fill="D9E2F3"/>
          </w:tcPr>
          <w:p w14:paraId="15185773" w14:textId="596D96E5" w:rsidR="0073528B" w:rsidRPr="00D30847" w:rsidRDefault="00FA0745" w:rsidP="0004385D">
            <w:pPr>
              <w:tabs>
                <w:tab w:val="left" w:pos="4219"/>
              </w:tabs>
              <w:spacing w:after="0" w:line="240" w:lineRule="auto"/>
              <w:ind w:left="183" w:hanging="226"/>
              <w:jc w:val="both"/>
              <w:rPr>
                <w:rFonts w:cs="Calibri"/>
                <w:sz w:val="20"/>
                <w:szCs w:val="20"/>
                <w:lang w:val="en-GB"/>
              </w:rPr>
            </w:pPr>
            <w:r w:rsidRPr="00D30847">
              <w:rPr>
                <w:rFonts w:cs="Calibri"/>
                <w:sz w:val="20"/>
                <w:szCs w:val="20"/>
                <w:lang w:val="en-GB"/>
              </w:rPr>
              <w:t>- Mo</w:t>
            </w:r>
            <w:r w:rsidR="00C36B25" w:rsidRPr="00D30847">
              <w:rPr>
                <w:rFonts w:cs="Calibri"/>
                <w:sz w:val="20"/>
                <w:szCs w:val="20"/>
                <w:lang w:val="en-GB"/>
              </w:rPr>
              <w:t>F</w:t>
            </w:r>
            <w:r w:rsidRPr="00D30847">
              <w:rPr>
                <w:rFonts w:cs="Calibri"/>
                <w:sz w:val="20"/>
                <w:szCs w:val="20"/>
                <w:lang w:val="en-GB"/>
              </w:rPr>
              <w:t xml:space="preserve"> </w:t>
            </w:r>
            <w:r w:rsidR="0073528B" w:rsidRPr="00D30847">
              <w:rPr>
                <w:rFonts w:cs="Calibri"/>
                <w:sz w:val="20"/>
                <w:szCs w:val="20"/>
                <w:lang w:val="en-GB"/>
              </w:rPr>
              <w:t>Public Debt Management Department</w:t>
            </w:r>
          </w:p>
        </w:tc>
      </w:tr>
      <w:tr w:rsidR="0073528B" w:rsidRPr="00D30847" w14:paraId="686F1AE4" w14:textId="77777777" w:rsidTr="00871CB3">
        <w:tc>
          <w:tcPr>
            <w:tcW w:w="2518" w:type="dxa"/>
            <w:tcBorders>
              <w:top w:val="single" w:sz="4" w:space="0" w:color="FFFFFF"/>
              <w:bottom w:val="nil"/>
            </w:tcBorders>
            <w:shd w:val="clear" w:color="auto" w:fill="002060"/>
          </w:tcPr>
          <w:p w14:paraId="57745509" w14:textId="77777777" w:rsidR="0073528B" w:rsidRPr="00D30847" w:rsidRDefault="0073528B"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Risk:</w:t>
            </w:r>
          </w:p>
        </w:tc>
        <w:tc>
          <w:tcPr>
            <w:tcW w:w="6246" w:type="dxa"/>
            <w:tcBorders>
              <w:top w:val="single" w:sz="4" w:space="0" w:color="FFFFFF"/>
              <w:bottom w:val="nil"/>
            </w:tcBorders>
            <w:shd w:val="clear" w:color="auto" w:fill="D9E2F3"/>
          </w:tcPr>
          <w:p w14:paraId="24EF1815" w14:textId="77777777" w:rsidR="0073528B" w:rsidRPr="00D30847" w:rsidRDefault="0073528B" w:rsidP="00AD2AD5">
            <w:pPr>
              <w:pStyle w:val="ListParagraph"/>
              <w:numPr>
                <w:ilvl w:val="0"/>
                <w:numId w:val="13"/>
              </w:numPr>
              <w:tabs>
                <w:tab w:val="left" w:pos="0"/>
              </w:tabs>
              <w:spacing w:after="0" w:line="240" w:lineRule="auto"/>
              <w:ind w:left="183" w:hanging="226"/>
              <w:rPr>
                <w:rFonts w:cs="Calibri"/>
                <w:sz w:val="20"/>
                <w:szCs w:val="20"/>
              </w:rPr>
            </w:pPr>
            <w:r w:rsidRPr="00D30847">
              <w:rPr>
                <w:rFonts w:cs="Calibri"/>
                <w:sz w:val="20"/>
                <w:szCs w:val="20"/>
              </w:rPr>
              <w:t>Externalities which can cause a deterioration of the international standing of the Government’s debt</w:t>
            </w:r>
            <w:r w:rsidR="00775A75" w:rsidRPr="00D30847">
              <w:rPr>
                <w:rFonts w:cs="Calibri"/>
                <w:sz w:val="20"/>
                <w:szCs w:val="20"/>
              </w:rPr>
              <w:t>;</w:t>
            </w:r>
          </w:p>
          <w:p w14:paraId="037BA0FE" w14:textId="4DE62DD3" w:rsidR="0073528B" w:rsidRPr="00D30847" w:rsidRDefault="00D53B29" w:rsidP="00AD2AD5">
            <w:pPr>
              <w:pStyle w:val="ListParagraph"/>
              <w:numPr>
                <w:ilvl w:val="0"/>
                <w:numId w:val="13"/>
              </w:numPr>
              <w:tabs>
                <w:tab w:val="left" w:pos="0"/>
              </w:tabs>
              <w:spacing w:after="0" w:line="240" w:lineRule="auto"/>
              <w:ind w:left="183" w:hanging="226"/>
              <w:rPr>
                <w:rFonts w:cs="Calibri"/>
                <w:sz w:val="20"/>
                <w:szCs w:val="20"/>
              </w:rPr>
            </w:pPr>
            <w:r w:rsidRPr="00D30847">
              <w:rPr>
                <w:rFonts w:cs="Calibri"/>
                <w:sz w:val="20"/>
                <w:szCs w:val="20"/>
              </w:rPr>
              <w:t>Insufficient</w:t>
            </w:r>
            <w:r w:rsidR="0073528B" w:rsidRPr="00D30847">
              <w:rPr>
                <w:rFonts w:cs="Calibri"/>
                <w:sz w:val="20"/>
                <w:szCs w:val="20"/>
              </w:rPr>
              <w:t xml:space="preserve"> human capacity to carry out the activity</w:t>
            </w:r>
            <w:r w:rsidR="00775A75" w:rsidRPr="00D30847">
              <w:rPr>
                <w:rFonts w:cs="Calibri"/>
                <w:sz w:val="20"/>
                <w:szCs w:val="20"/>
              </w:rPr>
              <w:t>;</w:t>
            </w:r>
          </w:p>
          <w:p w14:paraId="38DBEF10" w14:textId="77777777" w:rsidR="0073528B" w:rsidRPr="00D30847" w:rsidRDefault="0073528B" w:rsidP="00AD2AD5">
            <w:pPr>
              <w:pStyle w:val="ListParagraph"/>
              <w:numPr>
                <w:ilvl w:val="0"/>
                <w:numId w:val="13"/>
              </w:numPr>
              <w:tabs>
                <w:tab w:val="left" w:pos="0"/>
              </w:tabs>
              <w:spacing w:after="0" w:line="240" w:lineRule="auto"/>
              <w:ind w:left="183" w:hanging="226"/>
              <w:rPr>
                <w:rFonts w:cs="Calibri"/>
                <w:sz w:val="20"/>
                <w:szCs w:val="20"/>
              </w:rPr>
            </w:pPr>
            <w:r w:rsidRPr="00D30847">
              <w:rPr>
                <w:rFonts w:cs="Calibri"/>
                <w:sz w:val="20"/>
                <w:szCs w:val="20"/>
              </w:rPr>
              <w:t>Outflow of educated staff</w:t>
            </w:r>
            <w:r w:rsidR="00657DD0" w:rsidRPr="00D30847">
              <w:rPr>
                <w:rFonts w:cs="Calibri"/>
                <w:sz w:val="20"/>
                <w:szCs w:val="20"/>
              </w:rPr>
              <w:t>.</w:t>
            </w:r>
          </w:p>
        </w:tc>
      </w:tr>
    </w:tbl>
    <w:p w14:paraId="6024939F" w14:textId="77777777" w:rsidR="00CE0F6C" w:rsidRPr="00D30847" w:rsidRDefault="00CE0F6C" w:rsidP="00E84CD0">
      <w:pPr>
        <w:spacing w:line="240" w:lineRule="auto"/>
        <w:jc w:val="both"/>
        <w:rPr>
          <w:rFonts w:cs="Calibri"/>
          <w:b/>
          <w:color w:val="0070C0"/>
          <w:sz w:val="24"/>
          <w:szCs w:val="24"/>
          <w:lang w:val="en-GB"/>
        </w:rPr>
      </w:pPr>
    </w:p>
    <w:p w14:paraId="65A9FCF7" w14:textId="69F26708" w:rsidR="0073528B" w:rsidRPr="00D30847" w:rsidRDefault="0073528B" w:rsidP="00E84CD0">
      <w:pPr>
        <w:spacing w:line="240" w:lineRule="auto"/>
        <w:jc w:val="both"/>
        <w:rPr>
          <w:rFonts w:cs="Calibri"/>
          <w:b/>
          <w:color w:val="0070C0"/>
          <w:sz w:val="24"/>
          <w:szCs w:val="24"/>
          <w:lang w:val="en-GB"/>
        </w:rPr>
      </w:pPr>
      <w:r w:rsidRPr="00D30847">
        <w:rPr>
          <w:rFonts w:cs="Calibri"/>
          <w:b/>
          <w:color w:val="0070C0"/>
          <w:sz w:val="24"/>
          <w:szCs w:val="24"/>
          <w:lang w:val="en-GB"/>
        </w:rPr>
        <w:t>M</w:t>
      </w:r>
      <w:r w:rsidR="009036A5" w:rsidRPr="00D30847">
        <w:rPr>
          <w:rFonts w:cs="Calibri"/>
          <w:b/>
          <w:color w:val="0070C0"/>
          <w:sz w:val="24"/>
          <w:szCs w:val="24"/>
          <w:lang w:val="en-GB"/>
        </w:rPr>
        <w:t xml:space="preserve">easure </w:t>
      </w:r>
      <w:r w:rsidRPr="00D30847">
        <w:rPr>
          <w:rFonts w:cs="Calibri"/>
          <w:b/>
          <w:color w:val="0070C0"/>
          <w:sz w:val="24"/>
          <w:szCs w:val="24"/>
          <w:lang w:val="en-GB"/>
        </w:rPr>
        <w:t>2:</w:t>
      </w:r>
      <w:r w:rsidR="00CA0BA6" w:rsidRPr="00D30847">
        <w:rPr>
          <w:rFonts w:cs="Calibri"/>
          <w:b/>
          <w:color w:val="0070C0"/>
          <w:sz w:val="24"/>
          <w:szCs w:val="24"/>
          <w:lang w:val="en-GB"/>
        </w:rPr>
        <w:t xml:space="preserve"> </w:t>
      </w:r>
      <w:r w:rsidRPr="00D30847">
        <w:rPr>
          <w:rFonts w:cs="Calibri"/>
          <w:b/>
          <w:color w:val="0070C0"/>
          <w:sz w:val="24"/>
          <w:szCs w:val="24"/>
          <w:lang w:val="en-GB"/>
        </w:rPr>
        <w:t>Increasing public debt transparency</w:t>
      </w:r>
    </w:p>
    <w:p w14:paraId="455A872B" w14:textId="77777777" w:rsidR="0073528B" w:rsidRPr="00D30847" w:rsidRDefault="0073528B" w:rsidP="0081628C">
      <w:pPr>
        <w:pStyle w:val="Heading4"/>
        <w:spacing w:line="240" w:lineRule="auto"/>
        <w:rPr>
          <w:rFonts w:cs="Calibri"/>
          <w:sz w:val="22"/>
          <w:szCs w:val="22"/>
        </w:rPr>
      </w:pPr>
      <w:r w:rsidRPr="00D30847">
        <w:rPr>
          <w:rFonts w:cs="Calibri"/>
          <w:sz w:val="22"/>
          <w:szCs w:val="22"/>
        </w:rPr>
        <w:t>Measure objective</w:t>
      </w:r>
    </w:p>
    <w:p w14:paraId="3D0044A1" w14:textId="77777777" w:rsidR="0073528B" w:rsidRPr="00D30847" w:rsidDel="000C4E23" w:rsidRDefault="0073528B" w:rsidP="0081628C">
      <w:pPr>
        <w:spacing w:before="160" w:after="60" w:line="240" w:lineRule="auto"/>
        <w:jc w:val="both"/>
        <w:rPr>
          <w:rFonts w:cs="Calibri"/>
          <w:lang w:val="en-GB"/>
        </w:rPr>
      </w:pPr>
      <w:r w:rsidRPr="00D30847">
        <w:rPr>
          <w:rFonts w:cs="Calibri"/>
          <w:lang w:val="en-GB"/>
        </w:rPr>
        <w:t>Transparent presentation of public debt in line with international methodologies and standards</w:t>
      </w:r>
      <w:r w:rsidR="00E00980" w:rsidRPr="00D30847">
        <w:rPr>
          <w:rFonts w:cs="Calibri"/>
          <w:lang w:val="en-GB"/>
        </w:rPr>
        <w:t>.</w:t>
      </w:r>
    </w:p>
    <w:p w14:paraId="4E559D51" w14:textId="77777777" w:rsidR="0073528B" w:rsidRPr="00D30847" w:rsidRDefault="0073528B" w:rsidP="0081628C">
      <w:pPr>
        <w:pStyle w:val="Heading4"/>
        <w:spacing w:line="240" w:lineRule="auto"/>
        <w:rPr>
          <w:rFonts w:cs="Calibri"/>
          <w:sz w:val="22"/>
          <w:szCs w:val="22"/>
        </w:rPr>
      </w:pPr>
      <w:r w:rsidRPr="00D30847">
        <w:rPr>
          <w:rFonts w:cs="Calibri"/>
          <w:sz w:val="22"/>
          <w:szCs w:val="22"/>
        </w:rPr>
        <w:t>Reference to findings from external assessments:</w:t>
      </w:r>
    </w:p>
    <w:tbl>
      <w:tblPr>
        <w:tblW w:w="84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40"/>
      </w:tblGrid>
      <w:tr w:rsidR="0073528B" w:rsidRPr="00D30847" w14:paraId="009C2538" w14:textId="77777777" w:rsidTr="00CA41E4">
        <w:tc>
          <w:tcPr>
            <w:tcW w:w="1098" w:type="dxa"/>
            <w:shd w:val="clear" w:color="auto" w:fill="DDDDDD"/>
          </w:tcPr>
          <w:p w14:paraId="45811B8B" w14:textId="40DB7171" w:rsidR="0073528B" w:rsidRPr="00D30847" w:rsidRDefault="0073528B" w:rsidP="0081628C">
            <w:pPr>
              <w:spacing w:before="160" w:after="60" w:line="240" w:lineRule="auto"/>
              <w:jc w:val="both"/>
              <w:rPr>
                <w:rFonts w:cs="Calibri"/>
                <w:b/>
                <w:sz w:val="20"/>
                <w:szCs w:val="20"/>
                <w:lang w:val="en-GB"/>
              </w:rPr>
            </w:pPr>
            <w:r w:rsidRPr="00D30847">
              <w:rPr>
                <w:rFonts w:cs="Calibri"/>
                <w:b/>
                <w:sz w:val="20"/>
                <w:szCs w:val="20"/>
                <w:lang w:val="en-GB"/>
              </w:rPr>
              <w:t>IMF</w:t>
            </w:r>
          </w:p>
        </w:tc>
        <w:tc>
          <w:tcPr>
            <w:tcW w:w="7340" w:type="dxa"/>
            <w:shd w:val="clear" w:color="auto" w:fill="DDDDDD"/>
          </w:tcPr>
          <w:p w14:paraId="050A8BA6" w14:textId="3C658171" w:rsidR="0073528B" w:rsidRPr="00D30847" w:rsidRDefault="0073528B" w:rsidP="0081628C">
            <w:pPr>
              <w:autoSpaceDE w:val="0"/>
              <w:autoSpaceDN w:val="0"/>
              <w:adjustRightInd w:val="0"/>
              <w:spacing w:before="160" w:after="60" w:line="240" w:lineRule="auto"/>
              <w:jc w:val="both"/>
              <w:rPr>
                <w:rFonts w:cs="Calibri"/>
                <w:sz w:val="20"/>
                <w:szCs w:val="20"/>
                <w:lang w:val="en-GB"/>
              </w:rPr>
            </w:pPr>
            <w:r w:rsidRPr="00D30847">
              <w:rPr>
                <w:rFonts w:cs="Calibri"/>
                <w:sz w:val="20"/>
                <w:szCs w:val="20"/>
                <w:lang w:val="en-GB"/>
              </w:rPr>
              <w:t>North Macedonia’s debt is assessed as sustainable in the current baseline.</w:t>
            </w:r>
            <w:r w:rsidR="00D53B29" w:rsidRPr="00D30847">
              <w:rPr>
                <w:rFonts w:cs="Calibri"/>
                <w:sz w:val="20"/>
                <w:szCs w:val="20"/>
                <w:lang w:val="en-GB"/>
              </w:rPr>
              <w:t xml:space="preserve"> </w:t>
            </w:r>
            <w:r w:rsidRPr="00D30847">
              <w:rPr>
                <w:rFonts w:cs="Calibri"/>
                <w:sz w:val="20"/>
                <w:szCs w:val="20"/>
                <w:lang w:val="en-GB"/>
              </w:rPr>
              <w:t>However, from a liquidity perspective, financing needs exceed the high-risk threshold in the baseline scenario.</w:t>
            </w:r>
          </w:p>
        </w:tc>
      </w:tr>
    </w:tbl>
    <w:p w14:paraId="014C7485" w14:textId="77777777" w:rsidR="0073528B" w:rsidRPr="00D30847" w:rsidRDefault="0073528B" w:rsidP="0081628C">
      <w:pPr>
        <w:pStyle w:val="Heading4"/>
        <w:spacing w:line="240" w:lineRule="auto"/>
        <w:rPr>
          <w:rFonts w:cs="Calibri"/>
          <w:sz w:val="22"/>
          <w:szCs w:val="22"/>
        </w:rPr>
      </w:pPr>
      <w:r w:rsidRPr="00D30847">
        <w:rPr>
          <w:rFonts w:cs="Calibri"/>
          <w:sz w:val="22"/>
          <w:szCs w:val="22"/>
        </w:rPr>
        <w:t>Context/Background</w:t>
      </w:r>
    </w:p>
    <w:p w14:paraId="6D1EB502" w14:textId="13677EA4" w:rsidR="004E1E75" w:rsidRPr="00D30847" w:rsidRDefault="004E1E75" w:rsidP="0081628C">
      <w:pPr>
        <w:pStyle w:val="NormalPFM1"/>
        <w:spacing w:before="160" w:after="60" w:line="240" w:lineRule="auto"/>
        <w:rPr>
          <w:rFonts w:cs="Calibri"/>
          <w:sz w:val="22"/>
          <w:szCs w:val="22"/>
        </w:rPr>
      </w:pPr>
      <w:r w:rsidRPr="00D30847">
        <w:rPr>
          <w:rFonts w:cs="Calibri"/>
          <w:sz w:val="22"/>
          <w:szCs w:val="22"/>
        </w:rPr>
        <w:t>Adoption of new Organic Budget Law, coupled with measures and activities undertaken by the Ministry of Finance to improve the legal and the strategic framework for public financial management, provides a framework for more efficient PFM.</w:t>
      </w:r>
      <w:r w:rsidR="00CA0BA6" w:rsidRPr="00D30847">
        <w:rPr>
          <w:rFonts w:cs="Calibri"/>
          <w:sz w:val="22"/>
          <w:szCs w:val="22"/>
        </w:rPr>
        <w:t xml:space="preserve"> </w:t>
      </w:r>
      <w:r w:rsidRPr="00D30847">
        <w:rPr>
          <w:rFonts w:cs="Calibri"/>
          <w:sz w:val="22"/>
          <w:szCs w:val="22"/>
        </w:rPr>
        <w:t>In addition, in order to improve the Open Budget Index, it is necessary, within the budget process, to supplement the Budget with debt data in order to present more detailed data on debt amount and structure at the end of the year for which the Budget is adopted.</w:t>
      </w:r>
      <w:r w:rsidR="00D53B29" w:rsidRPr="00D30847">
        <w:rPr>
          <w:rFonts w:cs="Calibri"/>
          <w:sz w:val="22"/>
          <w:szCs w:val="22"/>
        </w:rPr>
        <w:t xml:space="preserve"> </w:t>
      </w:r>
      <w:r w:rsidRPr="00D30847">
        <w:rPr>
          <w:rFonts w:cs="Calibri"/>
          <w:sz w:val="22"/>
          <w:szCs w:val="22"/>
        </w:rPr>
        <w:t>In 2019, Republic of North Macedonia accessed the highest statistical data dissemination standard of the IMF - SDDS Plus, confirming the quality of the statistical system.</w:t>
      </w:r>
      <w:r w:rsidR="00D53B29" w:rsidRPr="00D30847">
        <w:rPr>
          <w:rFonts w:cs="Calibri"/>
          <w:sz w:val="22"/>
          <w:szCs w:val="22"/>
        </w:rPr>
        <w:t xml:space="preserve"> </w:t>
      </w:r>
      <w:r w:rsidRPr="00D30847">
        <w:rPr>
          <w:rFonts w:cs="Calibri"/>
          <w:sz w:val="22"/>
          <w:szCs w:val="22"/>
        </w:rPr>
        <w:t>This will contribute to greater confidence at the international financial organizations, credit rating agencies and, most importantly, at the investors.</w:t>
      </w:r>
      <w:r w:rsidR="00D53B29" w:rsidRPr="00D30847">
        <w:rPr>
          <w:rFonts w:cs="Calibri"/>
          <w:sz w:val="22"/>
          <w:szCs w:val="22"/>
        </w:rPr>
        <w:t xml:space="preserve"> </w:t>
      </w:r>
      <w:r w:rsidRPr="00D30847">
        <w:rPr>
          <w:rFonts w:cs="Calibri"/>
          <w:sz w:val="22"/>
          <w:szCs w:val="22"/>
        </w:rPr>
        <w:t>Fulfilment of the SDDS Plus requirements implies preparation of nine new categories of data, among which the public debt data.</w:t>
      </w:r>
      <w:r w:rsidR="00D53B29" w:rsidRPr="00D30847">
        <w:rPr>
          <w:rFonts w:cs="Calibri"/>
          <w:sz w:val="22"/>
          <w:szCs w:val="22"/>
        </w:rPr>
        <w:t xml:space="preserve"> </w:t>
      </w:r>
      <w:r w:rsidRPr="00D30847">
        <w:rPr>
          <w:rFonts w:cs="Calibri"/>
          <w:sz w:val="22"/>
          <w:szCs w:val="22"/>
        </w:rPr>
        <w:t xml:space="preserve">Ministry of Finance has a 5-year transition </w:t>
      </w:r>
      <w:r w:rsidRPr="00D30847">
        <w:rPr>
          <w:rFonts w:cs="Calibri"/>
          <w:sz w:val="22"/>
          <w:szCs w:val="22"/>
        </w:rPr>
        <w:lastRenderedPageBreak/>
        <w:t>period to align the data with this standard, producing public debt data in line with the SDDS Plus by 2024.</w:t>
      </w:r>
    </w:p>
    <w:p w14:paraId="4E12F6E3" w14:textId="6C3018BA" w:rsidR="004E1E75" w:rsidRPr="00D30847" w:rsidRDefault="004E1E75" w:rsidP="004E1E75">
      <w:pPr>
        <w:pStyle w:val="NormalPFM1"/>
        <w:spacing w:line="240" w:lineRule="auto"/>
        <w:rPr>
          <w:rFonts w:cs="Calibri"/>
          <w:sz w:val="22"/>
          <w:szCs w:val="22"/>
        </w:rPr>
      </w:pPr>
      <w:r w:rsidRPr="00D30847">
        <w:rPr>
          <w:rFonts w:cs="Calibri"/>
          <w:sz w:val="22"/>
          <w:szCs w:val="22"/>
        </w:rPr>
        <w:t xml:space="preserve">Pursuant to </w:t>
      </w:r>
      <w:r w:rsidR="008F391C" w:rsidRPr="00D30847">
        <w:rPr>
          <w:rFonts w:cs="Calibri"/>
          <w:sz w:val="22"/>
          <w:szCs w:val="22"/>
        </w:rPr>
        <w:t>the Organic</w:t>
      </w:r>
      <w:r w:rsidRPr="00D30847">
        <w:rPr>
          <w:rFonts w:cs="Calibri"/>
          <w:sz w:val="22"/>
          <w:szCs w:val="22"/>
        </w:rPr>
        <w:t xml:space="preserve"> Budget Law, it is envisaged for the general government definition to be changed, and accordingly general government debt will have a scope different from the one envisaged under the Public Debt Law.</w:t>
      </w:r>
      <w:r w:rsidR="00D53B29" w:rsidRPr="00D30847">
        <w:rPr>
          <w:rFonts w:cs="Calibri"/>
          <w:sz w:val="22"/>
          <w:szCs w:val="22"/>
        </w:rPr>
        <w:t xml:space="preserve"> </w:t>
      </w:r>
      <w:r w:rsidRPr="00D30847">
        <w:rPr>
          <w:rFonts w:cs="Calibri"/>
          <w:sz w:val="22"/>
          <w:szCs w:val="22"/>
        </w:rPr>
        <w:t>Therefore, Public Debt Law needs to be accordingly amended, with the definition aligned with the Organic Budget Law and the Maastricht Criteria.</w:t>
      </w:r>
    </w:p>
    <w:p w14:paraId="48963602" w14:textId="21532269" w:rsidR="0073528B" w:rsidRPr="00D30847" w:rsidRDefault="0073528B" w:rsidP="0081628C">
      <w:pPr>
        <w:spacing w:before="240" w:line="240" w:lineRule="auto"/>
        <w:jc w:val="both"/>
        <w:rPr>
          <w:rFonts w:cs="Calibri"/>
          <w:b/>
          <w:bCs/>
          <w:iCs/>
          <w:color w:val="0070C0"/>
          <w:lang w:val="en-GB"/>
        </w:rPr>
      </w:pPr>
      <w:r w:rsidRPr="00D30847">
        <w:rPr>
          <w:rFonts w:cs="Calibri"/>
          <w:b/>
          <w:bCs/>
          <w:iCs/>
          <w:color w:val="0070C0"/>
          <w:lang w:val="en-GB"/>
        </w:rPr>
        <w:t xml:space="preserve">Activity 1: Modifications and amendments to Public Debt Law to the end of aligning the debt definition with the </w:t>
      </w:r>
      <w:r w:rsidR="00526ADC">
        <w:rPr>
          <w:rFonts w:cs="Calibri"/>
          <w:b/>
          <w:bCs/>
          <w:iCs/>
          <w:color w:val="0070C0"/>
          <w:lang w:val="en-GB"/>
        </w:rPr>
        <w:t>Organic Budget Law</w:t>
      </w:r>
    </w:p>
    <w:p w14:paraId="1CA58FFB" w14:textId="77777777" w:rsidR="00F44E52" w:rsidRPr="00D30847" w:rsidRDefault="00F44E52" w:rsidP="0081628C">
      <w:pPr>
        <w:pStyle w:val="NormalPFM1"/>
        <w:spacing w:after="200" w:line="240" w:lineRule="auto"/>
        <w:rPr>
          <w:rFonts w:cs="Calibri"/>
          <w:sz w:val="22"/>
          <w:szCs w:val="22"/>
        </w:rPr>
      </w:pPr>
      <w:r w:rsidRPr="00D30847">
        <w:rPr>
          <w:rFonts w:cs="Calibri"/>
          <w:sz w:val="22"/>
          <w:szCs w:val="22"/>
        </w:rPr>
        <w:t>For the purpose of more efficient public debt management, it is necessary for government debt definition in the Public Debt Law to be aligned with the Organic Budget Law</w:t>
      </w:r>
      <w:r w:rsidRPr="00D30847">
        <w:rPr>
          <w:rFonts w:cs="Calibri"/>
          <w:bCs/>
          <w:iCs/>
          <w:sz w:val="22"/>
          <w:szCs w:val="22"/>
        </w:rPr>
        <w:t>. Namely, the Organic Budget Law defines the fiscal rule according to which the total debt of the general government must not exceed the level of 60% of the nominal GDP. The definition of general government debt, as defined in the Law on Budgets, is in accordance with the Maastricht criteria’s debt definition and should be defined accordingly in the Law on Public Debt.</w:t>
      </w:r>
    </w:p>
    <w:p w14:paraId="1366BD4E" w14:textId="3C500EDF" w:rsidR="0073528B" w:rsidRPr="00D30847" w:rsidRDefault="0073528B" w:rsidP="0081628C">
      <w:pPr>
        <w:pStyle w:val="Heading4"/>
        <w:spacing w:after="200" w:line="240" w:lineRule="auto"/>
        <w:rPr>
          <w:rFonts w:cs="Calibri"/>
          <w:i w:val="0"/>
          <w:color w:val="0070C0"/>
          <w:sz w:val="22"/>
          <w:szCs w:val="22"/>
        </w:rPr>
      </w:pPr>
      <w:r w:rsidRPr="00D30847">
        <w:rPr>
          <w:rFonts w:cs="Calibri"/>
          <w:i w:val="0"/>
          <w:color w:val="0070C0"/>
          <w:sz w:val="22"/>
          <w:szCs w:val="22"/>
        </w:rPr>
        <w:t>Activity 2:</w:t>
      </w:r>
      <w:r w:rsidR="00622767" w:rsidRPr="00D30847">
        <w:rPr>
          <w:rFonts w:cs="Calibri"/>
          <w:i w:val="0"/>
          <w:color w:val="0070C0"/>
          <w:sz w:val="22"/>
          <w:szCs w:val="22"/>
        </w:rPr>
        <w:t xml:space="preserve"> </w:t>
      </w:r>
      <w:r w:rsidRPr="00D30847">
        <w:rPr>
          <w:rFonts w:cs="Calibri"/>
          <w:i w:val="0"/>
          <w:color w:val="0070C0"/>
          <w:sz w:val="22"/>
          <w:szCs w:val="22"/>
        </w:rPr>
        <w:t>Incorporating debt data in the Budget document</w:t>
      </w:r>
    </w:p>
    <w:p w14:paraId="67790817" w14:textId="0529EE54" w:rsidR="004E1E75" w:rsidRPr="00D30847" w:rsidRDefault="004E1E75" w:rsidP="0081628C">
      <w:pPr>
        <w:tabs>
          <w:tab w:val="left" w:pos="851"/>
        </w:tabs>
        <w:spacing w:before="120" w:line="240" w:lineRule="auto"/>
        <w:jc w:val="both"/>
        <w:rPr>
          <w:lang w:val="en-GB"/>
        </w:rPr>
      </w:pPr>
      <w:r w:rsidRPr="00D30847">
        <w:rPr>
          <w:rFonts w:cs="Calibri"/>
          <w:lang w:val="en-GB"/>
        </w:rPr>
        <w:t>It is necessary, within the budget process, to supplement the Budget with debt data so as to present more detailed data on debt amount and structure at the end of the year for which the Budget is adopted, i.e</w:t>
      </w:r>
      <w:r w:rsidR="00975ED9" w:rsidRPr="00D30847">
        <w:rPr>
          <w:rFonts w:cs="Calibri"/>
          <w:lang w:val="en-GB"/>
        </w:rPr>
        <w:t>.</w:t>
      </w:r>
      <w:r w:rsidRPr="00D30847">
        <w:rPr>
          <w:rFonts w:cs="Calibri"/>
          <w:lang w:val="en-GB"/>
        </w:rPr>
        <w:t xml:space="preserve"> in </w:t>
      </w:r>
      <w:r w:rsidRPr="00D30847">
        <w:rPr>
          <w:lang w:val="en-GB"/>
        </w:rPr>
        <w:t>Budget</w:t>
      </w:r>
      <w:r w:rsidR="00622767" w:rsidRPr="00D30847">
        <w:rPr>
          <w:lang w:val="en-GB"/>
        </w:rPr>
        <w:t xml:space="preserve"> </w:t>
      </w:r>
      <w:r w:rsidRPr="00D30847">
        <w:rPr>
          <w:lang w:val="en-GB"/>
        </w:rPr>
        <w:t>Proposal</w:t>
      </w:r>
      <w:r w:rsidR="00622767" w:rsidRPr="00D30847">
        <w:rPr>
          <w:lang w:val="en-GB"/>
        </w:rPr>
        <w:t xml:space="preserve"> </w:t>
      </w:r>
      <w:r w:rsidRPr="00D30847">
        <w:rPr>
          <w:lang w:val="en-GB"/>
        </w:rPr>
        <w:t>or</w:t>
      </w:r>
      <w:r w:rsidR="00622767" w:rsidRPr="00D30847">
        <w:rPr>
          <w:lang w:val="en-GB"/>
        </w:rPr>
        <w:t xml:space="preserve"> </w:t>
      </w:r>
      <w:r w:rsidRPr="00D30847">
        <w:rPr>
          <w:lang w:val="en-GB"/>
        </w:rPr>
        <w:t>any</w:t>
      </w:r>
      <w:r w:rsidR="00622767" w:rsidRPr="00D30847">
        <w:rPr>
          <w:lang w:val="en-GB"/>
        </w:rPr>
        <w:t xml:space="preserve"> </w:t>
      </w:r>
      <w:r w:rsidRPr="00D30847">
        <w:rPr>
          <w:lang w:val="en-GB"/>
        </w:rPr>
        <w:t>supporting</w:t>
      </w:r>
      <w:r w:rsidR="00622767" w:rsidRPr="00D30847">
        <w:rPr>
          <w:lang w:val="en-GB"/>
        </w:rPr>
        <w:t xml:space="preserve"> </w:t>
      </w:r>
      <w:r w:rsidRPr="00D30847">
        <w:rPr>
          <w:lang w:val="en-GB"/>
        </w:rPr>
        <w:t>budget</w:t>
      </w:r>
      <w:r w:rsidR="00622767" w:rsidRPr="00D30847">
        <w:rPr>
          <w:lang w:val="en-GB"/>
        </w:rPr>
        <w:t xml:space="preserve"> </w:t>
      </w:r>
      <w:r w:rsidRPr="00D30847">
        <w:rPr>
          <w:lang w:val="en-GB"/>
        </w:rPr>
        <w:t>documentation</w:t>
      </w:r>
      <w:r w:rsidR="00622767" w:rsidRPr="00D30847">
        <w:rPr>
          <w:lang w:val="en-GB"/>
        </w:rPr>
        <w:t xml:space="preserve"> </w:t>
      </w:r>
      <w:r w:rsidRPr="00D30847">
        <w:rPr>
          <w:lang w:val="en-GB"/>
        </w:rPr>
        <w:t>to present</w:t>
      </w:r>
      <w:r w:rsidR="00622767" w:rsidRPr="00D30847">
        <w:rPr>
          <w:lang w:val="en-GB"/>
        </w:rPr>
        <w:t xml:space="preserve"> </w:t>
      </w:r>
      <w:r w:rsidRPr="00D30847">
        <w:rPr>
          <w:lang w:val="en-GB"/>
        </w:rPr>
        <w:t>estimates</w:t>
      </w:r>
      <w:r w:rsidR="00622767" w:rsidRPr="00D30847">
        <w:rPr>
          <w:lang w:val="en-GB"/>
        </w:rPr>
        <w:t xml:space="preserve"> </w:t>
      </w:r>
      <w:r w:rsidRPr="00D30847">
        <w:rPr>
          <w:lang w:val="en-GB"/>
        </w:rPr>
        <w:t>related</w:t>
      </w:r>
      <w:r w:rsidR="00622767" w:rsidRPr="00D30847">
        <w:rPr>
          <w:lang w:val="en-GB"/>
        </w:rPr>
        <w:t xml:space="preserve"> </w:t>
      </w:r>
      <w:r w:rsidRPr="00D30847">
        <w:rPr>
          <w:lang w:val="en-GB"/>
        </w:rPr>
        <w:t>to</w:t>
      </w:r>
      <w:r w:rsidR="00622767" w:rsidRPr="00D30847">
        <w:rPr>
          <w:lang w:val="en-GB"/>
        </w:rPr>
        <w:t xml:space="preserve"> </w:t>
      </w:r>
      <w:r w:rsidRPr="00D30847">
        <w:rPr>
          <w:lang w:val="en-GB"/>
        </w:rPr>
        <w:t>government</w:t>
      </w:r>
      <w:r w:rsidR="00622767" w:rsidRPr="00D30847">
        <w:rPr>
          <w:lang w:val="en-GB"/>
        </w:rPr>
        <w:t xml:space="preserve"> </w:t>
      </w:r>
      <w:r w:rsidRPr="00D30847">
        <w:rPr>
          <w:lang w:val="en-GB"/>
        </w:rPr>
        <w:t>borrowing</w:t>
      </w:r>
      <w:r w:rsidR="00622767" w:rsidRPr="00D30847">
        <w:rPr>
          <w:lang w:val="en-GB"/>
        </w:rPr>
        <w:t xml:space="preserve"> </w:t>
      </w:r>
      <w:r w:rsidRPr="00D30847">
        <w:rPr>
          <w:lang w:val="en-GB"/>
        </w:rPr>
        <w:t>and</w:t>
      </w:r>
      <w:r w:rsidR="00622767" w:rsidRPr="00D30847">
        <w:rPr>
          <w:lang w:val="en-GB"/>
        </w:rPr>
        <w:t xml:space="preserve"> </w:t>
      </w:r>
      <w:r w:rsidRPr="00D30847">
        <w:rPr>
          <w:lang w:val="en-GB"/>
        </w:rPr>
        <w:t>debt: the</w:t>
      </w:r>
      <w:r w:rsidR="00622767" w:rsidRPr="00D30847">
        <w:rPr>
          <w:lang w:val="en-GB"/>
        </w:rPr>
        <w:t xml:space="preserve"> </w:t>
      </w:r>
      <w:r w:rsidRPr="00D30847">
        <w:rPr>
          <w:lang w:val="en-GB"/>
        </w:rPr>
        <w:t>amount</w:t>
      </w:r>
      <w:r w:rsidR="00622767" w:rsidRPr="00D30847">
        <w:rPr>
          <w:lang w:val="en-GB"/>
        </w:rPr>
        <w:t xml:space="preserve"> </w:t>
      </w:r>
      <w:r w:rsidRPr="00D30847">
        <w:rPr>
          <w:lang w:val="en-GB"/>
        </w:rPr>
        <w:t>of</w:t>
      </w:r>
      <w:r w:rsidR="00622767" w:rsidRPr="00D30847">
        <w:rPr>
          <w:lang w:val="en-GB"/>
        </w:rPr>
        <w:t xml:space="preserve"> </w:t>
      </w:r>
      <w:r w:rsidRPr="00D30847">
        <w:rPr>
          <w:lang w:val="en-GB"/>
        </w:rPr>
        <w:t>net</w:t>
      </w:r>
      <w:r w:rsidR="00622767" w:rsidRPr="00D30847">
        <w:rPr>
          <w:lang w:val="en-GB"/>
        </w:rPr>
        <w:t xml:space="preserve"> </w:t>
      </w:r>
      <w:r w:rsidRPr="00D30847">
        <w:rPr>
          <w:lang w:val="en-GB"/>
        </w:rPr>
        <w:t>new</w:t>
      </w:r>
      <w:r w:rsidR="00622767" w:rsidRPr="00D30847">
        <w:rPr>
          <w:lang w:val="en-GB"/>
        </w:rPr>
        <w:t xml:space="preserve"> </w:t>
      </w:r>
      <w:r w:rsidRPr="00D30847">
        <w:rPr>
          <w:lang w:val="en-GB"/>
        </w:rPr>
        <w:t>borrowing</w:t>
      </w:r>
      <w:r w:rsidR="00622767" w:rsidRPr="00D30847">
        <w:rPr>
          <w:lang w:val="en-GB"/>
        </w:rPr>
        <w:t xml:space="preserve"> </w:t>
      </w:r>
      <w:r w:rsidRPr="00D30847">
        <w:rPr>
          <w:lang w:val="en-GB"/>
        </w:rPr>
        <w:t>required</w:t>
      </w:r>
      <w:r w:rsidR="00622767" w:rsidRPr="00D30847">
        <w:rPr>
          <w:lang w:val="en-GB"/>
        </w:rPr>
        <w:t xml:space="preserve"> </w:t>
      </w:r>
      <w:r w:rsidRPr="00D30847">
        <w:rPr>
          <w:lang w:val="en-GB"/>
        </w:rPr>
        <w:t>during</w:t>
      </w:r>
      <w:r w:rsidR="00181839" w:rsidRPr="00D30847">
        <w:rPr>
          <w:lang w:val="en-GB"/>
        </w:rPr>
        <w:t xml:space="preserve"> </w:t>
      </w:r>
      <w:r w:rsidRPr="00D30847">
        <w:rPr>
          <w:lang w:val="en-GB"/>
        </w:rPr>
        <w:t>the</w:t>
      </w:r>
      <w:r w:rsidR="00181839" w:rsidRPr="00D30847">
        <w:rPr>
          <w:lang w:val="en-GB"/>
        </w:rPr>
        <w:t xml:space="preserve"> </w:t>
      </w:r>
      <w:r w:rsidRPr="00D30847">
        <w:rPr>
          <w:lang w:val="en-GB"/>
        </w:rPr>
        <w:t>budget</w:t>
      </w:r>
      <w:r w:rsidR="00181839" w:rsidRPr="00D30847">
        <w:rPr>
          <w:lang w:val="en-GB"/>
        </w:rPr>
        <w:t xml:space="preserve"> </w:t>
      </w:r>
      <w:r w:rsidRPr="00D30847">
        <w:rPr>
          <w:lang w:val="en-GB"/>
        </w:rPr>
        <w:t>year; the</w:t>
      </w:r>
      <w:r w:rsidR="00181839" w:rsidRPr="00D30847">
        <w:rPr>
          <w:lang w:val="en-GB"/>
        </w:rPr>
        <w:t xml:space="preserve"> </w:t>
      </w:r>
      <w:r w:rsidRPr="00D30847">
        <w:rPr>
          <w:lang w:val="en-GB"/>
        </w:rPr>
        <w:t>total</w:t>
      </w:r>
      <w:r w:rsidR="00181839" w:rsidRPr="00D30847">
        <w:rPr>
          <w:lang w:val="en-GB"/>
        </w:rPr>
        <w:t xml:space="preserve"> </w:t>
      </w:r>
      <w:r w:rsidRPr="00D30847">
        <w:rPr>
          <w:lang w:val="en-GB"/>
        </w:rPr>
        <w:t>debt</w:t>
      </w:r>
      <w:r w:rsidR="00181839" w:rsidRPr="00D30847">
        <w:rPr>
          <w:lang w:val="en-GB"/>
        </w:rPr>
        <w:t xml:space="preserve"> </w:t>
      </w:r>
      <w:r w:rsidRPr="00D30847">
        <w:rPr>
          <w:lang w:val="en-GB"/>
        </w:rPr>
        <w:t>outstanding</w:t>
      </w:r>
      <w:r w:rsidR="00181839" w:rsidRPr="00D30847">
        <w:rPr>
          <w:lang w:val="en-GB"/>
        </w:rPr>
        <w:t xml:space="preserve"> </w:t>
      </w:r>
      <w:r w:rsidRPr="00D30847">
        <w:rPr>
          <w:lang w:val="en-GB"/>
        </w:rPr>
        <w:t>at</w:t>
      </w:r>
      <w:r w:rsidR="00181839" w:rsidRPr="00D30847">
        <w:rPr>
          <w:lang w:val="en-GB"/>
        </w:rPr>
        <w:t xml:space="preserve"> </w:t>
      </w:r>
      <w:r w:rsidRPr="00D30847">
        <w:rPr>
          <w:lang w:val="en-GB"/>
        </w:rPr>
        <w:t>the</w:t>
      </w:r>
      <w:r w:rsidR="00181839" w:rsidRPr="00D30847">
        <w:rPr>
          <w:lang w:val="en-GB"/>
        </w:rPr>
        <w:t xml:space="preserve"> </w:t>
      </w:r>
      <w:r w:rsidRPr="00D30847">
        <w:rPr>
          <w:lang w:val="en-GB"/>
        </w:rPr>
        <w:t>end</w:t>
      </w:r>
      <w:r w:rsidR="00181839" w:rsidRPr="00D30847">
        <w:rPr>
          <w:lang w:val="en-GB"/>
        </w:rPr>
        <w:t xml:space="preserve"> </w:t>
      </w:r>
      <w:r w:rsidRPr="00D30847">
        <w:rPr>
          <w:lang w:val="en-GB"/>
        </w:rPr>
        <w:t>of</w:t>
      </w:r>
      <w:r w:rsidR="00181839" w:rsidRPr="00D30847">
        <w:rPr>
          <w:lang w:val="en-GB"/>
        </w:rPr>
        <w:t xml:space="preserve"> </w:t>
      </w:r>
      <w:r w:rsidRPr="00D30847">
        <w:rPr>
          <w:lang w:val="en-GB"/>
        </w:rPr>
        <w:t>the</w:t>
      </w:r>
      <w:r w:rsidR="00181839" w:rsidRPr="00D30847">
        <w:rPr>
          <w:lang w:val="en-GB"/>
        </w:rPr>
        <w:t xml:space="preserve"> </w:t>
      </w:r>
      <w:r w:rsidRPr="00D30847">
        <w:rPr>
          <w:lang w:val="en-GB"/>
        </w:rPr>
        <w:t>budget</w:t>
      </w:r>
      <w:r w:rsidR="00181839" w:rsidRPr="00D30847">
        <w:rPr>
          <w:lang w:val="en-GB"/>
        </w:rPr>
        <w:t xml:space="preserve"> </w:t>
      </w:r>
      <w:r w:rsidRPr="00D30847">
        <w:rPr>
          <w:lang w:val="en-GB"/>
        </w:rPr>
        <w:t>year</w:t>
      </w:r>
      <w:r w:rsidR="00181839" w:rsidRPr="00D30847">
        <w:rPr>
          <w:lang w:val="en-GB"/>
        </w:rPr>
        <w:t xml:space="preserve"> </w:t>
      </w:r>
      <w:r w:rsidRPr="00D30847">
        <w:rPr>
          <w:lang w:val="en-GB"/>
        </w:rPr>
        <w:t>and</w:t>
      </w:r>
      <w:r w:rsidR="00181839" w:rsidRPr="00D30847">
        <w:rPr>
          <w:lang w:val="en-GB"/>
        </w:rPr>
        <w:t xml:space="preserve"> </w:t>
      </w:r>
      <w:r w:rsidRPr="00D30847">
        <w:rPr>
          <w:lang w:val="en-GB"/>
        </w:rPr>
        <w:t>interest</w:t>
      </w:r>
      <w:r w:rsidR="00181839" w:rsidRPr="00D30847">
        <w:rPr>
          <w:lang w:val="en-GB"/>
        </w:rPr>
        <w:t xml:space="preserve"> </w:t>
      </w:r>
      <w:r w:rsidRPr="00D30847">
        <w:rPr>
          <w:lang w:val="en-GB"/>
        </w:rPr>
        <w:t>payments</w:t>
      </w:r>
      <w:r w:rsidR="00181839" w:rsidRPr="00D30847">
        <w:rPr>
          <w:lang w:val="en-GB"/>
        </w:rPr>
        <w:t xml:space="preserve"> </w:t>
      </w:r>
      <w:r w:rsidRPr="00D30847">
        <w:rPr>
          <w:lang w:val="en-GB"/>
        </w:rPr>
        <w:t>on</w:t>
      </w:r>
      <w:r w:rsidR="00181839" w:rsidRPr="00D30847">
        <w:rPr>
          <w:lang w:val="en-GB"/>
        </w:rPr>
        <w:t xml:space="preserve"> </w:t>
      </w:r>
      <w:r w:rsidRPr="00D30847">
        <w:rPr>
          <w:lang w:val="en-GB"/>
        </w:rPr>
        <w:t>the</w:t>
      </w:r>
      <w:r w:rsidR="00181839" w:rsidRPr="00D30847">
        <w:rPr>
          <w:lang w:val="en-GB"/>
        </w:rPr>
        <w:t xml:space="preserve"> </w:t>
      </w:r>
      <w:r w:rsidRPr="00D30847">
        <w:rPr>
          <w:lang w:val="en-GB"/>
        </w:rPr>
        <w:t>debt</w:t>
      </w:r>
      <w:r w:rsidR="00181839" w:rsidRPr="00D30847">
        <w:rPr>
          <w:lang w:val="en-GB"/>
        </w:rPr>
        <w:t xml:space="preserve"> </w:t>
      </w:r>
      <w:r w:rsidRPr="00D30847">
        <w:rPr>
          <w:lang w:val="en-GB"/>
        </w:rPr>
        <w:t>for</w:t>
      </w:r>
      <w:r w:rsidR="00181839" w:rsidRPr="00D30847">
        <w:rPr>
          <w:lang w:val="en-GB"/>
        </w:rPr>
        <w:t xml:space="preserve"> </w:t>
      </w:r>
      <w:r w:rsidRPr="00D30847">
        <w:rPr>
          <w:lang w:val="en-GB"/>
        </w:rPr>
        <w:t>the</w:t>
      </w:r>
      <w:r w:rsidR="00181839" w:rsidRPr="00D30847">
        <w:rPr>
          <w:lang w:val="en-GB"/>
        </w:rPr>
        <w:t xml:space="preserve"> </w:t>
      </w:r>
      <w:r w:rsidRPr="00D30847">
        <w:rPr>
          <w:lang w:val="en-GB"/>
        </w:rPr>
        <w:t>budget</w:t>
      </w:r>
      <w:r w:rsidR="00181839" w:rsidRPr="00D30847">
        <w:rPr>
          <w:lang w:val="en-GB"/>
        </w:rPr>
        <w:t xml:space="preserve"> </w:t>
      </w:r>
      <w:r w:rsidRPr="00D30847">
        <w:rPr>
          <w:lang w:val="en-GB"/>
        </w:rPr>
        <w:t>year.</w:t>
      </w:r>
    </w:p>
    <w:p w14:paraId="687296CB" w14:textId="66FB638E" w:rsidR="000A5366" w:rsidRPr="00D30847" w:rsidRDefault="000A5366" w:rsidP="0081628C">
      <w:pPr>
        <w:pStyle w:val="Heading4"/>
        <w:spacing w:after="200" w:line="240" w:lineRule="auto"/>
        <w:rPr>
          <w:rFonts w:cs="Calibri"/>
          <w:i w:val="0"/>
          <w:color w:val="0070C0"/>
          <w:sz w:val="22"/>
          <w:szCs w:val="22"/>
        </w:rPr>
      </w:pPr>
      <w:r w:rsidRPr="00D30847">
        <w:rPr>
          <w:rFonts w:cs="Calibri"/>
          <w:i w:val="0"/>
          <w:color w:val="0070C0"/>
          <w:sz w:val="22"/>
          <w:szCs w:val="22"/>
        </w:rPr>
        <w:t>Activity 3: Publishing Annual Borrowing Plan</w:t>
      </w:r>
    </w:p>
    <w:p w14:paraId="4C1A8F4C" w14:textId="77777777" w:rsidR="00236ABA" w:rsidRPr="00D30847" w:rsidRDefault="00236ABA" w:rsidP="0081628C">
      <w:pPr>
        <w:tabs>
          <w:tab w:val="left" w:pos="851"/>
        </w:tabs>
        <w:spacing w:before="120" w:line="240" w:lineRule="auto"/>
        <w:jc w:val="both"/>
        <w:rPr>
          <w:lang w:val="en-GB"/>
        </w:rPr>
      </w:pPr>
      <w:r w:rsidRPr="00D30847">
        <w:rPr>
          <w:lang w:val="en-GB"/>
        </w:rPr>
        <w:t>Currently, the Ministry of Finance is preparing a plan for borrowing on the domestic and foreign financial markets. At the domestic market, a calendar for the issuance of government securities is published, but for the external financing plan, there are only internal documents.</w:t>
      </w:r>
    </w:p>
    <w:p w14:paraId="31F844E8" w14:textId="2E08B005" w:rsidR="00236ABA" w:rsidRPr="00D30847" w:rsidRDefault="00236ABA" w:rsidP="0081628C">
      <w:pPr>
        <w:tabs>
          <w:tab w:val="left" w:pos="851"/>
        </w:tabs>
        <w:spacing w:before="120" w:line="240" w:lineRule="auto"/>
        <w:jc w:val="both"/>
        <w:rPr>
          <w:lang w:val="en-GB"/>
        </w:rPr>
      </w:pPr>
      <w:r w:rsidRPr="00D30847">
        <w:rPr>
          <w:lang w:val="en-GB"/>
        </w:rPr>
        <w:t>In the medium term, it is planned to improve the transparency in this segment, in order to strengthen the quality of the calendar of domestic government securities, as well as the announcement of a borrowing plan.</w:t>
      </w:r>
    </w:p>
    <w:p w14:paraId="1E557BB9" w14:textId="6C4C11C0" w:rsidR="000A5366" w:rsidRPr="00D30847" w:rsidRDefault="000A5366" w:rsidP="0081628C">
      <w:pPr>
        <w:pStyle w:val="Heading4"/>
        <w:spacing w:after="200" w:line="240" w:lineRule="auto"/>
        <w:rPr>
          <w:rFonts w:cs="Calibri"/>
          <w:i w:val="0"/>
          <w:color w:val="0070C0"/>
          <w:sz w:val="22"/>
          <w:szCs w:val="22"/>
        </w:rPr>
      </w:pPr>
      <w:r w:rsidRPr="00D30847">
        <w:rPr>
          <w:rFonts w:cs="Calibri"/>
          <w:i w:val="0"/>
          <w:color w:val="0070C0"/>
          <w:sz w:val="22"/>
          <w:szCs w:val="22"/>
        </w:rPr>
        <w:t>Activity 4: Improving Debt Reporting</w:t>
      </w:r>
    </w:p>
    <w:p w14:paraId="68D7CD51" w14:textId="2DC35E34" w:rsidR="00236ABA" w:rsidRPr="00D30847" w:rsidRDefault="00236ABA" w:rsidP="0081628C">
      <w:pPr>
        <w:spacing w:before="120"/>
        <w:jc w:val="both"/>
        <w:rPr>
          <w:lang w:val="en-GB"/>
        </w:rPr>
      </w:pPr>
      <w:r w:rsidRPr="00D30847">
        <w:rPr>
          <w:lang w:val="en-GB"/>
        </w:rPr>
        <w:t>According to the DEMPA methodology of the World Bank, the transparency of public debt data publication can be improved in the segment of data contained in the annual debt structure report by increasing the breadth of reported debt statistics, such as: ., % of the debt maturing in the next 12 months, breakdown of the stock of guarantees by currency or residency and maturity profile of government debt i.e., further information needed on the composition of debt and flows, maturity profile, risk indicators.</w:t>
      </w:r>
    </w:p>
    <w:p w14:paraId="135DC782" w14:textId="77777777" w:rsidR="0073528B" w:rsidRPr="00D30847" w:rsidRDefault="0073528B" w:rsidP="0081628C">
      <w:pPr>
        <w:pStyle w:val="Heading4"/>
        <w:spacing w:line="240" w:lineRule="auto"/>
        <w:rPr>
          <w:rFonts w:cs="Calibri"/>
          <w:sz w:val="22"/>
          <w:szCs w:val="22"/>
        </w:rPr>
      </w:pPr>
      <w:r w:rsidRPr="00D30847">
        <w:rPr>
          <w:rFonts w:cs="Calibri"/>
          <w:sz w:val="22"/>
          <w:szCs w:val="22"/>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73528B" w:rsidRPr="00D30847" w14:paraId="2D64AC9F" w14:textId="77777777" w:rsidTr="00871CB3">
        <w:tc>
          <w:tcPr>
            <w:tcW w:w="2518" w:type="dxa"/>
            <w:tcBorders>
              <w:top w:val="nil"/>
              <w:bottom w:val="single" w:sz="4" w:space="0" w:color="FFFFFF"/>
            </w:tcBorders>
            <w:shd w:val="clear" w:color="auto" w:fill="002060"/>
          </w:tcPr>
          <w:p w14:paraId="0FBB6F24" w14:textId="77777777" w:rsidR="0073528B" w:rsidRPr="00D30847" w:rsidRDefault="0073528B" w:rsidP="0081628C">
            <w:pPr>
              <w:tabs>
                <w:tab w:val="left" w:pos="1526"/>
              </w:tabs>
              <w:spacing w:before="160" w:after="60" w:line="240" w:lineRule="auto"/>
              <w:jc w:val="both"/>
              <w:rPr>
                <w:rFonts w:cs="Calibri"/>
                <w:color w:val="FFFFFF"/>
                <w:sz w:val="20"/>
                <w:szCs w:val="20"/>
                <w:lang w:val="en-GB"/>
              </w:rPr>
            </w:pPr>
            <w:r w:rsidRPr="00D30847">
              <w:rPr>
                <w:rFonts w:cs="Calibri"/>
                <w:b/>
                <w:color w:val="FFFFFF"/>
                <w:sz w:val="20"/>
                <w:szCs w:val="20"/>
                <w:lang w:val="en-GB"/>
              </w:rPr>
              <w:t>Completed in year:</w:t>
            </w:r>
            <w:r w:rsidRPr="00D30847">
              <w:rPr>
                <w:rFonts w:cs="Calibri"/>
                <w:color w:val="FFFFFF"/>
                <w:sz w:val="20"/>
                <w:szCs w:val="20"/>
                <w:lang w:val="en-GB"/>
              </w:rPr>
              <w:tab/>
            </w:r>
          </w:p>
        </w:tc>
        <w:tc>
          <w:tcPr>
            <w:tcW w:w="6246" w:type="dxa"/>
            <w:tcBorders>
              <w:top w:val="nil"/>
              <w:bottom w:val="single" w:sz="4" w:space="0" w:color="FFFFFF"/>
            </w:tcBorders>
            <w:shd w:val="clear" w:color="auto" w:fill="D9E2F3"/>
          </w:tcPr>
          <w:p w14:paraId="24A3724D" w14:textId="19B5F2DA" w:rsidR="0073528B" w:rsidRPr="00D30847" w:rsidRDefault="0073528B" w:rsidP="0081628C">
            <w:pPr>
              <w:tabs>
                <w:tab w:val="left" w:pos="1526"/>
              </w:tabs>
              <w:spacing w:before="160" w:after="60" w:line="240" w:lineRule="auto"/>
              <w:jc w:val="both"/>
              <w:rPr>
                <w:rFonts w:cs="Calibri"/>
                <w:sz w:val="20"/>
                <w:szCs w:val="20"/>
                <w:lang w:val="en-GB"/>
              </w:rPr>
            </w:pPr>
            <w:r w:rsidRPr="00D30847">
              <w:rPr>
                <w:rFonts w:cs="Calibri"/>
                <w:sz w:val="20"/>
                <w:szCs w:val="20"/>
                <w:lang w:val="en-GB"/>
              </w:rPr>
              <w:t>202</w:t>
            </w:r>
            <w:r w:rsidR="00F44E52" w:rsidRPr="00D30847">
              <w:rPr>
                <w:rFonts w:cs="Calibri"/>
                <w:sz w:val="20"/>
                <w:szCs w:val="20"/>
                <w:lang w:val="en-GB"/>
              </w:rPr>
              <w:t>8</w:t>
            </w:r>
          </w:p>
        </w:tc>
      </w:tr>
      <w:tr w:rsidR="0073528B" w:rsidRPr="00D30847" w14:paraId="320B9D22" w14:textId="77777777" w:rsidTr="00871CB3">
        <w:tc>
          <w:tcPr>
            <w:tcW w:w="2518" w:type="dxa"/>
            <w:tcBorders>
              <w:top w:val="single" w:sz="4" w:space="0" w:color="FFFFFF"/>
              <w:bottom w:val="single" w:sz="4" w:space="0" w:color="FFFFFF"/>
            </w:tcBorders>
            <w:shd w:val="clear" w:color="auto" w:fill="002060"/>
          </w:tcPr>
          <w:p w14:paraId="0A3F0F88" w14:textId="77777777" w:rsidR="0073528B" w:rsidRPr="00D30847" w:rsidRDefault="0073528B" w:rsidP="0081628C">
            <w:pPr>
              <w:tabs>
                <w:tab w:val="left" w:pos="4219"/>
              </w:tabs>
              <w:spacing w:before="160" w:after="60" w:line="240" w:lineRule="auto"/>
              <w:jc w:val="both"/>
              <w:rPr>
                <w:rFonts w:cs="Calibri"/>
                <w:color w:val="FFFFFF"/>
                <w:sz w:val="20"/>
                <w:szCs w:val="20"/>
                <w:lang w:val="en-GB"/>
              </w:rPr>
            </w:pPr>
            <w:r w:rsidRPr="00D30847">
              <w:rPr>
                <w:rFonts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304377A0" w14:textId="796CF18B" w:rsidR="004E1E75" w:rsidRPr="00D30847" w:rsidRDefault="00503276" w:rsidP="0081628C">
            <w:pPr>
              <w:tabs>
                <w:tab w:val="left" w:pos="363"/>
              </w:tabs>
              <w:spacing w:before="160" w:after="60" w:line="240" w:lineRule="auto"/>
              <w:rPr>
                <w:rFonts w:cs="Calibri"/>
                <w:sz w:val="20"/>
                <w:szCs w:val="20"/>
                <w:lang w:val="en-GB"/>
              </w:rPr>
            </w:pPr>
            <w:r w:rsidRPr="00D30847">
              <w:rPr>
                <w:rFonts w:cs="Calibri"/>
                <w:sz w:val="20"/>
                <w:szCs w:val="20"/>
                <w:lang w:val="en-GB"/>
              </w:rPr>
              <w:t xml:space="preserve">- </w:t>
            </w:r>
            <w:r w:rsidR="004E1E75" w:rsidRPr="00D30847">
              <w:rPr>
                <w:rFonts w:cs="Calibri"/>
                <w:sz w:val="20"/>
                <w:szCs w:val="20"/>
                <w:lang w:val="en-GB"/>
              </w:rPr>
              <w:t>Compiling general government debt data in line with the Maastricht Criteria;</w:t>
            </w:r>
          </w:p>
          <w:p w14:paraId="2750F6D7" w14:textId="32864ACF" w:rsidR="004E1E75" w:rsidRPr="00D30847" w:rsidRDefault="00503276" w:rsidP="0081628C">
            <w:pPr>
              <w:tabs>
                <w:tab w:val="left" w:pos="363"/>
              </w:tabs>
              <w:spacing w:before="160" w:after="60" w:line="240" w:lineRule="auto"/>
              <w:rPr>
                <w:rFonts w:cs="Calibri"/>
                <w:sz w:val="20"/>
                <w:szCs w:val="20"/>
                <w:lang w:val="en-GB"/>
              </w:rPr>
            </w:pPr>
            <w:r w:rsidRPr="00D30847">
              <w:rPr>
                <w:rFonts w:cs="Calibri"/>
                <w:sz w:val="20"/>
                <w:szCs w:val="20"/>
                <w:lang w:val="en-GB"/>
              </w:rPr>
              <w:t xml:space="preserve">- </w:t>
            </w:r>
            <w:r w:rsidR="004E1E75" w:rsidRPr="00D30847">
              <w:rPr>
                <w:rFonts w:cs="Calibri"/>
                <w:sz w:val="20"/>
                <w:szCs w:val="20"/>
                <w:lang w:val="en-GB"/>
              </w:rPr>
              <w:t>Compiling general government debt data in line with SDDS Plus;</w:t>
            </w:r>
          </w:p>
          <w:p w14:paraId="681A550B" w14:textId="7110D0DD" w:rsidR="004E1E75" w:rsidRPr="00D30847" w:rsidRDefault="00503276" w:rsidP="0081628C">
            <w:pPr>
              <w:tabs>
                <w:tab w:val="left" w:pos="363"/>
              </w:tabs>
              <w:spacing w:before="160" w:after="60" w:line="240" w:lineRule="auto"/>
              <w:rPr>
                <w:rFonts w:cs="Calibri"/>
                <w:sz w:val="20"/>
                <w:szCs w:val="20"/>
                <w:lang w:val="en-GB"/>
              </w:rPr>
            </w:pPr>
            <w:r w:rsidRPr="00D30847">
              <w:rPr>
                <w:rFonts w:cs="Calibri"/>
                <w:sz w:val="20"/>
                <w:szCs w:val="20"/>
                <w:lang w:val="en-GB"/>
              </w:rPr>
              <w:t xml:space="preserve">- </w:t>
            </w:r>
            <w:r w:rsidR="004E1E75" w:rsidRPr="00D30847">
              <w:rPr>
                <w:rFonts w:cs="Calibri"/>
                <w:sz w:val="20"/>
                <w:szCs w:val="20"/>
                <w:lang w:val="en-GB"/>
              </w:rPr>
              <w:t>Issued annual borrowing plan.</w:t>
            </w:r>
          </w:p>
          <w:p w14:paraId="553D7703" w14:textId="39583620" w:rsidR="0073528B" w:rsidRPr="00D30847" w:rsidRDefault="00503276" w:rsidP="0081628C">
            <w:pPr>
              <w:tabs>
                <w:tab w:val="left" w:pos="363"/>
              </w:tabs>
              <w:spacing w:before="160" w:after="60" w:line="240" w:lineRule="auto"/>
              <w:rPr>
                <w:rFonts w:cs="Calibri"/>
                <w:sz w:val="20"/>
                <w:szCs w:val="20"/>
                <w:lang w:val="en-GB"/>
              </w:rPr>
            </w:pPr>
            <w:r w:rsidRPr="00D30847">
              <w:rPr>
                <w:rFonts w:cs="Calibri"/>
                <w:sz w:val="20"/>
                <w:szCs w:val="20"/>
                <w:lang w:val="en-GB"/>
              </w:rPr>
              <w:lastRenderedPageBreak/>
              <w:t xml:space="preserve">- </w:t>
            </w:r>
            <w:r w:rsidR="004E1E75" w:rsidRPr="00D30847">
              <w:rPr>
                <w:rFonts w:cs="Calibri"/>
                <w:sz w:val="20"/>
                <w:szCs w:val="20"/>
                <w:lang w:val="en-GB"/>
              </w:rPr>
              <w:t>Improved document for Annual Debt report</w:t>
            </w:r>
          </w:p>
        </w:tc>
      </w:tr>
      <w:tr w:rsidR="0073528B" w:rsidRPr="00D30847" w14:paraId="291F7CA3" w14:textId="77777777" w:rsidTr="00871CB3">
        <w:tc>
          <w:tcPr>
            <w:tcW w:w="2518" w:type="dxa"/>
            <w:tcBorders>
              <w:top w:val="single" w:sz="4" w:space="0" w:color="FFFFFF"/>
              <w:bottom w:val="single" w:sz="4" w:space="0" w:color="FFFFFF"/>
            </w:tcBorders>
            <w:shd w:val="clear" w:color="auto" w:fill="002060"/>
          </w:tcPr>
          <w:p w14:paraId="0298028A" w14:textId="77777777" w:rsidR="0073528B" w:rsidRPr="00D30847" w:rsidRDefault="0073528B" w:rsidP="0081628C">
            <w:pPr>
              <w:tabs>
                <w:tab w:val="left" w:pos="4219"/>
              </w:tabs>
              <w:spacing w:before="160" w:after="60" w:line="240" w:lineRule="auto"/>
              <w:jc w:val="both"/>
              <w:rPr>
                <w:rFonts w:cs="Calibri"/>
                <w:b/>
                <w:color w:val="FFFFFF"/>
                <w:sz w:val="20"/>
                <w:szCs w:val="20"/>
                <w:lang w:val="en-GB"/>
              </w:rPr>
            </w:pPr>
            <w:r w:rsidRPr="00D30847">
              <w:rPr>
                <w:rFonts w:cs="Calibri"/>
                <w:b/>
                <w:color w:val="FFFFFF"/>
                <w:sz w:val="20"/>
                <w:szCs w:val="20"/>
                <w:lang w:val="en-GB"/>
              </w:rPr>
              <w:lastRenderedPageBreak/>
              <w:t>Cost implications:</w:t>
            </w:r>
            <w:r w:rsidRPr="00D30847">
              <w:rPr>
                <w:rFonts w:cs="Calibri"/>
                <w:color w:val="FFFFFF"/>
                <w:sz w:val="20"/>
                <w:szCs w:val="20"/>
                <w:lang w:val="en-GB"/>
              </w:rPr>
              <w:tab/>
            </w:r>
          </w:p>
        </w:tc>
        <w:tc>
          <w:tcPr>
            <w:tcW w:w="6246" w:type="dxa"/>
            <w:tcBorders>
              <w:top w:val="single" w:sz="4" w:space="0" w:color="FFFFFF"/>
              <w:bottom w:val="single" w:sz="4" w:space="0" w:color="FFFFFF"/>
            </w:tcBorders>
            <w:shd w:val="clear" w:color="auto" w:fill="D9E2F3"/>
          </w:tcPr>
          <w:p w14:paraId="1CA60BCD" w14:textId="77777777" w:rsidR="0073528B" w:rsidRPr="00D30847" w:rsidRDefault="00D0049A" w:rsidP="0081628C">
            <w:pPr>
              <w:tabs>
                <w:tab w:val="left" w:pos="363"/>
                <w:tab w:val="left" w:pos="1526"/>
              </w:tabs>
              <w:spacing w:before="160" w:after="60" w:line="240" w:lineRule="auto"/>
              <w:jc w:val="both"/>
              <w:rPr>
                <w:rFonts w:cs="Calibri"/>
                <w:sz w:val="20"/>
                <w:szCs w:val="20"/>
                <w:lang w:val="en-GB"/>
              </w:rPr>
            </w:pPr>
            <w:r w:rsidRPr="00D30847">
              <w:rPr>
                <w:rFonts w:cs="Calibri"/>
                <w:sz w:val="20"/>
                <w:szCs w:val="20"/>
                <w:lang w:val="en-GB"/>
              </w:rPr>
              <w:t>/</w:t>
            </w:r>
          </w:p>
        </w:tc>
      </w:tr>
      <w:tr w:rsidR="0073528B" w:rsidRPr="00D30847" w14:paraId="026C16A3" w14:textId="77777777" w:rsidTr="00871CB3">
        <w:tc>
          <w:tcPr>
            <w:tcW w:w="2518" w:type="dxa"/>
            <w:tcBorders>
              <w:top w:val="single" w:sz="4" w:space="0" w:color="FFFFFF"/>
              <w:bottom w:val="single" w:sz="4" w:space="0" w:color="FFFFFF"/>
            </w:tcBorders>
            <w:shd w:val="clear" w:color="auto" w:fill="002060"/>
          </w:tcPr>
          <w:p w14:paraId="37FD366F" w14:textId="77777777" w:rsidR="0073528B" w:rsidRPr="00D30847" w:rsidRDefault="0073528B"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Responsible entity:</w:t>
            </w:r>
          </w:p>
        </w:tc>
        <w:tc>
          <w:tcPr>
            <w:tcW w:w="6246" w:type="dxa"/>
            <w:tcBorders>
              <w:top w:val="single" w:sz="4" w:space="0" w:color="FFFFFF"/>
              <w:bottom w:val="single" w:sz="4" w:space="0" w:color="FFFFFF"/>
            </w:tcBorders>
            <w:shd w:val="clear" w:color="auto" w:fill="D9E2F3"/>
          </w:tcPr>
          <w:p w14:paraId="081E032A" w14:textId="59515F66" w:rsidR="0073528B" w:rsidRPr="00D30847" w:rsidRDefault="00FA0745" w:rsidP="0004385D">
            <w:pPr>
              <w:tabs>
                <w:tab w:val="left" w:pos="363"/>
                <w:tab w:val="left" w:pos="4219"/>
              </w:tabs>
              <w:spacing w:after="0" w:line="240" w:lineRule="auto"/>
              <w:jc w:val="both"/>
              <w:rPr>
                <w:rFonts w:cs="Calibri"/>
                <w:sz w:val="20"/>
                <w:szCs w:val="20"/>
                <w:lang w:val="en-GB"/>
              </w:rPr>
            </w:pPr>
            <w:r w:rsidRPr="00D30847">
              <w:rPr>
                <w:rFonts w:cs="Calibri"/>
                <w:sz w:val="20"/>
                <w:szCs w:val="20"/>
                <w:lang w:val="en-GB"/>
              </w:rPr>
              <w:t xml:space="preserve">- MoF - </w:t>
            </w:r>
            <w:r w:rsidR="0073528B" w:rsidRPr="00D30847">
              <w:rPr>
                <w:rFonts w:cs="Calibri"/>
                <w:sz w:val="20"/>
                <w:szCs w:val="20"/>
                <w:lang w:val="en-GB"/>
              </w:rPr>
              <w:t>Public Debt Management Department</w:t>
            </w:r>
          </w:p>
        </w:tc>
      </w:tr>
      <w:tr w:rsidR="0073528B" w:rsidRPr="00D30847" w14:paraId="129DD21D" w14:textId="77777777" w:rsidTr="00871CB3">
        <w:tc>
          <w:tcPr>
            <w:tcW w:w="2518" w:type="dxa"/>
            <w:tcBorders>
              <w:top w:val="single" w:sz="4" w:space="0" w:color="FFFFFF"/>
              <w:bottom w:val="nil"/>
            </w:tcBorders>
            <w:shd w:val="clear" w:color="auto" w:fill="002060"/>
          </w:tcPr>
          <w:p w14:paraId="07AD1D6C" w14:textId="77777777" w:rsidR="0073528B" w:rsidRPr="00D30847" w:rsidRDefault="0073528B"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Risk:</w:t>
            </w:r>
          </w:p>
        </w:tc>
        <w:tc>
          <w:tcPr>
            <w:tcW w:w="6246" w:type="dxa"/>
            <w:tcBorders>
              <w:top w:val="single" w:sz="4" w:space="0" w:color="FFFFFF"/>
              <w:bottom w:val="nil"/>
            </w:tcBorders>
            <w:shd w:val="clear" w:color="auto" w:fill="D9E2F3"/>
          </w:tcPr>
          <w:p w14:paraId="174E602D" w14:textId="61267EF1" w:rsidR="004E1E75" w:rsidRPr="00D30847" w:rsidRDefault="00503276" w:rsidP="00503276">
            <w:pPr>
              <w:tabs>
                <w:tab w:val="left" w:pos="122"/>
                <w:tab w:val="left" w:pos="363"/>
              </w:tabs>
              <w:spacing w:after="0" w:line="240" w:lineRule="auto"/>
              <w:rPr>
                <w:rFonts w:cs="Calibri"/>
                <w:sz w:val="20"/>
                <w:szCs w:val="20"/>
                <w:lang w:val="en-GB"/>
              </w:rPr>
            </w:pPr>
            <w:r w:rsidRPr="00D30847">
              <w:rPr>
                <w:rFonts w:cs="Calibri"/>
                <w:sz w:val="20"/>
                <w:szCs w:val="20"/>
                <w:lang w:val="en-GB"/>
              </w:rPr>
              <w:t xml:space="preserve">- </w:t>
            </w:r>
            <w:r w:rsidR="004E1E75" w:rsidRPr="00D30847">
              <w:rPr>
                <w:rFonts w:cs="Calibri"/>
                <w:sz w:val="20"/>
                <w:szCs w:val="20"/>
                <w:lang w:val="en-GB"/>
              </w:rPr>
              <w:t>Insufficient human capacity to carry out the activity;</w:t>
            </w:r>
          </w:p>
          <w:p w14:paraId="34CC61B3" w14:textId="582B5DED" w:rsidR="004E1E75" w:rsidRPr="00D30847" w:rsidRDefault="00503276" w:rsidP="00503276">
            <w:pPr>
              <w:tabs>
                <w:tab w:val="left" w:pos="122"/>
                <w:tab w:val="left" w:pos="363"/>
              </w:tabs>
              <w:spacing w:after="0" w:line="240" w:lineRule="auto"/>
              <w:rPr>
                <w:rFonts w:cs="Calibri"/>
                <w:sz w:val="20"/>
                <w:szCs w:val="20"/>
                <w:lang w:val="en-GB"/>
              </w:rPr>
            </w:pPr>
            <w:r w:rsidRPr="00D30847">
              <w:rPr>
                <w:rFonts w:cs="Calibri"/>
                <w:sz w:val="20"/>
                <w:szCs w:val="20"/>
                <w:lang w:val="en-GB"/>
              </w:rPr>
              <w:t xml:space="preserve">- </w:t>
            </w:r>
            <w:r w:rsidR="004E1E75" w:rsidRPr="00D30847">
              <w:rPr>
                <w:rFonts w:cs="Calibri"/>
                <w:sz w:val="20"/>
                <w:szCs w:val="20"/>
                <w:lang w:val="en-GB"/>
              </w:rPr>
              <w:t>Outflow of educated staff;</w:t>
            </w:r>
          </w:p>
          <w:p w14:paraId="1FCCE5EF" w14:textId="3BA10615" w:rsidR="0073528B" w:rsidRPr="00D30847" w:rsidRDefault="00503276" w:rsidP="00503276">
            <w:pPr>
              <w:tabs>
                <w:tab w:val="left" w:pos="122"/>
                <w:tab w:val="left" w:pos="363"/>
              </w:tabs>
              <w:spacing w:after="0" w:line="240" w:lineRule="auto"/>
              <w:rPr>
                <w:rFonts w:cs="Calibri"/>
                <w:sz w:val="20"/>
                <w:szCs w:val="20"/>
                <w:lang w:val="en-GB"/>
              </w:rPr>
            </w:pPr>
            <w:r w:rsidRPr="00D30847">
              <w:rPr>
                <w:rFonts w:cs="Calibri"/>
                <w:sz w:val="20"/>
                <w:szCs w:val="20"/>
                <w:lang w:val="en-GB"/>
              </w:rPr>
              <w:t xml:space="preserve">- </w:t>
            </w:r>
            <w:r w:rsidR="004E1E75" w:rsidRPr="00D30847">
              <w:rPr>
                <w:rFonts w:cs="Calibri"/>
                <w:sz w:val="20"/>
                <w:szCs w:val="20"/>
                <w:lang w:val="en-GB"/>
              </w:rPr>
              <w:t>Political factors, as by amending government debt definition, general government debt stock will be increased.</w:t>
            </w:r>
          </w:p>
        </w:tc>
      </w:tr>
    </w:tbl>
    <w:p w14:paraId="4B925AEB" w14:textId="70FFB72E" w:rsidR="0073528B" w:rsidRPr="00D30847" w:rsidRDefault="0073528B" w:rsidP="00E84CD0">
      <w:pPr>
        <w:spacing w:before="240" w:line="240" w:lineRule="auto"/>
        <w:jc w:val="both"/>
        <w:rPr>
          <w:rFonts w:cs="Calibri"/>
          <w:b/>
          <w:color w:val="0070C0"/>
          <w:sz w:val="24"/>
          <w:szCs w:val="24"/>
          <w:lang w:val="en-GB"/>
        </w:rPr>
      </w:pPr>
      <w:r w:rsidRPr="00D30847">
        <w:rPr>
          <w:rFonts w:cs="Calibri"/>
          <w:b/>
          <w:color w:val="0070C0"/>
          <w:sz w:val="24"/>
          <w:szCs w:val="24"/>
          <w:lang w:val="en-GB"/>
        </w:rPr>
        <w:t>M</w:t>
      </w:r>
      <w:r w:rsidR="009036A5" w:rsidRPr="00D30847">
        <w:rPr>
          <w:rFonts w:cs="Calibri"/>
          <w:b/>
          <w:color w:val="0070C0"/>
          <w:sz w:val="24"/>
          <w:szCs w:val="24"/>
          <w:lang w:val="en-GB"/>
        </w:rPr>
        <w:t xml:space="preserve">easure </w:t>
      </w:r>
      <w:r w:rsidRPr="00D30847">
        <w:rPr>
          <w:rFonts w:cs="Calibri"/>
          <w:b/>
          <w:color w:val="0070C0"/>
          <w:sz w:val="24"/>
          <w:szCs w:val="24"/>
          <w:lang w:val="en-GB"/>
        </w:rPr>
        <w:t>3:</w:t>
      </w:r>
      <w:r w:rsidR="00CA0BA6" w:rsidRPr="00D30847">
        <w:rPr>
          <w:rFonts w:cs="Calibri"/>
          <w:b/>
          <w:color w:val="0070C0"/>
          <w:sz w:val="24"/>
          <w:szCs w:val="24"/>
          <w:lang w:val="en-GB"/>
        </w:rPr>
        <w:t xml:space="preserve"> </w:t>
      </w:r>
      <w:r w:rsidRPr="00D30847">
        <w:rPr>
          <w:rFonts w:cs="Calibri"/>
          <w:b/>
          <w:color w:val="0070C0"/>
          <w:sz w:val="24"/>
          <w:szCs w:val="24"/>
          <w:lang w:val="en-GB"/>
        </w:rPr>
        <w:t>Introducing new debt instruments</w:t>
      </w:r>
    </w:p>
    <w:p w14:paraId="48B6CA4A" w14:textId="77777777" w:rsidR="0073528B" w:rsidRPr="00D30847" w:rsidRDefault="0073528B" w:rsidP="007F2D0F">
      <w:pPr>
        <w:pStyle w:val="Heading4"/>
        <w:spacing w:line="240" w:lineRule="auto"/>
        <w:rPr>
          <w:rFonts w:cs="Calibri"/>
          <w:sz w:val="22"/>
          <w:szCs w:val="22"/>
        </w:rPr>
      </w:pPr>
      <w:r w:rsidRPr="00D30847">
        <w:rPr>
          <w:rFonts w:cs="Calibri"/>
          <w:sz w:val="22"/>
          <w:szCs w:val="22"/>
        </w:rPr>
        <w:t>Measure objective</w:t>
      </w:r>
    </w:p>
    <w:p w14:paraId="277B6408" w14:textId="77777777" w:rsidR="0073528B" w:rsidRPr="00D30847" w:rsidRDefault="0073528B" w:rsidP="007F2D0F">
      <w:pPr>
        <w:pStyle w:val="NormalPFM1"/>
        <w:spacing w:before="160" w:after="60" w:line="240" w:lineRule="auto"/>
        <w:rPr>
          <w:rFonts w:cs="Calibri"/>
          <w:bCs/>
          <w:iCs/>
          <w:color w:val="000000"/>
          <w:sz w:val="22"/>
          <w:szCs w:val="22"/>
        </w:rPr>
      </w:pPr>
      <w:r w:rsidRPr="00D30847">
        <w:rPr>
          <w:rFonts w:cs="Calibri"/>
          <w:bCs/>
          <w:iCs/>
          <w:color w:val="000000"/>
          <w:sz w:val="22"/>
          <w:szCs w:val="22"/>
        </w:rPr>
        <w:t>Expanding investors’ database</w:t>
      </w:r>
      <w:r w:rsidR="001D09F1" w:rsidRPr="00D30847">
        <w:rPr>
          <w:rFonts w:cs="Calibri"/>
          <w:bCs/>
          <w:iCs/>
          <w:color w:val="000000"/>
          <w:sz w:val="22"/>
          <w:szCs w:val="22"/>
        </w:rPr>
        <w:t>.</w:t>
      </w:r>
    </w:p>
    <w:p w14:paraId="43B95701" w14:textId="77777777" w:rsidR="0073528B" w:rsidRPr="00D30847" w:rsidRDefault="0073528B" w:rsidP="007F2D0F">
      <w:pPr>
        <w:pStyle w:val="Heading4"/>
        <w:spacing w:line="240" w:lineRule="auto"/>
        <w:rPr>
          <w:rFonts w:cs="Calibri"/>
          <w:sz w:val="22"/>
          <w:szCs w:val="22"/>
        </w:rPr>
      </w:pPr>
      <w:r w:rsidRPr="00D30847">
        <w:rPr>
          <w:rFonts w:cs="Calibri"/>
          <w:sz w:val="22"/>
          <w:szCs w:val="22"/>
        </w:rPr>
        <w:t>Reference to findings from external assessments: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40"/>
        <w:gridCol w:w="7832"/>
      </w:tblGrid>
      <w:tr w:rsidR="0073528B" w:rsidRPr="00D30847" w14:paraId="010D9CFA" w14:textId="77777777" w:rsidTr="00CE0F6C">
        <w:tc>
          <w:tcPr>
            <w:tcW w:w="1240" w:type="dxa"/>
            <w:shd w:val="clear" w:color="auto" w:fill="DDDDDD"/>
          </w:tcPr>
          <w:p w14:paraId="384BA1DF" w14:textId="4DB088F5" w:rsidR="0073528B" w:rsidRPr="00D30847" w:rsidRDefault="0073528B" w:rsidP="007F2D0F">
            <w:pPr>
              <w:spacing w:before="160" w:after="60" w:line="240" w:lineRule="auto"/>
              <w:jc w:val="both"/>
              <w:rPr>
                <w:rFonts w:cs="Calibri"/>
                <w:b/>
                <w:sz w:val="20"/>
                <w:szCs w:val="20"/>
                <w:lang w:val="en-GB"/>
              </w:rPr>
            </w:pPr>
            <w:r w:rsidRPr="00D30847">
              <w:rPr>
                <w:rFonts w:cs="Calibri"/>
                <w:b/>
                <w:sz w:val="20"/>
                <w:szCs w:val="20"/>
                <w:lang w:val="en-GB"/>
              </w:rPr>
              <w:t>IMF</w:t>
            </w:r>
          </w:p>
        </w:tc>
        <w:tc>
          <w:tcPr>
            <w:tcW w:w="7832" w:type="dxa"/>
            <w:shd w:val="clear" w:color="auto" w:fill="DDDDDD"/>
          </w:tcPr>
          <w:p w14:paraId="488DC00D" w14:textId="77777777" w:rsidR="0073528B" w:rsidRPr="00D30847" w:rsidRDefault="0073528B" w:rsidP="007F2D0F">
            <w:pPr>
              <w:autoSpaceDE w:val="0"/>
              <w:autoSpaceDN w:val="0"/>
              <w:adjustRightInd w:val="0"/>
              <w:spacing w:before="160" w:after="60" w:line="240" w:lineRule="auto"/>
              <w:jc w:val="both"/>
              <w:rPr>
                <w:rFonts w:cs="Calibri"/>
                <w:sz w:val="20"/>
                <w:szCs w:val="20"/>
                <w:lang w:val="en-GB"/>
              </w:rPr>
            </w:pPr>
            <w:r w:rsidRPr="00D30847">
              <w:rPr>
                <w:rFonts w:cs="Calibri"/>
                <w:sz w:val="20"/>
                <w:szCs w:val="20"/>
                <w:lang w:val="en-GB"/>
              </w:rPr>
              <w:t>The stress tests demonstrate the risks associated with the government’s high public financing needs, as well as the considerable share of FX-denominated debt.</w:t>
            </w:r>
          </w:p>
        </w:tc>
      </w:tr>
    </w:tbl>
    <w:p w14:paraId="024BC5AB" w14:textId="77777777" w:rsidR="0073528B" w:rsidRPr="00D30847" w:rsidRDefault="0073528B" w:rsidP="007F2D0F">
      <w:pPr>
        <w:pStyle w:val="Heading4"/>
        <w:spacing w:line="240" w:lineRule="auto"/>
        <w:rPr>
          <w:rFonts w:cs="Calibri"/>
          <w:sz w:val="22"/>
          <w:szCs w:val="22"/>
        </w:rPr>
      </w:pPr>
      <w:r w:rsidRPr="00D30847">
        <w:rPr>
          <w:rFonts w:cs="Calibri"/>
          <w:sz w:val="22"/>
          <w:szCs w:val="22"/>
        </w:rPr>
        <w:t>Context/Background</w:t>
      </w:r>
    </w:p>
    <w:p w14:paraId="2FEACFFE" w14:textId="2875541E" w:rsidR="0073528B" w:rsidRPr="00D30847" w:rsidRDefault="0073528B" w:rsidP="007F2D0F">
      <w:pPr>
        <w:pStyle w:val="NormalPFM1"/>
        <w:spacing w:before="160" w:after="60" w:line="240" w:lineRule="auto"/>
        <w:rPr>
          <w:rFonts w:cs="Calibri"/>
          <w:bCs/>
          <w:iCs/>
          <w:color w:val="000000"/>
          <w:sz w:val="22"/>
          <w:szCs w:val="22"/>
        </w:rPr>
      </w:pPr>
      <w:r w:rsidRPr="00D30847">
        <w:rPr>
          <w:rFonts w:cs="Calibri"/>
          <w:bCs/>
          <w:iCs/>
          <w:color w:val="000000"/>
          <w:sz w:val="22"/>
          <w:szCs w:val="22"/>
        </w:rPr>
        <w:t>Budget deficit is financed in accordance with the prescribed legal framework, with government securities issued on both the domestic and the international financial markets, as well as loans from domestic and international creditors as sources of financing.</w:t>
      </w:r>
      <w:r w:rsidR="00D53B29" w:rsidRPr="00D30847">
        <w:rPr>
          <w:rFonts w:cs="Calibri"/>
          <w:bCs/>
          <w:iCs/>
          <w:color w:val="000000"/>
          <w:sz w:val="22"/>
          <w:szCs w:val="22"/>
        </w:rPr>
        <w:t xml:space="preserve"> </w:t>
      </w:r>
      <w:r w:rsidRPr="00D30847">
        <w:rPr>
          <w:rFonts w:cs="Calibri"/>
          <w:bCs/>
          <w:iCs/>
          <w:color w:val="000000"/>
          <w:sz w:val="22"/>
          <w:szCs w:val="22"/>
        </w:rPr>
        <w:t>More efficient development of the financial markets, with the ultimate goal of advancing the government securities market, requires further diversification of instruments on the domestic market.</w:t>
      </w:r>
    </w:p>
    <w:p w14:paraId="5E3A2251" w14:textId="1E6B07A9" w:rsidR="00B13A98" w:rsidRPr="00D30847" w:rsidRDefault="00B13A98" w:rsidP="007F2D0F">
      <w:pPr>
        <w:pStyle w:val="Heading4"/>
        <w:spacing w:line="240" w:lineRule="auto"/>
        <w:rPr>
          <w:rFonts w:cs="Calibri"/>
          <w:i w:val="0"/>
          <w:color w:val="0070C0"/>
          <w:sz w:val="22"/>
          <w:szCs w:val="22"/>
        </w:rPr>
      </w:pPr>
      <w:r w:rsidRPr="00D30847">
        <w:rPr>
          <w:rFonts w:cs="Calibri"/>
          <w:i w:val="0"/>
          <w:color w:val="0070C0"/>
          <w:sz w:val="22"/>
          <w:szCs w:val="22"/>
        </w:rPr>
        <w:t>Activity 1:</w:t>
      </w:r>
      <w:r w:rsidR="00CA0BA6" w:rsidRPr="00D30847">
        <w:rPr>
          <w:rFonts w:cs="Calibri"/>
          <w:i w:val="0"/>
          <w:color w:val="0070C0"/>
          <w:sz w:val="22"/>
          <w:szCs w:val="22"/>
        </w:rPr>
        <w:t xml:space="preserve"> </w:t>
      </w:r>
      <w:r w:rsidR="001733BE" w:rsidRPr="00D30847">
        <w:rPr>
          <w:rFonts w:cs="Calibri"/>
          <w:i w:val="0"/>
          <w:color w:val="0070C0"/>
          <w:sz w:val="22"/>
          <w:szCs w:val="22"/>
        </w:rPr>
        <w:t xml:space="preserve">Issuing of Development bond for citizens  </w:t>
      </w:r>
    </w:p>
    <w:p w14:paraId="77436336" w14:textId="77777777" w:rsidR="00B13A98" w:rsidRPr="00D30847" w:rsidRDefault="00B13A98" w:rsidP="007F2D0F">
      <w:pPr>
        <w:spacing w:before="160" w:after="60" w:line="240" w:lineRule="auto"/>
        <w:jc w:val="both"/>
        <w:rPr>
          <w:rFonts w:cs="Calibri"/>
          <w:bCs/>
          <w:iCs/>
          <w:color w:val="000000"/>
          <w:lang w:val="en-GB"/>
        </w:rPr>
      </w:pPr>
      <w:r w:rsidRPr="00D30847">
        <w:rPr>
          <w:rFonts w:cs="Calibri"/>
          <w:lang w:val="en-GB"/>
        </w:rPr>
        <w:t>For the purpose of more efficient development of the financial markets, with the ultimate goal of advancing the government securities market, new financing instruments are envisaged to be introduced in the coming period.</w:t>
      </w:r>
    </w:p>
    <w:p w14:paraId="63EBEE63" w14:textId="46D59A39" w:rsidR="00794E24" w:rsidRPr="00D30847" w:rsidRDefault="00236ABA" w:rsidP="007F2D0F">
      <w:pPr>
        <w:spacing w:before="160" w:after="60" w:line="240" w:lineRule="auto"/>
        <w:jc w:val="both"/>
        <w:rPr>
          <w:rFonts w:cs="Calibri"/>
          <w:lang w:val="en-GB"/>
        </w:rPr>
      </w:pPr>
      <w:bookmarkStart w:id="20" w:name="_Hlk156379410"/>
      <w:r w:rsidRPr="00D30847">
        <w:rPr>
          <w:rFonts w:cs="Calibri"/>
          <w:lang w:val="en-GB"/>
        </w:rPr>
        <w:t xml:space="preserve">For a more efficient development of the financial markets, the Ministry of Finance is focused on issuing new instruments on the domestic securities market. </w:t>
      </w:r>
      <w:r w:rsidR="00367CB7" w:rsidRPr="00D30847">
        <w:rPr>
          <w:rFonts w:cs="Calibri"/>
          <w:lang w:val="en-GB"/>
        </w:rPr>
        <w:t>For this purpose, starting from</w:t>
      </w:r>
      <w:r w:rsidRPr="00D30847">
        <w:rPr>
          <w:rFonts w:cs="Calibri"/>
          <w:lang w:val="en-GB"/>
        </w:rPr>
        <w:t xml:space="preserve"> 2023 a </w:t>
      </w:r>
      <w:r w:rsidR="00367CB7" w:rsidRPr="00D30847">
        <w:rPr>
          <w:rFonts w:cs="Calibri"/>
          <w:lang w:val="en-GB"/>
        </w:rPr>
        <w:t xml:space="preserve">development bonds for Citizens </w:t>
      </w:r>
      <w:r w:rsidRPr="00D30847">
        <w:rPr>
          <w:rFonts w:cs="Calibri"/>
          <w:lang w:val="en-GB"/>
        </w:rPr>
        <w:t xml:space="preserve">are planned to be issued. These securities have the same characteristics as ordinary bonds, but are intended for the citizens of the Republic of North Macedonia. With this new instrument on the financial market, citizens took advantage of the opportunity to invest in an instrument that for them is risk-free, reliable and brings an attractive </w:t>
      </w:r>
      <w:r w:rsidR="008F391C" w:rsidRPr="00D30847">
        <w:rPr>
          <w:rFonts w:cs="Calibri"/>
          <w:lang w:val="en-GB"/>
        </w:rPr>
        <w:t>return.</w:t>
      </w:r>
      <w:r w:rsidR="00794E24" w:rsidRPr="00D30847">
        <w:rPr>
          <w:rFonts w:cs="Calibri"/>
          <w:lang w:val="en-GB"/>
        </w:rPr>
        <w:t xml:space="preserve"> The first auction of the development bond for citizens was successfully completed at 13th July 2023, given that the accepted amount reached Denar 1,448,030,000, which is twice as much as the amount offered under the respective Prospectus, amounting to Denar 600 million, and 1,283 citizens participated at the auction.</w:t>
      </w:r>
    </w:p>
    <w:p w14:paraId="6B888696" w14:textId="4E4ED87E" w:rsidR="008F391C" w:rsidRPr="00D30847" w:rsidRDefault="00794E24" w:rsidP="007F2D0F">
      <w:pPr>
        <w:spacing w:before="160" w:after="60" w:line="240" w:lineRule="auto"/>
        <w:jc w:val="both"/>
        <w:rPr>
          <w:rFonts w:cs="Calibri"/>
          <w:lang w:val="en-GB"/>
        </w:rPr>
      </w:pPr>
      <w:r w:rsidRPr="00D30847">
        <w:rPr>
          <w:rFonts w:cs="Calibri"/>
          <w:lang w:val="en-GB"/>
        </w:rPr>
        <w:t>After the overwhelming interest from the citizens another auction for the Development bond was held on the 07th of November 2023 where the same conditions were offered in the Prospectus including the amount, tenor, interest rate and 907 citizens participated at the auction, investing total of Denar 1,085,480,000.</w:t>
      </w:r>
    </w:p>
    <w:bookmarkEnd w:id="20"/>
    <w:p w14:paraId="5B7169C2" w14:textId="77777777" w:rsidR="0073528B" w:rsidRPr="00D30847" w:rsidRDefault="0073528B" w:rsidP="007F2D0F">
      <w:pPr>
        <w:pStyle w:val="Heading4"/>
        <w:spacing w:line="240" w:lineRule="auto"/>
        <w:rPr>
          <w:rFonts w:cs="Calibri"/>
          <w:sz w:val="22"/>
          <w:szCs w:val="22"/>
        </w:rPr>
      </w:pPr>
      <w:r w:rsidRPr="00D30847">
        <w:rPr>
          <w:rFonts w:cs="Calibri"/>
          <w:sz w:val="22"/>
          <w:szCs w:val="22"/>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73528B" w:rsidRPr="00D30847" w14:paraId="372FB960" w14:textId="77777777" w:rsidTr="00871CB3">
        <w:tc>
          <w:tcPr>
            <w:tcW w:w="2518" w:type="dxa"/>
            <w:tcBorders>
              <w:top w:val="nil"/>
              <w:bottom w:val="single" w:sz="4" w:space="0" w:color="FFFFFF"/>
            </w:tcBorders>
            <w:shd w:val="clear" w:color="auto" w:fill="002060"/>
          </w:tcPr>
          <w:p w14:paraId="28F3295F" w14:textId="77777777" w:rsidR="0073528B" w:rsidRPr="00D30847" w:rsidRDefault="0073528B" w:rsidP="007F2D0F">
            <w:pPr>
              <w:tabs>
                <w:tab w:val="left" w:pos="1526"/>
              </w:tabs>
              <w:spacing w:before="160" w:after="60" w:line="240" w:lineRule="auto"/>
              <w:jc w:val="both"/>
              <w:rPr>
                <w:rFonts w:cs="Calibri"/>
                <w:color w:val="FFFFFF"/>
                <w:sz w:val="20"/>
                <w:szCs w:val="20"/>
                <w:lang w:val="en-GB"/>
              </w:rPr>
            </w:pPr>
            <w:r w:rsidRPr="00D30847">
              <w:rPr>
                <w:rFonts w:cs="Calibri"/>
                <w:b/>
                <w:color w:val="FFFFFF"/>
                <w:sz w:val="20"/>
                <w:szCs w:val="20"/>
                <w:lang w:val="en-GB"/>
              </w:rPr>
              <w:t>Completed in year:</w:t>
            </w:r>
            <w:r w:rsidRPr="00D30847">
              <w:rPr>
                <w:rFonts w:cs="Calibri"/>
                <w:color w:val="FFFFFF"/>
                <w:sz w:val="20"/>
                <w:szCs w:val="20"/>
                <w:lang w:val="en-GB"/>
              </w:rPr>
              <w:tab/>
            </w:r>
          </w:p>
        </w:tc>
        <w:tc>
          <w:tcPr>
            <w:tcW w:w="6246" w:type="dxa"/>
            <w:tcBorders>
              <w:top w:val="nil"/>
              <w:bottom w:val="single" w:sz="4" w:space="0" w:color="FFFFFF"/>
            </w:tcBorders>
            <w:shd w:val="clear" w:color="auto" w:fill="D9E2F3"/>
          </w:tcPr>
          <w:p w14:paraId="1386D896" w14:textId="2B3EC935" w:rsidR="0073528B" w:rsidRPr="00D30847" w:rsidRDefault="0073528B" w:rsidP="007F2D0F">
            <w:pPr>
              <w:tabs>
                <w:tab w:val="left" w:pos="1526"/>
              </w:tabs>
              <w:spacing w:before="160" w:after="60" w:line="240" w:lineRule="auto"/>
              <w:jc w:val="both"/>
              <w:rPr>
                <w:rFonts w:cs="Calibri"/>
                <w:sz w:val="20"/>
                <w:szCs w:val="20"/>
                <w:lang w:val="en-GB"/>
              </w:rPr>
            </w:pPr>
            <w:r w:rsidRPr="00D30847">
              <w:rPr>
                <w:rFonts w:cs="Calibri"/>
                <w:sz w:val="20"/>
                <w:szCs w:val="20"/>
                <w:lang w:val="en-GB"/>
              </w:rPr>
              <w:t>202</w:t>
            </w:r>
            <w:r w:rsidR="00F44E52" w:rsidRPr="00D30847">
              <w:rPr>
                <w:rFonts w:cs="Calibri"/>
                <w:sz w:val="20"/>
                <w:szCs w:val="20"/>
                <w:lang w:val="en-GB"/>
              </w:rPr>
              <w:t>8</w:t>
            </w:r>
          </w:p>
        </w:tc>
      </w:tr>
      <w:tr w:rsidR="0073528B" w:rsidRPr="00D30847" w14:paraId="09BB7ABD" w14:textId="77777777" w:rsidTr="00871CB3">
        <w:tc>
          <w:tcPr>
            <w:tcW w:w="2518" w:type="dxa"/>
            <w:tcBorders>
              <w:top w:val="single" w:sz="4" w:space="0" w:color="FFFFFF"/>
              <w:bottom w:val="single" w:sz="4" w:space="0" w:color="FFFFFF"/>
            </w:tcBorders>
            <w:shd w:val="clear" w:color="auto" w:fill="002060"/>
          </w:tcPr>
          <w:p w14:paraId="3CE76B45" w14:textId="77777777" w:rsidR="0073528B" w:rsidRPr="00D30847" w:rsidRDefault="0073528B" w:rsidP="007F2D0F">
            <w:pPr>
              <w:tabs>
                <w:tab w:val="left" w:pos="4219"/>
              </w:tabs>
              <w:spacing w:before="160" w:after="60" w:line="240" w:lineRule="auto"/>
              <w:jc w:val="both"/>
              <w:rPr>
                <w:rFonts w:cs="Calibri"/>
                <w:color w:val="FFFFFF"/>
                <w:sz w:val="20"/>
                <w:szCs w:val="20"/>
                <w:lang w:val="en-GB"/>
              </w:rPr>
            </w:pPr>
            <w:r w:rsidRPr="00D30847">
              <w:rPr>
                <w:rFonts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150B1647" w14:textId="4DAA9F68" w:rsidR="0073528B" w:rsidRPr="00D30847" w:rsidRDefault="00871CB3" w:rsidP="007F2D0F">
            <w:pPr>
              <w:pStyle w:val="ListParagraph"/>
              <w:tabs>
                <w:tab w:val="left" w:pos="122"/>
              </w:tabs>
              <w:spacing w:before="160" w:after="60" w:line="240" w:lineRule="auto"/>
              <w:ind w:left="0"/>
              <w:rPr>
                <w:rFonts w:cs="Calibri"/>
                <w:sz w:val="20"/>
                <w:szCs w:val="20"/>
              </w:rPr>
            </w:pPr>
            <w:r w:rsidRPr="00D30847">
              <w:rPr>
                <w:rFonts w:cs="Calibri"/>
                <w:sz w:val="20"/>
                <w:szCs w:val="20"/>
              </w:rPr>
              <w:t xml:space="preserve">- </w:t>
            </w:r>
            <w:r w:rsidR="0073528B" w:rsidRPr="00D30847">
              <w:rPr>
                <w:rFonts w:cs="Calibri"/>
                <w:sz w:val="20"/>
                <w:szCs w:val="20"/>
              </w:rPr>
              <w:t>Diversification of debt instruments</w:t>
            </w:r>
          </w:p>
          <w:p w14:paraId="65625DF5" w14:textId="77777777" w:rsidR="0073528B" w:rsidRPr="00D30847" w:rsidRDefault="0073528B" w:rsidP="007F2D0F">
            <w:pPr>
              <w:pStyle w:val="ListParagraph"/>
              <w:tabs>
                <w:tab w:val="left" w:pos="122"/>
                <w:tab w:val="left" w:pos="4219"/>
              </w:tabs>
              <w:spacing w:before="160" w:after="60" w:line="240" w:lineRule="auto"/>
              <w:ind w:left="352"/>
              <w:rPr>
                <w:rFonts w:cs="Calibri"/>
                <w:sz w:val="20"/>
                <w:szCs w:val="20"/>
              </w:rPr>
            </w:pPr>
          </w:p>
        </w:tc>
      </w:tr>
      <w:tr w:rsidR="0073528B" w:rsidRPr="00D30847" w14:paraId="39EC45D6" w14:textId="77777777" w:rsidTr="00871CB3">
        <w:tc>
          <w:tcPr>
            <w:tcW w:w="2518" w:type="dxa"/>
            <w:tcBorders>
              <w:top w:val="single" w:sz="4" w:space="0" w:color="FFFFFF"/>
              <w:bottom w:val="single" w:sz="4" w:space="0" w:color="FFFFFF"/>
            </w:tcBorders>
            <w:shd w:val="clear" w:color="auto" w:fill="002060"/>
          </w:tcPr>
          <w:p w14:paraId="78606C5D" w14:textId="77777777" w:rsidR="0073528B" w:rsidRPr="00D30847" w:rsidRDefault="0073528B"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lastRenderedPageBreak/>
              <w:t>Cost implications:</w:t>
            </w:r>
            <w:r w:rsidRPr="00D30847">
              <w:rPr>
                <w:rFonts w:cs="Calibri"/>
                <w:color w:val="FFFFFF"/>
                <w:sz w:val="20"/>
                <w:szCs w:val="20"/>
                <w:lang w:val="en-GB"/>
              </w:rPr>
              <w:tab/>
            </w:r>
          </w:p>
        </w:tc>
        <w:tc>
          <w:tcPr>
            <w:tcW w:w="6246" w:type="dxa"/>
            <w:tcBorders>
              <w:top w:val="single" w:sz="4" w:space="0" w:color="FFFFFF"/>
              <w:bottom w:val="single" w:sz="4" w:space="0" w:color="FFFFFF"/>
            </w:tcBorders>
            <w:shd w:val="clear" w:color="auto" w:fill="D9E2F3"/>
          </w:tcPr>
          <w:p w14:paraId="262A2578" w14:textId="77777777" w:rsidR="0073528B" w:rsidRPr="00D30847" w:rsidRDefault="00D0049A" w:rsidP="00E84CD0">
            <w:pPr>
              <w:tabs>
                <w:tab w:val="left" w:pos="1526"/>
              </w:tabs>
              <w:spacing w:after="0" w:line="240" w:lineRule="auto"/>
              <w:jc w:val="both"/>
              <w:rPr>
                <w:rFonts w:cs="Calibri"/>
                <w:sz w:val="20"/>
                <w:szCs w:val="20"/>
                <w:lang w:val="en-GB"/>
              </w:rPr>
            </w:pPr>
            <w:r w:rsidRPr="00D30847">
              <w:rPr>
                <w:rFonts w:cs="Calibri"/>
                <w:sz w:val="20"/>
                <w:szCs w:val="20"/>
                <w:lang w:val="en-GB"/>
              </w:rPr>
              <w:t>/</w:t>
            </w:r>
          </w:p>
        </w:tc>
      </w:tr>
      <w:tr w:rsidR="0073528B" w:rsidRPr="00D30847" w14:paraId="35EBD226" w14:textId="77777777" w:rsidTr="00871CB3">
        <w:tc>
          <w:tcPr>
            <w:tcW w:w="2518" w:type="dxa"/>
            <w:tcBorders>
              <w:top w:val="single" w:sz="4" w:space="0" w:color="FFFFFF"/>
              <w:bottom w:val="single" w:sz="4" w:space="0" w:color="FFFFFF"/>
            </w:tcBorders>
            <w:shd w:val="clear" w:color="auto" w:fill="002060"/>
          </w:tcPr>
          <w:p w14:paraId="383FE308" w14:textId="77777777" w:rsidR="0073528B" w:rsidRPr="00D30847" w:rsidRDefault="0073528B"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Responsible entity:</w:t>
            </w:r>
          </w:p>
        </w:tc>
        <w:tc>
          <w:tcPr>
            <w:tcW w:w="6246" w:type="dxa"/>
            <w:tcBorders>
              <w:top w:val="single" w:sz="4" w:space="0" w:color="FFFFFF"/>
              <w:bottom w:val="single" w:sz="4" w:space="0" w:color="FFFFFF"/>
            </w:tcBorders>
            <w:shd w:val="clear" w:color="auto" w:fill="D9E2F3"/>
          </w:tcPr>
          <w:p w14:paraId="05F57DE8" w14:textId="76D6356E" w:rsidR="0073528B" w:rsidRPr="00D30847" w:rsidRDefault="00FA0745" w:rsidP="00E84CD0">
            <w:pPr>
              <w:pStyle w:val="ListParagraph"/>
              <w:tabs>
                <w:tab w:val="left" w:pos="122"/>
                <w:tab w:val="left" w:pos="4219"/>
              </w:tabs>
              <w:spacing w:after="0" w:line="240" w:lineRule="auto"/>
              <w:ind w:left="0"/>
              <w:rPr>
                <w:rFonts w:cs="Calibri"/>
                <w:sz w:val="20"/>
                <w:szCs w:val="20"/>
              </w:rPr>
            </w:pPr>
            <w:r w:rsidRPr="00D30847">
              <w:rPr>
                <w:rFonts w:cs="Calibri"/>
                <w:sz w:val="20"/>
                <w:szCs w:val="20"/>
              </w:rPr>
              <w:t xml:space="preserve">- MoF - </w:t>
            </w:r>
            <w:r w:rsidR="0073528B" w:rsidRPr="00D30847">
              <w:rPr>
                <w:rFonts w:cs="Calibri"/>
                <w:sz w:val="20"/>
                <w:szCs w:val="20"/>
              </w:rPr>
              <w:t>Public Debt Management Department</w:t>
            </w:r>
          </w:p>
        </w:tc>
      </w:tr>
      <w:tr w:rsidR="0073528B" w:rsidRPr="00D30847" w14:paraId="2A10CE21" w14:textId="77777777" w:rsidTr="00871CB3">
        <w:tc>
          <w:tcPr>
            <w:tcW w:w="2518" w:type="dxa"/>
            <w:tcBorders>
              <w:top w:val="single" w:sz="4" w:space="0" w:color="FFFFFF"/>
              <w:bottom w:val="nil"/>
            </w:tcBorders>
            <w:shd w:val="clear" w:color="auto" w:fill="002060"/>
          </w:tcPr>
          <w:p w14:paraId="32E9BD5E" w14:textId="77777777" w:rsidR="0073528B" w:rsidRPr="00D30847" w:rsidRDefault="0073528B"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Risk:</w:t>
            </w:r>
          </w:p>
        </w:tc>
        <w:tc>
          <w:tcPr>
            <w:tcW w:w="6246" w:type="dxa"/>
            <w:tcBorders>
              <w:top w:val="single" w:sz="4" w:space="0" w:color="FFFFFF"/>
              <w:bottom w:val="nil"/>
            </w:tcBorders>
            <w:shd w:val="clear" w:color="auto" w:fill="D9E2F3"/>
          </w:tcPr>
          <w:p w14:paraId="4C129684" w14:textId="77777777" w:rsidR="0073528B" w:rsidRPr="00D30847" w:rsidRDefault="0073528B" w:rsidP="00AD2AD5">
            <w:pPr>
              <w:numPr>
                <w:ilvl w:val="0"/>
                <w:numId w:val="32"/>
              </w:numPr>
              <w:tabs>
                <w:tab w:val="left" w:pos="122"/>
                <w:tab w:val="left" w:pos="601"/>
              </w:tabs>
              <w:spacing w:after="0" w:line="240" w:lineRule="auto"/>
              <w:ind w:left="633" w:hanging="630"/>
              <w:jc w:val="both"/>
              <w:rPr>
                <w:rFonts w:cs="Calibri"/>
                <w:sz w:val="20"/>
                <w:szCs w:val="20"/>
                <w:lang w:val="en-GB"/>
              </w:rPr>
            </w:pPr>
            <w:r w:rsidRPr="00D30847">
              <w:rPr>
                <w:rFonts w:cs="Calibri"/>
                <w:sz w:val="20"/>
                <w:szCs w:val="20"/>
                <w:lang w:val="en-GB"/>
              </w:rPr>
              <w:t>Outflow of educated staff</w:t>
            </w:r>
            <w:r w:rsidR="00196939" w:rsidRPr="00D30847">
              <w:rPr>
                <w:rFonts w:cs="Calibri"/>
                <w:sz w:val="20"/>
                <w:szCs w:val="20"/>
                <w:lang w:val="en-GB"/>
              </w:rPr>
              <w:t>;</w:t>
            </w:r>
          </w:p>
          <w:p w14:paraId="002517DB" w14:textId="77777777" w:rsidR="0073528B" w:rsidRPr="00D30847" w:rsidRDefault="0073528B" w:rsidP="00AD2AD5">
            <w:pPr>
              <w:numPr>
                <w:ilvl w:val="0"/>
                <w:numId w:val="32"/>
              </w:numPr>
              <w:tabs>
                <w:tab w:val="left" w:pos="122"/>
                <w:tab w:val="left" w:pos="601"/>
              </w:tabs>
              <w:spacing w:after="0" w:line="240" w:lineRule="auto"/>
              <w:ind w:left="633" w:hanging="630"/>
              <w:jc w:val="both"/>
              <w:rPr>
                <w:rFonts w:cs="Calibri"/>
                <w:sz w:val="20"/>
                <w:szCs w:val="20"/>
                <w:lang w:val="en-GB"/>
              </w:rPr>
            </w:pPr>
            <w:r w:rsidRPr="00D30847">
              <w:rPr>
                <w:rFonts w:cs="Calibri"/>
                <w:sz w:val="20"/>
                <w:szCs w:val="20"/>
                <w:lang w:val="en-GB"/>
              </w:rPr>
              <w:t>Limited demand for the new instruments</w:t>
            </w:r>
            <w:r w:rsidR="00196939" w:rsidRPr="00D30847">
              <w:rPr>
                <w:rFonts w:cs="Calibri"/>
                <w:sz w:val="20"/>
                <w:szCs w:val="20"/>
                <w:lang w:val="en-GB"/>
              </w:rPr>
              <w:t>.</w:t>
            </w:r>
          </w:p>
        </w:tc>
      </w:tr>
    </w:tbl>
    <w:p w14:paraId="61C089DA" w14:textId="77777777" w:rsidR="003B362E" w:rsidRPr="00D30847" w:rsidRDefault="003B362E" w:rsidP="00E84CD0">
      <w:pPr>
        <w:spacing w:line="240" w:lineRule="auto"/>
        <w:jc w:val="both"/>
        <w:rPr>
          <w:rFonts w:cs="Calibri"/>
          <w:lang w:val="en-GB" w:eastAsia="zh-CN"/>
        </w:rPr>
      </w:pPr>
    </w:p>
    <w:p w14:paraId="362EFBCF" w14:textId="41D44B4A" w:rsidR="00DC637E" w:rsidRPr="00D30847" w:rsidRDefault="00C47346" w:rsidP="006C526B">
      <w:pPr>
        <w:pStyle w:val="Heading1"/>
        <w:spacing w:line="240" w:lineRule="auto"/>
        <w:jc w:val="both"/>
        <w:rPr>
          <w:rFonts w:ascii="Calibri" w:eastAsia="MS PGothic" w:hAnsi="Calibri" w:cs="Calibri"/>
          <w:color w:val="2F5496"/>
          <w:lang w:val="en-GB" w:eastAsia="zh-CN"/>
        </w:rPr>
      </w:pPr>
      <w:r w:rsidRPr="00D30847">
        <w:rPr>
          <w:lang w:val="en-GB" w:eastAsia="zh-CN"/>
        </w:rPr>
        <w:br w:type="page"/>
      </w:r>
      <w:bookmarkStart w:id="21" w:name="_Toc187841803"/>
      <w:r w:rsidR="003B362E" w:rsidRPr="00D30847">
        <w:rPr>
          <w:rFonts w:ascii="Calibri" w:eastAsia="MS PGothic" w:hAnsi="Calibri" w:cs="Calibri"/>
          <w:color w:val="2F5496"/>
          <w:lang w:val="en-GB" w:eastAsia="zh-CN"/>
        </w:rPr>
        <w:lastRenderedPageBreak/>
        <w:t>PILLAR II - Revenue Mobilisation</w:t>
      </w:r>
      <w:bookmarkEnd w:id="21"/>
    </w:p>
    <w:p w14:paraId="58DCAA7C" w14:textId="7211CE4D" w:rsidR="00D144DD" w:rsidRPr="00D30847" w:rsidRDefault="00367CB7" w:rsidP="00DC637E">
      <w:pPr>
        <w:spacing w:before="240" w:line="240" w:lineRule="auto"/>
        <w:jc w:val="both"/>
        <w:rPr>
          <w:rStyle w:val="Emphasis"/>
          <w:rFonts w:cs="Calibri"/>
          <w:b/>
          <w:i w:val="0"/>
          <w:color w:val="2E74B5" w:themeColor="accent5" w:themeShade="BF"/>
          <w:shd w:val="clear" w:color="auto" w:fill="FFFFFF"/>
          <w:lang w:val="en-GB"/>
        </w:rPr>
      </w:pPr>
      <w:r w:rsidRPr="00D30847">
        <w:rPr>
          <w:rStyle w:val="Emphasis"/>
          <w:rFonts w:cs="Calibri"/>
          <w:b/>
          <w:i w:val="0"/>
          <w:color w:val="2E74B5" w:themeColor="accent5" w:themeShade="BF"/>
          <w:shd w:val="clear" w:color="auto" w:fill="FFFFFF"/>
          <w:lang w:val="en-GB"/>
        </w:rPr>
        <w:t>Introduction</w:t>
      </w:r>
    </w:p>
    <w:p w14:paraId="24852EDD" w14:textId="72B9D860" w:rsidR="00D67B41" w:rsidRPr="00D30847" w:rsidRDefault="00D67B41" w:rsidP="00DC637E">
      <w:pPr>
        <w:spacing w:before="240" w:line="240" w:lineRule="auto"/>
        <w:jc w:val="both"/>
        <w:rPr>
          <w:rStyle w:val="Emphasis"/>
          <w:rFonts w:cs="Calibri"/>
          <w:i w:val="0"/>
          <w:color w:val="2C2825"/>
          <w:shd w:val="clear" w:color="auto" w:fill="FFFFFF"/>
          <w:lang w:val="en-GB"/>
        </w:rPr>
      </w:pPr>
      <w:r w:rsidRPr="00D30847">
        <w:rPr>
          <w:rStyle w:val="Emphasis"/>
          <w:rFonts w:cs="Calibri"/>
          <w:i w:val="0"/>
          <w:color w:val="2C2825"/>
          <w:shd w:val="clear" w:color="auto" w:fill="FFFFFF"/>
          <w:lang w:val="en-GB"/>
        </w:rPr>
        <w:t xml:space="preserve">Higher government revenues would create much-needed fiscal room for </w:t>
      </w:r>
      <w:r w:rsidR="00975ED9" w:rsidRPr="00D30847">
        <w:rPr>
          <w:rStyle w:val="Emphasis"/>
          <w:rFonts w:cs="Calibri"/>
          <w:i w:val="0"/>
          <w:color w:val="2C2825"/>
          <w:shd w:val="clear" w:color="auto" w:fill="FFFFFF"/>
          <w:lang w:val="en-GB"/>
        </w:rPr>
        <w:t>manoeuvre</w:t>
      </w:r>
      <w:r w:rsidRPr="00D30847">
        <w:rPr>
          <w:rStyle w:val="Emphasis"/>
          <w:rFonts w:cs="Calibri"/>
          <w:i w:val="0"/>
          <w:color w:val="2C2825"/>
          <w:shd w:val="clear" w:color="auto" w:fill="FFFFFF"/>
          <w:lang w:val="en-GB"/>
        </w:rPr>
        <w:t xml:space="preserve"> and allow for more spending that drives potential growth over the medium term, including infrastructure, healthcare and education. In addition, more reliable sources of revenue would help avoid volatility in public expenditure and pro-cyclical fiscal policy.</w:t>
      </w:r>
    </w:p>
    <w:p w14:paraId="2463A9A1" w14:textId="77777777" w:rsidR="00D67B41" w:rsidRPr="00D30847" w:rsidRDefault="00D67B41" w:rsidP="00DC637E">
      <w:pPr>
        <w:spacing w:before="240" w:line="240" w:lineRule="auto"/>
        <w:jc w:val="both"/>
        <w:rPr>
          <w:rStyle w:val="Emphasis"/>
          <w:rFonts w:cs="Calibri"/>
          <w:i w:val="0"/>
          <w:color w:val="2C2825"/>
          <w:shd w:val="clear" w:color="auto" w:fill="FFFFFF"/>
          <w:lang w:val="en-GB"/>
        </w:rPr>
      </w:pPr>
      <w:r w:rsidRPr="00D30847">
        <w:rPr>
          <w:rStyle w:val="Emphasis"/>
          <w:rFonts w:cs="Calibri"/>
          <w:i w:val="0"/>
          <w:color w:val="2C2825"/>
          <w:shd w:val="clear" w:color="auto" w:fill="FFFFFF"/>
          <w:lang w:val="en-GB"/>
        </w:rPr>
        <w:t xml:space="preserve">Priorities within this pillar are directed towards improving stability, efficiency and quality of the overall revenue system in the country in order to ensure sustainable and sound public finance management, professional service to taxpayers, tax compliance and support of legal trade with strengthened mechanisms for control. </w:t>
      </w:r>
    </w:p>
    <w:p w14:paraId="1E6F5B0F" w14:textId="77777777" w:rsidR="00D67B41" w:rsidRPr="00D30847" w:rsidRDefault="00D67B41" w:rsidP="00DC637E">
      <w:pPr>
        <w:spacing w:before="240" w:line="240" w:lineRule="auto"/>
        <w:jc w:val="both"/>
        <w:rPr>
          <w:rFonts w:cs="Calibri"/>
          <w:color w:val="2C2825"/>
          <w:shd w:val="clear" w:color="auto" w:fill="FFFFFF"/>
          <w:lang w:val="en-GB"/>
        </w:rPr>
      </w:pPr>
      <w:r w:rsidRPr="00D30847">
        <w:rPr>
          <w:rStyle w:val="Emphasis"/>
          <w:rFonts w:cs="Calibri"/>
          <w:i w:val="0"/>
          <w:color w:val="2C2825"/>
          <w:shd w:val="clear" w:color="auto" w:fill="FFFFFF"/>
          <w:lang w:val="en-GB"/>
        </w:rPr>
        <w:t>Efficient revenue collection in the country will be ensured through modernization and digitalization of institutions, by following the recommendations for harmonization and association with the EU.</w:t>
      </w:r>
    </w:p>
    <w:p w14:paraId="3105128F" w14:textId="77777777" w:rsidR="00D67B41" w:rsidRPr="00D30847" w:rsidRDefault="00D67B41" w:rsidP="00DC637E">
      <w:pPr>
        <w:spacing w:before="240" w:line="240" w:lineRule="auto"/>
        <w:jc w:val="both"/>
        <w:rPr>
          <w:rFonts w:cs="Calibri"/>
          <w:iCs/>
          <w:color w:val="2C2825"/>
          <w:shd w:val="clear" w:color="auto" w:fill="FFFFFF"/>
          <w:lang w:val="en-GB"/>
        </w:rPr>
      </w:pPr>
      <w:r w:rsidRPr="00D30847">
        <w:rPr>
          <w:rFonts w:cs="Calibri"/>
          <w:iCs/>
          <w:color w:val="2C2825"/>
          <w:shd w:val="clear" w:color="auto" w:fill="FFFFFF"/>
          <w:lang w:val="en-GB"/>
        </w:rPr>
        <w:t>This Pillar is consisted of three priorities as follows:</w:t>
      </w:r>
    </w:p>
    <w:p w14:paraId="2AA5D610" w14:textId="77777777" w:rsidR="00D67B41" w:rsidRPr="00D30847" w:rsidRDefault="00D67B41" w:rsidP="00DC637E">
      <w:pPr>
        <w:numPr>
          <w:ilvl w:val="0"/>
          <w:numId w:val="48"/>
        </w:numPr>
        <w:spacing w:before="240" w:line="240" w:lineRule="auto"/>
        <w:jc w:val="both"/>
        <w:rPr>
          <w:rFonts w:cs="Calibri"/>
          <w:b/>
          <w:color w:val="2C2825"/>
          <w:shd w:val="clear" w:color="auto" w:fill="FFFFFF"/>
          <w:lang w:val="en-GB"/>
        </w:rPr>
      </w:pPr>
      <w:r w:rsidRPr="00D30847">
        <w:rPr>
          <w:rFonts w:cs="Calibri"/>
          <w:b/>
          <w:color w:val="2C2825"/>
          <w:shd w:val="clear" w:color="auto" w:fill="FFFFFF"/>
          <w:lang w:val="en-GB"/>
        </w:rPr>
        <w:t>Priority 1: Tax and Customs Policy</w:t>
      </w:r>
    </w:p>
    <w:p w14:paraId="3711DCAF" w14:textId="77777777" w:rsidR="00D67B41" w:rsidRPr="00D30847" w:rsidRDefault="00D67B41" w:rsidP="00DC637E">
      <w:pPr>
        <w:numPr>
          <w:ilvl w:val="0"/>
          <w:numId w:val="48"/>
        </w:numPr>
        <w:spacing w:before="240" w:line="240" w:lineRule="auto"/>
        <w:jc w:val="both"/>
        <w:rPr>
          <w:rFonts w:cs="Calibri"/>
          <w:b/>
          <w:color w:val="2C2825"/>
          <w:shd w:val="clear" w:color="auto" w:fill="FFFFFF"/>
          <w:lang w:val="en-GB"/>
        </w:rPr>
      </w:pPr>
      <w:r w:rsidRPr="00D30847">
        <w:rPr>
          <w:rFonts w:cs="Calibri"/>
          <w:b/>
          <w:color w:val="2C2825"/>
          <w:shd w:val="clear" w:color="auto" w:fill="FFFFFF"/>
          <w:lang w:val="en-GB"/>
        </w:rPr>
        <w:t>Priority 2: Tax administration</w:t>
      </w:r>
    </w:p>
    <w:p w14:paraId="482A1F86" w14:textId="7432D981" w:rsidR="003715BC" w:rsidRPr="00D30847" w:rsidRDefault="00D67B41" w:rsidP="00DC637E">
      <w:pPr>
        <w:numPr>
          <w:ilvl w:val="0"/>
          <w:numId w:val="48"/>
        </w:numPr>
        <w:spacing w:before="240" w:line="240" w:lineRule="auto"/>
        <w:jc w:val="both"/>
        <w:rPr>
          <w:rFonts w:cs="Calibri"/>
          <w:b/>
          <w:color w:val="2C2825"/>
          <w:shd w:val="clear" w:color="auto" w:fill="FFFFFF"/>
          <w:lang w:val="en-GB"/>
        </w:rPr>
      </w:pPr>
      <w:r w:rsidRPr="00D30847">
        <w:rPr>
          <w:rFonts w:cs="Calibri"/>
          <w:b/>
          <w:color w:val="2C2825"/>
          <w:shd w:val="clear" w:color="auto" w:fill="FFFFFF"/>
          <w:lang w:val="en-GB"/>
        </w:rPr>
        <w:t>Priority 3: Customs</w:t>
      </w:r>
    </w:p>
    <w:p w14:paraId="54CC001A" w14:textId="77777777" w:rsidR="00D67B41" w:rsidRPr="00D30847" w:rsidRDefault="00D67B41" w:rsidP="00DC637E">
      <w:pPr>
        <w:spacing w:before="240" w:line="240" w:lineRule="auto"/>
        <w:jc w:val="both"/>
        <w:rPr>
          <w:rFonts w:cs="Calibri"/>
          <w:b/>
          <w:color w:val="2C2825"/>
          <w:shd w:val="clear" w:color="auto" w:fill="FFFFFF"/>
          <w:lang w:val="en-GB"/>
        </w:rPr>
      </w:pPr>
      <w:r w:rsidRPr="00D30847">
        <w:rPr>
          <w:rFonts w:cs="Calibri"/>
          <w:b/>
          <w:color w:val="2C2825"/>
          <w:shd w:val="clear" w:color="auto" w:fill="FFFFFF"/>
          <w:lang w:val="en-GB"/>
        </w:rPr>
        <w:t>Priority 1: Tax and Customs Policy</w:t>
      </w:r>
    </w:p>
    <w:p w14:paraId="312CCEA5" w14:textId="77777777" w:rsidR="00D67B41" w:rsidRPr="00D30847" w:rsidRDefault="00D67B41" w:rsidP="00DC637E">
      <w:pPr>
        <w:spacing w:before="240" w:line="240" w:lineRule="auto"/>
        <w:jc w:val="both"/>
        <w:rPr>
          <w:rFonts w:cs="Calibri"/>
          <w:color w:val="2C2825"/>
          <w:shd w:val="clear" w:color="auto" w:fill="FFFFFF"/>
          <w:lang w:val="en-GB"/>
        </w:rPr>
      </w:pPr>
      <w:r w:rsidRPr="00D30847">
        <w:rPr>
          <w:rFonts w:cs="Calibri"/>
          <w:color w:val="2C2825"/>
          <w:shd w:val="clear" w:color="auto" w:fill="FFFFFF"/>
          <w:lang w:val="en-GB"/>
        </w:rPr>
        <w:t>The aim of this Priority is to improve the revenue legislation framework through its harmonization with the EU acquis and EU best practices and to align it with the country’s tax policy strategic framework.</w:t>
      </w:r>
    </w:p>
    <w:p w14:paraId="1F006AAF" w14:textId="1D016B8C" w:rsidR="00D67B41" w:rsidRPr="00D30847" w:rsidRDefault="00D67B41" w:rsidP="00DC637E">
      <w:pPr>
        <w:spacing w:before="240" w:line="240" w:lineRule="auto"/>
        <w:jc w:val="both"/>
        <w:rPr>
          <w:rFonts w:cs="Calibri"/>
          <w:color w:val="2C2825"/>
          <w:shd w:val="clear" w:color="auto" w:fill="FFFFFF"/>
          <w:lang w:val="en-GB"/>
        </w:rPr>
      </w:pPr>
      <w:r w:rsidRPr="00D30847">
        <w:rPr>
          <w:rFonts w:cs="Calibri"/>
          <w:color w:val="2C2825"/>
          <w:shd w:val="clear" w:color="auto" w:fill="FFFFFF"/>
          <w:lang w:val="en-GB"/>
        </w:rPr>
        <w:t xml:space="preserve">Namely, the EU </w:t>
      </w:r>
      <w:r w:rsidR="00367CB7" w:rsidRPr="00D30847">
        <w:rPr>
          <w:rFonts w:cs="Calibri"/>
          <w:color w:val="2C2825"/>
          <w:shd w:val="clear" w:color="auto" w:fill="FFFFFF"/>
          <w:lang w:val="en-GB"/>
        </w:rPr>
        <w:t>accession</w:t>
      </w:r>
      <w:r w:rsidRPr="00D30847">
        <w:rPr>
          <w:rFonts w:cs="Calibri"/>
          <w:color w:val="2C2825"/>
          <w:shd w:val="clear" w:color="auto" w:fill="FFFFFF"/>
          <w:lang w:val="en-GB"/>
        </w:rPr>
        <w:t xml:space="preserve"> negotiation process remains a priority for the country, with the first step being already taken i.e</w:t>
      </w:r>
      <w:r w:rsidR="004915FC" w:rsidRPr="00D30847">
        <w:rPr>
          <w:rFonts w:cs="Calibri"/>
          <w:color w:val="2C2825"/>
          <w:shd w:val="clear" w:color="auto" w:fill="FFFFFF"/>
          <w:lang w:val="en-GB"/>
        </w:rPr>
        <w:t>.</w:t>
      </w:r>
      <w:r w:rsidRPr="00D30847">
        <w:rPr>
          <w:rFonts w:cs="Calibri"/>
          <w:color w:val="2C2825"/>
          <w:shd w:val="clear" w:color="auto" w:fill="FFFFFF"/>
          <w:lang w:val="en-GB"/>
        </w:rPr>
        <w:t xml:space="preserve"> analytical examination of the EU acquis (the screening process) of Chapter 16 and Chapter 29.</w:t>
      </w:r>
    </w:p>
    <w:p w14:paraId="6E096DC6" w14:textId="6F74408E" w:rsidR="00D67B41" w:rsidRPr="00D30847" w:rsidRDefault="00D67B41" w:rsidP="00DC637E">
      <w:pPr>
        <w:spacing w:before="240" w:line="240" w:lineRule="auto"/>
        <w:jc w:val="both"/>
        <w:rPr>
          <w:lang w:val="en-GB"/>
        </w:rPr>
      </w:pPr>
      <w:r w:rsidRPr="00D30847">
        <w:rPr>
          <w:rFonts w:cs="Calibri"/>
          <w:color w:val="2C2825"/>
          <w:shd w:val="clear" w:color="auto" w:fill="FFFFFF"/>
          <w:lang w:val="en-GB"/>
        </w:rPr>
        <w:t>Therefore, and taking into consideration that according to the EU Progress Report for North Macedonia for 202</w:t>
      </w:r>
      <w:r w:rsidR="009F7DDC" w:rsidRPr="00D30847">
        <w:rPr>
          <w:rFonts w:cs="Calibri"/>
          <w:color w:val="2C2825"/>
          <w:shd w:val="clear" w:color="auto" w:fill="FFFFFF"/>
          <w:lang w:val="en-GB"/>
        </w:rPr>
        <w:t>4</w:t>
      </w:r>
      <w:r w:rsidRPr="00D30847">
        <w:rPr>
          <w:rFonts w:cs="Calibri"/>
          <w:color w:val="2C2825"/>
          <w:shd w:val="clear" w:color="auto" w:fill="FFFFFF"/>
          <w:lang w:val="en-GB"/>
        </w:rPr>
        <w:t xml:space="preserve">, the country is „moderately </w:t>
      </w:r>
      <w:r w:rsidR="008F391C" w:rsidRPr="00D30847">
        <w:rPr>
          <w:rFonts w:cs="Calibri"/>
          <w:color w:val="2C2825"/>
          <w:shd w:val="clear" w:color="auto" w:fill="FFFFFF"/>
          <w:lang w:val="en-GB"/>
        </w:rPr>
        <w:t>prepared“</w:t>
      </w:r>
      <w:r w:rsidR="00D30847">
        <w:rPr>
          <w:rFonts w:cs="Calibri"/>
          <w:color w:val="2C2825"/>
          <w:shd w:val="clear" w:color="auto" w:fill="FFFFFF"/>
          <w:lang w:val="en-GB"/>
        </w:rPr>
        <w:t xml:space="preserve"> </w:t>
      </w:r>
      <w:r w:rsidR="008F391C" w:rsidRPr="00D30847">
        <w:rPr>
          <w:rFonts w:cs="Calibri"/>
          <w:color w:val="2C2825"/>
          <w:shd w:val="clear" w:color="auto" w:fill="FFFFFF"/>
          <w:lang w:val="en-GB"/>
        </w:rPr>
        <w:t>in</w:t>
      </w:r>
      <w:r w:rsidRPr="00D30847">
        <w:rPr>
          <w:rFonts w:cs="Calibri"/>
          <w:color w:val="2C2825"/>
          <w:shd w:val="clear" w:color="auto" w:fill="FFFFFF"/>
          <w:lang w:val="en-GB"/>
        </w:rPr>
        <w:t xml:space="preserve"> the area of taxation and has a „</w:t>
      </w:r>
      <w:r w:rsidRPr="00D30847">
        <w:rPr>
          <w:lang w:val="en-GB"/>
        </w:rPr>
        <w:t>good</w:t>
      </w:r>
      <w:r w:rsidR="00367CB7" w:rsidRPr="00D30847">
        <w:rPr>
          <w:lang w:val="en-GB"/>
        </w:rPr>
        <w:t xml:space="preserve"> </w:t>
      </w:r>
      <w:r w:rsidRPr="00D30847">
        <w:rPr>
          <w:lang w:val="en-GB"/>
        </w:rPr>
        <w:t>level</w:t>
      </w:r>
      <w:r w:rsidR="00367CB7" w:rsidRPr="00D30847">
        <w:rPr>
          <w:lang w:val="en-GB"/>
        </w:rPr>
        <w:t xml:space="preserve"> </w:t>
      </w:r>
      <w:r w:rsidRPr="00D30847">
        <w:rPr>
          <w:lang w:val="en-GB"/>
        </w:rPr>
        <w:t>of</w:t>
      </w:r>
      <w:r w:rsidR="00367CB7" w:rsidRPr="00D30847">
        <w:rPr>
          <w:lang w:val="en-GB"/>
        </w:rPr>
        <w:t xml:space="preserve"> </w:t>
      </w:r>
      <w:r w:rsidRPr="00D30847">
        <w:rPr>
          <w:lang w:val="en-GB"/>
        </w:rPr>
        <w:t>preparation”</w:t>
      </w:r>
      <w:r w:rsidR="00367CB7" w:rsidRPr="00D30847">
        <w:rPr>
          <w:lang w:val="en-GB"/>
        </w:rPr>
        <w:t xml:space="preserve"> </w:t>
      </w:r>
      <w:r w:rsidRPr="00D30847">
        <w:rPr>
          <w:lang w:val="en-GB"/>
        </w:rPr>
        <w:t>in</w:t>
      </w:r>
      <w:r w:rsidR="00367CB7" w:rsidRPr="00D30847">
        <w:rPr>
          <w:lang w:val="en-GB"/>
        </w:rPr>
        <w:t xml:space="preserve"> </w:t>
      </w:r>
      <w:r w:rsidRPr="00D30847">
        <w:rPr>
          <w:lang w:val="en-GB"/>
        </w:rPr>
        <w:t>the</w:t>
      </w:r>
      <w:r w:rsidR="00367CB7" w:rsidRPr="00D30847">
        <w:rPr>
          <w:lang w:val="en-GB"/>
        </w:rPr>
        <w:t xml:space="preserve"> </w:t>
      </w:r>
      <w:r w:rsidRPr="00D30847">
        <w:rPr>
          <w:lang w:val="en-GB"/>
        </w:rPr>
        <w:t xml:space="preserve">area of Customs, further work needs to be done towards full alignment with the acquis </w:t>
      </w:r>
      <w:proofErr w:type="spellStart"/>
      <w:r w:rsidRPr="00D30847">
        <w:rPr>
          <w:lang w:val="en-GB"/>
        </w:rPr>
        <w:t>communitaire</w:t>
      </w:r>
      <w:proofErr w:type="spellEnd"/>
      <w:r w:rsidRPr="00D30847">
        <w:rPr>
          <w:lang w:val="en-GB"/>
        </w:rPr>
        <w:t>.</w:t>
      </w:r>
    </w:p>
    <w:p w14:paraId="7AC53997" w14:textId="1EEC7AE8" w:rsidR="00D67B41" w:rsidRPr="00D30847" w:rsidRDefault="00D67B41" w:rsidP="00DC637E">
      <w:pPr>
        <w:spacing w:before="240" w:line="240" w:lineRule="auto"/>
        <w:jc w:val="both"/>
        <w:rPr>
          <w:lang w:val="en-GB"/>
        </w:rPr>
      </w:pPr>
      <w:r w:rsidRPr="00D30847">
        <w:rPr>
          <w:lang w:val="en-GB"/>
        </w:rPr>
        <w:t xml:space="preserve">In addition, following the country policy priorities to </w:t>
      </w:r>
      <w:r w:rsidR="009F7DDC" w:rsidRPr="00D30847">
        <w:rPr>
          <w:lang w:val="en-GB"/>
        </w:rPr>
        <w:t>on strengthening revenue collection, reducing the informal economy - increasing the tax base by integrating the informal into the formal economy, higher efficiency of the tax system and the tax audit, digitalization of the tax procedures and reduction of the bureaucracy in the tax procedures</w:t>
      </w:r>
      <w:r w:rsidRPr="00D30847">
        <w:rPr>
          <w:lang w:val="en-GB"/>
        </w:rPr>
        <w:t xml:space="preserve">, the revenue legislation needs to be subjected to </w:t>
      </w:r>
      <w:r w:rsidR="00367CB7" w:rsidRPr="00D30847">
        <w:rPr>
          <w:lang w:val="en-GB"/>
        </w:rPr>
        <w:t>continuous</w:t>
      </w:r>
      <w:r w:rsidRPr="00D30847">
        <w:rPr>
          <w:lang w:val="en-GB"/>
        </w:rPr>
        <w:t xml:space="preserve"> re</w:t>
      </w:r>
      <w:r w:rsidR="004915FC" w:rsidRPr="00D30847">
        <w:rPr>
          <w:lang w:val="en-GB"/>
        </w:rPr>
        <w:t>-</w:t>
      </w:r>
      <w:r w:rsidRPr="00D30847">
        <w:rPr>
          <w:lang w:val="en-GB"/>
        </w:rPr>
        <w:t xml:space="preserve">evaluation </w:t>
      </w:r>
      <w:r w:rsidR="009F7DDC" w:rsidRPr="00D30847">
        <w:rPr>
          <w:lang w:val="en-GB"/>
        </w:rPr>
        <w:t>order for the stated priorities to be achieved.</w:t>
      </w:r>
    </w:p>
    <w:p w14:paraId="7B3F4F03" w14:textId="77777777" w:rsidR="00D67B41" w:rsidRPr="00D30847" w:rsidRDefault="006A55CA" w:rsidP="00DC637E">
      <w:pPr>
        <w:spacing w:before="240" w:line="240" w:lineRule="auto"/>
        <w:jc w:val="both"/>
        <w:rPr>
          <w:rFonts w:cs="Calibri"/>
          <w:b/>
          <w:color w:val="2C2825"/>
          <w:shd w:val="clear" w:color="auto" w:fill="FFFFFF"/>
          <w:lang w:val="en-GB"/>
        </w:rPr>
      </w:pPr>
      <w:r w:rsidRPr="00D30847">
        <w:rPr>
          <w:rFonts w:cs="Calibri"/>
          <w:b/>
          <w:color w:val="2C2825"/>
          <w:shd w:val="clear" w:color="auto" w:fill="FFFFFF"/>
          <w:lang w:val="en-GB"/>
        </w:rPr>
        <w:t>Priority 2: Tax administration</w:t>
      </w:r>
    </w:p>
    <w:p w14:paraId="46C71B5A" w14:textId="77777777" w:rsidR="00D67B41" w:rsidRPr="00D30847" w:rsidRDefault="00D67B41" w:rsidP="00DC637E">
      <w:pPr>
        <w:spacing w:before="240" w:line="240" w:lineRule="auto"/>
        <w:jc w:val="both"/>
        <w:rPr>
          <w:rFonts w:cs="Calibri"/>
          <w:color w:val="2C2825"/>
          <w:shd w:val="clear" w:color="auto" w:fill="FFFFFF"/>
          <w:lang w:val="en-GB"/>
        </w:rPr>
      </w:pPr>
      <w:r w:rsidRPr="00D30847">
        <w:rPr>
          <w:rFonts w:cs="Calibri"/>
          <w:color w:val="2C2825"/>
          <w:shd w:val="clear" w:color="auto" w:fill="FFFFFF"/>
          <w:lang w:val="en-GB"/>
        </w:rPr>
        <w:t xml:space="preserve">The primary objective is to optimize tax administration by implementing a state-of-the-art Integrated Tax Information System. This cutting-edge technology solution is designed to simplify the tax process for both individuals and businesses, fostering transparency and efficiency. The integrated system will enable seamless data flow and real-time information sharing across different tax functions, promoting a holistic approach to revenue collection. Through the use of advanced systems, we aim to enhance compliance mechanisms, creating a more streamlined experience for taxpayers. Concurrently, our </w:t>
      </w:r>
      <w:r w:rsidRPr="00D30847">
        <w:rPr>
          <w:rFonts w:cs="Calibri"/>
          <w:color w:val="2C2825"/>
          <w:shd w:val="clear" w:color="auto" w:fill="FFFFFF"/>
          <w:lang w:val="en-GB"/>
        </w:rPr>
        <w:lastRenderedPageBreak/>
        <w:t xml:space="preserve">focus on risk management will fortify efforts against potential tax evasion, promoting fairness in revenue collection. By adopting contemporary approaches and aligning with international standards, tax administration </w:t>
      </w:r>
      <w:proofErr w:type="spellStart"/>
      <w:r w:rsidRPr="00D30847">
        <w:rPr>
          <w:rFonts w:cs="Calibri"/>
          <w:color w:val="2C2825"/>
          <w:shd w:val="clear" w:color="auto" w:fill="FFFFFF"/>
          <w:lang w:val="en-GB"/>
        </w:rPr>
        <w:t>endeavors</w:t>
      </w:r>
      <w:proofErr w:type="spellEnd"/>
      <w:r w:rsidRPr="00D30847">
        <w:rPr>
          <w:rFonts w:cs="Calibri"/>
          <w:color w:val="2C2825"/>
          <w:shd w:val="clear" w:color="auto" w:fill="FFFFFF"/>
          <w:lang w:val="en-GB"/>
        </w:rPr>
        <w:t xml:space="preserve"> to establish a resilient and progressive tax administration framework, contributing to sustained economic growth and fiscal stability.</w:t>
      </w:r>
    </w:p>
    <w:p w14:paraId="5F712FDF" w14:textId="77777777" w:rsidR="003C20E4" w:rsidRPr="00D30847" w:rsidRDefault="006A55CA" w:rsidP="00DC637E">
      <w:pPr>
        <w:tabs>
          <w:tab w:val="left" w:pos="0"/>
        </w:tabs>
        <w:spacing w:before="240" w:line="240" w:lineRule="auto"/>
        <w:jc w:val="both"/>
        <w:rPr>
          <w:rFonts w:cs="Calibri"/>
          <w:b/>
          <w:color w:val="2C2825"/>
          <w:shd w:val="clear" w:color="auto" w:fill="FFFFFF"/>
          <w:lang w:val="en-GB"/>
        </w:rPr>
      </w:pPr>
      <w:r w:rsidRPr="00D30847">
        <w:rPr>
          <w:rFonts w:cs="Calibri"/>
          <w:b/>
          <w:color w:val="2C2825"/>
          <w:shd w:val="clear" w:color="auto" w:fill="FFFFFF"/>
          <w:lang w:val="en-GB"/>
        </w:rPr>
        <w:t>Priority 3: Customs</w:t>
      </w:r>
    </w:p>
    <w:p w14:paraId="040E538F" w14:textId="106BE38B" w:rsidR="00236ABA" w:rsidRPr="00D30847" w:rsidRDefault="00236ABA" w:rsidP="00DC637E">
      <w:pPr>
        <w:tabs>
          <w:tab w:val="left" w:pos="0"/>
        </w:tabs>
        <w:spacing w:before="240" w:line="240" w:lineRule="auto"/>
        <w:jc w:val="both"/>
        <w:rPr>
          <w:rFonts w:cs="Calibri"/>
          <w:color w:val="2C2825"/>
          <w:shd w:val="clear" w:color="auto" w:fill="FFFFFF"/>
          <w:lang w:val="en-GB"/>
        </w:rPr>
      </w:pPr>
      <w:r w:rsidRPr="00D30847">
        <w:rPr>
          <w:rFonts w:cs="Calibri"/>
          <w:color w:val="2C2825"/>
          <w:shd w:val="clear" w:color="auto" w:fill="FFFFFF"/>
          <w:lang w:val="en-GB"/>
        </w:rPr>
        <w:t xml:space="preserve">The aim of this priority is to implement facilitated customs procedures properly controlled without causing delays in the flow of goods and passengers, with strengthened control mechanisms. Customs Administration following this priority should ensure </w:t>
      </w:r>
      <w:r w:rsidR="00367CB7" w:rsidRPr="00D30847">
        <w:rPr>
          <w:rFonts w:cs="Calibri"/>
          <w:color w:val="2C2825"/>
          <w:shd w:val="clear" w:color="auto" w:fill="FFFFFF"/>
          <w:lang w:val="en-GB"/>
        </w:rPr>
        <w:t>efficient</w:t>
      </w:r>
      <w:r w:rsidRPr="00D30847">
        <w:rPr>
          <w:rFonts w:cs="Calibri"/>
          <w:color w:val="2C2825"/>
          <w:shd w:val="clear" w:color="auto" w:fill="FFFFFF"/>
          <w:lang w:val="en-GB"/>
        </w:rPr>
        <w:t xml:space="preserve"> revenue collection, modernization and digitalization, by following the recommendations for harmonization and association with the EU.</w:t>
      </w:r>
    </w:p>
    <w:p w14:paraId="38763DAF" w14:textId="77777777" w:rsidR="00236ABA" w:rsidRPr="00D30847" w:rsidRDefault="00236ABA" w:rsidP="00DC637E">
      <w:pPr>
        <w:tabs>
          <w:tab w:val="left" w:pos="0"/>
        </w:tabs>
        <w:spacing w:before="240" w:line="240" w:lineRule="auto"/>
        <w:jc w:val="both"/>
        <w:rPr>
          <w:rFonts w:cs="Calibri"/>
          <w:color w:val="2C2825"/>
          <w:shd w:val="clear" w:color="auto" w:fill="FFFFFF"/>
          <w:lang w:val="en-GB"/>
        </w:rPr>
      </w:pPr>
      <w:r w:rsidRPr="00D30847">
        <w:rPr>
          <w:rFonts w:cs="Calibri"/>
          <w:color w:val="2C2825"/>
          <w:shd w:val="clear" w:color="auto" w:fill="FFFFFF"/>
          <w:lang w:val="en-GB"/>
        </w:rPr>
        <w:t>Through strengthening joint control mechanisms and capacities in order to combat illegal trade and organized crime is expected to suppress illegal trade and organized crime, protect the legal economy, ensure safety and security, protect the health and safety of citizens and protect the environment. Supply chain oversight is based on risk management that ensures faster flow of goods and passengers, and controls are performed selectively to protect the financial interests of the national economy, society and the environment. The appropriate distribution of controls, before customs clearance, during customs procedures and after customs clearance, provides a balance for the proper use of available resources.</w:t>
      </w:r>
    </w:p>
    <w:p w14:paraId="646D694E" w14:textId="77777777" w:rsidR="00236ABA" w:rsidRPr="00D30847" w:rsidRDefault="00236ABA" w:rsidP="00DC637E">
      <w:pPr>
        <w:tabs>
          <w:tab w:val="left" w:pos="0"/>
        </w:tabs>
        <w:spacing w:before="240" w:line="240" w:lineRule="auto"/>
        <w:jc w:val="both"/>
        <w:rPr>
          <w:rFonts w:cs="Calibri"/>
          <w:color w:val="2C2825"/>
          <w:shd w:val="clear" w:color="auto" w:fill="FFFFFF"/>
          <w:lang w:val="en-GB"/>
        </w:rPr>
      </w:pPr>
      <w:r w:rsidRPr="00D30847">
        <w:rPr>
          <w:rFonts w:cs="Calibri"/>
          <w:color w:val="2C2825"/>
          <w:shd w:val="clear" w:color="auto" w:fill="FFFFFF"/>
          <w:lang w:val="en-GB"/>
        </w:rPr>
        <w:t>Implementation of modern systems in order to comply with the Multiannual Strategic Plan of the EU (MASP), would be introduction of a complete paperless environment in the customs procedure, through the implementation of electronic systems from the e-Customs program, compatible with the systems and procedures in the European Union and preparation for interconnection and interoperability with EU systems and implementation of systems compliant with EU systems.</w:t>
      </w:r>
      <w:r w:rsidRPr="00D30847">
        <w:rPr>
          <w:lang w:val="en-GB"/>
        </w:rPr>
        <w:t xml:space="preserve">  </w:t>
      </w:r>
      <w:r w:rsidRPr="00D30847">
        <w:rPr>
          <w:rFonts w:cs="Calibri"/>
          <w:color w:val="2C2825"/>
          <w:shd w:val="clear" w:color="auto" w:fill="FFFFFF"/>
          <w:lang w:val="en-GB"/>
        </w:rPr>
        <w:t xml:space="preserve">Customs Administration is leading institution for the Chapter 29 – Customs Union where the level of approximation and harmonisation with the EU is on a high level. The cost for achieving such result is continuous vast investments into people, processes, and equipment, especially in the ICT aspects. </w:t>
      </w:r>
    </w:p>
    <w:p w14:paraId="6ED2C867" w14:textId="275EFE12" w:rsidR="003715BC" w:rsidRPr="00D30847" w:rsidRDefault="00A00124" w:rsidP="003715BC">
      <w:pPr>
        <w:pStyle w:val="Heading1"/>
        <w:spacing w:line="240" w:lineRule="auto"/>
        <w:jc w:val="both"/>
        <w:rPr>
          <w:rFonts w:ascii="Calibri" w:hAnsi="Calibri" w:cs="Calibri"/>
          <w:color w:val="2F5496"/>
          <w:sz w:val="28"/>
          <w:szCs w:val="28"/>
          <w:lang w:val="en-GB"/>
        </w:rPr>
      </w:pPr>
      <w:r w:rsidRPr="00D30847">
        <w:rPr>
          <w:rFonts w:ascii="Calibri" w:hAnsi="Calibri" w:cs="Calibri"/>
          <w:color w:val="2F5496"/>
          <w:lang w:val="en-GB"/>
        </w:rPr>
        <w:br w:type="page"/>
      </w:r>
      <w:bookmarkStart w:id="22" w:name="_Toc187841804"/>
      <w:r w:rsidR="00A64FD7" w:rsidRPr="00D30847">
        <w:rPr>
          <w:rFonts w:ascii="Calibri" w:hAnsi="Calibri" w:cs="Calibri"/>
          <w:color w:val="2F5496"/>
          <w:sz w:val="28"/>
          <w:szCs w:val="28"/>
          <w:lang w:val="en-GB"/>
        </w:rPr>
        <w:lastRenderedPageBreak/>
        <w:t>Priority 1: Tax and customs policy</w:t>
      </w:r>
      <w:bookmarkEnd w:id="22"/>
    </w:p>
    <w:p w14:paraId="23F021AB" w14:textId="77777777" w:rsidR="00BA57FF" w:rsidRPr="00D30847" w:rsidRDefault="00BA57FF" w:rsidP="00DC637E">
      <w:pPr>
        <w:keepNext/>
        <w:keepLines/>
        <w:spacing w:before="24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Objective</w:t>
      </w:r>
    </w:p>
    <w:p w14:paraId="55E916F8" w14:textId="77777777" w:rsidR="00C025EB" w:rsidRPr="00D30847" w:rsidRDefault="00C025EB" w:rsidP="00DC637E">
      <w:pPr>
        <w:spacing w:before="240" w:line="240" w:lineRule="auto"/>
        <w:jc w:val="both"/>
        <w:rPr>
          <w:rFonts w:eastAsia="MS PGothic" w:cs="Calibri"/>
          <w:color w:val="FF0000"/>
          <w:lang w:val="en-GB" w:eastAsia="zh-CN"/>
        </w:rPr>
      </w:pPr>
      <w:r w:rsidRPr="00D30847">
        <w:rPr>
          <w:rFonts w:cs="Calibri"/>
          <w:lang w:val="en-GB"/>
        </w:rPr>
        <w:t>Overall objective of this priority is to improve the stability, efficiency and quality of the overall tax system in the country that will support sustainable and sound revenue mobilization.</w:t>
      </w:r>
      <w:r w:rsidRPr="00D30847" w:rsidDel="00C95E3A">
        <w:rPr>
          <w:rFonts w:cs="Calibri"/>
          <w:lang w:val="en-GB"/>
        </w:rPr>
        <w:t xml:space="preserve"> </w:t>
      </w:r>
    </w:p>
    <w:p w14:paraId="6A230DFE" w14:textId="77777777" w:rsidR="00C025EB" w:rsidRPr="00D30847" w:rsidRDefault="00C025EB" w:rsidP="00DC637E">
      <w:pPr>
        <w:spacing w:before="240" w:line="240" w:lineRule="auto"/>
        <w:jc w:val="both"/>
        <w:rPr>
          <w:rFonts w:cs="Calibri"/>
          <w:lang w:val="en-GB"/>
        </w:rPr>
      </w:pPr>
      <w:r w:rsidRPr="00D30847">
        <w:rPr>
          <w:rFonts w:cs="Calibri"/>
          <w:lang w:val="en-GB"/>
        </w:rPr>
        <w:t>Objective of this priority will be achieved through the following measures and activities:</w:t>
      </w:r>
    </w:p>
    <w:tbl>
      <w:tblPr>
        <w:tblW w:w="8553" w:type="dxa"/>
        <w:tblLook w:val="01E0" w:firstRow="1" w:lastRow="1" w:firstColumn="1" w:lastColumn="1" w:noHBand="0" w:noVBand="0"/>
      </w:tblPr>
      <w:tblGrid>
        <w:gridCol w:w="1252"/>
        <w:gridCol w:w="7301"/>
      </w:tblGrid>
      <w:tr w:rsidR="00E31665" w:rsidRPr="00D30847" w14:paraId="03E41099" w14:textId="77777777" w:rsidTr="00DC637E">
        <w:trPr>
          <w:trHeight w:val="666"/>
        </w:trPr>
        <w:tc>
          <w:tcPr>
            <w:tcW w:w="1252" w:type="dxa"/>
            <w:shd w:val="clear" w:color="auto" w:fill="auto"/>
          </w:tcPr>
          <w:p w14:paraId="648156B0" w14:textId="5FAB6494" w:rsidR="00E31665" w:rsidRPr="00D30847" w:rsidRDefault="00E31665" w:rsidP="0058242F">
            <w:pPr>
              <w:spacing w:line="240" w:lineRule="auto"/>
              <w:jc w:val="both"/>
              <w:rPr>
                <w:rFonts w:cs="Calibri"/>
                <w:b/>
                <w:lang w:val="en-GB"/>
              </w:rPr>
            </w:pPr>
            <w:r w:rsidRPr="00D30847">
              <w:rPr>
                <w:rFonts w:cs="Calibri"/>
                <w:b/>
                <w:lang w:val="en-GB"/>
              </w:rPr>
              <w:t>Measure</w:t>
            </w:r>
            <w:r w:rsidR="00FA0745" w:rsidRPr="00D30847">
              <w:rPr>
                <w:rFonts w:cs="Calibri"/>
                <w:b/>
                <w:lang w:val="en-GB"/>
              </w:rPr>
              <w:t xml:space="preserve"> </w:t>
            </w:r>
            <w:r w:rsidRPr="00D30847">
              <w:rPr>
                <w:rFonts w:cs="Calibri"/>
                <w:b/>
                <w:lang w:val="en-GB"/>
              </w:rPr>
              <w:t>1:</w:t>
            </w:r>
          </w:p>
          <w:p w14:paraId="5F6E6AF9" w14:textId="77777777" w:rsidR="00EB301D" w:rsidRPr="00D30847" w:rsidRDefault="00EB301D" w:rsidP="0058242F">
            <w:pPr>
              <w:spacing w:line="240" w:lineRule="auto"/>
              <w:jc w:val="both"/>
              <w:rPr>
                <w:rFonts w:cs="Calibri"/>
                <w:b/>
                <w:sz w:val="6"/>
                <w:szCs w:val="6"/>
                <w:lang w:val="en-GB"/>
              </w:rPr>
            </w:pPr>
          </w:p>
          <w:p w14:paraId="272B6066" w14:textId="3B705B80" w:rsidR="00EB301D" w:rsidRPr="00D30847" w:rsidRDefault="00EB301D" w:rsidP="0058242F">
            <w:pPr>
              <w:spacing w:line="240" w:lineRule="auto"/>
              <w:jc w:val="both"/>
              <w:rPr>
                <w:rFonts w:cs="Calibri"/>
                <w:b/>
                <w:lang w:val="en-GB"/>
              </w:rPr>
            </w:pPr>
            <w:r w:rsidRPr="00D30847">
              <w:rPr>
                <w:rFonts w:cs="Calibri"/>
                <w:lang w:val="en-GB"/>
              </w:rPr>
              <w:t>Activity 1:</w:t>
            </w:r>
          </w:p>
        </w:tc>
        <w:tc>
          <w:tcPr>
            <w:tcW w:w="7301" w:type="dxa"/>
            <w:shd w:val="clear" w:color="auto" w:fill="auto"/>
          </w:tcPr>
          <w:p w14:paraId="7BCC6F82" w14:textId="77777777" w:rsidR="00E31665" w:rsidRPr="00D30847" w:rsidRDefault="00C025EB" w:rsidP="0058242F">
            <w:pPr>
              <w:spacing w:line="240" w:lineRule="auto"/>
              <w:jc w:val="both"/>
              <w:rPr>
                <w:rFonts w:cs="Calibri"/>
                <w:b/>
                <w:lang w:val="en-GB"/>
              </w:rPr>
            </w:pPr>
            <w:r w:rsidRPr="00D30847">
              <w:rPr>
                <w:rFonts w:cs="Calibri"/>
                <w:b/>
                <w:lang w:val="en-GB"/>
              </w:rPr>
              <w:t>Improved revenue legislation framework, harmonized with the EU acquis and best practices</w:t>
            </w:r>
          </w:p>
          <w:p w14:paraId="461DE4EC" w14:textId="12B97FC5" w:rsidR="00EB301D" w:rsidRPr="00D30847" w:rsidRDefault="00EB301D" w:rsidP="0058242F">
            <w:pPr>
              <w:spacing w:line="240" w:lineRule="auto"/>
              <w:jc w:val="both"/>
              <w:rPr>
                <w:rFonts w:cs="Calibri"/>
                <w:b/>
                <w:lang w:val="en-GB"/>
              </w:rPr>
            </w:pPr>
            <w:r w:rsidRPr="00D30847">
              <w:rPr>
                <w:rFonts w:cs="Calibri"/>
                <w:lang w:val="en-GB"/>
              </w:rPr>
              <w:t>Gap analysis of the national tax legislation (laws and by-laws) compared to the  EU legislation and best practices.</w:t>
            </w:r>
          </w:p>
        </w:tc>
      </w:tr>
      <w:tr w:rsidR="006B1000" w:rsidRPr="00D30847" w14:paraId="46F173EE" w14:textId="77777777" w:rsidTr="00DC637E">
        <w:trPr>
          <w:trHeight w:val="684"/>
        </w:trPr>
        <w:tc>
          <w:tcPr>
            <w:tcW w:w="1252" w:type="dxa"/>
            <w:shd w:val="clear" w:color="auto" w:fill="auto"/>
          </w:tcPr>
          <w:p w14:paraId="22E0DE9E" w14:textId="34E8A0FB" w:rsidR="006B1000" w:rsidRPr="00D30847" w:rsidRDefault="006B1000" w:rsidP="006B1000">
            <w:pPr>
              <w:spacing w:line="240" w:lineRule="auto"/>
              <w:jc w:val="both"/>
              <w:rPr>
                <w:rFonts w:cs="Calibri"/>
                <w:lang w:val="en-GB"/>
              </w:rPr>
            </w:pPr>
            <w:r w:rsidRPr="00D30847">
              <w:rPr>
                <w:rFonts w:cs="Calibri"/>
                <w:lang w:val="en-GB"/>
              </w:rPr>
              <w:t>Activity</w:t>
            </w:r>
            <w:r w:rsidR="00871CB3" w:rsidRPr="00D30847">
              <w:rPr>
                <w:rFonts w:cs="Calibri"/>
                <w:lang w:val="en-GB"/>
              </w:rPr>
              <w:t xml:space="preserve"> </w:t>
            </w:r>
            <w:r w:rsidRPr="00D30847">
              <w:rPr>
                <w:rFonts w:cs="Calibri"/>
                <w:lang w:val="en-GB"/>
              </w:rPr>
              <w:t>2:</w:t>
            </w:r>
          </w:p>
          <w:p w14:paraId="69F9446D" w14:textId="16CA0B33" w:rsidR="006B1000" w:rsidRPr="00D30847" w:rsidRDefault="006B1000" w:rsidP="006B1000">
            <w:pPr>
              <w:spacing w:line="240" w:lineRule="auto"/>
              <w:jc w:val="both"/>
              <w:rPr>
                <w:rFonts w:cs="Calibri"/>
                <w:lang w:val="en-GB"/>
              </w:rPr>
            </w:pPr>
          </w:p>
        </w:tc>
        <w:tc>
          <w:tcPr>
            <w:tcW w:w="7301" w:type="dxa"/>
            <w:shd w:val="clear" w:color="auto" w:fill="auto"/>
          </w:tcPr>
          <w:p w14:paraId="1AC30708" w14:textId="531027D5" w:rsidR="006B1000" w:rsidRPr="00D30847" w:rsidRDefault="00C025EB" w:rsidP="006B1000">
            <w:pPr>
              <w:spacing w:line="240" w:lineRule="auto"/>
              <w:jc w:val="both"/>
              <w:rPr>
                <w:rFonts w:cs="Calibri"/>
                <w:lang w:val="en-GB"/>
              </w:rPr>
            </w:pPr>
            <w:r w:rsidRPr="00D30847">
              <w:rPr>
                <w:rFonts w:cs="Calibri"/>
                <w:lang w:val="en-GB"/>
              </w:rPr>
              <w:t>New legal acts and/or amendments to the existing national tax and customs legislation (laws and by-laws) drafted in line with the EU legislation and best practices.</w:t>
            </w:r>
          </w:p>
        </w:tc>
      </w:tr>
      <w:tr w:rsidR="00696697" w:rsidRPr="00D30847" w14:paraId="2EA975C4" w14:textId="77777777" w:rsidTr="00DC637E">
        <w:trPr>
          <w:trHeight w:val="684"/>
        </w:trPr>
        <w:tc>
          <w:tcPr>
            <w:tcW w:w="1252" w:type="dxa"/>
            <w:shd w:val="clear" w:color="auto" w:fill="auto"/>
          </w:tcPr>
          <w:p w14:paraId="502AF40A" w14:textId="77777777" w:rsidR="00696697" w:rsidRPr="00D30847" w:rsidRDefault="00696697" w:rsidP="00696697">
            <w:pPr>
              <w:spacing w:line="240" w:lineRule="auto"/>
              <w:jc w:val="both"/>
              <w:rPr>
                <w:rFonts w:cs="Calibri"/>
                <w:lang w:val="en-GB"/>
              </w:rPr>
            </w:pPr>
            <w:r w:rsidRPr="00D30847">
              <w:rPr>
                <w:rFonts w:cs="Calibri"/>
                <w:lang w:val="en-GB"/>
              </w:rPr>
              <w:t xml:space="preserve">Activity 3:  </w:t>
            </w:r>
          </w:p>
          <w:p w14:paraId="15512DE4" w14:textId="77777777" w:rsidR="00696697" w:rsidRPr="00D30847" w:rsidRDefault="00696697" w:rsidP="006B1000">
            <w:pPr>
              <w:spacing w:line="240" w:lineRule="auto"/>
              <w:jc w:val="both"/>
              <w:rPr>
                <w:rFonts w:cs="Calibri"/>
                <w:lang w:val="en-GB"/>
              </w:rPr>
            </w:pPr>
          </w:p>
        </w:tc>
        <w:tc>
          <w:tcPr>
            <w:tcW w:w="7301" w:type="dxa"/>
            <w:shd w:val="clear" w:color="auto" w:fill="auto"/>
          </w:tcPr>
          <w:p w14:paraId="665A3B7F" w14:textId="54E4CE88" w:rsidR="00696697" w:rsidRPr="00D30847" w:rsidRDefault="00696697" w:rsidP="006B1000">
            <w:pPr>
              <w:spacing w:line="240" w:lineRule="auto"/>
              <w:jc w:val="both"/>
              <w:rPr>
                <w:rFonts w:cs="Calibri"/>
                <w:lang w:val="en-GB"/>
              </w:rPr>
            </w:pPr>
            <w:r w:rsidRPr="00D30847">
              <w:rPr>
                <w:rFonts w:cs="Calibri"/>
                <w:lang w:val="en-GB"/>
              </w:rPr>
              <w:t>Gap analysis of the national customs legislation (laws and by-laws) compared to the EU legislation and best practices.</w:t>
            </w:r>
          </w:p>
        </w:tc>
      </w:tr>
      <w:tr w:rsidR="00696697" w:rsidRPr="00D30847" w14:paraId="5CC9403E" w14:textId="77777777" w:rsidTr="00DC637E">
        <w:trPr>
          <w:trHeight w:val="684"/>
        </w:trPr>
        <w:tc>
          <w:tcPr>
            <w:tcW w:w="1252" w:type="dxa"/>
            <w:shd w:val="clear" w:color="auto" w:fill="auto"/>
          </w:tcPr>
          <w:p w14:paraId="74E39318" w14:textId="47A1D783" w:rsidR="00696697" w:rsidRPr="00D30847" w:rsidRDefault="00696697" w:rsidP="006B1000">
            <w:pPr>
              <w:spacing w:line="240" w:lineRule="auto"/>
              <w:jc w:val="both"/>
              <w:rPr>
                <w:rFonts w:cs="Calibri"/>
                <w:lang w:val="en-GB"/>
              </w:rPr>
            </w:pPr>
            <w:r w:rsidRPr="00D30847">
              <w:rPr>
                <w:rFonts w:cs="Calibri"/>
                <w:lang w:val="en-GB"/>
              </w:rPr>
              <w:t xml:space="preserve">Activity 4:              </w:t>
            </w:r>
          </w:p>
        </w:tc>
        <w:tc>
          <w:tcPr>
            <w:tcW w:w="7301" w:type="dxa"/>
            <w:shd w:val="clear" w:color="auto" w:fill="auto"/>
          </w:tcPr>
          <w:p w14:paraId="598EF7E7" w14:textId="21C05EDC" w:rsidR="00696697" w:rsidRPr="00D30847" w:rsidRDefault="00696697" w:rsidP="006B1000">
            <w:pPr>
              <w:spacing w:line="240" w:lineRule="auto"/>
              <w:jc w:val="both"/>
              <w:rPr>
                <w:rFonts w:cs="Calibri"/>
                <w:lang w:val="en-GB"/>
              </w:rPr>
            </w:pPr>
            <w:r w:rsidRPr="00D30847">
              <w:rPr>
                <w:rFonts w:cs="Calibri"/>
                <w:lang w:val="en-GB"/>
              </w:rPr>
              <w:t>New legal acts and/or amendments to the existing national c</w:t>
            </w:r>
            <w:r w:rsidR="008F391C" w:rsidRPr="00D30847">
              <w:rPr>
                <w:rFonts w:cs="Calibri"/>
                <w:lang w:val="en-GB"/>
              </w:rPr>
              <w:t>ustoms legislation (laws and</w:t>
            </w:r>
            <w:r w:rsidRPr="00D30847">
              <w:rPr>
                <w:rFonts w:cs="Calibri"/>
                <w:lang w:val="en-GB"/>
              </w:rPr>
              <w:t xml:space="preserve"> by-laws) drafted in line with the EU legislation and best practices.               </w:t>
            </w:r>
          </w:p>
        </w:tc>
      </w:tr>
    </w:tbl>
    <w:p w14:paraId="37F949E1" w14:textId="77777777" w:rsidR="00E31665" w:rsidRPr="00D30847" w:rsidRDefault="00E31665" w:rsidP="00E31665">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Outcome</w:t>
      </w:r>
    </w:p>
    <w:p w14:paraId="411CAD02" w14:textId="77777777" w:rsidR="00C025EB" w:rsidRPr="00D30847" w:rsidRDefault="00C025EB" w:rsidP="00C025EB">
      <w:pPr>
        <w:spacing w:line="240" w:lineRule="auto"/>
        <w:jc w:val="both"/>
        <w:rPr>
          <w:rFonts w:cs="Calibri"/>
          <w:lang w:val="en-GB"/>
        </w:rPr>
      </w:pPr>
      <w:r w:rsidRPr="00D30847">
        <w:rPr>
          <w:rFonts w:cs="Calibri"/>
          <w:lang w:val="en-GB"/>
        </w:rPr>
        <w:t>Legislation in the area of taxation and customs harmonized with the Union acquis, standards and best practices and with the country tax policy strategic framework</w:t>
      </w:r>
    </w:p>
    <w:p w14:paraId="5561A968" w14:textId="77777777" w:rsidR="00BA57FF" w:rsidRPr="00D30847" w:rsidRDefault="00BA57FF" w:rsidP="00E84CD0">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Outcome indicators</w:t>
      </w:r>
    </w:p>
    <w:p w14:paraId="1EACE867" w14:textId="51E26B3C" w:rsidR="00BA57FF" w:rsidRPr="00D30847" w:rsidRDefault="00F004A4" w:rsidP="00E84CD0">
      <w:pPr>
        <w:spacing w:line="240" w:lineRule="auto"/>
        <w:jc w:val="both"/>
        <w:rPr>
          <w:rFonts w:cs="Calibri"/>
          <w:lang w:val="en-GB"/>
        </w:rPr>
      </w:pPr>
      <w:r w:rsidRPr="00D30847">
        <w:rPr>
          <w:rFonts w:cs="Calibri"/>
          <w:lang w:val="en-GB"/>
        </w:rPr>
        <w:t xml:space="preserve">1. </w:t>
      </w:r>
      <w:r w:rsidR="00C025EB" w:rsidRPr="00D30847">
        <w:rPr>
          <w:rFonts w:cs="Calibri"/>
          <w:lang w:val="en-GB"/>
        </w:rPr>
        <w:t>Progress made towards fulfilment of the EU accession criteria (steady progress in the respective Chapters 16 and 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F004A4" w:rsidRPr="00D30847" w14:paraId="0F69503D" w14:textId="77777777" w:rsidTr="002B77A4">
        <w:trPr>
          <w:trHeight w:val="395"/>
        </w:trPr>
        <w:tc>
          <w:tcPr>
            <w:tcW w:w="4608" w:type="dxa"/>
            <w:shd w:val="clear" w:color="auto" w:fill="E8E8E8"/>
          </w:tcPr>
          <w:p w14:paraId="6A5C874A" w14:textId="77777777" w:rsidR="00F004A4" w:rsidRPr="00D30847" w:rsidRDefault="00F004A4"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2022</w:t>
            </w:r>
          </w:p>
        </w:tc>
        <w:tc>
          <w:tcPr>
            <w:tcW w:w="4608" w:type="dxa"/>
            <w:shd w:val="clear" w:color="auto" w:fill="E8E8E8"/>
          </w:tcPr>
          <w:p w14:paraId="7ABF13D8" w14:textId="7167627C" w:rsidR="00F004A4" w:rsidRPr="00D30847" w:rsidRDefault="00F004A4"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696697" w:rsidRPr="00D30847">
              <w:rPr>
                <w:rFonts w:eastAsia="Times New Roman" w:cs="Calibri"/>
                <w:b/>
                <w:bCs/>
                <w:i/>
                <w:iCs/>
                <w:color w:val="202124"/>
                <w:sz w:val="20"/>
                <w:szCs w:val="20"/>
                <w:lang w:val="en-GB"/>
              </w:rPr>
              <w:t>8</w:t>
            </w:r>
          </w:p>
        </w:tc>
      </w:tr>
      <w:tr w:rsidR="00F004A4" w:rsidRPr="00D30847" w14:paraId="784D3E0E" w14:textId="77777777" w:rsidTr="002B77A4">
        <w:trPr>
          <w:trHeight w:val="278"/>
        </w:trPr>
        <w:tc>
          <w:tcPr>
            <w:tcW w:w="4608" w:type="dxa"/>
            <w:shd w:val="clear" w:color="auto" w:fill="E8E8E8"/>
          </w:tcPr>
          <w:p w14:paraId="5637F6EC" w14:textId="77777777" w:rsidR="007E06BA" w:rsidRPr="00D30847" w:rsidRDefault="007E06BA" w:rsidP="002B77A4">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Ch.29:</w:t>
            </w:r>
          </w:p>
          <w:p w14:paraId="43EAF5C4" w14:textId="77777777" w:rsidR="00C025EB" w:rsidRPr="00D30847" w:rsidRDefault="00C025EB" w:rsidP="00C025EB">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Good level of preparation</w:t>
            </w:r>
          </w:p>
          <w:p w14:paraId="27E34A27" w14:textId="77777777" w:rsidR="00C025EB" w:rsidRPr="00D30847" w:rsidRDefault="00C025EB" w:rsidP="00C025EB">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Good progress</w:t>
            </w:r>
          </w:p>
          <w:p w14:paraId="55A08DDD" w14:textId="77777777" w:rsidR="00C025EB" w:rsidRPr="00D30847" w:rsidRDefault="00C025EB" w:rsidP="00C025EB">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Ch.16:</w:t>
            </w:r>
          </w:p>
          <w:p w14:paraId="0B6F2D02" w14:textId="77777777" w:rsidR="00C025EB" w:rsidRPr="00D30847" w:rsidRDefault="00C025EB" w:rsidP="00C025EB">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Moderately prepared</w:t>
            </w:r>
          </w:p>
          <w:p w14:paraId="42806BD2" w14:textId="431E5169" w:rsidR="00F004A4" w:rsidRPr="00D30847" w:rsidRDefault="00C025EB" w:rsidP="00C025EB">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Limited progress</w:t>
            </w:r>
          </w:p>
        </w:tc>
        <w:tc>
          <w:tcPr>
            <w:tcW w:w="4608" w:type="dxa"/>
            <w:shd w:val="clear" w:color="auto" w:fill="E8E8E8"/>
          </w:tcPr>
          <w:p w14:paraId="53B536AC" w14:textId="77777777" w:rsidR="007E06BA" w:rsidRPr="00D30847" w:rsidRDefault="007E06BA" w:rsidP="002B77A4">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Ch.29:</w:t>
            </w:r>
          </w:p>
          <w:p w14:paraId="7121A60F" w14:textId="77777777" w:rsidR="00C025EB" w:rsidRPr="00D30847" w:rsidRDefault="00C025EB" w:rsidP="00C025EB">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Good level of preparation</w:t>
            </w:r>
          </w:p>
          <w:p w14:paraId="32EC71C8" w14:textId="77777777" w:rsidR="00C025EB" w:rsidRPr="00D30847" w:rsidRDefault="00C025EB" w:rsidP="00C025EB">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Very Good progress</w:t>
            </w:r>
          </w:p>
          <w:p w14:paraId="33D5C186" w14:textId="77777777" w:rsidR="00C025EB" w:rsidRPr="00D30847" w:rsidRDefault="00C025EB" w:rsidP="00C025EB">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Ch.16:</w:t>
            </w:r>
          </w:p>
          <w:p w14:paraId="2A6E108A" w14:textId="77777777" w:rsidR="00C025EB" w:rsidRPr="00D30847" w:rsidRDefault="00C025EB" w:rsidP="00C025EB">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Good level of preparation</w:t>
            </w:r>
          </w:p>
          <w:p w14:paraId="1F2C0F22" w14:textId="5B7D5652" w:rsidR="00F004A4" w:rsidRPr="00D30847" w:rsidRDefault="00C025EB" w:rsidP="00C025EB">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Good progress</w:t>
            </w:r>
          </w:p>
        </w:tc>
      </w:tr>
    </w:tbl>
    <w:p w14:paraId="72069713" w14:textId="77777777" w:rsidR="00C025EB" w:rsidRPr="00D30847" w:rsidRDefault="00C025EB" w:rsidP="00C025EB">
      <w:pPr>
        <w:spacing w:before="360" w:line="240" w:lineRule="auto"/>
        <w:jc w:val="both"/>
        <w:rPr>
          <w:rFonts w:cs="Calibri"/>
          <w:b/>
          <w:color w:val="0070C0"/>
          <w:sz w:val="24"/>
          <w:szCs w:val="24"/>
          <w:lang w:val="en-GB"/>
        </w:rPr>
      </w:pPr>
      <w:r w:rsidRPr="00D30847">
        <w:rPr>
          <w:rFonts w:cs="Calibri"/>
          <w:b/>
          <w:color w:val="0070C0"/>
          <w:sz w:val="24"/>
          <w:szCs w:val="24"/>
          <w:lang w:val="en-GB"/>
        </w:rPr>
        <w:t>Measure 1: Improved revenue legislation framework, harmonized with the EU acquis and best practices</w:t>
      </w:r>
    </w:p>
    <w:p w14:paraId="1B54C430" w14:textId="77777777" w:rsidR="00BA57FF" w:rsidRPr="00D30847" w:rsidRDefault="00BA57FF" w:rsidP="00E84CD0">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56BBEC9F" w14:textId="77777777" w:rsidR="00C025EB" w:rsidRPr="00D30847" w:rsidRDefault="00C025EB" w:rsidP="00C025EB">
      <w:pPr>
        <w:spacing w:line="240" w:lineRule="auto"/>
        <w:jc w:val="both"/>
        <w:rPr>
          <w:rFonts w:cs="Calibri"/>
          <w:lang w:val="en-GB"/>
        </w:rPr>
      </w:pPr>
      <w:r w:rsidRPr="00D30847">
        <w:rPr>
          <w:rFonts w:cs="Calibri"/>
          <w:lang w:val="en-GB"/>
        </w:rPr>
        <w:t>Objective is to improve and harmonize legislation in line with the relevant EU acquis and the best practices in the area of tax and customs legislation.</w:t>
      </w:r>
    </w:p>
    <w:p w14:paraId="5A3380D0" w14:textId="77777777" w:rsidR="00AC5DE9" w:rsidRDefault="00AC5DE9" w:rsidP="00E84CD0">
      <w:pPr>
        <w:spacing w:line="240" w:lineRule="auto"/>
        <w:jc w:val="both"/>
        <w:rPr>
          <w:rFonts w:eastAsia="MS PGothic" w:cs="Calibri"/>
          <w:b/>
          <w:bCs/>
          <w:i/>
          <w:iCs/>
          <w:color w:val="4F81BD"/>
          <w:lang w:val="en-GB" w:eastAsia="zh-CN"/>
        </w:rPr>
      </w:pPr>
    </w:p>
    <w:p w14:paraId="606D4AE0" w14:textId="77777777" w:rsidR="00AC5DE9" w:rsidRDefault="00AC5DE9" w:rsidP="00E84CD0">
      <w:pPr>
        <w:spacing w:line="240" w:lineRule="auto"/>
        <w:jc w:val="both"/>
        <w:rPr>
          <w:rFonts w:eastAsia="MS PGothic" w:cs="Calibri"/>
          <w:b/>
          <w:bCs/>
          <w:i/>
          <w:iCs/>
          <w:color w:val="4F81BD"/>
          <w:lang w:val="en-GB" w:eastAsia="zh-CN"/>
        </w:rPr>
      </w:pPr>
    </w:p>
    <w:p w14:paraId="2DB42176" w14:textId="58416930" w:rsidR="00BA57FF" w:rsidRPr="00D30847" w:rsidRDefault="00BA57FF" w:rsidP="00E84CD0">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lastRenderedPageBreak/>
        <w:t>Reference to the external assessments findings:</w:t>
      </w:r>
    </w:p>
    <w:tbl>
      <w:tblPr>
        <w:tblW w:w="85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851"/>
        <w:gridCol w:w="7700"/>
      </w:tblGrid>
      <w:tr w:rsidR="00BA57FF" w:rsidRPr="00D30847" w14:paraId="4E669952" w14:textId="77777777" w:rsidTr="00A64926">
        <w:tc>
          <w:tcPr>
            <w:tcW w:w="851" w:type="dxa"/>
            <w:shd w:val="clear" w:color="auto" w:fill="DDDDDD"/>
          </w:tcPr>
          <w:p w14:paraId="72748747" w14:textId="73254F92" w:rsidR="00BA57FF" w:rsidRPr="00D30847" w:rsidRDefault="00BA57FF" w:rsidP="00E84CD0">
            <w:pPr>
              <w:spacing w:line="240" w:lineRule="auto"/>
              <w:jc w:val="both"/>
              <w:rPr>
                <w:rFonts w:cs="Calibri"/>
                <w:sz w:val="20"/>
                <w:szCs w:val="20"/>
                <w:lang w:val="en-GB"/>
              </w:rPr>
            </w:pPr>
            <w:r w:rsidRPr="00D30847">
              <w:rPr>
                <w:rFonts w:cs="Calibri"/>
                <w:b/>
                <w:sz w:val="20"/>
                <w:szCs w:val="20"/>
                <w:lang w:val="en-GB"/>
              </w:rPr>
              <w:t>EU</w:t>
            </w:r>
          </w:p>
        </w:tc>
        <w:tc>
          <w:tcPr>
            <w:tcW w:w="7700" w:type="dxa"/>
            <w:shd w:val="clear" w:color="auto" w:fill="DDDDDD"/>
          </w:tcPr>
          <w:p w14:paraId="7CB8EABE" w14:textId="263A188C" w:rsidR="00C025EB" w:rsidRPr="00D30847" w:rsidRDefault="00C025EB" w:rsidP="00C025EB">
            <w:pPr>
              <w:spacing w:after="0" w:line="240" w:lineRule="auto"/>
              <w:jc w:val="both"/>
              <w:rPr>
                <w:rFonts w:cs="Calibri"/>
                <w:sz w:val="20"/>
                <w:szCs w:val="20"/>
                <w:lang w:val="en-GB"/>
              </w:rPr>
            </w:pPr>
            <w:r w:rsidRPr="00D30847">
              <w:rPr>
                <w:rFonts w:cs="Calibri"/>
                <w:b/>
                <w:sz w:val="20"/>
                <w:szCs w:val="20"/>
                <w:lang w:val="en-GB"/>
              </w:rPr>
              <w:t>EC Progress Report 202</w:t>
            </w:r>
            <w:r w:rsidR="00696697" w:rsidRPr="00D30847">
              <w:rPr>
                <w:rFonts w:cs="Calibri"/>
                <w:b/>
                <w:sz w:val="20"/>
                <w:szCs w:val="20"/>
                <w:lang w:val="en-GB"/>
              </w:rPr>
              <w:t>4</w:t>
            </w:r>
          </w:p>
          <w:p w14:paraId="5D127202" w14:textId="77777777" w:rsidR="00C025EB" w:rsidRPr="00D30847" w:rsidRDefault="00C025EB" w:rsidP="00C025EB">
            <w:pPr>
              <w:spacing w:line="240" w:lineRule="auto"/>
              <w:jc w:val="both"/>
              <w:rPr>
                <w:rFonts w:cs="Calibri"/>
                <w:b/>
                <w:sz w:val="20"/>
                <w:szCs w:val="20"/>
                <w:lang w:val="en-GB"/>
              </w:rPr>
            </w:pPr>
            <w:r w:rsidRPr="00D30847">
              <w:rPr>
                <w:rFonts w:cs="Calibri"/>
                <w:b/>
                <w:sz w:val="20"/>
                <w:szCs w:val="20"/>
                <w:lang w:val="en-GB"/>
              </w:rPr>
              <w:t>Chapter 16: Taxation</w:t>
            </w:r>
          </w:p>
          <w:p w14:paraId="7F885756" w14:textId="77777777" w:rsidR="00696697" w:rsidRPr="00D30847" w:rsidRDefault="00696697" w:rsidP="00696697">
            <w:pPr>
              <w:spacing w:after="0" w:line="240" w:lineRule="auto"/>
              <w:jc w:val="both"/>
              <w:rPr>
                <w:rFonts w:cs="Calibri"/>
                <w:sz w:val="20"/>
                <w:szCs w:val="20"/>
                <w:lang w:val="en-GB"/>
              </w:rPr>
            </w:pPr>
            <w:r w:rsidRPr="00D30847">
              <w:rPr>
                <w:rFonts w:cs="Calibri"/>
                <w:sz w:val="20"/>
                <w:szCs w:val="20"/>
                <w:lang w:val="en-GB"/>
              </w:rPr>
              <w:t>On indirect taxation, delays in the VAT refund process remain quite prominent, as only 15% of the refund was paid within the legal deadline.</w:t>
            </w:r>
          </w:p>
          <w:p w14:paraId="2C8B717C" w14:textId="77777777" w:rsidR="00696697" w:rsidRPr="00D30847" w:rsidRDefault="00696697" w:rsidP="00696697">
            <w:pPr>
              <w:spacing w:after="0" w:line="240" w:lineRule="auto"/>
              <w:jc w:val="both"/>
              <w:rPr>
                <w:rFonts w:cs="Calibri"/>
                <w:sz w:val="20"/>
                <w:szCs w:val="20"/>
                <w:lang w:val="en-GB"/>
              </w:rPr>
            </w:pPr>
          </w:p>
          <w:p w14:paraId="7C8D639B" w14:textId="77777777" w:rsidR="00696697" w:rsidRPr="00D30847" w:rsidRDefault="00696697" w:rsidP="00696697">
            <w:pPr>
              <w:spacing w:after="0" w:line="240" w:lineRule="auto"/>
              <w:jc w:val="both"/>
              <w:rPr>
                <w:rFonts w:cs="Calibri"/>
                <w:sz w:val="20"/>
                <w:szCs w:val="20"/>
                <w:lang w:val="en-GB"/>
              </w:rPr>
            </w:pPr>
            <w:r w:rsidRPr="00D30847">
              <w:rPr>
                <w:rFonts w:cs="Calibri"/>
                <w:sz w:val="20"/>
                <w:szCs w:val="20"/>
                <w:lang w:val="en-GB"/>
              </w:rPr>
              <w:t>Regarding excise duty, the Law of Excise Duties is based on the structure of EU excise legislation. Minimum excise duty rates for alcohol and alcoholic beverages comply with the EU law. Further alignment is needed regarding excise duty structure for alcohol and alcoholic beverages.  Excise duty for tobacco products is partially aligned with the EU law. The Law on excise was amended increasing the duty on tobacco products starting on 1 January 2024 and ending 1 January 2030. This would equalise the excise tax on cigarettes with the EU prescribed minimum. Movements of excise goods under duty suspension arrangement are controlled electronically in a manner akin to that of the Excise Movement and Control System (EMCS). Further alignment is needed with some provisions of the general rules for the production, keeping, storage, movement and controls on excisable products.</w:t>
            </w:r>
          </w:p>
          <w:p w14:paraId="57332F0A" w14:textId="77777777" w:rsidR="00696697" w:rsidRPr="00D30847" w:rsidRDefault="00696697" w:rsidP="00696697">
            <w:pPr>
              <w:spacing w:after="0" w:line="240" w:lineRule="auto"/>
              <w:jc w:val="both"/>
              <w:rPr>
                <w:rFonts w:cs="Calibri"/>
                <w:sz w:val="20"/>
                <w:szCs w:val="20"/>
                <w:lang w:val="en-GB"/>
              </w:rPr>
            </w:pPr>
          </w:p>
          <w:p w14:paraId="61A064AD" w14:textId="77777777" w:rsidR="00696697" w:rsidRPr="00D30847" w:rsidRDefault="00696697" w:rsidP="00696697">
            <w:pPr>
              <w:spacing w:after="0" w:line="240" w:lineRule="auto"/>
              <w:jc w:val="both"/>
              <w:rPr>
                <w:rFonts w:cs="Calibri"/>
                <w:sz w:val="20"/>
                <w:szCs w:val="20"/>
                <w:lang w:val="en-GB"/>
              </w:rPr>
            </w:pPr>
            <w:r w:rsidRPr="00D30847">
              <w:rPr>
                <w:rFonts w:cs="Calibri"/>
                <w:sz w:val="20"/>
                <w:szCs w:val="20"/>
                <w:lang w:val="en-GB"/>
              </w:rPr>
              <w:t>As regards direct taxation, the Law on profit tax was amended abolishing the obligation to submit transfer pricing documentation as of 1 January 2024, thus reducing the administrative burden on taxpayers. The country still needs to align its legislation with the Merger Directive.</w:t>
            </w:r>
          </w:p>
          <w:p w14:paraId="61433D14" w14:textId="77777777" w:rsidR="00696697" w:rsidRPr="00D30847" w:rsidRDefault="00696697" w:rsidP="00696697">
            <w:pPr>
              <w:spacing w:after="0" w:line="240" w:lineRule="auto"/>
              <w:jc w:val="both"/>
              <w:rPr>
                <w:rFonts w:cs="Calibri"/>
                <w:sz w:val="20"/>
                <w:szCs w:val="20"/>
                <w:lang w:val="en-GB"/>
              </w:rPr>
            </w:pPr>
            <w:r w:rsidRPr="00D30847">
              <w:rPr>
                <w:rFonts w:cs="Calibri"/>
                <w:sz w:val="20"/>
                <w:szCs w:val="20"/>
                <w:lang w:val="en-GB"/>
              </w:rPr>
              <w:t>The EU cooperates with North Macedonia through an enhanced dialogue on tax good governance within the framework of the EU list.</w:t>
            </w:r>
          </w:p>
          <w:p w14:paraId="6B8B083F" w14:textId="77777777" w:rsidR="00696697" w:rsidRPr="00D30847" w:rsidRDefault="00696697" w:rsidP="00696697">
            <w:pPr>
              <w:spacing w:after="0" w:line="240" w:lineRule="auto"/>
              <w:jc w:val="both"/>
              <w:rPr>
                <w:rFonts w:cs="Calibri"/>
                <w:sz w:val="20"/>
                <w:szCs w:val="20"/>
                <w:lang w:val="en-GB"/>
              </w:rPr>
            </w:pPr>
          </w:p>
          <w:p w14:paraId="4AF26ACB" w14:textId="54D38979" w:rsidR="00C025EB" w:rsidRPr="00D30847" w:rsidRDefault="00696697" w:rsidP="00C025EB">
            <w:pPr>
              <w:spacing w:after="0" w:line="240" w:lineRule="auto"/>
              <w:jc w:val="both"/>
              <w:rPr>
                <w:rFonts w:cs="Calibri"/>
                <w:b/>
                <w:sz w:val="20"/>
                <w:szCs w:val="20"/>
                <w:lang w:val="en-GB"/>
              </w:rPr>
            </w:pPr>
            <w:r w:rsidRPr="00D30847">
              <w:rPr>
                <w:rFonts w:cs="Calibri"/>
                <w:sz w:val="20"/>
                <w:szCs w:val="20"/>
                <w:lang w:val="en-GB"/>
              </w:rPr>
              <w:t>On administrative cooperation and mutual assistance, North Macedonia has signed 49 double taxation agreements, including with 23 EU Member States. The country has not yet committed on a date to start the automatic exchange of financial account information as per the Organisation for Economic Cooperation and Development (OECD) standard. The country has yet to implement all the Inclusive Framework on Base Erosion and Profit Shifting (BEPS) minimum standards, namely the minimum standard on Country-by-Country-Reporting.</w:t>
            </w:r>
            <w:r w:rsidR="00A344B0" w:rsidRPr="00D30847">
              <w:rPr>
                <w:rFonts w:cs="Calibri"/>
                <w:sz w:val="20"/>
                <w:szCs w:val="20"/>
                <w:lang w:val="en-GB"/>
              </w:rPr>
              <w:t xml:space="preserve"> </w:t>
            </w:r>
            <w:r w:rsidR="00C025EB" w:rsidRPr="00D30847">
              <w:rPr>
                <w:rFonts w:cs="Calibri"/>
                <w:b/>
                <w:sz w:val="20"/>
                <w:szCs w:val="20"/>
                <w:lang w:val="en-GB"/>
              </w:rPr>
              <w:t>Chapter 29: Customs union</w:t>
            </w:r>
          </w:p>
          <w:p w14:paraId="5C8CE6B8" w14:textId="77777777" w:rsidR="00696697" w:rsidRPr="00D30847" w:rsidRDefault="00696697" w:rsidP="00696697">
            <w:pPr>
              <w:spacing w:after="0" w:line="240" w:lineRule="auto"/>
              <w:jc w:val="both"/>
              <w:rPr>
                <w:rFonts w:cs="Calibri"/>
                <w:sz w:val="20"/>
                <w:szCs w:val="20"/>
                <w:lang w:val="en-GB"/>
              </w:rPr>
            </w:pPr>
            <w:r w:rsidRPr="00D30847">
              <w:rPr>
                <w:rFonts w:cs="Calibri"/>
                <w:sz w:val="20"/>
                <w:szCs w:val="20"/>
                <w:lang w:val="en-GB"/>
              </w:rPr>
              <w:t xml:space="preserve">The customs legislation is highly aligned with the EU acquis. In the field of customs legislation, progress was made in aligning to the EU combined nomenclature. </w:t>
            </w:r>
          </w:p>
          <w:p w14:paraId="5270D9F6" w14:textId="06E62C4F" w:rsidR="00BA57FF" w:rsidRPr="00D30847" w:rsidRDefault="00696697" w:rsidP="00696697">
            <w:pPr>
              <w:spacing w:after="0" w:line="240" w:lineRule="auto"/>
              <w:jc w:val="both"/>
              <w:rPr>
                <w:rFonts w:cs="Calibri"/>
                <w:sz w:val="20"/>
                <w:szCs w:val="20"/>
                <w:lang w:val="en-GB"/>
              </w:rPr>
            </w:pPr>
            <w:r w:rsidRPr="00D30847">
              <w:rPr>
                <w:rFonts w:cs="Calibri"/>
                <w:sz w:val="20"/>
                <w:szCs w:val="20"/>
                <w:lang w:val="en-GB"/>
              </w:rPr>
              <w:t>As part of the anti-fraud efforts, it is recommended that North Macedonia strengthens combating customs fraud, in particular smuggling of tobacco products and by cooperating with OLAF, and ratifies</w:t>
            </w:r>
            <w:r w:rsidRPr="00D30847" w:rsidDel="0056510C">
              <w:rPr>
                <w:rFonts w:cs="Calibri"/>
                <w:sz w:val="20"/>
                <w:szCs w:val="20"/>
                <w:lang w:val="en-GB"/>
              </w:rPr>
              <w:t xml:space="preserve"> </w:t>
            </w:r>
            <w:r w:rsidRPr="00D30847">
              <w:rPr>
                <w:rFonts w:cs="Calibri"/>
                <w:sz w:val="20"/>
                <w:szCs w:val="20"/>
                <w:lang w:val="en-GB"/>
              </w:rPr>
              <w:t>the Protocol on Elimination of Illicit Trade in Tobacco Products, signed in 2014</w:t>
            </w:r>
          </w:p>
        </w:tc>
      </w:tr>
    </w:tbl>
    <w:p w14:paraId="5114B3C2" w14:textId="77777777" w:rsidR="00BA57FF" w:rsidRPr="00D30847" w:rsidRDefault="00BA57FF" w:rsidP="00E84CD0">
      <w:pPr>
        <w:spacing w:line="240" w:lineRule="auto"/>
        <w:jc w:val="both"/>
        <w:rPr>
          <w:rFonts w:cs="Calibri"/>
          <w:lang w:val="en-GB"/>
        </w:rPr>
      </w:pPr>
    </w:p>
    <w:p w14:paraId="2240F292" w14:textId="77777777" w:rsidR="00BA57FF" w:rsidRPr="00D30847" w:rsidRDefault="00BA57FF" w:rsidP="00E84CD0">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Context/Background</w:t>
      </w:r>
    </w:p>
    <w:p w14:paraId="372ACAC5" w14:textId="41C18207" w:rsidR="00C025EB" w:rsidRPr="00D30847" w:rsidRDefault="00C025EB" w:rsidP="00C025EB">
      <w:pPr>
        <w:spacing w:line="240" w:lineRule="auto"/>
        <w:jc w:val="both"/>
        <w:rPr>
          <w:rFonts w:cs="Calibri"/>
          <w:lang w:val="en-GB"/>
        </w:rPr>
      </w:pPr>
      <w:r w:rsidRPr="00D30847">
        <w:rPr>
          <w:rFonts w:cs="Calibri"/>
          <w:lang w:val="en-GB"/>
        </w:rPr>
        <w:t xml:space="preserve">The EU </w:t>
      </w:r>
      <w:r w:rsidR="00367CB7" w:rsidRPr="00D30847">
        <w:rPr>
          <w:rFonts w:cs="Calibri"/>
          <w:lang w:val="en-GB"/>
        </w:rPr>
        <w:t>accession</w:t>
      </w:r>
      <w:r w:rsidRPr="00D30847">
        <w:rPr>
          <w:rFonts w:cs="Calibri"/>
          <w:lang w:val="en-GB"/>
        </w:rPr>
        <w:t xml:space="preserve"> negotiation process remains a priority for the country, with the first step being already taken i.e</w:t>
      </w:r>
      <w:r w:rsidR="000261FF" w:rsidRPr="00D30847">
        <w:rPr>
          <w:rFonts w:cs="Calibri"/>
          <w:lang w:val="en-GB"/>
        </w:rPr>
        <w:t>.</w:t>
      </w:r>
      <w:r w:rsidRPr="00D30847">
        <w:rPr>
          <w:rFonts w:cs="Calibri"/>
          <w:lang w:val="en-GB"/>
        </w:rPr>
        <w:t xml:space="preserve"> analytical examination of the EU acquis (the screening process) of Chapter 16 and Chapter 29.</w:t>
      </w:r>
    </w:p>
    <w:p w14:paraId="7FB1B184" w14:textId="63E7FA91" w:rsidR="00C025EB" w:rsidRPr="00D30847" w:rsidRDefault="00C025EB" w:rsidP="00C025EB">
      <w:pPr>
        <w:spacing w:line="240" w:lineRule="auto"/>
        <w:jc w:val="both"/>
        <w:rPr>
          <w:rFonts w:cs="Calibri"/>
          <w:lang w:val="en-GB"/>
        </w:rPr>
      </w:pPr>
      <w:r w:rsidRPr="00D30847">
        <w:rPr>
          <w:rFonts w:cs="Calibri"/>
          <w:lang w:val="en-GB"/>
        </w:rPr>
        <w:t>Therefore, and taking into consideration that according to the EU Progress Report for North Macedonia for 202</w:t>
      </w:r>
      <w:r w:rsidR="00696697" w:rsidRPr="00D30847">
        <w:rPr>
          <w:rFonts w:cs="Calibri"/>
          <w:lang w:val="en-GB"/>
        </w:rPr>
        <w:t>4</w:t>
      </w:r>
      <w:r w:rsidRPr="00D30847">
        <w:rPr>
          <w:rFonts w:cs="Calibri"/>
          <w:lang w:val="en-GB"/>
        </w:rPr>
        <w:t xml:space="preserve">, the country is „moderately </w:t>
      </w:r>
      <w:r w:rsidR="008F391C" w:rsidRPr="00D30847">
        <w:rPr>
          <w:rFonts w:cs="Calibri"/>
          <w:lang w:val="en-GB"/>
        </w:rPr>
        <w:t>prepared“</w:t>
      </w:r>
      <w:r w:rsidR="00D30847">
        <w:rPr>
          <w:rFonts w:cs="Calibri"/>
          <w:lang w:val="en-GB"/>
        </w:rPr>
        <w:t xml:space="preserve"> </w:t>
      </w:r>
      <w:r w:rsidR="008F391C" w:rsidRPr="00D30847">
        <w:rPr>
          <w:rFonts w:cs="Calibri"/>
          <w:lang w:val="en-GB"/>
        </w:rPr>
        <w:t>in</w:t>
      </w:r>
      <w:r w:rsidRPr="00D30847">
        <w:rPr>
          <w:rFonts w:cs="Calibri"/>
          <w:lang w:val="en-GB"/>
        </w:rPr>
        <w:t xml:space="preserve"> the area of taxation and has a „ good level of preparation” in the area of Customs, further work needs to be done in order to be fully aligned with the acquis </w:t>
      </w:r>
      <w:proofErr w:type="spellStart"/>
      <w:r w:rsidRPr="00D30847">
        <w:rPr>
          <w:rFonts w:cs="Calibri"/>
          <w:lang w:val="en-GB"/>
        </w:rPr>
        <w:t>communitaire</w:t>
      </w:r>
      <w:proofErr w:type="spellEnd"/>
      <w:r w:rsidRPr="00D30847">
        <w:rPr>
          <w:rFonts w:cs="Calibri"/>
          <w:lang w:val="en-GB"/>
        </w:rPr>
        <w:t>, which will lead to an improved legislation framework in the area of tax and customs, followed by their smooth implementation.</w:t>
      </w:r>
    </w:p>
    <w:p w14:paraId="76512227" w14:textId="25F8642F" w:rsidR="006B1000" w:rsidRPr="00D30847" w:rsidRDefault="006B1000" w:rsidP="006B1000">
      <w:pPr>
        <w:spacing w:line="240" w:lineRule="auto"/>
        <w:jc w:val="both"/>
        <w:rPr>
          <w:rFonts w:cs="Calibri"/>
          <w:b/>
          <w:bCs/>
          <w:iCs/>
          <w:color w:val="0070C0"/>
          <w:lang w:val="en-GB"/>
        </w:rPr>
      </w:pPr>
      <w:r w:rsidRPr="00D30847">
        <w:rPr>
          <w:rFonts w:cs="Calibri"/>
          <w:b/>
          <w:bCs/>
          <w:iCs/>
          <w:color w:val="0070C0"/>
          <w:lang w:val="en-GB"/>
        </w:rPr>
        <w:t>Activity</w:t>
      </w:r>
      <w:r w:rsidR="005F7B64" w:rsidRPr="00D30847">
        <w:rPr>
          <w:rFonts w:cs="Calibri"/>
          <w:b/>
          <w:bCs/>
          <w:iCs/>
          <w:color w:val="0070C0"/>
          <w:lang w:val="en-GB"/>
        </w:rPr>
        <w:t xml:space="preserve"> </w:t>
      </w:r>
      <w:r w:rsidRPr="00D30847">
        <w:rPr>
          <w:rFonts w:cs="Calibri"/>
          <w:b/>
          <w:bCs/>
          <w:iCs/>
          <w:color w:val="0070C0"/>
          <w:lang w:val="en-GB"/>
        </w:rPr>
        <w:t>1:</w:t>
      </w:r>
      <w:r w:rsidR="00367CB7" w:rsidRPr="00D30847">
        <w:rPr>
          <w:rFonts w:cs="Calibri"/>
          <w:b/>
          <w:bCs/>
          <w:iCs/>
          <w:color w:val="0070C0"/>
          <w:lang w:val="en-GB"/>
        </w:rPr>
        <w:t xml:space="preserve"> </w:t>
      </w:r>
      <w:r w:rsidRPr="00D30847">
        <w:rPr>
          <w:rFonts w:cs="Calibri"/>
          <w:b/>
          <w:bCs/>
          <w:iCs/>
          <w:color w:val="0070C0"/>
          <w:lang w:val="en-GB"/>
        </w:rPr>
        <w:t xml:space="preserve">Gap analysis of the national tax legislation (laws and by-laws) compared to </w:t>
      </w:r>
      <w:r w:rsidR="00D30847" w:rsidRPr="00D30847">
        <w:rPr>
          <w:rFonts w:cs="Calibri"/>
          <w:b/>
          <w:bCs/>
          <w:iCs/>
          <w:color w:val="0070C0"/>
          <w:lang w:val="en-GB"/>
        </w:rPr>
        <w:t>the EU</w:t>
      </w:r>
      <w:r w:rsidR="00367CB7" w:rsidRPr="00D30847">
        <w:rPr>
          <w:rFonts w:cs="Calibri"/>
          <w:b/>
          <w:bCs/>
          <w:iCs/>
          <w:color w:val="0070C0"/>
          <w:lang w:val="en-GB"/>
        </w:rPr>
        <w:t xml:space="preserve"> legislation and best practices</w:t>
      </w:r>
    </w:p>
    <w:p w14:paraId="56777EDC" w14:textId="14D9F4BE" w:rsidR="00C025EB" w:rsidRPr="00D30847" w:rsidRDefault="00C025EB" w:rsidP="008F391C">
      <w:pPr>
        <w:spacing w:line="240" w:lineRule="auto"/>
        <w:jc w:val="both"/>
        <w:rPr>
          <w:rFonts w:cs="Calibri"/>
          <w:b/>
          <w:bCs/>
          <w:iCs/>
          <w:color w:val="4F81BD"/>
          <w:lang w:val="en-GB"/>
        </w:rPr>
      </w:pPr>
      <w:r w:rsidRPr="00D30847">
        <w:rPr>
          <w:lang w:val="en-GB"/>
        </w:rPr>
        <w:t xml:space="preserve">Conducting gap analysis of the current national legislative framework within the tax areas will be crucial for preparation of new legal acts or amendments to the existing national </w:t>
      </w:r>
      <w:r w:rsidR="008F391C" w:rsidRPr="00D30847">
        <w:rPr>
          <w:lang w:val="en-GB"/>
        </w:rPr>
        <w:t>tax legislation</w:t>
      </w:r>
      <w:r w:rsidRPr="00D30847">
        <w:rPr>
          <w:lang w:val="en-GB"/>
        </w:rPr>
        <w:t xml:space="preserve"> (laws </w:t>
      </w:r>
      <w:r w:rsidRPr="00D30847">
        <w:rPr>
          <w:lang w:val="en-GB"/>
        </w:rPr>
        <w:lastRenderedPageBreak/>
        <w:t>and by-laws) drafted on the basis of the EU legislation in force and the best practices. This activity includes the following sub-activities:</w:t>
      </w:r>
    </w:p>
    <w:p w14:paraId="5C1C6B1D" w14:textId="0CCFF56D" w:rsidR="006B1000" w:rsidRPr="00D30847" w:rsidRDefault="006B1000" w:rsidP="00AD2AD5">
      <w:pPr>
        <w:numPr>
          <w:ilvl w:val="0"/>
          <w:numId w:val="14"/>
        </w:numPr>
        <w:spacing w:after="0" w:line="240" w:lineRule="auto"/>
        <w:ind w:left="360"/>
        <w:jc w:val="both"/>
        <w:rPr>
          <w:rFonts w:cs="Calibri"/>
          <w:lang w:val="en-GB"/>
        </w:rPr>
      </w:pPr>
      <w:r w:rsidRPr="00D30847">
        <w:rPr>
          <w:rFonts w:cs="Calibri"/>
          <w:lang w:val="en-GB"/>
        </w:rPr>
        <w:t>Gap analysis of national legislative provisions (laws and bylaws and methodology) compared to the latest EU legislation and best practices, in the area of tax legislation;</w:t>
      </w:r>
    </w:p>
    <w:p w14:paraId="1B8CC34A" w14:textId="2C674AB9" w:rsidR="00FD485A" w:rsidRPr="00D30847" w:rsidRDefault="006B1000" w:rsidP="00AD2AD5">
      <w:pPr>
        <w:numPr>
          <w:ilvl w:val="0"/>
          <w:numId w:val="14"/>
        </w:numPr>
        <w:spacing w:after="0" w:line="240" w:lineRule="auto"/>
        <w:ind w:left="360"/>
        <w:jc w:val="both"/>
        <w:rPr>
          <w:rFonts w:cs="Calibri"/>
          <w:lang w:val="en-GB"/>
        </w:rPr>
      </w:pPr>
      <w:r w:rsidRPr="00D30847">
        <w:rPr>
          <w:rFonts w:cs="Calibri"/>
          <w:lang w:val="en-GB"/>
        </w:rPr>
        <w:t xml:space="preserve">Reports with written recommendations for improvement of the tax legislation prepared, </w:t>
      </w:r>
    </w:p>
    <w:p w14:paraId="25E34337" w14:textId="77777777" w:rsidR="006B1000" w:rsidRPr="00D30847" w:rsidRDefault="006B1000" w:rsidP="006B1000">
      <w:pPr>
        <w:spacing w:after="0" w:line="240" w:lineRule="auto"/>
        <w:jc w:val="both"/>
        <w:rPr>
          <w:rFonts w:cs="Calibri"/>
          <w:lang w:val="en-GB"/>
        </w:rPr>
      </w:pPr>
    </w:p>
    <w:p w14:paraId="7EB277ED" w14:textId="11AA53C8" w:rsidR="00C025EB" w:rsidRPr="00D30847" w:rsidRDefault="00C025EB" w:rsidP="003715BC">
      <w:pPr>
        <w:spacing w:line="240" w:lineRule="auto"/>
        <w:jc w:val="both"/>
        <w:rPr>
          <w:rFonts w:cs="Calibri"/>
          <w:b/>
          <w:bCs/>
          <w:iCs/>
          <w:color w:val="0070C0"/>
          <w:lang w:val="en-GB"/>
        </w:rPr>
      </w:pPr>
      <w:r w:rsidRPr="00D30847">
        <w:rPr>
          <w:rFonts w:cs="Calibri"/>
          <w:b/>
          <w:bCs/>
          <w:iCs/>
          <w:color w:val="0070C0"/>
          <w:lang w:val="en-GB"/>
        </w:rPr>
        <w:t>Activity 2: New legal acts and/or amendments to the existing national tax legislation (laws and by-laws) drafted in line with the EU legislation and best practices</w:t>
      </w:r>
    </w:p>
    <w:p w14:paraId="33B8253E" w14:textId="77777777" w:rsidR="00C025EB" w:rsidRPr="00D30847" w:rsidRDefault="00C025EB" w:rsidP="003715BC">
      <w:pPr>
        <w:spacing w:line="240" w:lineRule="auto"/>
        <w:rPr>
          <w:rFonts w:cs="Calibri"/>
          <w:lang w:val="en-GB"/>
        </w:rPr>
      </w:pPr>
      <w:r w:rsidRPr="00D30847">
        <w:rPr>
          <w:rFonts w:cs="Calibri"/>
          <w:lang w:val="en-GB"/>
        </w:rPr>
        <w:t xml:space="preserve">Based on the gap analyses, amendments to the national legislation will be prepared; this activity includes the following sub-activities: </w:t>
      </w:r>
    </w:p>
    <w:p w14:paraId="1F16CEC5" w14:textId="77777777" w:rsidR="00015266" w:rsidRPr="00D30847" w:rsidRDefault="00C025EB" w:rsidP="003715BC">
      <w:pPr>
        <w:numPr>
          <w:ilvl w:val="0"/>
          <w:numId w:val="14"/>
        </w:numPr>
        <w:spacing w:line="240" w:lineRule="auto"/>
        <w:ind w:left="180" w:hanging="180"/>
        <w:jc w:val="both"/>
        <w:rPr>
          <w:rFonts w:cs="Calibri"/>
          <w:lang w:val="en-GB"/>
        </w:rPr>
      </w:pPr>
      <w:r w:rsidRPr="00D30847">
        <w:rPr>
          <w:rFonts w:cs="Calibri"/>
          <w:lang w:val="en-GB"/>
        </w:rPr>
        <w:t>New legal acts and/or amendments to the existing national tax legislation (laws and by-laws) drafted;</w:t>
      </w:r>
    </w:p>
    <w:p w14:paraId="4542224D" w14:textId="3E1AA41D" w:rsidR="00317E52" w:rsidRPr="00D30847" w:rsidRDefault="00C025EB" w:rsidP="003715BC">
      <w:pPr>
        <w:numPr>
          <w:ilvl w:val="0"/>
          <w:numId w:val="14"/>
        </w:numPr>
        <w:spacing w:line="240" w:lineRule="auto"/>
        <w:ind w:left="180" w:hanging="180"/>
        <w:jc w:val="both"/>
        <w:rPr>
          <w:rFonts w:cs="Calibri"/>
          <w:lang w:val="en-GB"/>
        </w:rPr>
      </w:pPr>
      <w:r w:rsidRPr="00D30847">
        <w:rPr>
          <w:rFonts w:cs="Calibri"/>
          <w:lang w:val="en-GB"/>
        </w:rPr>
        <w:t>Methodological tools (guidelines/instructions/manuals) based on the new drafted legislation developed.</w:t>
      </w:r>
      <w:r w:rsidR="00317E52" w:rsidRPr="00D30847">
        <w:rPr>
          <w:rFonts w:cs="Calibri"/>
          <w:lang w:val="en-GB"/>
        </w:rPr>
        <w:t xml:space="preserve">    </w:t>
      </w:r>
    </w:p>
    <w:p w14:paraId="152ABB0B" w14:textId="70987144" w:rsidR="00317E52" w:rsidRPr="00D30847" w:rsidRDefault="00317E52" w:rsidP="003715BC">
      <w:pPr>
        <w:spacing w:line="240" w:lineRule="auto"/>
        <w:jc w:val="both"/>
        <w:rPr>
          <w:rFonts w:cs="Calibri"/>
          <w:b/>
          <w:bCs/>
          <w:iCs/>
          <w:color w:val="0070C0"/>
          <w:lang w:val="en-GB"/>
        </w:rPr>
      </w:pPr>
      <w:r w:rsidRPr="00D30847">
        <w:rPr>
          <w:rFonts w:cs="Calibri"/>
          <w:b/>
          <w:bCs/>
          <w:iCs/>
          <w:color w:val="0070C0"/>
          <w:lang w:val="en-GB"/>
        </w:rPr>
        <w:t xml:space="preserve">Activity 3: Gap analysis of the national customs legislation (laws and by-laws) compared to </w:t>
      </w:r>
      <w:r w:rsidR="008F391C" w:rsidRPr="00D30847">
        <w:rPr>
          <w:rFonts w:cs="Calibri"/>
          <w:b/>
          <w:bCs/>
          <w:iCs/>
          <w:color w:val="0070C0"/>
          <w:lang w:val="en-GB"/>
        </w:rPr>
        <w:t>the EU</w:t>
      </w:r>
      <w:r w:rsidRPr="00D30847">
        <w:rPr>
          <w:rFonts w:cs="Calibri"/>
          <w:b/>
          <w:bCs/>
          <w:iCs/>
          <w:color w:val="0070C0"/>
          <w:lang w:val="en-GB"/>
        </w:rPr>
        <w:t xml:space="preserve"> legislation and best practices</w:t>
      </w:r>
    </w:p>
    <w:p w14:paraId="23564B05" w14:textId="77777777" w:rsidR="00317E52" w:rsidRPr="00D30847" w:rsidRDefault="00317E52" w:rsidP="003715BC">
      <w:pPr>
        <w:spacing w:line="240" w:lineRule="auto"/>
        <w:rPr>
          <w:rFonts w:cs="Calibri"/>
          <w:b/>
          <w:bCs/>
          <w:iCs/>
          <w:color w:val="4F81BD"/>
          <w:lang w:val="en-GB"/>
        </w:rPr>
      </w:pPr>
      <w:r w:rsidRPr="00D30847">
        <w:rPr>
          <w:lang w:val="en-GB"/>
        </w:rPr>
        <w:t>Conducting gap analysis of the current national legislative framework within the customs area will be crucial for preparation of new legal acts or amendments to the existing national customs legislation (laws and by-laws) drafted on the basis of the EU legislation in force and the best practices. This activity includes the following sub-activities:</w:t>
      </w:r>
    </w:p>
    <w:p w14:paraId="4088D73B" w14:textId="77777777" w:rsidR="00317E52" w:rsidRPr="00D30847" w:rsidRDefault="00317E52" w:rsidP="003715BC">
      <w:pPr>
        <w:numPr>
          <w:ilvl w:val="0"/>
          <w:numId w:val="14"/>
        </w:numPr>
        <w:spacing w:line="240" w:lineRule="auto"/>
        <w:ind w:left="360"/>
        <w:jc w:val="both"/>
        <w:rPr>
          <w:rFonts w:cs="Calibri"/>
          <w:lang w:val="en-GB"/>
        </w:rPr>
      </w:pPr>
      <w:r w:rsidRPr="00D30847">
        <w:rPr>
          <w:rFonts w:cs="Calibri"/>
          <w:lang w:val="en-GB"/>
        </w:rPr>
        <w:t>Gap analysis of national legislative provisions (laws and bylaws and methodology) compared to the latest EU legislation and best practices, in the area of customs legislation;</w:t>
      </w:r>
    </w:p>
    <w:p w14:paraId="4758D4DB" w14:textId="09CD41AC" w:rsidR="00317E52" w:rsidRPr="00D30847" w:rsidRDefault="00317E52" w:rsidP="003715BC">
      <w:pPr>
        <w:numPr>
          <w:ilvl w:val="0"/>
          <w:numId w:val="14"/>
        </w:numPr>
        <w:spacing w:line="240" w:lineRule="auto"/>
        <w:ind w:left="360"/>
        <w:jc w:val="both"/>
        <w:rPr>
          <w:rFonts w:cs="Calibri"/>
          <w:lang w:val="en-GB"/>
        </w:rPr>
      </w:pPr>
      <w:r w:rsidRPr="00D30847">
        <w:rPr>
          <w:rFonts w:cs="Calibri"/>
          <w:lang w:val="en-GB"/>
        </w:rPr>
        <w:t>Reports with written recommendations for improvement of the customs legislation prepared.</w:t>
      </w:r>
    </w:p>
    <w:p w14:paraId="35EAC308" w14:textId="77777777" w:rsidR="00317E52" w:rsidRPr="00D30847" w:rsidRDefault="00317E52" w:rsidP="00317E52">
      <w:pPr>
        <w:spacing w:line="240" w:lineRule="auto"/>
        <w:jc w:val="both"/>
        <w:rPr>
          <w:rFonts w:cs="Calibri"/>
          <w:b/>
          <w:bCs/>
          <w:iCs/>
          <w:color w:val="0070C0"/>
          <w:lang w:val="en-GB"/>
        </w:rPr>
      </w:pPr>
      <w:r w:rsidRPr="00D30847">
        <w:rPr>
          <w:rFonts w:cs="Calibri"/>
          <w:b/>
          <w:bCs/>
          <w:iCs/>
          <w:color w:val="0070C0"/>
          <w:lang w:val="en-GB"/>
        </w:rPr>
        <w:t>Activity 4: New legal acts and/or amendments to the existing national customs legislation (laws and by-laws) drafted in line with the EU legislation and best practices</w:t>
      </w:r>
    </w:p>
    <w:p w14:paraId="0A48CBD9" w14:textId="77777777" w:rsidR="00317E52" w:rsidRPr="00D30847" w:rsidRDefault="00317E52" w:rsidP="00317E52">
      <w:pPr>
        <w:spacing w:line="240" w:lineRule="auto"/>
        <w:rPr>
          <w:rFonts w:cs="Calibri"/>
          <w:lang w:val="en-GB"/>
        </w:rPr>
      </w:pPr>
      <w:r w:rsidRPr="00D30847">
        <w:rPr>
          <w:rFonts w:cs="Calibri"/>
          <w:lang w:val="en-GB"/>
        </w:rPr>
        <w:t xml:space="preserve">Based on the gap analyses, amendments to the national legislation will be prepared; this activity includes the following sub-activities: </w:t>
      </w:r>
    </w:p>
    <w:p w14:paraId="25C0F151" w14:textId="77777777" w:rsidR="00317E52" w:rsidRPr="00D30847" w:rsidRDefault="00317E52" w:rsidP="00317E52">
      <w:pPr>
        <w:numPr>
          <w:ilvl w:val="0"/>
          <w:numId w:val="14"/>
        </w:numPr>
        <w:spacing w:after="0" w:line="240" w:lineRule="auto"/>
        <w:ind w:left="180" w:hanging="180"/>
        <w:jc w:val="both"/>
        <w:rPr>
          <w:rFonts w:cs="Calibri"/>
          <w:lang w:val="en-GB"/>
        </w:rPr>
      </w:pPr>
      <w:r w:rsidRPr="00D30847">
        <w:rPr>
          <w:rFonts w:cs="Calibri"/>
          <w:lang w:val="en-GB"/>
        </w:rPr>
        <w:t>New legal acts and/or amendments to the existing national customs legislation (laws and by-laws) drafted;</w:t>
      </w:r>
    </w:p>
    <w:p w14:paraId="1ACA9278" w14:textId="49071410" w:rsidR="00317E52" w:rsidRPr="00D30847" w:rsidRDefault="00317E52" w:rsidP="00317E52">
      <w:pPr>
        <w:numPr>
          <w:ilvl w:val="0"/>
          <w:numId w:val="14"/>
        </w:numPr>
        <w:spacing w:after="0" w:line="240" w:lineRule="auto"/>
        <w:ind w:left="180" w:hanging="180"/>
        <w:jc w:val="both"/>
        <w:rPr>
          <w:rFonts w:cs="Calibri"/>
          <w:lang w:val="en-GB"/>
        </w:rPr>
      </w:pPr>
      <w:r w:rsidRPr="00D30847">
        <w:rPr>
          <w:rFonts w:cs="Calibri"/>
          <w:lang w:val="en-GB"/>
        </w:rPr>
        <w:t xml:space="preserve">Methodological tools (guidelines/instructions/manuals) based on the new drafted legislation developed. </w:t>
      </w:r>
    </w:p>
    <w:p w14:paraId="58EF0413" w14:textId="222FB1F4" w:rsidR="00F004A4" w:rsidRPr="00D30847" w:rsidRDefault="00C025EB" w:rsidP="00E32BC1">
      <w:pPr>
        <w:spacing w:after="0" w:line="240" w:lineRule="auto"/>
        <w:ind w:left="180"/>
        <w:jc w:val="both"/>
        <w:rPr>
          <w:rFonts w:cs="Calibri"/>
          <w:lang w:val="en-GB"/>
        </w:rPr>
      </w:pPr>
      <w:r w:rsidRPr="00D30847">
        <w:rPr>
          <w:rFonts w:cs="Calibri"/>
          <w:lang w:val="en-GB"/>
        </w:rPr>
        <w:t xml:space="preserve"> </w:t>
      </w:r>
    </w:p>
    <w:p w14:paraId="647C29A9" w14:textId="77777777" w:rsidR="00BA57FF" w:rsidRPr="00D30847" w:rsidRDefault="00BA57FF" w:rsidP="00E84CD0">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Implementation</w:t>
      </w:r>
    </w:p>
    <w:tbl>
      <w:tblPr>
        <w:tblW w:w="0" w:type="auto"/>
        <w:tblBorders>
          <w:insideH w:val="single" w:sz="4" w:space="0" w:color="FFFFFF"/>
        </w:tblBorders>
        <w:tblLayout w:type="fixed"/>
        <w:tblLook w:val="0080" w:firstRow="0" w:lastRow="0" w:firstColumn="1" w:lastColumn="0" w:noHBand="0" w:noVBand="0"/>
      </w:tblPr>
      <w:tblGrid>
        <w:gridCol w:w="3119"/>
        <w:gridCol w:w="5645"/>
      </w:tblGrid>
      <w:tr w:rsidR="001A5646" w:rsidRPr="00D30847" w14:paraId="2218A539" w14:textId="77777777" w:rsidTr="00A64926">
        <w:tc>
          <w:tcPr>
            <w:tcW w:w="3119" w:type="dxa"/>
            <w:tcBorders>
              <w:top w:val="nil"/>
              <w:bottom w:val="single" w:sz="4" w:space="0" w:color="FFFFFF"/>
            </w:tcBorders>
            <w:shd w:val="clear" w:color="auto" w:fill="002060"/>
          </w:tcPr>
          <w:p w14:paraId="0A5733A8" w14:textId="21BDE267" w:rsidR="001A5646" w:rsidRPr="00D30847" w:rsidRDefault="001A5646" w:rsidP="001A5646">
            <w:pPr>
              <w:spacing w:line="240" w:lineRule="auto"/>
              <w:jc w:val="both"/>
              <w:rPr>
                <w:rFonts w:cs="Calibri"/>
                <w:b/>
                <w:color w:val="FFFFFF"/>
                <w:sz w:val="20"/>
                <w:szCs w:val="20"/>
                <w:lang w:val="en-GB"/>
              </w:rPr>
            </w:pPr>
            <w:r w:rsidRPr="00D30847">
              <w:rPr>
                <w:rFonts w:cs="Calibri"/>
                <w:b/>
                <w:color w:val="FFFFFF"/>
                <w:sz w:val="20"/>
                <w:szCs w:val="20"/>
                <w:lang w:val="en-GB"/>
              </w:rPr>
              <w:t>Completed</w:t>
            </w:r>
            <w:r w:rsidR="005F7B64" w:rsidRPr="00D30847">
              <w:rPr>
                <w:rFonts w:cs="Calibri"/>
                <w:b/>
                <w:color w:val="FFFFFF"/>
                <w:sz w:val="20"/>
                <w:szCs w:val="20"/>
                <w:lang w:val="en-GB"/>
              </w:rPr>
              <w:t xml:space="preserve"> </w:t>
            </w:r>
            <w:r w:rsidRPr="00D30847">
              <w:rPr>
                <w:rFonts w:cs="Calibri"/>
                <w:b/>
                <w:color w:val="FFFFFF"/>
                <w:sz w:val="20"/>
                <w:szCs w:val="20"/>
                <w:lang w:val="en-GB"/>
              </w:rPr>
              <w:t>in</w:t>
            </w:r>
            <w:r w:rsidR="005F7B64" w:rsidRPr="00D30847">
              <w:rPr>
                <w:rFonts w:cs="Calibri"/>
                <w:b/>
                <w:color w:val="FFFFFF"/>
                <w:sz w:val="20"/>
                <w:szCs w:val="20"/>
                <w:lang w:val="en-GB"/>
              </w:rPr>
              <w:t xml:space="preserve"> </w:t>
            </w:r>
            <w:r w:rsidRPr="00D30847">
              <w:rPr>
                <w:rFonts w:cs="Calibri"/>
                <w:b/>
                <w:color w:val="FFFFFF"/>
                <w:sz w:val="20"/>
                <w:szCs w:val="20"/>
                <w:lang w:val="en-GB"/>
              </w:rPr>
              <w:t>year:</w:t>
            </w:r>
          </w:p>
        </w:tc>
        <w:tc>
          <w:tcPr>
            <w:tcW w:w="5645" w:type="dxa"/>
            <w:tcBorders>
              <w:top w:val="nil"/>
              <w:bottom w:val="single" w:sz="4" w:space="0" w:color="FFFFFF"/>
            </w:tcBorders>
            <w:shd w:val="clear" w:color="auto" w:fill="D9E2F3"/>
          </w:tcPr>
          <w:p w14:paraId="4E655FCA" w14:textId="5AE8A7D7" w:rsidR="001A5646" w:rsidRPr="00D30847" w:rsidRDefault="001A5646" w:rsidP="001A5646">
            <w:pPr>
              <w:spacing w:line="240" w:lineRule="auto"/>
              <w:jc w:val="both"/>
              <w:rPr>
                <w:rFonts w:cs="Calibri"/>
                <w:sz w:val="20"/>
                <w:szCs w:val="20"/>
                <w:lang w:val="en-GB"/>
              </w:rPr>
            </w:pPr>
            <w:r w:rsidRPr="00D30847">
              <w:rPr>
                <w:sz w:val="20"/>
                <w:szCs w:val="20"/>
                <w:lang w:val="en-GB"/>
              </w:rPr>
              <w:t>202</w:t>
            </w:r>
            <w:r w:rsidR="00317E52" w:rsidRPr="00D30847">
              <w:rPr>
                <w:sz w:val="20"/>
                <w:szCs w:val="20"/>
                <w:lang w:val="en-GB"/>
              </w:rPr>
              <w:t>8</w:t>
            </w:r>
          </w:p>
        </w:tc>
      </w:tr>
      <w:tr w:rsidR="001A5646" w:rsidRPr="00D30847" w14:paraId="247754FF" w14:textId="77777777" w:rsidTr="00A64926">
        <w:tc>
          <w:tcPr>
            <w:tcW w:w="3119" w:type="dxa"/>
            <w:tcBorders>
              <w:top w:val="single" w:sz="4" w:space="0" w:color="FFFFFF"/>
              <w:bottom w:val="single" w:sz="4" w:space="0" w:color="FFFFFF"/>
            </w:tcBorders>
            <w:shd w:val="clear" w:color="auto" w:fill="002060"/>
          </w:tcPr>
          <w:p w14:paraId="26873135" w14:textId="77777777" w:rsidR="001A5646" w:rsidRPr="00D30847" w:rsidRDefault="001A5646" w:rsidP="001A5646">
            <w:pPr>
              <w:spacing w:line="240" w:lineRule="auto"/>
              <w:jc w:val="both"/>
              <w:rPr>
                <w:rFonts w:cs="Calibri"/>
                <w:b/>
                <w:color w:val="FFFFFF"/>
                <w:sz w:val="20"/>
                <w:szCs w:val="20"/>
                <w:lang w:val="en-GB"/>
              </w:rPr>
            </w:pPr>
            <w:r w:rsidRPr="00D30847">
              <w:rPr>
                <w:rFonts w:cs="Calibri"/>
                <w:b/>
                <w:color w:val="FFFFFF"/>
                <w:sz w:val="20"/>
                <w:szCs w:val="20"/>
                <w:lang w:val="en-GB"/>
              </w:rPr>
              <w:t>Deliverables:</w:t>
            </w:r>
          </w:p>
        </w:tc>
        <w:tc>
          <w:tcPr>
            <w:tcW w:w="5645" w:type="dxa"/>
            <w:tcBorders>
              <w:top w:val="single" w:sz="4" w:space="0" w:color="FFFFFF"/>
              <w:bottom w:val="single" w:sz="4" w:space="0" w:color="FFFFFF"/>
            </w:tcBorders>
            <w:shd w:val="clear" w:color="auto" w:fill="D9E2F3"/>
          </w:tcPr>
          <w:p w14:paraId="518EEF62" w14:textId="1687E909" w:rsidR="00C025EB" w:rsidRPr="00D30847" w:rsidRDefault="00C025EB" w:rsidP="00AD2AD5">
            <w:pPr>
              <w:pStyle w:val="ListParagraph"/>
              <w:numPr>
                <w:ilvl w:val="0"/>
                <w:numId w:val="67"/>
              </w:numPr>
              <w:spacing w:after="0" w:line="240" w:lineRule="auto"/>
              <w:ind w:left="145" w:hanging="145"/>
              <w:rPr>
                <w:sz w:val="20"/>
                <w:szCs w:val="20"/>
              </w:rPr>
            </w:pPr>
            <w:r w:rsidRPr="00D30847">
              <w:rPr>
                <w:sz w:val="20"/>
                <w:szCs w:val="20"/>
              </w:rPr>
              <w:t>Prepared remaining gap analysis, written recommendations and new legal acts and/or amendments to the existing national tax</w:t>
            </w:r>
            <w:r w:rsidR="005551A6" w:rsidRPr="00D30847">
              <w:rPr>
                <w:sz w:val="20"/>
                <w:szCs w:val="20"/>
              </w:rPr>
              <w:t xml:space="preserve"> and Customs</w:t>
            </w:r>
            <w:r w:rsidRPr="00D30847">
              <w:rPr>
                <w:sz w:val="20"/>
                <w:szCs w:val="20"/>
              </w:rPr>
              <w:t xml:space="preserve"> legislation (Customs Law, Customs Tariffs, Customs Measures for Protection of Intellectual Property Rights, Personal income tax, Corporate income tax, Value Added Tax, Excise Duties, Taxation of Motor Vehicles, Property Taxes, Public Revenue Office, Tax Procedure); </w:t>
            </w:r>
          </w:p>
          <w:p w14:paraId="244C76D3" w14:textId="738270F8" w:rsidR="001A5646" w:rsidRPr="00D30847" w:rsidRDefault="00C025EB" w:rsidP="00AD2AD5">
            <w:pPr>
              <w:pStyle w:val="ListParagraph"/>
              <w:numPr>
                <w:ilvl w:val="0"/>
                <w:numId w:val="67"/>
              </w:numPr>
              <w:spacing w:after="0" w:line="240" w:lineRule="auto"/>
              <w:ind w:left="145" w:hanging="145"/>
              <w:rPr>
                <w:rFonts w:cs="Calibri"/>
                <w:sz w:val="20"/>
                <w:szCs w:val="20"/>
              </w:rPr>
            </w:pPr>
            <w:r w:rsidRPr="00D30847">
              <w:rPr>
                <w:sz w:val="20"/>
                <w:szCs w:val="20"/>
              </w:rPr>
              <w:t>Prepared laws and bylaws in accordance with gap-analysis;</w:t>
            </w:r>
          </w:p>
        </w:tc>
      </w:tr>
      <w:tr w:rsidR="001A5646" w:rsidRPr="00D30847" w14:paraId="37F81802" w14:textId="77777777" w:rsidTr="00A64926">
        <w:tc>
          <w:tcPr>
            <w:tcW w:w="3119" w:type="dxa"/>
            <w:tcBorders>
              <w:top w:val="single" w:sz="4" w:space="0" w:color="FFFFFF"/>
              <w:bottom w:val="single" w:sz="4" w:space="0" w:color="FFFFFF"/>
            </w:tcBorders>
            <w:shd w:val="clear" w:color="auto" w:fill="002060"/>
          </w:tcPr>
          <w:p w14:paraId="11047409" w14:textId="06554583" w:rsidR="001A5646" w:rsidRPr="00D30847" w:rsidRDefault="001A5646" w:rsidP="001A5646">
            <w:pPr>
              <w:spacing w:line="240" w:lineRule="auto"/>
              <w:jc w:val="both"/>
              <w:rPr>
                <w:rFonts w:cs="Calibri"/>
                <w:b/>
                <w:color w:val="FFFFFF"/>
                <w:sz w:val="20"/>
                <w:szCs w:val="20"/>
                <w:lang w:val="en-GB"/>
              </w:rPr>
            </w:pPr>
            <w:r w:rsidRPr="00D30847">
              <w:rPr>
                <w:rFonts w:cs="Calibri"/>
                <w:b/>
                <w:color w:val="FFFFFF"/>
                <w:sz w:val="20"/>
                <w:szCs w:val="20"/>
                <w:lang w:val="en-GB"/>
              </w:rPr>
              <w:t>Costs</w:t>
            </w:r>
            <w:r w:rsidR="00367CB7" w:rsidRPr="00D30847">
              <w:rPr>
                <w:rFonts w:cs="Calibri"/>
                <w:b/>
                <w:color w:val="FFFFFF"/>
                <w:sz w:val="20"/>
                <w:szCs w:val="20"/>
                <w:lang w:val="en-GB"/>
              </w:rPr>
              <w:t xml:space="preserve"> </w:t>
            </w:r>
            <w:r w:rsidRPr="00D30847">
              <w:rPr>
                <w:rFonts w:cs="Calibri"/>
                <w:b/>
                <w:color w:val="FFFFFF"/>
                <w:sz w:val="20"/>
                <w:szCs w:val="20"/>
                <w:lang w:val="en-GB"/>
              </w:rPr>
              <w:t>implications:</w:t>
            </w:r>
          </w:p>
        </w:tc>
        <w:tc>
          <w:tcPr>
            <w:tcW w:w="5645" w:type="dxa"/>
            <w:tcBorders>
              <w:top w:val="single" w:sz="4" w:space="0" w:color="FFFFFF"/>
              <w:bottom w:val="single" w:sz="4" w:space="0" w:color="FFFFFF"/>
            </w:tcBorders>
            <w:shd w:val="clear" w:color="auto" w:fill="D9E2F3"/>
          </w:tcPr>
          <w:p w14:paraId="72E435FD" w14:textId="2A7BCACF" w:rsidR="001A5646" w:rsidRPr="00D30847" w:rsidRDefault="001A5646" w:rsidP="001A5646">
            <w:pPr>
              <w:spacing w:line="240" w:lineRule="auto"/>
              <w:jc w:val="both"/>
              <w:rPr>
                <w:rFonts w:cs="Calibri"/>
                <w:sz w:val="20"/>
                <w:szCs w:val="20"/>
                <w:lang w:val="en-GB"/>
              </w:rPr>
            </w:pPr>
            <w:r w:rsidRPr="00D30847">
              <w:rPr>
                <w:sz w:val="20"/>
                <w:szCs w:val="20"/>
                <w:lang w:val="en-GB"/>
              </w:rPr>
              <w:t xml:space="preserve">EUR </w:t>
            </w:r>
            <w:r w:rsidR="006B1000" w:rsidRPr="00D30847">
              <w:rPr>
                <w:sz w:val="20"/>
                <w:szCs w:val="20"/>
                <w:lang w:val="en-GB"/>
              </w:rPr>
              <w:t>5</w:t>
            </w:r>
            <w:r w:rsidR="00317E52" w:rsidRPr="00D30847">
              <w:rPr>
                <w:sz w:val="20"/>
                <w:szCs w:val="20"/>
                <w:lang w:val="en-GB"/>
              </w:rPr>
              <w:t>0</w:t>
            </w:r>
            <w:r w:rsidR="006B1000" w:rsidRPr="00D30847">
              <w:rPr>
                <w:sz w:val="20"/>
                <w:szCs w:val="20"/>
                <w:lang w:val="en-GB"/>
              </w:rPr>
              <w:t>0.000</w:t>
            </w:r>
          </w:p>
        </w:tc>
      </w:tr>
      <w:tr w:rsidR="001A5646" w:rsidRPr="00D30847" w14:paraId="6B97D775" w14:textId="77777777" w:rsidTr="00A64926">
        <w:tc>
          <w:tcPr>
            <w:tcW w:w="3119" w:type="dxa"/>
            <w:tcBorders>
              <w:top w:val="single" w:sz="4" w:space="0" w:color="FFFFFF"/>
              <w:bottom w:val="single" w:sz="4" w:space="0" w:color="FFFFFF"/>
            </w:tcBorders>
            <w:shd w:val="clear" w:color="auto" w:fill="002060"/>
          </w:tcPr>
          <w:p w14:paraId="43BDCA2F" w14:textId="1D0686BF" w:rsidR="001A5646" w:rsidRPr="00D30847" w:rsidRDefault="001A5646" w:rsidP="001A5646">
            <w:pPr>
              <w:spacing w:line="240" w:lineRule="auto"/>
              <w:jc w:val="both"/>
              <w:rPr>
                <w:rFonts w:cs="Calibri"/>
                <w:b/>
                <w:color w:val="FFFFFF"/>
                <w:sz w:val="20"/>
                <w:szCs w:val="20"/>
                <w:lang w:val="en-GB"/>
              </w:rPr>
            </w:pPr>
            <w:r w:rsidRPr="00D30847">
              <w:rPr>
                <w:rFonts w:cs="Calibri"/>
                <w:b/>
                <w:color w:val="FFFFFF"/>
                <w:sz w:val="20"/>
                <w:szCs w:val="20"/>
                <w:lang w:val="en-GB"/>
              </w:rPr>
              <w:lastRenderedPageBreak/>
              <w:t>Responsible</w:t>
            </w:r>
            <w:r w:rsidR="00367CB7" w:rsidRPr="00D30847">
              <w:rPr>
                <w:rFonts w:cs="Calibri"/>
                <w:b/>
                <w:color w:val="FFFFFF"/>
                <w:sz w:val="20"/>
                <w:szCs w:val="20"/>
                <w:lang w:val="en-GB"/>
              </w:rPr>
              <w:t xml:space="preserve"> </w:t>
            </w:r>
            <w:r w:rsidRPr="00D30847">
              <w:rPr>
                <w:rFonts w:cs="Calibri"/>
                <w:b/>
                <w:color w:val="FFFFFF"/>
                <w:sz w:val="20"/>
                <w:szCs w:val="20"/>
                <w:lang w:val="en-GB"/>
              </w:rPr>
              <w:t xml:space="preserve">entity: </w:t>
            </w:r>
          </w:p>
        </w:tc>
        <w:tc>
          <w:tcPr>
            <w:tcW w:w="5645" w:type="dxa"/>
            <w:tcBorders>
              <w:top w:val="single" w:sz="4" w:space="0" w:color="FFFFFF"/>
              <w:bottom w:val="single" w:sz="4" w:space="0" w:color="FFFFFF"/>
            </w:tcBorders>
            <w:shd w:val="clear" w:color="auto" w:fill="D9E2F3"/>
          </w:tcPr>
          <w:p w14:paraId="63025586" w14:textId="77777777" w:rsidR="001A5646" w:rsidRPr="00D30847" w:rsidRDefault="001A5646" w:rsidP="001A5646">
            <w:pPr>
              <w:spacing w:line="240" w:lineRule="auto"/>
              <w:jc w:val="both"/>
              <w:rPr>
                <w:rFonts w:cs="Calibri"/>
                <w:sz w:val="20"/>
                <w:szCs w:val="20"/>
                <w:lang w:val="en-GB"/>
              </w:rPr>
            </w:pPr>
            <w:r w:rsidRPr="00D30847">
              <w:rPr>
                <w:sz w:val="20"/>
                <w:szCs w:val="20"/>
                <w:lang w:val="en-GB"/>
              </w:rPr>
              <w:t>MoF, PRO, Customs</w:t>
            </w:r>
          </w:p>
        </w:tc>
      </w:tr>
      <w:tr w:rsidR="001A5646" w:rsidRPr="00D30847" w14:paraId="257FC08A" w14:textId="77777777" w:rsidTr="00A64926">
        <w:tc>
          <w:tcPr>
            <w:tcW w:w="3119" w:type="dxa"/>
            <w:tcBorders>
              <w:top w:val="single" w:sz="4" w:space="0" w:color="FFFFFF"/>
              <w:bottom w:val="nil"/>
            </w:tcBorders>
            <w:shd w:val="clear" w:color="auto" w:fill="002060"/>
          </w:tcPr>
          <w:p w14:paraId="3B31A548" w14:textId="77777777" w:rsidR="001A5646" w:rsidRPr="00D30847" w:rsidRDefault="001A5646" w:rsidP="001A5646">
            <w:pPr>
              <w:spacing w:line="240" w:lineRule="auto"/>
              <w:jc w:val="both"/>
              <w:rPr>
                <w:rFonts w:cs="Calibri"/>
                <w:b/>
                <w:color w:val="FFFFFF"/>
                <w:sz w:val="20"/>
                <w:szCs w:val="20"/>
                <w:lang w:val="en-GB"/>
              </w:rPr>
            </w:pPr>
            <w:r w:rsidRPr="00D30847">
              <w:rPr>
                <w:rFonts w:cs="Calibri"/>
                <w:b/>
                <w:color w:val="FFFFFF"/>
                <w:sz w:val="20"/>
                <w:szCs w:val="20"/>
                <w:lang w:val="en-GB"/>
              </w:rPr>
              <w:t>Risk:</w:t>
            </w:r>
          </w:p>
        </w:tc>
        <w:tc>
          <w:tcPr>
            <w:tcW w:w="5645" w:type="dxa"/>
            <w:tcBorders>
              <w:top w:val="single" w:sz="4" w:space="0" w:color="FFFFFF"/>
              <w:bottom w:val="nil"/>
            </w:tcBorders>
            <w:shd w:val="clear" w:color="auto" w:fill="D9E2F3"/>
          </w:tcPr>
          <w:p w14:paraId="2AD3A006" w14:textId="0E1E6484" w:rsidR="00317E52" w:rsidRPr="00D30847" w:rsidRDefault="00317E52" w:rsidP="00317E52">
            <w:pPr>
              <w:spacing w:after="0" w:line="240" w:lineRule="auto"/>
              <w:jc w:val="both"/>
              <w:rPr>
                <w:sz w:val="20"/>
                <w:szCs w:val="20"/>
                <w:lang w:val="en-GB"/>
              </w:rPr>
            </w:pPr>
            <w:r w:rsidRPr="00D30847">
              <w:rPr>
                <w:sz w:val="20"/>
                <w:szCs w:val="20"/>
                <w:lang w:val="en-GB"/>
              </w:rPr>
              <w:t>-</w:t>
            </w:r>
            <w:r w:rsidR="003F1115" w:rsidRPr="00D30847">
              <w:rPr>
                <w:sz w:val="20"/>
                <w:szCs w:val="20"/>
                <w:lang w:val="en-GB"/>
              </w:rPr>
              <w:t xml:space="preserve"> </w:t>
            </w:r>
            <w:r w:rsidRPr="00D30847">
              <w:rPr>
                <w:sz w:val="20"/>
                <w:szCs w:val="20"/>
                <w:lang w:val="en-GB"/>
              </w:rPr>
              <w:t>Human resources limitation;</w:t>
            </w:r>
          </w:p>
          <w:p w14:paraId="13AED409" w14:textId="60CEC5C6" w:rsidR="00317E52" w:rsidRPr="00D30847" w:rsidRDefault="00317E52" w:rsidP="00317E52">
            <w:pPr>
              <w:spacing w:after="0" w:line="240" w:lineRule="auto"/>
              <w:jc w:val="both"/>
              <w:rPr>
                <w:sz w:val="20"/>
                <w:szCs w:val="20"/>
                <w:lang w:val="en-GB"/>
              </w:rPr>
            </w:pPr>
            <w:r w:rsidRPr="00D30847">
              <w:rPr>
                <w:sz w:val="20"/>
                <w:szCs w:val="20"/>
                <w:lang w:val="en-GB"/>
              </w:rPr>
              <w:t>-</w:t>
            </w:r>
            <w:r w:rsidR="003F1115" w:rsidRPr="00D30847">
              <w:rPr>
                <w:sz w:val="20"/>
                <w:szCs w:val="20"/>
                <w:lang w:val="en-GB"/>
              </w:rPr>
              <w:t xml:space="preserve"> </w:t>
            </w:r>
            <w:r w:rsidRPr="00D30847">
              <w:rPr>
                <w:sz w:val="20"/>
                <w:szCs w:val="20"/>
                <w:lang w:val="en-GB"/>
              </w:rPr>
              <w:t>Lack of political will to support reforms</w:t>
            </w:r>
            <w:r w:rsidR="000261FF" w:rsidRPr="00D30847">
              <w:rPr>
                <w:sz w:val="20"/>
                <w:szCs w:val="20"/>
                <w:lang w:val="en-GB"/>
              </w:rPr>
              <w:t xml:space="preserve"> </w:t>
            </w:r>
            <w:r w:rsidRPr="00D30847">
              <w:rPr>
                <w:sz w:val="20"/>
                <w:szCs w:val="20"/>
                <w:lang w:val="en-GB"/>
              </w:rPr>
              <w:t>awareness and commitment from high-level officials;</w:t>
            </w:r>
          </w:p>
          <w:p w14:paraId="3509062E" w14:textId="77777777" w:rsidR="00317E52" w:rsidRPr="00D30847" w:rsidRDefault="00317E52" w:rsidP="00317E52">
            <w:pPr>
              <w:spacing w:after="0" w:line="240" w:lineRule="auto"/>
              <w:jc w:val="both"/>
              <w:rPr>
                <w:sz w:val="20"/>
                <w:szCs w:val="20"/>
                <w:lang w:val="en-GB"/>
              </w:rPr>
            </w:pPr>
            <w:r w:rsidRPr="00D30847">
              <w:rPr>
                <w:sz w:val="20"/>
                <w:szCs w:val="20"/>
                <w:lang w:val="en-GB"/>
              </w:rPr>
              <w:t>- Internal resistance to modernization processes;</w:t>
            </w:r>
          </w:p>
          <w:p w14:paraId="363EF34B" w14:textId="77777777" w:rsidR="00317E52" w:rsidRPr="00D30847" w:rsidRDefault="00317E52" w:rsidP="00317E52">
            <w:pPr>
              <w:spacing w:after="0" w:line="240" w:lineRule="auto"/>
              <w:jc w:val="both"/>
              <w:rPr>
                <w:sz w:val="20"/>
                <w:szCs w:val="20"/>
                <w:lang w:val="en-GB"/>
              </w:rPr>
            </w:pPr>
            <w:r w:rsidRPr="00D30847">
              <w:rPr>
                <w:sz w:val="20"/>
                <w:szCs w:val="20"/>
                <w:lang w:val="en-GB"/>
              </w:rPr>
              <w:t>- Continuous outflow of staff;</w:t>
            </w:r>
          </w:p>
          <w:p w14:paraId="411032F5" w14:textId="2D2DB097" w:rsidR="001A5646" w:rsidRPr="00D30847" w:rsidRDefault="00317E52" w:rsidP="00C025EB">
            <w:pPr>
              <w:spacing w:after="0" w:line="240" w:lineRule="auto"/>
              <w:jc w:val="both"/>
              <w:rPr>
                <w:rFonts w:cs="Calibri"/>
                <w:sz w:val="20"/>
                <w:szCs w:val="20"/>
                <w:lang w:val="en-GB"/>
              </w:rPr>
            </w:pPr>
            <w:r w:rsidRPr="00D30847">
              <w:rPr>
                <w:sz w:val="20"/>
                <w:szCs w:val="20"/>
                <w:lang w:val="en-GB"/>
              </w:rPr>
              <w:t>-Departure or reduced interest among donors to support the activities.</w:t>
            </w:r>
          </w:p>
        </w:tc>
      </w:tr>
    </w:tbl>
    <w:p w14:paraId="310A3850" w14:textId="77777777" w:rsidR="00A64FD7" w:rsidRPr="00D30847" w:rsidRDefault="00A64FD7" w:rsidP="00E84CD0">
      <w:pPr>
        <w:spacing w:line="240" w:lineRule="auto"/>
        <w:jc w:val="both"/>
        <w:rPr>
          <w:rFonts w:cs="Calibri"/>
          <w:lang w:val="en-GB"/>
        </w:rPr>
      </w:pPr>
    </w:p>
    <w:p w14:paraId="669A604E" w14:textId="085936D8" w:rsidR="003715BC" w:rsidRPr="00D30847" w:rsidRDefault="00EE7F06" w:rsidP="006C526B">
      <w:pPr>
        <w:pStyle w:val="Heading1"/>
        <w:spacing w:line="240" w:lineRule="auto"/>
        <w:jc w:val="both"/>
        <w:rPr>
          <w:rFonts w:ascii="Calibri" w:hAnsi="Calibri" w:cs="Calibri"/>
          <w:color w:val="2F5496"/>
          <w:sz w:val="28"/>
          <w:szCs w:val="28"/>
          <w:lang w:val="en-GB"/>
        </w:rPr>
      </w:pPr>
      <w:r w:rsidRPr="00D30847">
        <w:rPr>
          <w:rFonts w:ascii="Calibri" w:hAnsi="Calibri" w:cs="Calibri"/>
          <w:color w:val="2F5496"/>
          <w:lang w:val="en-GB"/>
        </w:rPr>
        <w:br w:type="page"/>
      </w:r>
      <w:bookmarkStart w:id="23" w:name="_Toc187841805"/>
      <w:r w:rsidR="00A64FD7" w:rsidRPr="00D30847">
        <w:rPr>
          <w:rFonts w:ascii="Calibri" w:hAnsi="Calibri" w:cs="Calibri"/>
          <w:color w:val="2F5496"/>
          <w:sz w:val="28"/>
          <w:szCs w:val="28"/>
          <w:lang w:val="en-GB"/>
        </w:rPr>
        <w:lastRenderedPageBreak/>
        <w:t>Priority 2: Tax administration</w:t>
      </w:r>
      <w:bookmarkEnd w:id="23"/>
    </w:p>
    <w:p w14:paraId="7654713A" w14:textId="778617D1" w:rsidR="00E93DCC" w:rsidRPr="00D30847" w:rsidRDefault="007B6BE7" w:rsidP="006C526B">
      <w:pPr>
        <w:spacing w:before="240" w:after="60"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Obje</w:t>
      </w:r>
      <w:r w:rsidR="003F1115" w:rsidRPr="00D30847">
        <w:rPr>
          <w:rFonts w:eastAsia="MS PGothic" w:cs="Calibri"/>
          <w:b/>
          <w:bCs/>
          <w:i/>
          <w:iCs/>
          <w:color w:val="4F81BD"/>
          <w:lang w:val="en-GB" w:eastAsia="zh-CN"/>
        </w:rPr>
        <w:t>c</w:t>
      </w:r>
      <w:r w:rsidRPr="00D30847">
        <w:rPr>
          <w:rFonts w:eastAsia="MS PGothic" w:cs="Calibri"/>
          <w:b/>
          <w:bCs/>
          <w:i/>
          <w:iCs/>
          <w:color w:val="4F81BD"/>
          <w:lang w:val="en-GB" w:eastAsia="zh-CN"/>
        </w:rPr>
        <w:t>tive</w:t>
      </w:r>
    </w:p>
    <w:p w14:paraId="2088B116" w14:textId="77777777" w:rsidR="00E93DCC" w:rsidRPr="00D30847" w:rsidRDefault="00E93DCC" w:rsidP="003715BC">
      <w:pPr>
        <w:spacing w:line="240" w:lineRule="auto"/>
        <w:jc w:val="both"/>
        <w:rPr>
          <w:rFonts w:eastAsia="Times New Roman" w:cs="Calibri"/>
          <w:color w:val="202124"/>
          <w:lang w:val="en-GB"/>
        </w:rPr>
      </w:pPr>
      <w:r w:rsidRPr="00D30847">
        <w:rPr>
          <w:rFonts w:eastAsia="Times New Roman" w:cs="Calibri"/>
          <w:color w:val="202124"/>
          <w:lang w:val="en-GB"/>
        </w:rPr>
        <w:t>Improve taxpayer services, including tax collection and compliance, and overall to establish a professional taxpayer service model recognized for best practice and quality standards</w:t>
      </w:r>
    </w:p>
    <w:p w14:paraId="36FE6BF0" w14:textId="77777777" w:rsidR="00A64FD7" w:rsidRPr="00D30847" w:rsidRDefault="00E93DCC" w:rsidP="003715BC">
      <w:pPr>
        <w:spacing w:line="240" w:lineRule="auto"/>
        <w:jc w:val="both"/>
        <w:rPr>
          <w:rFonts w:eastAsia="Times New Roman" w:cs="Calibri"/>
          <w:color w:val="202124"/>
          <w:lang w:val="en-GB"/>
        </w:rPr>
      </w:pPr>
      <w:r w:rsidRPr="00D30847">
        <w:rPr>
          <w:rFonts w:eastAsia="Times New Roman" w:cs="Calibri"/>
          <w:color w:val="202124"/>
          <w:lang w:val="en-GB"/>
        </w:rPr>
        <w:t>The objective of this priority will be achieved through the following measures and activities:</w:t>
      </w:r>
    </w:p>
    <w:tbl>
      <w:tblPr>
        <w:tblW w:w="9025" w:type="dxa"/>
        <w:tblInd w:w="-90" w:type="dxa"/>
        <w:tblLook w:val="01E0" w:firstRow="1" w:lastRow="1" w:firstColumn="1" w:lastColumn="1" w:noHBand="0" w:noVBand="0"/>
      </w:tblPr>
      <w:tblGrid>
        <w:gridCol w:w="1440"/>
        <w:gridCol w:w="7585"/>
      </w:tblGrid>
      <w:tr w:rsidR="000D03EB" w:rsidRPr="00D30847" w14:paraId="24FE0F1C" w14:textId="77777777" w:rsidTr="00436B95">
        <w:trPr>
          <w:trHeight w:val="168"/>
        </w:trPr>
        <w:tc>
          <w:tcPr>
            <w:tcW w:w="1440" w:type="dxa"/>
            <w:shd w:val="clear" w:color="auto" w:fill="auto"/>
          </w:tcPr>
          <w:p w14:paraId="597FB2F3" w14:textId="17612357" w:rsidR="000D03EB" w:rsidRPr="00D30847" w:rsidRDefault="000D03EB" w:rsidP="00E84CD0">
            <w:pPr>
              <w:spacing w:line="240" w:lineRule="auto"/>
              <w:jc w:val="both"/>
              <w:rPr>
                <w:rFonts w:cs="Calibri"/>
                <w:b/>
                <w:lang w:val="en-GB"/>
              </w:rPr>
            </w:pPr>
            <w:r w:rsidRPr="00D30847">
              <w:rPr>
                <w:rFonts w:cs="Calibri"/>
                <w:b/>
                <w:lang w:val="en-GB"/>
              </w:rPr>
              <w:t>Measure</w:t>
            </w:r>
            <w:r w:rsidR="00C025EB" w:rsidRPr="00D30847">
              <w:rPr>
                <w:rFonts w:cs="Calibri"/>
                <w:b/>
                <w:lang w:val="en-GB"/>
              </w:rPr>
              <w:t xml:space="preserve"> </w:t>
            </w:r>
            <w:r w:rsidRPr="00D30847">
              <w:rPr>
                <w:rFonts w:cs="Calibri"/>
                <w:b/>
                <w:lang w:val="en-GB"/>
              </w:rPr>
              <w:t>1:</w:t>
            </w:r>
          </w:p>
        </w:tc>
        <w:tc>
          <w:tcPr>
            <w:tcW w:w="7585" w:type="dxa"/>
            <w:shd w:val="clear" w:color="auto" w:fill="auto"/>
          </w:tcPr>
          <w:p w14:paraId="1300E92D" w14:textId="10F1629F" w:rsidR="000D03EB" w:rsidRPr="00D30847" w:rsidRDefault="00C025EB" w:rsidP="00E84CD0">
            <w:pPr>
              <w:spacing w:line="240" w:lineRule="auto"/>
              <w:jc w:val="both"/>
              <w:rPr>
                <w:rFonts w:cs="Calibri"/>
                <w:b/>
                <w:lang w:val="en-GB"/>
              </w:rPr>
            </w:pPr>
            <w:r w:rsidRPr="00D30847">
              <w:rPr>
                <w:rFonts w:cs="Calibri"/>
                <w:b/>
                <w:lang w:val="en-GB"/>
              </w:rPr>
              <w:t>Strengthen of administrative capacity for better revenue collection and tax compliance</w:t>
            </w:r>
          </w:p>
        </w:tc>
      </w:tr>
      <w:tr w:rsidR="000D03EB" w:rsidRPr="00D30847" w14:paraId="701D2EF3" w14:textId="77777777" w:rsidTr="00436B95">
        <w:trPr>
          <w:trHeight w:val="513"/>
        </w:trPr>
        <w:tc>
          <w:tcPr>
            <w:tcW w:w="1440" w:type="dxa"/>
            <w:shd w:val="clear" w:color="auto" w:fill="auto"/>
          </w:tcPr>
          <w:p w14:paraId="41965BA5" w14:textId="06A3F38F" w:rsidR="000D03EB" w:rsidRPr="00D30847" w:rsidRDefault="000D03EB" w:rsidP="00E84CD0">
            <w:pPr>
              <w:spacing w:line="240" w:lineRule="auto"/>
              <w:jc w:val="both"/>
              <w:rPr>
                <w:rFonts w:cs="Calibri"/>
                <w:lang w:val="en-GB"/>
              </w:rPr>
            </w:pPr>
            <w:r w:rsidRPr="00D30847">
              <w:rPr>
                <w:rFonts w:cs="Calibri"/>
                <w:lang w:val="en-GB"/>
              </w:rPr>
              <w:t>Activity</w:t>
            </w:r>
            <w:r w:rsidR="00871CB3" w:rsidRPr="00D30847">
              <w:rPr>
                <w:rFonts w:cs="Calibri"/>
                <w:lang w:val="en-GB"/>
              </w:rPr>
              <w:t xml:space="preserve"> </w:t>
            </w:r>
            <w:r w:rsidRPr="00D30847">
              <w:rPr>
                <w:rFonts w:cs="Calibri"/>
                <w:lang w:val="en-GB"/>
              </w:rPr>
              <w:t>1:</w:t>
            </w:r>
          </w:p>
        </w:tc>
        <w:tc>
          <w:tcPr>
            <w:tcW w:w="7585" w:type="dxa"/>
            <w:shd w:val="clear" w:color="auto" w:fill="auto"/>
          </w:tcPr>
          <w:p w14:paraId="712D40D5" w14:textId="1C0756DB" w:rsidR="008F758B" w:rsidRPr="00D30847" w:rsidRDefault="00C025EB" w:rsidP="000A5366">
            <w:pPr>
              <w:spacing w:after="0" w:line="240" w:lineRule="auto"/>
              <w:jc w:val="both"/>
              <w:rPr>
                <w:rFonts w:cs="Calibri"/>
                <w:bCs/>
                <w:lang w:val="en-GB"/>
              </w:rPr>
            </w:pPr>
            <w:r w:rsidRPr="00D30847">
              <w:rPr>
                <w:rFonts w:cs="Calibri"/>
                <w:bCs/>
                <w:lang w:val="en-GB"/>
              </w:rPr>
              <w:t>More effective and efficient management of overdue tax debt</w:t>
            </w:r>
          </w:p>
        </w:tc>
      </w:tr>
      <w:tr w:rsidR="008F758B" w:rsidRPr="00D30847" w14:paraId="4D077681" w14:textId="77777777" w:rsidTr="00436B95">
        <w:trPr>
          <w:trHeight w:val="322"/>
        </w:trPr>
        <w:tc>
          <w:tcPr>
            <w:tcW w:w="1440" w:type="dxa"/>
            <w:shd w:val="clear" w:color="auto" w:fill="auto"/>
          </w:tcPr>
          <w:p w14:paraId="2A9F1EFC" w14:textId="5AC37A68" w:rsidR="008F758B" w:rsidRPr="00D30847" w:rsidRDefault="008F758B" w:rsidP="00E84CD0">
            <w:pPr>
              <w:spacing w:line="240" w:lineRule="auto"/>
              <w:jc w:val="both"/>
              <w:rPr>
                <w:rFonts w:cs="Calibri"/>
                <w:lang w:val="en-GB"/>
              </w:rPr>
            </w:pPr>
            <w:r w:rsidRPr="00D30847">
              <w:rPr>
                <w:rFonts w:cs="Calibri"/>
                <w:lang w:val="en-GB"/>
              </w:rPr>
              <w:t>Activity</w:t>
            </w:r>
            <w:r w:rsidR="00871CB3" w:rsidRPr="00D30847">
              <w:rPr>
                <w:rFonts w:cs="Calibri"/>
                <w:lang w:val="en-GB"/>
              </w:rPr>
              <w:t xml:space="preserve"> </w:t>
            </w:r>
            <w:r w:rsidRPr="00D30847">
              <w:rPr>
                <w:rFonts w:cs="Calibri"/>
                <w:lang w:val="en-GB"/>
              </w:rPr>
              <w:t>2:</w:t>
            </w:r>
          </w:p>
        </w:tc>
        <w:tc>
          <w:tcPr>
            <w:tcW w:w="7585" w:type="dxa"/>
            <w:shd w:val="clear" w:color="auto" w:fill="auto"/>
          </w:tcPr>
          <w:p w14:paraId="35746305" w14:textId="5655D7DB" w:rsidR="003C20E4" w:rsidRPr="00D30847" w:rsidRDefault="008F758B" w:rsidP="00CE2DF4">
            <w:pPr>
              <w:spacing w:line="240" w:lineRule="auto"/>
              <w:jc w:val="both"/>
              <w:rPr>
                <w:rFonts w:cs="Calibri"/>
                <w:bCs/>
                <w:lang w:val="en-GB"/>
              </w:rPr>
            </w:pPr>
            <w:r w:rsidRPr="00D30847">
              <w:rPr>
                <w:rFonts w:cs="Calibri"/>
                <w:bCs/>
                <w:lang w:val="en-GB"/>
              </w:rPr>
              <w:t>Improving the Compliance</w:t>
            </w:r>
            <w:r w:rsidR="00C025EB" w:rsidRPr="00D30847">
              <w:rPr>
                <w:rFonts w:cs="Calibri"/>
                <w:bCs/>
                <w:lang w:val="en-GB"/>
              </w:rPr>
              <w:t xml:space="preserve"> </w:t>
            </w:r>
            <w:r w:rsidRPr="00D30847">
              <w:rPr>
                <w:rFonts w:cs="Calibri"/>
                <w:bCs/>
                <w:lang w:val="en-GB"/>
              </w:rPr>
              <w:t>risk</w:t>
            </w:r>
            <w:r w:rsidR="00C025EB" w:rsidRPr="00D30847">
              <w:rPr>
                <w:rFonts w:cs="Calibri"/>
                <w:bCs/>
                <w:lang w:val="en-GB"/>
              </w:rPr>
              <w:t xml:space="preserve"> </w:t>
            </w:r>
            <w:r w:rsidRPr="00D30847">
              <w:rPr>
                <w:rFonts w:cs="Calibri"/>
                <w:bCs/>
                <w:lang w:val="en-GB"/>
              </w:rPr>
              <w:t>management</w:t>
            </w:r>
          </w:p>
        </w:tc>
      </w:tr>
      <w:tr w:rsidR="000D03EB" w:rsidRPr="00D30847" w14:paraId="5BC4F81D" w14:textId="77777777" w:rsidTr="00436B95">
        <w:trPr>
          <w:trHeight w:val="322"/>
        </w:trPr>
        <w:tc>
          <w:tcPr>
            <w:tcW w:w="1440" w:type="dxa"/>
            <w:shd w:val="clear" w:color="auto" w:fill="auto"/>
          </w:tcPr>
          <w:p w14:paraId="325A1BD7" w14:textId="77777777" w:rsidR="000D03EB" w:rsidRPr="00D30847" w:rsidRDefault="000D03EB" w:rsidP="00E84CD0">
            <w:pPr>
              <w:spacing w:line="240" w:lineRule="auto"/>
              <w:jc w:val="both"/>
              <w:rPr>
                <w:rFonts w:cs="Calibri"/>
                <w:lang w:val="en-GB"/>
              </w:rPr>
            </w:pPr>
            <w:r w:rsidRPr="00D30847">
              <w:rPr>
                <w:rFonts w:eastAsia="Times New Roman" w:cs="Calibri"/>
                <w:b/>
                <w:lang w:val="en-GB"/>
              </w:rPr>
              <w:t>Measure 2:</w:t>
            </w:r>
          </w:p>
        </w:tc>
        <w:tc>
          <w:tcPr>
            <w:tcW w:w="7585" w:type="dxa"/>
            <w:shd w:val="clear" w:color="auto" w:fill="auto"/>
          </w:tcPr>
          <w:p w14:paraId="45EACCF0" w14:textId="77777777" w:rsidR="000D03EB" w:rsidRPr="00D30847" w:rsidRDefault="000D03EB" w:rsidP="00E84CD0">
            <w:pPr>
              <w:spacing w:line="240" w:lineRule="auto"/>
              <w:jc w:val="both"/>
              <w:rPr>
                <w:rFonts w:eastAsia="Times New Roman" w:cs="Calibri"/>
                <w:b/>
                <w:lang w:val="en-GB"/>
              </w:rPr>
            </w:pPr>
            <w:r w:rsidRPr="00D30847">
              <w:rPr>
                <w:rFonts w:eastAsia="Times New Roman" w:cs="Calibri"/>
                <w:b/>
                <w:lang w:val="en-GB"/>
              </w:rPr>
              <w:t>Digital transformation of the PRO with the establishment of an Integrated Tax Information System (ITIS)</w:t>
            </w:r>
          </w:p>
        </w:tc>
      </w:tr>
      <w:tr w:rsidR="000D03EB" w:rsidRPr="00D30847" w14:paraId="68D42506" w14:textId="77777777" w:rsidTr="00436B95">
        <w:trPr>
          <w:trHeight w:val="738"/>
        </w:trPr>
        <w:tc>
          <w:tcPr>
            <w:tcW w:w="1440" w:type="dxa"/>
            <w:shd w:val="clear" w:color="auto" w:fill="auto"/>
          </w:tcPr>
          <w:p w14:paraId="2E6F6413" w14:textId="183BD03C" w:rsidR="000D03EB" w:rsidRPr="00D30847" w:rsidRDefault="000D03EB" w:rsidP="00E84CD0">
            <w:pPr>
              <w:spacing w:line="240" w:lineRule="auto"/>
              <w:jc w:val="both"/>
              <w:rPr>
                <w:rFonts w:cs="Calibri"/>
                <w:lang w:val="en-GB"/>
              </w:rPr>
            </w:pPr>
            <w:r w:rsidRPr="00D30847">
              <w:rPr>
                <w:rFonts w:cs="Calibri"/>
                <w:lang w:val="en-GB"/>
              </w:rPr>
              <w:t>Activity</w:t>
            </w:r>
            <w:r w:rsidR="00871CB3" w:rsidRPr="00D30847">
              <w:rPr>
                <w:rFonts w:cs="Calibri"/>
                <w:lang w:val="en-GB"/>
              </w:rPr>
              <w:t xml:space="preserve"> </w:t>
            </w:r>
            <w:r w:rsidRPr="00D30847">
              <w:rPr>
                <w:rFonts w:cs="Calibri"/>
                <w:lang w:val="en-GB"/>
              </w:rPr>
              <w:t>1:</w:t>
            </w:r>
          </w:p>
        </w:tc>
        <w:tc>
          <w:tcPr>
            <w:tcW w:w="7585" w:type="dxa"/>
            <w:shd w:val="clear" w:color="auto" w:fill="auto"/>
          </w:tcPr>
          <w:p w14:paraId="1316B2C0" w14:textId="022CAD34" w:rsidR="000D03EB" w:rsidRPr="00D30847" w:rsidRDefault="008F758B" w:rsidP="00E84CD0">
            <w:pPr>
              <w:spacing w:line="240" w:lineRule="auto"/>
              <w:jc w:val="both"/>
              <w:rPr>
                <w:rFonts w:eastAsia="MS PGothic" w:cs="Calibri"/>
                <w:bCs/>
                <w:iCs/>
                <w:lang w:val="en-GB" w:eastAsia="zh-CN"/>
              </w:rPr>
            </w:pPr>
            <w:r w:rsidRPr="00D30847">
              <w:rPr>
                <w:rFonts w:eastAsia="MS PGothic" w:cs="Calibri"/>
                <w:bCs/>
                <w:iCs/>
                <w:lang w:val="en-GB" w:eastAsia="zh-CN"/>
              </w:rPr>
              <w:t>Completion of the remaining modules of the Integrated Tax Information System</w:t>
            </w:r>
          </w:p>
        </w:tc>
      </w:tr>
      <w:tr w:rsidR="008F758B" w:rsidRPr="00D30847" w14:paraId="1789C628" w14:textId="77777777" w:rsidTr="00436B95">
        <w:trPr>
          <w:trHeight w:val="630"/>
        </w:trPr>
        <w:tc>
          <w:tcPr>
            <w:tcW w:w="1440" w:type="dxa"/>
            <w:shd w:val="clear" w:color="auto" w:fill="auto"/>
          </w:tcPr>
          <w:p w14:paraId="2D9D4DA5" w14:textId="49B04937" w:rsidR="008F758B" w:rsidRPr="00D30847" w:rsidRDefault="008F758B" w:rsidP="008F758B">
            <w:pPr>
              <w:spacing w:line="240" w:lineRule="auto"/>
              <w:jc w:val="both"/>
              <w:rPr>
                <w:rFonts w:cs="Calibri"/>
                <w:lang w:val="en-GB"/>
              </w:rPr>
            </w:pPr>
            <w:r w:rsidRPr="00D30847">
              <w:rPr>
                <w:rFonts w:cs="Calibri"/>
                <w:lang w:val="en-GB"/>
              </w:rPr>
              <w:t>Activity</w:t>
            </w:r>
            <w:r w:rsidR="00871CB3" w:rsidRPr="00D30847">
              <w:rPr>
                <w:rFonts w:cs="Calibri"/>
                <w:lang w:val="en-GB"/>
              </w:rPr>
              <w:t xml:space="preserve"> </w:t>
            </w:r>
            <w:r w:rsidRPr="00D30847">
              <w:rPr>
                <w:rFonts w:cs="Calibri"/>
                <w:lang w:val="en-GB"/>
              </w:rPr>
              <w:t>2:</w:t>
            </w:r>
          </w:p>
          <w:p w14:paraId="06B86D17" w14:textId="77777777" w:rsidR="008F758B" w:rsidRPr="00D30847" w:rsidRDefault="008F758B" w:rsidP="00E84CD0">
            <w:pPr>
              <w:spacing w:line="240" w:lineRule="auto"/>
              <w:jc w:val="both"/>
              <w:rPr>
                <w:rFonts w:cs="Calibri"/>
                <w:lang w:val="en-GB"/>
              </w:rPr>
            </w:pPr>
          </w:p>
        </w:tc>
        <w:tc>
          <w:tcPr>
            <w:tcW w:w="7585" w:type="dxa"/>
            <w:shd w:val="clear" w:color="auto" w:fill="auto"/>
          </w:tcPr>
          <w:p w14:paraId="6C3DBD08" w14:textId="77777777" w:rsidR="008F758B" w:rsidRPr="00D30847" w:rsidRDefault="008F758B" w:rsidP="00E84CD0">
            <w:pPr>
              <w:spacing w:line="240" w:lineRule="auto"/>
              <w:jc w:val="both"/>
              <w:rPr>
                <w:rFonts w:eastAsia="MS PGothic" w:cs="Calibri"/>
                <w:bCs/>
                <w:iCs/>
                <w:lang w:val="en-GB" w:eastAsia="zh-CN"/>
              </w:rPr>
            </w:pPr>
            <w:r w:rsidRPr="00D30847">
              <w:rPr>
                <w:rFonts w:eastAsia="MS PGothic" w:cs="Calibri"/>
                <w:bCs/>
                <w:iCs/>
                <w:lang w:val="en-GB" w:eastAsia="zh-CN"/>
              </w:rPr>
              <w:t>Ensuring IS security (Information System) and smooth functioning of the integrated tax information system</w:t>
            </w:r>
          </w:p>
        </w:tc>
      </w:tr>
    </w:tbl>
    <w:p w14:paraId="1B83B5E3" w14:textId="77777777" w:rsidR="00A64FD7" w:rsidRPr="00D30847" w:rsidRDefault="00A64FD7" w:rsidP="00E84CD0">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Outcome</w:t>
      </w:r>
    </w:p>
    <w:p w14:paraId="26E598A3" w14:textId="00204CC2" w:rsidR="00E93DCC" w:rsidRPr="00D30847" w:rsidRDefault="0015331C" w:rsidP="00384A2B">
      <w:pPr>
        <w:spacing w:after="0" w:line="240" w:lineRule="auto"/>
        <w:jc w:val="both"/>
        <w:rPr>
          <w:rFonts w:eastAsia="Times New Roman" w:cs="Calibri"/>
          <w:color w:val="202124"/>
          <w:lang w:val="en-GB"/>
        </w:rPr>
      </w:pPr>
      <w:r w:rsidRPr="00D30847">
        <w:rPr>
          <w:rFonts w:eastAsia="Times New Roman" w:cs="Calibri"/>
          <w:color w:val="202124"/>
          <w:lang w:val="en-GB"/>
        </w:rPr>
        <w:t xml:space="preserve">1. </w:t>
      </w:r>
      <w:r w:rsidR="00E93DCC" w:rsidRPr="00D30847">
        <w:rPr>
          <w:rFonts w:eastAsia="Times New Roman" w:cs="Calibri"/>
          <w:color w:val="202124"/>
          <w:lang w:val="en-GB"/>
        </w:rPr>
        <w:t>improved stability, efficiency, and quality of the revenue collection system (IT system)</w:t>
      </w:r>
    </w:p>
    <w:p w14:paraId="511D7084" w14:textId="573A981F" w:rsidR="00E93DCC" w:rsidRPr="00D30847" w:rsidRDefault="0015331C" w:rsidP="00384A2B">
      <w:pPr>
        <w:spacing w:after="0" w:line="240" w:lineRule="auto"/>
        <w:jc w:val="both"/>
        <w:rPr>
          <w:rFonts w:eastAsia="Times New Roman" w:cs="Calibri"/>
          <w:color w:val="202124"/>
          <w:lang w:val="en-GB"/>
        </w:rPr>
      </w:pPr>
      <w:r w:rsidRPr="00D30847">
        <w:rPr>
          <w:rFonts w:eastAsia="Times New Roman" w:cs="Calibri"/>
          <w:color w:val="202124"/>
          <w:lang w:val="en-GB"/>
        </w:rPr>
        <w:t xml:space="preserve">2. </w:t>
      </w:r>
      <w:r w:rsidR="00E93DCC" w:rsidRPr="00D30847">
        <w:rPr>
          <w:rFonts w:eastAsia="Times New Roman" w:cs="Calibri"/>
          <w:color w:val="202124"/>
          <w:lang w:val="en-GB"/>
        </w:rPr>
        <w:t>more effective and efficient management of the overdue tax debt</w:t>
      </w:r>
    </w:p>
    <w:p w14:paraId="717266D8" w14:textId="7BC78C8D" w:rsidR="00E93DCC" w:rsidRPr="00D30847" w:rsidRDefault="0015331C" w:rsidP="00384A2B">
      <w:pPr>
        <w:spacing w:after="0" w:line="240" w:lineRule="auto"/>
        <w:jc w:val="both"/>
        <w:rPr>
          <w:rFonts w:eastAsia="Times New Roman" w:cs="Calibri"/>
          <w:color w:val="202124"/>
          <w:lang w:val="en-GB"/>
        </w:rPr>
      </w:pPr>
      <w:r w:rsidRPr="00D30847">
        <w:rPr>
          <w:rFonts w:eastAsia="Times New Roman" w:cs="Calibri"/>
          <w:color w:val="202124"/>
          <w:lang w:val="en-GB"/>
        </w:rPr>
        <w:t xml:space="preserve">3. </w:t>
      </w:r>
      <w:r w:rsidR="00E93DCC" w:rsidRPr="00D30847">
        <w:rPr>
          <w:rFonts w:eastAsia="Times New Roman" w:cs="Calibri"/>
          <w:color w:val="202124"/>
          <w:lang w:val="en-GB"/>
        </w:rPr>
        <w:t>a fully established systematic process for managing tax compliance risks</w:t>
      </w:r>
    </w:p>
    <w:p w14:paraId="630F9962" w14:textId="77777777" w:rsidR="00E2092F" w:rsidRPr="00D30847" w:rsidRDefault="00E2092F" w:rsidP="00E93DCC">
      <w:pPr>
        <w:spacing w:line="240" w:lineRule="auto"/>
        <w:jc w:val="both"/>
        <w:rPr>
          <w:rFonts w:eastAsia="MS PGothic" w:cs="Calibri"/>
          <w:b/>
          <w:bCs/>
          <w:i/>
          <w:iCs/>
          <w:color w:val="4F81BD"/>
          <w:lang w:val="en-GB" w:eastAsia="zh-CN"/>
        </w:rPr>
      </w:pPr>
    </w:p>
    <w:p w14:paraId="4CE06614" w14:textId="1E8B5A30" w:rsidR="00F004A4" w:rsidRPr="00D30847" w:rsidRDefault="00A64FD7" w:rsidP="00E93DCC">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Outcome</w:t>
      </w:r>
      <w:r w:rsidR="00367CB7" w:rsidRPr="00D30847">
        <w:rPr>
          <w:rFonts w:eastAsia="MS PGothic" w:cs="Calibri"/>
          <w:b/>
          <w:bCs/>
          <w:i/>
          <w:iCs/>
          <w:color w:val="4F81BD"/>
          <w:lang w:val="en-GB" w:eastAsia="zh-CN"/>
        </w:rPr>
        <w:t xml:space="preserve"> </w:t>
      </w:r>
      <w:r w:rsidRPr="00D30847">
        <w:rPr>
          <w:rFonts w:eastAsia="MS PGothic" w:cs="Calibri"/>
          <w:b/>
          <w:bCs/>
          <w:i/>
          <w:iCs/>
          <w:color w:val="4F81BD"/>
          <w:lang w:val="en-GB" w:eastAsia="zh-CN"/>
        </w:rPr>
        <w:t>indicator</w:t>
      </w:r>
    </w:p>
    <w:p w14:paraId="57B8DF9C" w14:textId="1D41D903" w:rsidR="00E93DCC" w:rsidRPr="00D30847" w:rsidRDefault="00384A2B" w:rsidP="00E93DCC">
      <w:pPr>
        <w:spacing w:line="240" w:lineRule="auto"/>
        <w:jc w:val="both"/>
        <w:rPr>
          <w:rFonts w:eastAsia="Times New Roman" w:cs="Calibri"/>
          <w:color w:val="202124"/>
          <w:lang w:val="en-GB"/>
        </w:rPr>
      </w:pPr>
      <w:r w:rsidRPr="00D30847">
        <w:rPr>
          <w:rFonts w:eastAsia="Times New Roman" w:cs="Calibri"/>
          <w:color w:val="202124"/>
          <w:lang w:val="en-GB"/>
        </w:rPr>
        <w:t xml:space="preserve">1. </w:t>
      </w:r>
      <w:r w:rsidR="00E93DCC" w:rsidRPr="00D30847">
        <w:rPr>
          <w:rFonts w:eastAsia="Times New Roman" w:cs="Calibri"/>
          <w:color w:val="202124"/>
          <w:lang w:val="en-GB"/>
        </w:rPr>
        <w:t>percentage of digitized tax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F004A4" w:rsidRPr="00D30847" w14:paraId="76C882D9" w14:textId="77777777" w:rsidTr="002B77A4">
        <w:trPr>
          <w:trHeight w:val="395"/>
        </w:trPr>
        <w:tc>
          <w:tcPr>
            <w:tcW w:w="4608" w:type="dxa"/>
            <w:shd w:val="clear" w:color="auto" w:fill="E8E8E8"/>
          </w:tcPr>
          <w:p w14:paraId="6A675569" w14:textId="4CDC4DB3" w:rsidR="00F004A4" w:rsidRPr="00D30847" w:rsidRDefault="00F004A4"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671067" w:rsidRPr="00D30847">
              <w:rPr>
                <w:rFonts w:eastAsia="Times New Roman" w:cs="Calibri"/>
                <w:b/>
                <w:bCs/>
                <w:i/>
                <w:iCs/>
                <w:color w:val="202124"/>
                <w:sz w:val="20"/>
                <w:szCs w:val="20"/>
                <w:lang w:val="en-GB"/>
              </w:rPr>
              <w:t>3</w:t>
            </w:r>
          </w:p>
        </w:tc>
        <w:tc>
          <w:tcPr>
            <w:tcW w:w="4608" w:type="dxa"/>
            <w:shd w:val="clear" w:color="auto" w:fill="E8E8E8"/>
          </w:tcPr>
          <w:p w14:paraId="19449302" w14:textId="3A9DA963" w:rsidR="00F004A4" w:rsidRPr="00D30847" w:rsidRDefault="00F004A4"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671067" w:rsidRPr="00D30847">
              <w:rPr>
                <w:rFonts w:eastAsia="Times New Roman" w:cs="Calibri"/>
                <w:b/>
                <w:bCs/>
                <w:i/>
                <w:iCs/>
                <w:color w:val="202124"/>
                <w:sz w:val="20"/>
                <w:szCs w:val="20"/>
                <w:lang w:val="en-GB"/>
              </w:rPr>
              <w:t>8</w:t>
            </w:r>
          </w:p>
        </w:tc>
      </w:tr>
      <w:tr w:rsidR="00F004A4" w:rsidRPr="00D30847" w14:paraId="79965A4E" w14:textId="77777777" w:rsidTr="002B77A4">
        <w:trPr>
          <w:trHeight w:val="278"/>
        </w:trPr>
        <w:tc>
          <w:tcPr>
            <w:tcW w:w="4608" w:type="dxa"/>
            <w:shd w:val="clear" w:color="auto" w:fill="E8E8E8"/>
          </w:tcPr>
          <w:p w14:paraId="0550B7D8" w14:textId="609BDE88" w:rsidR="00F004A4" w:rsidRPr="00D30847" w:rsidRDefault="00083A12" w:rsidP="002B77A4">
            <w:pPr>
              <w:tabs>
                <w:tab w:val="left" w:pos="964"/>
              </w:tabs>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83%</w:t>
            </w:r>
          </w:p>
        </w:tc>
        <w:tc>
          <w:tcPr>
            <w:tcW w:w="4608" w:type="dxa"/>
            <w:shd w:val="clear" w:color="auto" w:fill="E8E8E8"/>
          </w:tcPr>
          <w:p w14:paraId="04A99A6F" w14:textId="56B4F27A" w:rsidR="00F004A4" w:rsidRPr="00D30847" w:rsidRDefault="00083A12" w:rsidP="002B77A4">
            <w:pPr>
              <w:tabs>
                <w:tab w:val="left" w:pos="964"/>
              </w:tabs>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100%</w:t>
            </w:r>
          </w:p>
        </w:tc>
      </w:tr>
    </w:tbl>
    <w:p w14:paraId="18135534" w14:textId="77777777" w:rsidR="00F004A4" w:rsidRPr="00D30847" w:rsidRDefault="00F004A4" w:rsidP="00E93DCC">
      <w:pPr>
        <w:spacing w:line="240" w:lineRule="auto"/>
        <w:jc w:val="both"/>
        <w:rPr>
          <w:rFonts w:eastAsia="Times New Roman" w:cs="Calibri"/>
          <w:color w:val="202124"/>
          <w:sz w:val="10"/>
          <w:szCs w:val="10"/>
          <w:lang w:val="en-GB"/>
        </w:rPr>
      </w:pPr>
    </w:p>
    <w:p w14:paraId="38B870E6" w14:textId="6079E08A" w:rsidR="00E93DCC" w:rsidRPr="00D30847" w:rsidRDefault="00083A12" w:rsidP="00E93DCC">
      <w:pPr>
        <w:spacing w:line="240" w:lineRule="auto"/>
        <w:jc w:val="both"/>
        <w:rPr>
          <w:rFonts w:eastAsia="Times New Roman" w:cs="Calibri"/>
          <w:color w:val="202124"/>
          <w:lang w:val="en-GB"/>
        </w:rPr>
      </w:pPr>
      <w:r w:rsidRPr="00D30847">
        <w:rPr>
          <w:rFonts w:eastAsia="Times New Roman" w:cs="Calibri"/>
          <w:color w:val="202124"/>
          <w:lang w:val="en-GB"/>
        </w:rPr>
        <w:t>2</w:t>
      </w:r>
      <w:r w:rsidR="00384A2B" w:rsidRPr="00D30847">
        <w:rPr>
          <w:rFonts w:eastAsia="Times New Roman" w:cs="Calibri"/>
          <w:color w:val="202124"/>
          <w:lang w:val="en-GB"/>
        </w:rPr>
        <w:t xml:space="preserve">. </w:t>
      </w:r>
      <w:r w:rsidR="00E93DCC" w:rsidRPr="00D30847">
        <w:rPr>
          <w:rFonts w:eastAsia="Times New Roman" w:cs="Calibri"/>
          <w:color w:val="202124"/>
          <w:lang w:val="en-GB"/>
        </w:rPr>
        <w:t>improved tax payment timeliness rate (VAT)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F004A4" w:rsidRPr="00D30847" w14:paraId="0283D7E3" w14:textId="77777777" w:rsidTr="002B77A4">
        <w:trPr>
          <w:trHeight w:val="395"/>
        </w:trPr>
        <w:tc>
          <w:tcPr>
            <w:tcW w:w="4608" w:type="dxa"/>
            <w:shd w:val="clear" w:color="auto" w:fill="E8E8E8"/>
          </w:tcPr>
          <w:p w14:paraId="16D00C90" w14:textId="4D78213E" w:rsidR="00F004A4" w:rsidRPr="00D30847" w:rsidRDefault="00F004A4"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671067" w:rsidRPr="00D30847">
              <w:rPr>
                <w:rFonts w:eastAsia="Times New Roman" w:cs="Calibri"/>
                <w:b/>
                <w:bCs/>
                <w:i/>
                <w:iCs/>
                <w:color w:val="202124"/>
                <w:sz w:val="20"/>
                <w:szCs w:val="20"/>
                <w:lang w:val="en-GB"/>
              </w:rPr>
              <w:t>3</w:t>
            </w:r>
          </w:p>
        </w:tc>
        <w:tc>
          <w:tcPr>
            <w:tcW w:w="4608" w:type="dxa"/>
            <w:shd w:val="clear" w:color="auto" w:fill="E8E8E8"/>
          </w:tcPr>
          <w:p w14:paraId="467E9E18" w14:textId="14A01F0B" w:rsidR="00F004A4" w:rsidRPr="00D30847" w:rsidRDefault="00F004A4"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671067" w:rsidRPr="00D30847">
              <w:rPr>
                <w:rFonts w:eastAsia="Times New Roman" w:cs="Calibri"/>
                <w:b/>
                <w:bCs/>
                <w:i/>
                <w:iCs/>
                <w:color w:val="202124"/>
                <w:sz w:val="20"/>
                <w:szCs w:val="20"/>
                <w:lang w:val="en-GB"/>
              </w:rPr>
              <w:t>8</w:t>
            </w:r>
          </w:p>
        </w:tc>
      </w:tr>
      <w:tr w:rsidR="00F004A4" w:rsidRPr="00D30847" w14:paraId="377F17BE" w14:textId="77777777" w:rsidTr="002B77A4">
        <w:trPr>
          <w:trHeight w:val="278"/>
        </w:trPr>
        <w:tc>
          <w:tcPr>
            <w:tcW w:w="4608" w:type="dxa"/>
            <w:shd w:val="clear" w:color="auto" w:fill="E8E8E8"/>
          </w:tcPr>
          <w:p w14:paraId="5F222134" w14:textId="77777777" w:rsidR="00C025EB" w:rsidRPr="00D30847" w:rsidRDefault="00C025EB" w:rsidP="0037730E">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Rate on number of timely payments - 60%</w:t>
            </w:r>
          </w:p>
          <w:p w14:paraId="23726F24" w14:textId="3B60BE47" w:rsidR="00F004A4" w:rsidRPr="00D30847" w:rsidRDefault="00C025EB" w:rsidP="0037730E">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Rate on amount of timely payments - 70%</w:t>
            </w:r>
          </w:p>
        </w:tc>
        <w:tc>
          <w:tcPr>
            <w:tcW w:w="4608" w:type="dxa"/>
            <w:shd w:val="clear" w:color="auto" w:fill="E8E8E8"/>
          </w:tcPr>
          <w:p w14:paraId="119D6266" w14:textId="77777777" w:rsidR="00C025EB" w:rsidRPr="00D30847" w:rsidRDefault="00C025EB" w:rsidP="0037730E">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Rate on number of timely payments –  90%</w:t>
            </w:r>
          </w:p>
          <w:p w14:paraId="43448A6C" w14:textId="5DD48DC3" w:rsidR="00F004A4" w:rsidRPr="00D30847" w:rsidRDefault="00C025EB" w:rsidP="0037730E">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Rate on amount of timely payments - - 90%</w:t>
            </w:r>
          </w:p>
        </w:tc>
      </w:tr>
    </w:tbl>
    <w:p w14:paraId="03CFDFFB" w14:textId="77777777" w:rsidR="0037730E" w:rsidRPr="00D30847" w:rsidRDefault="0037730E" w:rsidP="00E93DCC">
      <w:pPr>
        <w:spacing w:line="240" w:lineRule="auto"/>
        <w:jc w:val="both"/>
        <w:rPr>
          <w:rFonts w:eastAsia="Times New Roman" w:cs="Calibri"/>
          <w:color w:val="202124"/>
          <w:sz w:val="10"/>
          <w:szCs w:val="10"/>
          <w:lang w:val="en-GB"/>
        </w:rPr>
      </w:pPr>
    </w:p>
    <w:p w14:paraId="2AB0AE01" w14:textId="1A1EDAE5" w:rsidR="00E93DCC" w:rsidRPr="00D30847" w:rsidRDefault="00083A12" w:rsidP="00E93DCC">
      <w:pPr>
        <w:spacing w:line="240" w:lineRule="auto"/>
        <w:jc w:val="both"/>
        <w:rPr>
          <w:rFonts w:eastAsia="Times New Roman" w:cs="Calibri"/>
          <w:color w:val="202124"/>
          <w:lang w:val="en-GB"/>
        </w:rPr>
      </w:pPr>
      <w:r w:rsidRPr="00D30847">
        <w:rPr>
          <w:rFonts w:eastAsia="Times New Roman" w:cs="Calibri"/>
          <w:color w:val="202124"/>
          <w:lang w:val="en-GB"/>
        </w:rPr>
        <w:t>3</w:t>
      </w:r>
      <w:r w:rsidR="00384A2B" w:rsidRPr="00D30847">
        <w:rPr>
          <w:rFonts w:eastAsia="Times New Roman" w:cs="Calibri"/>
          <w:color w:val="202124"/>
          <w:lang w:val="en-GB"/>
        </w:rPr>
        <w:t xml:space="preserve">. </w:t>
      </w:r>
      <w:r w:rsidR="00E93DCC" w:rsidRPr="00D30847">
        <w:rPr>
          <w:rFonts w:eastAsia="Times New Roman" w:cs="Calibri"/>
          <w:color w:val="202124"/>
          <w:lang w:val="en-GB"/>
        </w:rPr>
        <w:t>improved age structure of the tax debt (VAT) – reduced share of the debt older than 12 months in the total tax debt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F004A4" w:rsidRPr="00D30847" w14:paraId="44935BBC" w14:textId="77777777" w:rsidTr="002B77A4">
        <w:trPr>
          <w:trHeight w:val="395"/>
        </w:trPr>
        <w:tc>
          <w:tcPr>
            <w:tcW w:w="4608" w:type="dxa"/>
            <w:shd w:val="clear" w:color="auto" w:fill="E8E8E8"/>
          </w:tcPr>
          <w:p w14:paraId="571016A8" w14:textId="5DD3A277" w:rsidR="00F004A4" w:rsidRPr="00D30847" w:rsidRDefault="00F004A4" w:rsidP="002B77A4">
            <w:pPr>
              <w:spacing w:line="240" w:lineRule="auto"/>
              <w:jc w:val="both"/>
              <w:rPr>
                <w:rFonts w:eastAsia="Times New Roman" w:cs="Calibri"/>
                <w:b/>
                <w:bCs/>
                <w:i/>
                <w:iCs/>
                <w:color w:val="202124"/>
                <w:sz w:val="20"/>
                <w:szCs w:val="20"/>
                <w:lang w:val="en-GB"/>
              </w:rPr>
            </w:pPr>
            <w:bookmarkStart w:id="24" w:name="_Hlk154061990"/>
            <w:r w:rsidRPr="00D30847">
              <w:rPr>
                <w:rFonts w:eastAsia="Times New Roman" w:cs="Calibri"/>
                <w:b/>
                <w:bCs/>
                <w:i/>
                <w:iCs/>
                <w:color w:val="202124"/>
                <w:sz w:val="20"/>
                <w:szCs w:val="20"/>
                <w:lang w:val="en-GB"/>
              </w:rPr>
              <w:t>Baseline 202</w:t>
            </w:r>
            <w:r w:rsidR="00671067" w:rsidRPr="00D30847">
              <w:rPr>
                <w:rFonts w:eastAsia="Times New Roman" w:cs="Calibri"/>
                <w:b/>
                <w:bCs/>
                <w:i/>
                <w:iCs/>
                <w:color w:val="202124"/>
                <w:sz w:val="20"/>
                <w:szCs w:val="20"/>
                <w:lang w:val="en-GB"/>
              </w:rPr>
              <w:t>3</w:t>
            </w:r>
          </w:p>
        </w:tc>
        <w:tc>
          <w:tcPr>
            <w:tcW w:w="4608" w:type="dxa"/>
            <w:shd w:val="clear" w:color="auto" w:fill="E8E8E8"/>
          </w:tcPr>
          <w:p w14:paraId="1F421103" w14:textId="1B0C9549" w:rsidR="00F004A4" w:rsidRPr="00D30847" w:rsidRDefault="00F004A4"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671067" w:rsidRPr="00D30847">
              <w:rPr>
                <w:rFonts w:eastAsia="Times New Roman" w:cs="Calibri"/>
                <w:b/>
                <w:bCs/>
                <w:i/>
                <w:iCs/>
                <w:color w:val="202124"/>
                <w:sz w:val="20"/>
                <w:szCs w:val="20"/>
                <w:lang w:val="en-GB"/>
              </w:rPr>
              <w:t>8</w:t>
            </w:r>
          </w:p>
        </w:tc>
      </w:tr>
      <w:tr w:rsidR="00F004A4" w:rsidRPr="00D30847" w14:paraId="5A584B88" w14:textId="77777777" w:rsidTr="002B77A4">
        <w:trPr>
          <w:trHeight w:val="278"/>
        </w:trPr>
        <w:tc>
          <w:tcPr>
            <w:tcW w:w="4608" w:type="dxa"/>
            <w:shd w:val="clear" w:color="auto" w:fill="E8E8E8"/>
          </w:tcPr>
          <w:p w14:paraId="64330540" w14:textId="283759FD" w:rsidR="00F004A4" w:rsidRPr="00D30847" w:rsidRDefault="00083A12" w:rsidP="002B77A4">
            <w:pPr>
              <w:tabs>
                <w:tab w:val="left" w:pos="1114"/>
              </w:tabs>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Share</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of VAT debt (principal</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debt) over 12 month</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sold</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in</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the</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total VAT debt</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at</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the</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end</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of FP - 77%</w:t>
            </w:r>
          </w:p>
        </w:tc>
        <w:tc>
          <w:tcPr>
            <w:tcW w:w="4608" w:type="dxa"/>
            <w:shd w:val="clear" w:color="auto" w:fill="E8E8E8"/>
          </w:tcPr>
          <w:p w14:paraId="145D4CCF" w14:textId="62716D85" w:rsidR="00F004A4" w:rsidRPr="00D30847" w:rsidRDefault="00083A1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Share</w:t>
            </w:r>
            <w:r w:rsidR="00367CB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of VAT debt (principal</w:t>
            </w:r>
            <w:r w:rsidR="00367CB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debt) over 12 month</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sold</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in</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the</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total VAT debt</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at</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the</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end</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of FP - 50%</w:t>
            </w:r>
          </w:p>
        </w:tc>
      </w:tr>
      <w:bookmarkEnd w:id="24"/>
    </w:tbl>
    <w:p w14:paraId="0856924D" w14:textId="77777777" w:rsidR="00F004A4" w:rsidRPr="00D30847" w:rsidRDefault="00F004A4" w:rsidP="00E93DCC">
      <w:pPr>
        <w:spacing w:line="240" w:lineRule="auto"/>
        <w:jc w:val="both"/>
        <w:rPr>
          <w:rFonts w:eastAsia="Times New Roman" w:cs="Calibri"/>
          <w:color w:val="202124"/>
          <w:lang w:val="en-GB"/>
        </w:rPr>
      </w:pPr>
    </w:p>
    <w:p w14:paraId="7C374B0B" w14:textId="0C3BE724" w:rsidR="00E93DCC" w:rsidRPr="00D30847" w:rsidRDefault="00083A12" w:rsidP="00E93DCC">
      <w:pPr>
        <w:spacing w:line="240" w:lineRule="auto"/>
        <w:jc w:val="both"/>
        <w:rPr>
          <w:rFonts w:eastAsia="Times New Roman" w:cs="Calibri"/>
          <w:color w:val="202124"/>
          <w:lang w:val="en-GB"/>
        </w:rPr>
      </w:pPr>
      <w:r w:rsidRPr="00D30847">
        <w:rPr>
          <w:rFonts w:eastAsia="Times New Roman" w:cs="Calibri"/>
          <w:color w:val="202124"/>
          <w:lang w:val="en-GB"/>
        </w:rPr>
        <w:lastRenderedPageBreak/>
        <w:t>4</w:t>
      </w:r>
      <w:r w:rsidR="00384A2B" w:rsidRPr="00D30847">
        <w:rPr>
          <w:rFonts w:eastAsia="Times New Roman" w:cs="Calibri"/>
          <w:color w:val="202124"/>
          <w:lang w:val="en-GB"/>
        </w:rPr>
        <w:t xml:space="preserve">. </w:t>
      </w:r>
      <w:r w:rsidR="00E93DCC" w:rsidRPr="00D30847">
        <w:rPr>
          <w:rFonts w:eastAsia="Times New Roman" w:cs="Calibri"/>
          <w:color w:val="202124"/>
          <w:lang w:val="en-GB"/>
        </w:rPr>
        <w:t>Increased number of taxpayers who voluntarily comply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F004A4" w:rsidRPr="00D30847" w14:paraId="59314265" w14:textId="77777777" w:rsidTr="002B77A4">
        <w:trPr>
          <w:trHeight w:val="395"/>
        </w:trPr>
        <w:tc>
          <w:tcPr>
            <w:tcW w:w="4608" w:type="dxa"/>
            <w:shd w:val="clear" w:color="auto" w:fill="E8E8E8"/>
          </w:tcPr>
          <w:p w14:paraId="7046D23D" w14:textId="19656540" w:rsidR="00F004A4" w:rsidRPr="00D30847" w:rsidRDefault="00F004A4" w:rsidP="002B77A4">
            <w:pPr>
              <w:spacing w:line="240" w:lineRule="auto"/>
              <w:jc w:val="both"/>
              <w:rPr>
                <w:rFonts w:eastAsia="Times New Roman" w:cs="Calibri"/>
                <w:b/>
                <w:bCs/>
                <w:i/>
                <w:iCs/>
                <w:color w:val="202124"/>
                <w:sz w:val="20"/>
                <w:szCs w:val="20"/>
                <w:lang w:val="en-GB"/>
              </w:rPr>
            </w:pPr>
            <w:bookmarkStart w:id="25" w:name="_Hlk154061622"/>
            <w:r w:rsidRPr="00D30847">
              <w:rPr>
                <w:rFonts w:eastAsia="Times New Roman" w:cs="Calibri"/>
                <w:b/>
                <w:bCs/>
                <w:i/>
                <w:iCs/>
                <w:color w:val="202124"/>
                <w:sz w:val="20"/>
                <w:szCs w:val="20"/>
                <w:lang w:val="en-GB"/>
              </w:rPr>
              <w:t>Baseline 202</w:t>
            </w:r>
            <w:r w:rsidR="00671067" w:rsidRPr="00D30847">
              <w:rPr>
                <w:rFonts w:eastAsia="Times New Roman" w:cs="Calibri"/>
                <w:b/>
                <w:bCs/>
                <w:i/>
                <w:iCs/>
                <w:color w:val="202124"/>
                <w:sz w:val="20"/>
                <w:szCs w:val="20"/>
                <w:lang w:val="en-GB"/>
              </w:rPr>
              <w:t>3</w:t>
            </w:r>
          </w:p>
        </w:tc>
        <w:tc>
          <w:tcPr>
            <w:tcW w:w="4608" w:type="dxa"/>
            <w:shd w:val="clear" w:color="auto" w:fill="E8E8E8"/>
          </w:tcPr>
          <w:p w14:paraId="67FC6811" w14:textId="61E9FDAC" w:rsidR="00F004A4" w:rsidRPr="00D30847" w:rsidRDefault="00F004A4"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671067" w:rsidRPr="00D30847">
              <w:rPr>
                <w:rFonts w:eastAsia="Times New Roman" w:cs="Calibri"/>
                <w:b/>
                <w:bCs/>
                <w:i/>
                <w:iCs/>
                <w:color w:val="202124"/>
                <w:sz w:val="20"/>
                <w:szCs w:val="20"/>
                <w:lang w:val="en-GB"/>
              </w:rPr>
              <w:t>8</w:t>
            </w:r>
          </w:p>
        </w:tc>
      </w:tr>
      <w:tr w:rsidR="00F004A4" w:rsidRPr="00D30847" w14:paraId="1E7778D5" w14:textId="77777777" w:rsidTr="002B77A4">
        <w:trPr>
          <w:trHeight w:val="278"/>
        </w:trPr>
        <w:tc>
          <w:tcPr>
            <w:tcW w:w="4608" w:type="dxa"/>
            <w:shd w:val="clear" w:color="auto" w:fill="E8E8E8"/>
          </w:tcPr>
          <w:p w14:paraId="51CCFDF3" w14:textId="6798AD96" w:rsidR="00F004A4" w:rsidRPr="00D30847" w:rsidRDefault="00083A1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Percentage</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of</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timely</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submitted</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tax</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returns</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and</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tax</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payments</w:t>
            </w:r>
          </w:p>
        </w:tc>
        <w:tc>
          <w:tcPr>
            <w:tcW w:w="4608" w:type="dxa"/>
            <w:shd w:val="clear" w:color="auto" w:fill="E8E8E8"/>
          </w:tcPr>
          <w:p w14:paraId="40372446" w14:textId="50DBCBFC" w:rsidR="00F004A4" w:rsidRPr="00D30847" w:rsidRDefault="00083A1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Percentage</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of</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timely</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submitted</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returns</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and</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tax</w:t>
            </w:r>
            <w:r w:rsidR="00C36177" w:rsidRPr="00D30847">
              <w:rPr>
                <w:rFonts w:eastAsia="Times New Roman" w:cs="Calibri"/>
                <w:color w:val="202124"/>
                <w:sz w:val="20"/>
                <w:szCs w:val="20"/>
                <w:lang w:val="en-GB"/>
              </w:rPr>
              <w:t xml:space="preserve"> </w:t>
            </w:r>
            <w:r w:rsidR="00367CB7" w:rsidRPr="00D30847">
              <w:rPr>
                <w:rFonts w:eastAsia="Times New Roman" w:cs="Calibri"/>
                <w:color w:val="202124"/>
                <w:sz w:val="20"/>
                <w:szCs w:val="20"/>
                <w:lang w:val="en-GB"/>
              </w:rPr>
              <w:t>payment</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compared</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to</w:t>
            </w:r>
            <w:r w:rsidR="00C36177"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the</w:t>
            </w:r>
            <w:r w:rsidR="00C36177" w:rsidRPr="00D30847">
              <w:rPr>
                <w:rFonts w:eastAsia="Times New Roman" w:cs="Calibri"/>
                <w:color w:val="202124"/>
                <w:sz w:val="20"/>
                <w:szCs w:val="20"/>
                <w:lang w:val="en-GB"/>
              </w:rPr>
              <w:t xml:space="preserve"> </w:t>
            </w:r>
            <w:r w:rsidR="00367CB7" w:rsidRPr="00D30847">
              <w:rPr>
                <w:rFonts w:eastAsia="Times New Roman" w:cs="Calibri"/>
                <w:color w:val="202124"/>
                <w:sz w:val="20"/>
                <w:szCs w:val="20"/>
                <w:lang w:val="en-GB"/>
              </w:rPr>
              <w:t>previous</w:t>
            </w:r>
            <w:r w:rsidR="00C36177" w:rsidRPr="00D30847">
              <w:rPr>
                <w:rFonts w:eastAsia="Times New Roman" w:cs="Calibri"/>
                <w:color w:val="202124"/>
                <w:sz w:val="20"/>
                <w:szCs w:val="20"/>
                <w:lang w:val="en-GB"/>
              </w:rPr>
              <w:t xml:space="preserve"> </w:t>
            </w:r>
            <w:r w:rsidR="00367CB7" w:rsidRPr="00D30847">
              <w:rPr>
                <w:rFonts w:eastAsia="Times New Roman" w:cs="Calibri"/>
                <w:color w:val="202124"/>
                <w:sz w:val="20"/>
                <w:szCs w:val="20"/>
                <w:lang w:val="en-GB"/>
              </w:rPr>
              <w:t>year</w:t>
            </w:r>
          </w:p>
        </w:tc>
      </w:tr>
      <w:bookmarkEnd w:id="25"/>
    </w:tbl>
    <w:p w14:paraId="68635054" w14:textId="77777777" w:rsidR="00F004A4" w:rsidRPr="00D30847" w:rsidRDefault="00F004A4" w:rsidP="00E93DCC">
      <w:pPr>
        <w:spacing w:line="240" w:lineRule="auto"/>
        <w:jc w:val="both"/>
        <w:rPr>
          <w:rFonts w:eastAsia="Times New Roman" w:cs="Calibri"/>
          <w:color w:val="202124"/>
          <w:lang w:val="en-GB"/>
        </w:rPr>
      </w:pPr>
    </w:p>
    <w:p w14:paraId="0E2E35FE" w14:textId="77777777" w:rsidR="00736F00" w:rsidRPr="00D30847" w:rsidRDefault="00736F00" w:rsidP="00736F00">
      <w:pPr>
        <w:spacing w:line="240" w:lineRule="auto"/>
        <w:jc w:val="both"/>
        <w:rPr>
          <w:rFonts w:cs="Calibri"/>
          <w:b/>
          <w:color w:val="0070C0"/>
          <w:sz w:val="24"/>
          <w:szCs w:val="24"/>
          <w:lang w:val="en-GB"/>
        </w:rPr>
      </w:pPr>
      <w:r w:rsidRPr="00D30847">
        <w:rPr>
          <w:rFonts w:cs="Calibri"/>
          <w:b/>
          <w:color w:val="0070C0"/>
          <w:sz w:val="24"/>
          <w:szCs w:val="24"/>
          <w:lang w:val="en-GB"/>
        </w:rPr>
        <w:t>Measure 1: Strengthen of administrative capacity for better revenue collection and tax compliance</w:t>
      </w:r>
    </w:p>
    <w:p w14:paraId="3523F0A6" w14:textId="77777777" w:rsidR="00A64FD7" w:rsidRPr="00D30847" w:rsidRDefault="00A64FD7" w:rsidP="00E84CD0">
      <w:pPr>
        <w:pStyle w:val="normalPFMIoutcomes"/>
        <w:spacing w:line="240" w:lineRule="auto"/>
        <w:ind w:left="0" w:firstLine="0"/>
        <w:rPr>
          <w:rFonts w:cs="Calibri"/>
          <w:b/>
          <w:bCs/>
          <w:i/>
          <w:iCs/>
          <w:color w:val="4F81BD"/>
          <w:sz w:val="22"/>
          <w:szCs w:val="22"/>
        </w:rPr>
      </w:pPr>
      <w:r w:rsidRPr="00D30847">
        <w:rPr>
          <w:rFonts w:cs="Calibri"/>
          <w:b/>
          <w:bCs/>
          <w:i/>
          <w:iCs/>
          <w:color w:val="4F81BD"/>
          <w:sz w:val="22"/>
          <w:szCs w:val="22"/>
        </w:rPr>
        <w:t>Measure outcome</w:t>
      </w:r>
    </w:p>
    <w:p w14:paraId="3ED3EAD2" w14:textId="77777777" w:rsidR="00E93DCC" w:rsidRPr="00D30847" w:rsidRDefault="00E93DCC" w:rsidP="00E84CD0">
      <w:pPr>
        <w:pStyle w:val="normalPFMIoutcomes"/>
        <w:spacing w:line="240" w:lineRule="auto"/>
        <w:ind w:left="0" w:firstLine="0"/>
        <w:rPr>
          <w:rFonts w:cs="Calibri"/>
          <w:b/>
          <w:bCs/>
          <w:i/>
          <w:iCs/>
          <w:color w:val="4F81BD"/>
          <w:sz w:val="22"/>
          <w:szCs w:val="22"/>
        </w:rPr>
      </w:pPr>
    </w:p>
    <w:p w14:paraId="62E43DF3" w14:textId="781EE20A" w:rsidR="00E93DCC" w:rsidRPr="00D30847" w:rsidRDefault="00736F00" w:rsidP="00E84CD0">
      <w:pPr>
        <w:pStyle w:val="normalPFMIoutcomes"/>
        <w:spacing w:line="240" w:lineRule="auto"/>
        <w:ind w:left="0" w:firstLine="0"/>
        <w:rPr>
          <w:rFonts w:eastAsia="Calibri" w:cs="Calibri"/>
          <w:sz w:val="22"/>
          <w:szCs w:val="22"/>
          <w:lang w:eastAsia="en-US"/>
        </w:rPr>
      </w:pPr>
      <w:r w:rsidRPr="00D30847">
        <w:rPr>
          <w:rFonts w:eastAsia="Calibri" w:cs="Calibri"/>
          <w:sz w:val="22"/>
          <w:szCs w:val="22"/>
          <w:lang w:eastAsia="en-US"/>
        </w:rPr>
        <w:t>The purpose of the measure is to build the capacities of the tax administration for the administration of tax revenues and contributions by strengthening administrative resources, more effective and efficient management of the overdue tax debt and management of compliance risk.</w:t>
      </w:r>
    </w:p>
    <w:p w14:paraId="69296DF0" w14:textId="77777777" w:rsidR="00E93DCC" w:rsidRPr="00D30847" w:rsidRDefault="00E93DCC" w:rsidP="00E84CD0">
      <w:pPr>
        <w:pStyle w:val="normalPFMIoutcomes"/>
        <w:spacing w:line="240" w:lineRule="auto"/>
        <w:ind w:left="0" w:firstLine="0"/>
        <w:rPr>
          <w:rFonts w:eastAsia="Calibri" w:cs="Calibri"/>
          <w:sz w:val="22"/>
          <w:szCs w:val="22"/>
          <w:lang w:eastAsia="en-US"/>
        </w:rPr>
      </w:pPr>
    </w:p>
    <w:p w14:paraId="756B8825" w14:textId="77777777" w:rsidR="00A64FD7" w:rsidRPr="00D30847" w:rsidRDefault="00A64FD7" w:rsidP="00E84CD0">
      <w:pPr>
        <w:pStyle w:val="normalPFMIoutcomes"/>
        <w:spacing w:line="240" w:lineRule="auto"/>
        <w:ind w:left="0" w:firstLine="0"/>
        <w:rPr>
          <w:rFonts w:cs="Calibri"/>
          <w:b/>
          <w:bCs/>
          <w:i/>
          <w:iCs/>
          <w:color w:val="4F81BD"/>
          <w:sz w:val="22"/>
          <w:szCs w:val="22"/>
        </w:rPr>
      </w:pPr>
      <w:r w:rsidRPr="00D30847">
        <w:rPr>
          <w:rFonts w:cs="Calibri"/>
          <w:b/>
          <w:bCs/>
          <w:i/>
          <w:iCs/>
          <w:color w:val="4F81BD"/>
          <w:sz w:val="22"/>
          <w:szCs w:val="22"/>
        </w:rPr>
        <w:t>Reference to findings from external assessments:</w:t>
      </w:r>
    </w:p>
    <w:p w14:paraId="3952EC3A" w14:textId="77777777" w:rsidR="008F758B" w:rsidRPr="00D30847" w:rsidRDefault="008F758B" w:rsidP="00E84CD0">
      <w:pPr>
        <w:pStyle w:val="normalPFMIoutcomes"/>
        <w:spacing w:line="240" w:lineRule="auto"/>
        <w:ind w:left="0" w:firstLine="0"/>
        <w:rPr>
          <w:rFonts w:cs="Calibri"/>
          <w:b/>
          <w:bCs/>
          <w:i/>
          <w:iCs/>
          <w:color w:val="4F81BD"/>
          <w:sz w:val="22"/>
          <w:szCs w:val="22"/>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589"/>
        <w:gridCol w:w="7625"/>
      </w:tblGrid>
      <w:tr w:rsidR="008F758B" w:rsidRPr="00D30847" w14:paraId="7C0151F2" w14:textId="77777777" w:rsidTr="00E059A9">
        <w:tc>
          <w:tcPr>
            <w:tcW w:w="1589" w:type="dxa"/>
            <w:shd w:val="clear" w:color="auto" w:fill="DDDDDD"/>
          </w:tcPr>
          <w:p w14:paraId="3D3D3F6B" w14:textId="77777777" w:rsidR="008F758B" w:rsidRPr="00D30847" w:rsidRDefault="006A55CA" w:rsidP="00F46E0B">
            <w:pPr>
              <w:spacing w:before="80" w:after="0" w:line="240" w:lineRule="auto"/>
              <w:jc w:val="both"/>
              <w:rPr>
                <w:rFonts w:asciiTheme="minorHAnsi" w:eastAsia="MS PGothic" w:hAnsiTheme="minorHAnsi" w:cs="Calibri"/>
                <w:b/>
                <w:sz w:val="20"/>
                <w:szCs w:val="20"/>
                <w:lang w:val="en-GB" w:eastAsia="zh-CN"/>
              </w:rPr>
            </w:pPr>
            <w:r w:rsidRPr="00D30847">
              <w:rPr>
                <w:rFonts w:asciiTheme="minorHAnsi" w:eastAsia="MS PGothic" w:hAnsiTheme="minorHAnsi" w:cs="Calibri"/>
                <w:b/>
                <w:sz w:val="20"/>
                <w:szCs w:val="20"/>
                <w:lang w:val="en-GB" w:eastAsia="zh-CN"/>
              </w:rPr>
              <w:t>PJRFO</w:t>
            </w:r>
          </w:p>
        </w:tc>
        <w:tc>
          <w:tcPr>
            <w:tcW w:w="7625" w:type="dxa"/>
            <w:shd w:val="clear" w:color="auto" w:fill="DDDDDD"/>
          </w:tcPr>
          <w:p w14:paraId="71B6B73F" w14:textId="77777777" w:rsidR="008F758B" w:rsidRPr="00D30847" w:rsidRDefault="006A55CA" w:rsidP="00F46E0B">
            <w:pPr>
              <w:spacing w:after="120" w:line="264" w:lineRule="auto"/>
              <w:jc w:val="both"/>
              <w:rPr>
                <w:rFonts w:asciiTheme="minorHAnsi" w:eastAsia="MS PGothic" w:hAnsiTheme="minorHAnsi" w:cs="Calibri"/>
                <w:sz w:val="20"/>
                <w:szCs w:val="20"/>
                <w:lang w:val="en-GB" w:eastAsia="zh-CN"/>
              </w:rPr>
            </w:pPr>
            <w:r w:rsidRPr="00D30847">
              <w:rPr>
                <w:rFonts w:asciiTheme="minorHAnsi" w:eastAsia="MS PGothic" w:hAnsiTheme="minorHAnsi" w:cs="Calibri"/>
                <w:b/>
                <w:bCs/>
                <w:iCs/>
                <w:sz w:val="20"/>
                <w:szCs w:val="20"/>
                <w:lang w:val="en-GB" w:eastAsia="zh-CN"/>
              </w:rPr>
              <w:t>PEFA Assessment Report, March 2022</w:t>
            </w:r>
            <w:r w:rsidRPr="00D30847">
              <w:rPr>
                <w:rFonts w:asciiTheme="minorHAnsi" w:eastAsia="MS PGothic" w:hAnsiTheme="minorHAnsi" w:cs="Calibri"/>
                <w:sz w:val="20"/>
                <w:szCs w:val="20"/>
                <w:lang w:val="en-GB" w:eastAsia="zh-CN"/>
              </w:rPr>
              <w:t>:</w:t>
            </w:r>
          </w:p>
          <w:p w14:paraId="09A0E1C1" w14:textId="77777777" w:rsidR="008F758B" w:rsidRPr="00D30847" w:rsidRDefault="006A55CA" w:rsidP="00F46E0B">
            <w:pPr>
              <w:spacing w:after="120" w:line="264" w:lineRule="auto"/>
              <w:jc w:val="both"/>
              <w:rPr>
                <w:rFonts w:asciiTheme="minorHAnsi" w:eastAsia="MS PGothic" w:hAnsiTheme="minorHAnsi" w:cs="Calibri"/>
                <w:sz w:val="20"/>
                <w:szCs w:val="20"/>
                <w:lang w:val="en-GB" w:eastAsia="zh-CN"/>
              </w:rPr>
            </w:pPr>
            <w:r w:rsidRPr="00D30847">
              <w:rPr>
                <w:rFonts w:eastAsia="Times New Roman" w:cs="Calibri"/>
                <w:color w:val="202124"/>
                <w:sz w:val="20"/>
                <w:szCs w:val="20"/>
                <w:lang w:val="en-GB"/>
              </w:rPr>
              <w:t>In the area of ​​tax administration, the institutional reforms determined by the Public Finance Management Reform Program 2018-2021 and the Strategy for the Reform of the Tax System (2021-2025) are operationalized through the Strategic Plan of the PRO for the period 2021-2023. The plan establishes three strategic programs for the tax administration: (</w:t>
            </w:r>
            <w:proofErr w:type="spellStart"/>
            <w:r w:rsidRPr="00D30847">
              <w:rPr>
                <w:rFonts w:eastAsia="Times New Roman" w:cs="Calibri"/>
                <w:color w:val="202124"/>
                <w:sz w:val="20"/>
                <w:szCs w:val="20"/>
                <w:lang w:val="en-GB"/>
              </w:rPr>
              <w:t>i</w:t>
            </w:r>
            <w:proofErr w:type="spellEnd"/>
            <w:r w:rsidRPr="00D30847">
              <w:rPr>
                <w:rFonts w:eastAsia="Times New Roman" w:cs="Calibri"/>
                <w:color w:val="202124"/>
                <w:sz w:val="20"/>
                <w:szCs w:val="20"/>
                <w:lang w:val="en-GB"/>
              </w:rPr>
              <w:t>) strengthening of administrative capacities, (ii) protection against tax fraud and reduction of the volume of the shadow economy, and (iii) mobilization of tax revenues.</w:t>
            </w:r>
            <w:r w:rsidRPr="00D30847">
              <w:rPr>
                <w:rFonts w:asciiTheme="minorHAnsi" w:eastAsia="MS PGothic" w:hAnsiTheme="minorHAnsi" w:cs="Calibri"/>
                <w:sz w:val="20"/>
                <w:szCs w:val="20"/>
                <w:lang w:val="en-GB" w:eastAsia="zh-CN"/>
              </w:rPr>
              <w:t xml:space="preserve"> </w:t>
            </w:r>
          </w:p>
        </w:tc>
      </w:tr>
      <w:tr w:rsidR="008F758B" w:rsidRPr="00D30847" w14:paraId="42DA3094" w14:textId="77777777" w:rsidTr="00E059A9">
        <w:tc>
          <w:tcPr>
            <w:tcW w:w="1589" w:type="dxa"/>
            <w:shd w:val="clear" w:color="auto" w:fill="DDDDDD"/>
          </w:tcPr>
          <w:p w14:paraId="59B1B0E4" w14:textId="77777777" w:rsidR="008F758B" w:rsidRPr="00D30847" w:rsidRDefault="006A55CA" w:rsidP="00F46E0B">
            <w:pPr>
              <w:spacing w:before="80" w:after="0" w:line="240" w:lineRule="auto"/>
              <w:jc w:val="both"/>
              <w:rPr>
                <w:rFonts w:asciiTheme="minorHAnsi" w:eastAsia="MS PGothic" w:hAnsiTheme="minorHAnsi" w:cs="Calibri"/>
                <w:b/>
                <w:sz w:val="20"/>
                <w:szCs w:val="20"/>
                <w:lang w:val="en-GB" w:eastAsia="zh-CN"/>
              </w:rPr>
            </w:pPr>
            <w:r w:rsidRPr="00D30847">
              <w:rPr>
                <w:rFonts w:asciiTheme="minorHAnsi" w:eastAsia="MS PGothic" w:hAnsiTheme="minorHAnsi" w:cs="Calibri"/>
                <w:b/>
                <w:sz w:val="20"/>
                <w:szCs w:val="20"/>
                <w:lang w:val="en-GB" w:eastAsia="zh-CN"/>
              </w:rPr>
              <w:t>PPRU</w:t>
            </w:r>
          </w:p>
        </w:tc>
        <w:tc>
          <w:tcPr>
            <w:tcW w:w="7625" w:type="dxa"/>
            <w:shd w:val="clear" w:color="auto" w:fill="DDDDDD"/>
          </w:tcPr>
          <w:p w14:paraId="10DBFDF6" w14:textId="77777777" w:rsidR="008F758B" w:rsidRPr="00D30847" w:rsidRDefault="006A55CA" w:rsidP="00F46E0B">
            <w:pPr>
              <w:spacing w:after="120" w:line="264" w:lineRule="auto"/>
              <w:jc w:val="both"/>
              <w:rPr>
                <w:rFonts w:asciiTheme="minorHAnsi" w:eastAsia="MS PGothic" w:hAnsiTheme="minorHAnsi" w:cs="Calibri"/>
                <w:b/>
                <w:bCs/>
                <w:iCs/>
                <w:sz w:val="20"/>
                <w:szCs w:val="20"/>
                <w:lang w:val="en-GB" w:eastAsia="zh-CN"/>
              </w:rPr>
            </w:pPr>
            <w:r w:rsidRPr="00D30847">
              <w:rPr>
                <w:rFonts w:asciiTheme="minorHAnsi" w:eastAsia="MS PGothic" w:hAnsiTheme="minorHAnsi" w:cs="Calibri"/>
                <w:b/>
                <w:bCs/>
                <w:iCs/>
                <w:sz w:val="20"/>
                <w:szCs w:val="20"/>
                <w:lang w:val="en-GB" w:eastAsia="zh-CN" w:bidi="en-US"/>
              </w:rPr>
              <w:t>SIGMA Monitoring Report - Principles of Public Administration, November 2021</w:t>
            </w:r>
          </w:p>
          <w:p w14:paraId="62AA85C1" w14:textId="77777777" w:rsidR="008F758B" w:rsidRPr="00D30847" w:rsidRDefault="006A55CA" w:rsidP="00F46E0B">
            <w:pPr>
              <w:spacing w:after="120" w:line="264" w:lineRule="auto"/>
              <w:jc w:val="both"/>
              <w:rPr>
                <w:rFonts w:asciiTheme="minorHAnsi" w:eastAsia="MS PGothic" w:hAnsiTheme="minorHAnsi" w:cs="Calibri"/>
                <w:sz w:val="20"/>
                <w:szCs w:val="20"/>
                <w:lang w:val="en-GB" w:eastAsia="zh-CN"/>
              </w:rPr>
            </w:pPr>
            <w:r w:rsidRPr="00D30847">
              <w:rPr>
                <w:rFonts w:eastAsia="Times New Roman" w:cs="Calibri"/>
                <w:color w:val="202124"/>
                <w:sz w:val="20"/>
                <w:szCs w:val="20"/>
                <w:lang w:val="en-GB"/>
              </w:rPr>
              <w:t>However, the analysis of a sample of services shows that only the filing and payment of personal tax has significantly improved with the introduction of the new e-Personal Tax system in 2018, including the preparation of pre-filled annual tax returns for all taxpayers.</w:t>
            </w:r>
          </w:p>
        </w:tc>
      </w:tr>
      <w:tr w:rsidR="008F758B" w:rsidRPr="00D30847" w14:paraId="3093C6E6" w14:textId="77777777" w:rsidTr="00E059A9">
        <w:tc>
          <w:tcPr>
            <w:tcW w:w="1589" w:type="dxa"/>
            <w:shd w:val="clear" w:color="auto" w:fill="DDDDDD"/>
          </w:tcPr>
          <w:p w14:paraId="47867415" w14:textId="16E174E2" w:rsidR="008F758B" w:rsidRPr="00D30847" w:rsidRDefault="006A55CA" w:rsidP="00F46E0B">
            <w:pPr>
              <w:spacing w:before="80" w:after="0" w:line="240" w:lineRule="auto"/>
              <w:jc w:val="both"/>
              <w:rPr>
                <w:rFonts w:asciiTheme="minorHAnsi" w:eastAsia="MS PGothic" w:hAnsiTheme="minorHAnsi" w:cs="Calibri"/>
                <w:b/>
                <w:sz w:val="20"/>
                <w:szCs w:val="20"/>
                <w:lang w:val="en-GB" w:eastAsia="zh-CN"/>
              </w:rPr>
            </w:pPr>
            <w:r w:rsidRPr="00D30847">
              <w:rPr>
                <w:rFonts w:asciiTheme="minorHAnsi" w:eastAsia="MS PGothic" w:hAnsiTheme="minorHAnsi" w:cs="Calibri"/>
                <w:b/>
                <w:sz w:val="20"/>
                <w:szCs w:val="20"/>
                <w:lang w:val="en-GB" w:eastAsia="zh-CN"/>
              </w:rPr>
              <w:t>IMF</w:t>
            </w:r>
          </w:p>
          <w:p w14:paraId="0C202D10" w14:textId="77777777" w:rsidR="008F758B" w:rsidRPr="00D30847" w:rsidRDefault="008F758B" w:rsidP="00F46E0B">
            <w:pPr>
              <w:spacing w:before="80" w:after="0" w:line="240" w:lineRule="auto"/>
              <w:jc w:val="both"/>
              <w:rPr>
                <w:rFonts w:asciiTheme="minorHAnsi" w:eastAsia="MS PGothic" w:hAnsiTheme="minorHAnsi" w:cs="Calibri"/>
                <w:sz w:val="20"/>
                <w:szCs w:val="20"/>
                <w:lang w:val="en-GB" w:eastAsia="zh-CN"/>
              </w:rPr>
            </w:pPr>
          </w:p>
        </w:tc>
        <w:tc>
          <w:tcPr>
            <w:tcW w:w="7625" w:type="dxa"/>
            <w:shd w:val="clear" w:color="auto" w:fill="DDDDDD"/>
          </w:tcPr>
          <w:p w14:paraId="496D73B6" w14:textId="77777777" w:rsidR="008F758B" w:rsidRPr="00D30847" w:rsidRDefault="006A55CA" w:rsidP="00F46E0B">
            <w:pPr>
              <w:spacing w:after="120" w:line="264" w:lineRule="auto"/>
              <w:jc w:val="both"/>
              <w:rPr>
                <w:rFonts w:eastAsia="Times New Roman" w:cs="Calibri"/>
                <w:color w:val="202124"/>
                <w:sz w:val="20"/>
                <w:szCs w:val="20"/>
                <w:lang w:val="en-GB"/>
              </w:rPr>
            </w:pPr>
            <w:r w:rsidRPr="00D30847">
              <w:rPr>
                <w:rFonts w:eastAsia="Times New Roman" w:cs="Calibri"/>
                <w:color w:val="202124"/>
                <w:sz w:val="20"/>
                <w:szCs w:val="20"/>
                <w:lang w:val="en-GB"/>
              </w:rPr>
              <w:t>In the period from December 7, 2020 to February 5, 2021, an assessment of the tax administration of the Republic of North Macedonia was carried out using the Tax Administration Diagnostic Assessment Tool (TADAT).</w:t>
            </w:r>
          </w:p>
          <w:p w14:paraId="06FCF01A" w14:textId="77777777" w:rsidR="008F758B" w:rsidRPr="00D30847" w:rsidRDefault="006A55CA" w:rsidP="00F46E0B">
            <w:pPr>
              <w:spacing w:after="120" w:line="264" w:lineRule="auto"/>
              <w:jc w:val="both"/>
              <w:rPr>
                <w:rFonts w:asciiTheme="minorHAnsi" w:eastAsia="MS PGothic" w:hAnsiTheme="minorHAnsi" w:cs="Calibri"/>
                <w:sz w:val="20"/>
                <w:szCs w:val="20"/>
                <w:lang w:val="en-GB" w:eastAsia="zh-CN"/>
              </w:rPr>
            </w:pPr>
            <w:r w:rsidRPr="00D30847">
              <w:rPr>
                <w:rFonts w:eastAsia="Times New Roman" w:cs="Calibri"/>
                <w:color w:val="202124"/>
                <w:sz w:val="20"/>
                <w:szCs w:val="20"/>
                <w:lang w:val="en-GB"/>
              </w:rPr>
              <w:t>The TADAT performance evaluation report notes that while the Public Revenue Office (PRO) has developed some strong components within overall tax management, there are more important functions that are either at an early stage of development. Most of the strengths of the PRO are in the area of ​​services to taxpayers: a high degree of electronic filing that leads to good and timely filing; use of pre-filled tax returns, tax withholding at the time of payment and arrangements in the form of advance payments; extensive publication of data from its work. The benefits of these strengths, however, are not fully exploited due to the poor state of the information (IT) system, limited implementation of compliance risk management (CRM) and inadequate management of large taxpayers.</w:t>
            </w:r>
            <w:r w:rsidRPr="00D30847">
              <w:rPr>
                <w:rFonts w:asciiTheme="minorHAnsi" w:eastAsia="MS PGothic" w:hAnsiTheme="minorHAnsi" w:cs="Calibri"/>
                <w:sz w:val="20"/>
                <w:szCs w:val="20"/>
                <w:lang w:val="en-GB" w:eastAsia="zh-CN"/>
              </w:rPr>
              <w:t xml:space="preserve"> </w:t>
            </w:r>
          </w:p>
        </w:tc>
      </w:tr>
      <w:tr w:rsidR="008F758B" w:rsidRPr="00D30847" w14:paraId="0F63DBAD" w14:textId="77777777" w:rsidTr="00E059A9">
        <w:tc>
          <w:tcPr>
            <w:tcW w:w="1589" w:type="dxa"/>
            <w:shd w:val="clear" w:color="auto" w:fill="DDDDDD"/>
          </w:tcPr>
          <w:p w14:paraId="30423AE6" w14:textId="624DC16A" w:rsidR="008F758B" w:rsidRPr="00D30847" w:rsidRDefault="006A55CA" w:rsidP="00F46E0B">
            <w:pPr>
              <w:spacing w:before="80" w:after="0" w:line="240" w:lineRule="auto"/>
              <w:jc w:val="both"/>
              <w:rPr>
                <w:rFonts w:asciiTheme="minorHAnsi" w:eastAsia="MS PGothic" w:hAnsiTheme="minorHAnsi" w:cs="Calibri"/>
                <w:b/>
                <w:sz w:val="20"/>
                <w:szCs w:val="20"/>
                <w:lang w:val="en-GB" w:eastAsia="zh-CN"/>
              </w:rPr>
            </w:pPr>
            <w:r w:rsidRPr="00D30847">
              <w:rPr>
                <w:rFonts w:asciiTheme="minorHAnsi" w:eastAsia="MS PGothic" w:hAnsiTheme="minorHAnsi" w:cs="Calibri"/>
                <w:b/>
                <w:sz w:val="20"/>
                <w:szCs w:val="20"/>
                <w:lang w:val="en-GB" w:eastAsia="zh-CN"/>
              </w:rPr>
              <w:t>WB</w:t>
            </w:r>
          </w:p>
        </w:tc>
        <w:tc>
          <w:tcPr>
            <w:tcW w:w="7625" w:type="dxa"/>
            <w:shd w:val="clear" w:color="auto" w:fill="DDDDDD"/>
          </w:tcPr>
          <w:p w14:paraId="77DA5F1F" w14:textId="77777777" w:rsidR="008F758B" w:rsidRPr="00D30847" w:rsidRDefault="006A55CA" w:rsidP="00F46E0B">
            <w:pPr>
              <w:spacing w:after="120" w:line="264" w:lineRule="auto"/>
              <w:jc w:val="both"/>
              <w:rPr>
                <w:rFonts w:asciiTheme="minorHAnsi" w:eastAsia="MS PGothic" w:hAnsiTheme="minorHAnsi" w:cs="Calibri"/>
                <w:sz w:val="20"/>
                <w:szCs w:val="20"/>
                <w:lang w:val="en-GB" w:eastAsia="zh-CN"/>
              </w:rPr>
            </w:pPr>
            <w:r w:rsidRPr="00D30847">
              <w:rPr>
                <w:rFonts w:asciiTheme="minorHAnsi" w:eastAsia="MS PGothic" w:hAnsiTheme="minorHAnsi" w:cs="Calibri"/>
                <w:sz w:val="20"/>
                <w:szCs w:val="20"/>
                <w:lang w:val="en-GB" w:eastAsia="zh-CN"/>
              </w:rPr>
              <w:t>Project on building effective, transparent, and accountable public finance institutions, October 2022</w:t>
            </w:r>
          </w:p>
          <w:p w14:paraId="0F8012BD" w14:textId="77777777" w:rsidR="008F758B" w:rsidRPr="00D30847" w:rsidRDefault="006A55CA" w:rsidP="00F46E0B">
            <w:pPr>
              <w:spacing w:after="120" w:line="264" w:lineRule="auto"/>
              <w:jc w:val="both"/>
              <w:rPr>
                <w:rFonts w:asciiTheme="minorHAnsi" w:eastAsia="MS PGothic" w:hAnsiTheme="minorHAnsi" w:cs="Calibri"/>
                <w:sz w:val="20"/>
                <w:szCs w:val="20"/>
                <w:lang w:val="en-GB" w:eastAsia="zh-CN"/>
              </w:rPr>
            </w:pPr>
            <w:r w:rsidRPr="00D30847">
              <w:rPr>
                <w:rFonts w:asciiTheme="minorHAnsi" w:eastAsia="MS PGothic" w:hAnsiTheme="minorHAnsi" w:cs="Calibri"/>
                <w:sz w:val="20"/>
                <w:szCs w:val="20"/>
                <w:lang w:val="en-GB" w:eastAsia="zh-CN"/>
              </w:rPr>
              <w:t>Development objective of the project - To improve the efficiency, transparency, and sustainability of public expenditures and to increase the effectiveness of revenue management.</w:t>
            </w:r>
          </w:p>
          <w:p w14:paraId="3F5B947B" w14:textId="77777777" w:rsidR="008F758B" w:rsidRPr="00D30847" w:rsidRDefault="006A55CA" w:rsidP="00F46E0B">
            <w:pPr>
              <w:spacing w:after="120" w:line="264" w:lineRule="auto"/>
              <w:jc w:val="both"/>
              <w:rPr>
                <w:rFonts w:asciiTheme="minorHAnsi" w:eastAsia="MS PGothic" w:hAnsiTheme="minorHAnsi" w:cs="Calibri"/>
                <w:sz w:val="20"/>
                <w:szCs w:val="20"/>
                <w:lang w:val="en-GB" w:eastAsia="zh-CN"/>
              </w:rPr>
            </w:pPr>
            <w:r w:rsidRPr="00D30847">
              <w:rPr>
                <w:rFonts w:asciiTheme="minorHAnsi" w:eastAsia="MS PGothic" w:hAnsiTheme="minorHAnsi" w:cs="Calibri"/>
                <w:sz w:val="20"/>
                <w:szCs w:val="20"/>
                <w:lang w:val="en-GB" w:eastAsia="zh-CN"/>
              </w:rPr>
              <w:t>Indicators that reflect the achievement of the project's development objective (DPD) include, among others:</w:t>
            </w:r>
          </w:p>
          <w:p w14:paraId="375C18E3" w14:textId="77777777" w:rsidR="008F758B" w:rsidRPr="00D30847" w:rsidRDefault="006A55CA" w:rsidP="00F46E0B">
            <w:pPr>
              <w:spacing w:after="120" w:line="264" w:lineRule="auto"/>
              <w:jc w:val="both"/>
              <w:rPr>
                <w:rFonts w:asciiTheme="minorHAnsi" w:eastAsia="MS PGothic" w:hAnsiTheme="minorHAnsi" w:cs="Calibri"/>
                <w:sz w:val="20"/>
                <w:szCs w:val="20"/>
                <w:lang w:val="en-GB" w:eastAsia="zh-CN"/>
              </w:rPr>
            </w:pPr>
            <w:r w:rsidRPr="00D30847">
              <w:rPr>
                <w:rFonts w:asciiTheme="minorHAnsi" w:eastAsia="MS PGothic" w:hAnsiTheme="minorHAnsi" w:cs="Calibri"/>
                <w:sz w:val="20"/>
                <w:szCs w:val="20"/>
                <w:lang w:val="en-GB" w:eastAsia="zh-CN"/>
              </w:rPr>
              <w:lastRenderedPageBreak/>
              <w:t>(d) VAT compliance gap (Target: compliance gap reduced to 19 percent) (effectiveness)</w:t>
            </w:r>
          </w:p>
          <w:p w14:paraId="63338D03" w14:textId="77777777" w:rsidR="008F758B" w:rsidRPr="00D30847" w:rsidRDefault="006A55CA" w:rsidP="00F46E0B">
            <w:pPr>
              <w:spacing w:after="120" w:line="264" w:lineRule="auto"/>
              <w:jc w:val="both"/>
              <w:rPr>
                <w:rFonts w:asciiTheme="minorHAnsi" w:eastAsia="MS PGothic" w:hAnsiTheme="minorHAnsi" w:cs="Calibri"/>
                <w:sz w:val="20"/>
                <w:szCs w:val="20"/>
                <w:lang w:val="en-GB" w:eastAsia="zh-CN"/>
              </w:rPr>
            </w:pPr>
            <w:r w:rsidRPr="00D30847">
              <w:rPr>
                <w:rFonts w:asciiTheme="minorHAnsi" w:eastAsia="MS PGothic" w:hAnsiTheme="minorHAnsi" w:cs="Calibri"/>
                <w:sz w:val="20"/>
                <w:szCs w:val="20"/>
                <w:lang w:val="en-GB" w:eastAsia="zh-CN"/>
              </w:rPr>
              <w:t>Component 2: Strengthening tax management practices and systems in the PRO</w:t>
            </w:r>
          </w:p>
          <w:p w14:paraId="4BB5900B" w14:textId="77777777" w:rsidR="008F758B" w:rsidRPr="00D30847" w:rsidRDefault="006A55CA" w:rsidP="00F46E0B">
            <w:pPr>
              <w:spacing w:after="120" w:line="264" w:lineRule="auto"/>
              <w:jc w:val="both"/>
              <w:rPr>
                <w:rFonts w:asciiTheme="minorHAnsi" w:eastAsia="MS PGothic" w:hAnsiTheme="minorHAnsi" w:cs="Calibri"/>
                <w:sz w:val="20"/>
                <w:szCs w:val="20"/>
                <w:lang w:val="en-GB" w:eastAsia="zh-CN"/>
              </w:rPr>
            </w:pPr>
            <w:r w:rsidRPr="00D30847">
              <w:rPr>
                <w:rFonts w:asciiTheme="minorHAnsi" w:eastAsia="MS PGothic" w:hAnsiTheme="minorHAnsi" w:cs="Calibri"/>
                <w:sz w:val="20"/>
                <w:szCs w:val="20"/>
                <w:lang w:val="en-GB" w:eastAsia="zh-CN"/>
              </w:rPr>
              <w:t>The objective of component 2 is to strengthen the operational effectiveness of the work of the PRO with a focus on strengthening its tax compliance management system and certain administrative functions. Funding of certain activities is foreseen, which complements the current investments of the PRO in the development of the basic modules (registration, submission and service management, accounting, payment and refund, debt management, assessments, legal affairs, and audit) of the integrated tax information system which is implemented within the national budget.</w:t>
            </w:r>
          </w:p>
        </w:tc>
      </w:tr>
      <w:tr w:rsidR="008F758B" w:rsidRPr="00D30847" w14:paraId="5D3667B3" w14:textId="77777777" w:rsidTr="00E059A9">
        <w:tc>
          <w:tcPr>
            <w:tcW w:w="1589" w:type="dxa"/>
            <w:shd w:val="clear" w:color="auto" w:fill="DDDDDD"/>
          </w:tcPr>
          <w:p w14:paraId="04EF41FC" w14:textId="5C01EC01" w:rsidR="008F758B" w:rsidRPr="00D30847" w:rsidRDefault="006A55CA" w:rsidP="00F46E0B">
            <w:pPr>
              <w:spacing w:before="80" w:after="0" w:line="240" w:lineRule="auto"/>
              <w:jc w:val="both"/>
              <w:rPr>
                <w:rFonts w:asciiTheme="minorHAnsi" w:eastAsia="MS PGothic" w:hAnsiTheme="minorHAnsi" w:cs="Calibri"/>
                <w:b/>
                <w:sz w:val="20"/>
                <w:szCs w:val="20"/>
                <w:lang w:val="en-GB" w:eastAsia="zh-CN"/>
              </w:rPr>
            </w:pPr>
            <w:r w:rsidRPr="00D30847">
              <w:rPr>
                <w:rFonts w:asciiTheme="minorHAnsi" w:eastAsia="MS PGothic" w:hAnsiTheme="minorHAnsi" w:cs="Calibri"/>
                <w:b/>
                <w:sz w:val="20"/>
                <w:szCs w:val="20"/>
                <w:lang w:val="en-GB" w:eastAsia="zh-CN"/>
              </w:rPr>
              <w:lastRenderedPageBreak/>
              <w:t>EU</w:t>
            </w:r>
          </w:p>
        </w:tc>
        <w:tc>
          <w:tcPr>
            <w:tcW w:w="7625" w:type="dxa"/>
            <w:shd w:val="clear" w:color="auto" w:fill="DDDDDD"/>
          </w:tcPr>
          <w:p w14:paraId="7A100370" w14:textId="77777777" w:rsidR="00671067" w:rsidRPr="00D30847" w:rsidRDefault="00671067" w:rsidP="00671067">
            <w:pPr>
              <w:spacing w:after="120" w:line="264" w:lineRule="auto"/>
              <w:jc w:val="both"/>
              <w:rPr>
                <w:rFonts w:asciiTheme="minorHAnsi" w:eastAsia="MS PGothic" w:hAnsiTheme="minorHAnsi" w:cs="Calibri"/>
                <w:sz w:val="20"/>
                <w:szCs w:val="20"/>
                <w:lang w:val="en-GB" w:eastAsia="zh-CN"/>
              </w:rPr>
            </w:pPr>
            <w:r w:rsidRPr="00D30847">
              <w:rPr>
                <w:rFonts w:asciiTheme="minorHAnsi" w:eastAsia="MS PGothic" w:hAnsiTheme="minorHAnsi" w:cs="Calibri"/>
                <w:sz w:val="20"/>
                <w:szCs w:val="20"/>
                <w:lang w:val="en-GB" w:eastAsia="zh-CN"/>
              </w:rPr>
              <w:t>EU Report 2024 (Chapter 16-Taxation)</w:t>
            </w:r>
          </w:p>
          <w:p w14:paraId="3E6FAC6B" w14:textId="71E8EE1C" w:rsidR="003C20E4" w:rsidRPr="00D30847" w:rsidRDefault="00671067" w:rsidP="00CE2DF4">
            <w:pPr>
              <w:spacing w:after="120" w:line="264" w:lineRule="auto"/>
              <w:jc w:val="both"/>
              <w:rPr>
                <w:rFonts w:asciiTheme="minorHAnsi" w:eastAsia="MS PGothic" w:hAnsiTheme="minorHAnsi" w:cs="Calibri"/>
                <w:sz w:val="20"/>
                <w:szCs w:val="20"/>
                <w:lang w:val="en-GB" w:eastAsia="zh-CN"/>
              </w:rPr>
            </w:pPr>
            <w:r w:rsidRPr="00D30847">
              <w:rPr>
                <w:rFonts w:asciiTheme="minorHAnsi" w:eastAsia="MS PGothic" w:hAnsiTheme="minorHAnsi" w:cs="Calibri"/>
                <w:sz w:val="20"/>
                <w:szCs w:val="20"/>
                <w:lang w:val="en-GB" w:eastAsia="zh-CN"/>
              </w:rPr>
              <w:t>North Macedonia remains moderately prepared in the area of taxation. Limited progress was made, specifically by reducing the administrative burden for taxpayers and setting up a reform management office to support the reform agenda of the Public Revenue Office (PRO). The Commission’s recommendations from last year were not fully implemented and therefore remain largely valid. In the coming year, North Macedonia should in particular: → develop a new integrated IT tax system for the PRO, improve its compliance risk management and step up the strategic reform process of the PRO; → start preparations for putting in place a mechanism for the effective implementation of the automatic exchange of tax information with EU Member States in line with the OECD Global Standard. → start the preparations towards achieving interconnection and interoperability with the EU taxation IT systems</w:t>
            </w:r>
          </w:p>
        </w:tc>
      </w:tr>
      <w:tr w:rsidR="008F758B" w:rsidRPr="00D30847" w14:paraId="1BE2A846" w14:textId="77777777" w:rsidTr="00E059A9">
        <w:tc>
          <w:tcPr>
            <w:tcW w:w="1589" w:type="dxa"/>
            <w:shd w:val="clear" w:color="auto" w:fill="DDDDDD"/>
          </w:tcPr>
          <w:p w14:paraId="0B352E46" w14:textId="77777777" w:rsidR="008F758B" w:rsidRPr="00D30847" w:rsidRDefault="006A55CA" w:rsidP="00F46E0B">
            <w:pPr>
              <w:spacing w:before="80" w:after="0" w:line="240" w:lineRule="auto"/>
              <w:ind w:left="-94" w:right="-31"/>
              <w:jc w:val="both"/>
              <w:rPr>
                <w:rFonts w:asciiTheme="minorHAnsi" w:eastAsia="MS PGothic" w:hAnsiTheme="minorHAnsi" w:cs="Calibri"/>
                <w:b/>
                <w:sz w:val="20"/>
                <w:szCs w:val="20"/>
                <w:lang w:val="en-GB" w:eastAsia="zh-CN"/>
              </w:rPr>
            </w:pPr>
            <w:r w:rsidRPr="00D30847">
              <w:rPr>
                <w:rFonts w:asciiTheme="minorHAnsi" w:eastAsia="MS PGothic" w:hAnsiTheme="minorHAnsi" w:cs="Calibri"/>
                <w:b/>
                <w:sz w:val="20"/>
                <w:szCs w:val="20"/>
                <w:lang w:val="en-GB" w:eastAsia="zh-CN"/>
              </w:rPr>
              <w:t>US Treasury</w:t>
            </w:r>
          </w:p>
        </w:tc>
        <w:tc>
          <w:tcPr>
            <w:tcW w:w="7625" w:type="dxa"/>
            <w:shd w:val="clear" w:color="auto" w:fill="DDDDDD"/>
          </w:tcPr>
          <w:p w14:paraId="123CEAA8" w14:textId="77777777" w:rsidR="008F758B" w:rsidRPr="00D30847" w:rsidRDefault="006A55CA" w:rsidP="00973C69">
            <w:pPr>
              <w:spacing w:after="0" w:line="264" w:lineRule="auto"/>
              <w:jc w:val="both"/>
              <w:rPr>
                <w:rFonts w:asciiTheme="minorHAnsi" w:eastAsia="MS PGothic" w:hAnsiTheme="minorHAnsi" w:cs="Calibri"/>
                <w:sz w:val="20"/>
                <w:szCs w:val="20"/>
                <w:lang w:val="en-GB" w:eastAsia="zh-CN"/>
              </w:rPr>
            </w:pPr>
            <w:r w:rsidRPr="00D30847">
              <w:rPr>
                <w:rFonts w:asciiTheme="minorHAnsi" w:eastAsia="MS PGothic" w:hAnsiTheme="minorHAnsi" w:cs="Calibri"/>
                <w:sz w:val="20"/>
                <w:szCs w:val="20"/>
                <w:lang w:val="en-GB" w:eastAsia="zh-CN"/>
              </w:rPr>
              <w:t>US DEPARTMENT OF THE TREASURY – “North Macedonia Public Revenue Office and Customs Administration (PRO/CUSTOMS) and US Department of the Treasury-Office of Technical Assistance (OTA)-The Revenue Policy and Administration Program”.</w:t>
            </w:r>
          </w:p>
          <w:p w14:paraId="4602DD7D" w14:textId="77777777" w:rsidR="008F758B" w:rsidRPr="00D30847" w:rsidRDefault="006A55CA" w:rsidP="00973C69">
            <w:pPr>
              <w:spacing w:after="0" w:line="264" w:lineRule="auto"/>
              <w:jc w:val="both"/>
              <w:rPr>
                <w:rFonts w:asciiTheme="minorHAnsi" w:eastAsia="MS PGothic" w:hAnsiTheme="minorHAnsi" w:cs="Calibri"/>
                <w:sz w:val="20"/>
                <w:szCs w:val="20"/>
                <w:lang w:val="en-GB" w:eastAsia="zh-CN"/>
              </w:rPr>
            </w:pPr>
            <w:r w:rsidRPr="00D30847">
              <w:rPr>
                <w:rFonts w:asciiTheme="minorHAnsi" w:eastAsia="MS PGothic" w:hAnsiTheme="minorHAnsi" w:cs="Calibri"/>
                <w:sz w:val="20"/>
                <w:szCs w:val="20"/>
                <w:lang w:val="en-GB" w:eastAsia="zh-CN"/>
              </w:rPr>
              <w:t>The project is implemented in cooperation between the Public Revenue Office and Customs, which have special components as well as joint activities.</w:t>
            </w:r>
          </w:p>
          <w:p w14:paraId="76F7CF8F" w14:textId="77777777" w:rsidR="008F758B" w:rsidRPr="00D30847" w:rsidRDefault="006A55CA" w:rsidP="00973C69">
            <w:pPr>
              <w:spacing w:after="0" w:line="264" w:lineRule="auto"/>
              <w:jc w:val="both"/>
              <w:rPr>
                <w:rFonts w:asciiTheme="minorHAnsi" w:eastAsia="MS PGothic" w:hAnsiTheme="minorHAnsi" w:cs="Calibri"/>
                <w:sz w:val="20"/>
                <w:szCs w:val="20"/>
                <w:lang w:val="en-GB" w:eastAsia="zh-CN"/>
              </w:rPr>
            </w:pPr>
            <w:r w:rsidRPr="00D30847">
              <w:rPr>
                <w:rFonts w:asciiTheme="minorHAnsi" w:eastAsia="MS PGothic" w:hAnsiTheme="minorHAnsi" w:cs="Calibri"/>
                <w:sz w:val="20"/>
                <w:szCs w:val="20"/>
                <w:lang w:val="en-GB" w:eastAsia="zh-CN"/>
              </w:rPr>
              <w:t>Objective: The goal of this project is to strengthen the capacity of the Public Revenue Office to increase voluntary compliance and domestic resource mobilization through technical assistance in: 1) General Audit Capacity, 2) Debt Management, 3) Taxpayer Service, 4) Project Management, 5) Anti-Corruption, and 6) Human Resources, Training, and Development.</w:t>
            </w:r>
          </w:p>
        </w:tc>
      </w:tr>
    </w:tbl>
    <w:p w14:paraId="5484EADF" w14:textId="77777777" w:rsidR="000A5366" w:rsidRPr="00D30847" w:rsidRDefault="000A5366" w:rsidP="00E84CD0">
      <w:pPr>
        <w:spacing w:line="240" w:lineRule="auto"/>
        <w:jc w:val="both"/>
        <w:rPr>
          <w:rFonts w:cs="Calibri"/>
          <w:lang w:val="en-GB"/>
        </w:rPr>
      </w:pPr>
    </w:p>
    <w:p w14:paraId="773D2CD4" w14:textId="77777777" w:rsidR="00A64FD7" w:rsidRPr="00D30847" w:rsidRDefault="00A64FD7" w:rsidP="00E84CD0">
      <w:pPr>
        <w:spacing w:line="240" w:lineRule="auto"/>
        <w:jc w:val="both"/>
        <w:rPr>
          <w:rFonts w:eastAsia="MS PGothic" w:cs="Calibri"/>
          <w:b/>
          <w:bCs/>
          <w:i/>
          <w:iCs/>
          <w:color w:val="4F81BD"/>
          <w:lang w:val="en-GB" w:eastAsia="zh-CN"/>
        </w:rPr>
      </w:pPr>
      <w:bookmarkStart w:id="26" w:name="_Hlk94877200"/>
      <w:r w:rsidRPr="00D30847">
        <w:rPr>
          <w:rFonts w:eastAsia="MS PGothic" w:cs="Calibri"/>
          <w:b/>
          <w:bCs/>
          <w:i/>
          <w:iCs/>
          <w:color w:val="4F81BD"/>
          <w:lang w:val="en-GB" w:eastAsia="zh-CN"/>
        </w:rPr>
        <w:t>Context/Background</w:t>
      </w:r>
    </w:p>
    <w:bookmarkEnd w:id="26"/>
    <w:p w14:paraId="3217DB82" w14:textId="77777777" w:rsidR="00B93449" w:rsidRPr="00D30847" w:rsidRDefault="00B93449" w:rsidP="00B93449">
      <w:pPr>
        <w:spacing w:before="240" w:line="240" w:lineRule="auto"/>
        <w:jc w:val="both"/>
        <w:rPr>
          <w:rFonts w:cs="Calibri"/>
          <w:lang w:val="en-GB"/>
        </w:rPr>
      </w:pPr>
      <w:r w:rsidRPr="00D30847">
        <w:rPr>
          <w:rFonts w:cs="Calibri"/>
          <w:lang w:val="en-GB"/>
        </w:rPr>
        <w:t>The primary objective of the Public Revenue Office is to ensure the realization of tax revenues, reduction of the loss of tax revenues (tax gap) and protection of the tax base, to ensure that every taxpayer reports and pays the correct amount of tax owed in accordance with by law, which guarantees maintaining trust in the tax system and in the tax administration. In the coming period, the Public Revenue Office will continue to strengthen its administrative capacities in several key areas of its operations. Particular attention will be paid to the strengthening of human resources, as well as in the area of more effective and efficient management of overdue tax debt and management of compliance risks, by establishing management structures and applying management strategies that will ensure that non-compliance with tax laws and other risks in tax operations are kept to a minimum.</w:t>
      </w:r>
    </w:p>
    <w:p w14:paraId="584CC87E" w14:textId="77777777" w:rsidR="00B93449" w:rsidRPr="00D30847" w:rsidRDefault="00B93449" w:rsidP="00385F22">
      <w:pPr>
        <w:spacing w:line="240" w:lineRule="auto"/>
        <w:jc w:val="both"/>
        <w:rPr>
          <w:rFonts w:cs="Calibri"/>
          <w:lang w:val="en-GB"/>
        </w:rPr>
      </w:pPr>
      <w:r w:rsidRPr="00D30847">
        <w:rPr>
          <w:rFonts w:cs="Calibri"/>
          <w:lang w:val="en-GB"/>
        </w:rPr>
        <w:t xml:space="preserve">In the past few years, the Public Revenue Office has been establishing the foundations for effective tax debt management. We implement activities for early identification and quick intervention towards new debt, with proactive management of communication with debtors and application of an approach of indirect positive influence to improve compliance in debt payment. In doing so, we use the data we have as a knowledge base for building approaches to debtors. </w:t>
      </w:r>
    </w:p>
    <w:p w14:paraId="14B46171" w14:textId="77777777" w:rsidR="00B93449" w:rsidRPr="00D30847" w:rsidRDefault="00B93449" w:rsidP="00385F22">
      <w:pPr>
        <w:spacing w:line="240" w:lineRule="auto"/>
        <w:jc w:val="both"/>
        <w:rPr>
          <w:rFonts w:cs="Calibri"/>
          <w:lang w:val="en-GB"/>
        </w:rPr>
      </w:pPr>
      <w:r w:rsidRPr="00D30847">
        <w:rPr>
          <w:rFonts w:cs="Calibri"/>
          <w:lang w:val="en-GB"/>
        </w:rPr>
        <w:lastRenderedPageBreak/>
        <w:t xml:space="preserve">We are also working on determining the real value of the recoverable tax debt and the compliance of the recorded debt with the actual situation. We identified the gaps in the regulation and proposed legal changes. At the same time, we are gradually updating the internal regulation for collection and management of the overdue tax debt, in order to ensure unified action and consistency of the PRO through unambiguous and precise regulation of internal methodologies and work procedures. The newly adopted internal regulation also includes a regulation on the procedures for establishing a tax guarantee for the most complex cases of unpaid tax debts, for which the responsibility for payment is transferred to third parties in accordance with the law. Through the project to introduce a </w:t>
      </w:r>
      <w:proofErr w:type="spellStart"/>
      <w:r w:rsidRPr="00D30847">
        <w:rPr>
          <w:rFonts w:cs="Calibri"/>
          <w:lang w:val="en-GB"/>
        </w:rPr>
        <w:t>center</w:t>
      </w:r>
      <w:proofErr w:type="spellEnd"/>
      <w:r w:rsidRPr="00D30847">
        <w:rPr>
          <w:rFonts w:cs="Calibri"/>
          <w:lang w:val="en-GB"/>
        </w:rPr>
        <w:t xml:space="preserve"> of excellence, a model has been developed for the functioning of a new organizational unit in the internal structure of the PRO, which will unite specialized professional knowledge and centrally for debtors from the entire territory of the North Macedonia will carry out actions for inventory, assessment, seizure and public sale of movable property and real estate as a supplement to the other actions under the competence of the Debt Collection Departments in the Regional Directorates and the Directorate for Large Taxpayers for the collection of arrears of tax debts in a forced collection procedure, securing a tax claim before forced collection and deferred payment of a tax debt. In the coming period, the activities for the establishment and functioning of the new organizational unit </w:t>
      </w:r>
      <w:proofErr w:type="spellStart"/>
      <w:r w:rsidRPr="00D30847">
        <w:rPr>
          <w:rFonts w:cs="Calibri"/>
          <w:lang w:val="en-GB"/>
        </w:rPr>
        <w:t>Center</w:t>
      </w:r>
      <w:proofErr w:type="spellEnd"/>
      <w:r w:rsidRPr="00D30847">
        <w:rPr>
          <w:rFonts w:cs="Calibri"/>
          <w:lang w:val="en-GB"/>
        </w:rPr>
        <w:t xml:space="preserve"> for tax enforcement will continue, with which we expect to achieve greater efficiency in the collection of debts through the specialization of human resources and the centralization of work processes (saving resources, optimal use of specialized resources) and other benefits.</w:t>
      </w:r>
    </w:p>
    <w:p w14:paraId="670AF375" w14:textId="77777777" w:rsidR="00B93449" w:rsidRPr="00D30847" w:rsidRDefault="00B93449" w:rsidP="00385F22">
      <w:pPr>
        <w:spacing w:line="240" w:lineRule="auto"/>
        <w:jc w:val="both"/>
        <w:rPr>
          <w:rFonts w:cs="Calibri"/>
          <w:lang w:val="en-GB"/>
        </w:rPr>
      </w:pPr>
      <w:r w:rsidRPr="00D30847">
        <w:rPr>
          <w:rFonts w:cs="Calibri"/>
          <w:lang w:val="en-GB"/>
        </w:rPr>
        <w:t>In accordance with the recommendations from the IMF to strengthen compliance management as well as the Risk Management Strategy in the processes of the PRO 2023-2025 - the Compliance Management Committee was established with more powers and responsibilities, including:</w:t>
      </w:r>
    </w:p>
    <w:p w14:paraId="4247BFC9" w14:textId="77777777" w:rsidR="00B93449" w:rsidRPr="00D30847" w:rsidRDefault="00B93449" w:rsidP="00385F22">
      <w:pPr>
        <w:spacing w:after="0" w:line="240" w:lineRule="auto"/>
        <w:jc w:val="both"/>
        <w:rPr>
          <w:rFonts w:cs="Calibri"/>
          <w:lang w:val="en-GB"/>
        </w:rPr>
      </w:pPr>
      <w:r w:rsidRPr="00D30847">
        <w:rPr>
          <w:rFonts w:cs="Calibri"/>
          <w:lang w:val="en-GB"/>
        </w:rPr>
        <w:t>- Performs assessment and analysis with the compliance of the operation;</w:t>
      </w:r>
    </w:p>
    <w:p w14:paraId="2D978E1A" w14:textId="18277E04" w:rsidR="00B93449" w:rsidRPr="00D30847" w:rsidRDefault="00B93449" w:rsidP="00385F22">
      <w:pPr>
        <w:spacing w:after="0" w:line="240" w:lineRule="auto"/>
        <w:jc w:val="both"/>
        <w:rPr>
          <w:rFonts w:cs="Calibri"/>
          <w:lang w:val="en-GB"/>
        </w:rPr>
      </w:pPr>
      <w:r w:rsidRPr="00D30847">
        <w:rPr>
          <w:rFonts w:cs="Calibri"/>
          <w:lang w:val="en-GB"/>
        </w:rPr>
        <w:t>-</w:t>
      </w:r>
      <w:r w:rsidR="00015266" w:rsidRPr="00D30847">
        <w:rPr>
          <w:rFonts w:cs="Calibri"/>
          <w:lang w:val="en-GB"/>
        </w:rPr>
        <w:t xml:space="preserve"> </w:t>
      </w:r>
      <w:r w:rsidRPr="00D30847">
        <w:rPr>
          <w:rFonts w:cs="Calibri"/>
          <w:lang w:val="en-GB"/>
        </w:rPr>
        <w:t>Identifies the risks that significantly affect tax compliance and determines the priority risks for which measures should be taken;</w:t>
      </w:r>
    </w:p>
    <w:p w14:paraId="0998DA07" w14:textId="77777777" w:rsidR="00B93449" w:rsidRPr="00D30847" w:rsidRDefault="00B93449" w:rsidP="00385F22">
      <w:pPr>
        <w:spacing w:after="0" w:line="240" w:lineRule="auto"/>
        <w:jc w:val="both"/>
        <w:rPr>
          <w:rFonts w:cs="Calibri"/>
          <w:lang w:val="en-GB"/>
        </w:rPr>
      </w:pPr>
      <w:r w:rsidRPr="00D30847">
        <w:rPr>
          <w:rFonts w:cs="Calibri"/>
          <w:lang w:val="en-GB"/>
        </w:rPr>
        <w:t>- Prepares a plan to improve compliance (annual operational plans with measures to deal with risks) adopted according to the prioritization of risks;</w:t>
      </w:r>
    </w:p>
    <w:p w14:paraId="5E027CC2" w14:textId="20B06AE3" w:rsidR="0023078B" w:rsidRPr="00D30847" w:rsidRDefault="00B93449" w:rsidP="00385F22">
      <w:pPr>
        <w:spacing w:after="0" w:line="240" w:lineRule="auto"/>
        <w:jc w:val="both"/>
        <w:rPr>
          <w:rFonts w:cs="Calibri"/>
          <w:lang w:val="en-GB"/>
        </w:rPr>
      </w:pPr>
      <w:r w:rsidRPr="00D30847">
        <w:rPr>
          <w:rFonts w:cs="Calibri"/>
          <w:lang w:val="en-GB"/>
        </w:rPr>
        <w:t>- Coordinates activities for the implementation of the adopted annual plan;</w:t>
      </w:r>
    </w:p>
    <w:p w14:paraId="0A6EC663" w14:textId="77777777" w:rsidR="00B93449" w:rsidRPr="00D30847" w:rsidRDefault="00B93449" w:rsidP="00385F22">
      <w:pPr>
        <w:spacing w:after="0" w:line="240" w:lineRule="auto"/>
        <w:jc w:val="both"/>
        <w:rPr>
          <w:rFonts w:cs="Calibri"/>
          <w:lang w:val="en-GB"/>
        </w:rPr>
      </w:pPr>
      <w:r w:rsidRPr="00D30847">
        <w:rPr>
          <w:rFonts w:cs="Calibri"/>
          <w:lang w:val="en-GB"/>
        </w:rPr>
        <w:t>- Approves the indicators for monitoring tax compliance;</w:t>
      </w:r>
    </w:p>
    <w:p w14:paraId="5E1FB2F9" w14:textId="55B1F602" w:rsidR="0023078B" w:rsidRPr="00D30847" w:rsidRDefault="0023078B" w:rsidP="00385F22">
      <w:pPr>
        <w:spacing w:after="0" w:line="240" w:lineRule="auto"/>
        <w:jc w:val="both"/>
        <w:rPr>
          <w:rFonts w:cs="Calibri"/>
          <w:lang w:val="en-GB"/>
        </w:rPr>
      </w:pPr>
      <w:r w:rsidRPr="00D30847">
        <w:rPr>
          <w:rFonts w:cs="Calibri"/>
          <w:lang w:val="en-GB"/>
        </w:rPr>
        <w:t xml:space="preserve"> </w:t>
      </w:r>
      <w:r w:rsidR="00B93449" w:rsidRPr="00D30847">
        <w:rPr>
          <w:rFonts w:cs="Calibri"/>
          <w:lang w:val="en-GB"/>
        </w:rPr>
        <w:t>Reviews the reports and monitors the results of the measures and activities carried out according to the Plans for improving compliance;</w:t>
      </w:r>
    </w:p>
    <w:p w14:paraId="0ADF35F0" w14:textId="77777777" w:rsidR="00B93449" w:rsidRPr="00D30847" w:rsidRDefault="00B93449" w:rsidP="00385F22">
      <w:pPr>
        <w:spacing w:after="0" w:line="240" w:lineRule="auto"/>
        <w:jc w:val="both"/>
        <w:rPr>
          <w:rFonts w:cs="Calibri"/>
          <w:lang w:val="en-GB"/>
        </w:rPr>
      </w:pPr>
      <w:r w:rsidRPr="00D30847">
        <w:rPr>
          <w:rFonts w:cs="Calibri"/>
          <w:lang w:val="en-GB"/>
        </w:rPr>
        <w:t>- Revises the measures for dealing with compliance risks;</w:t>
      </w:r>
    </w:p>
    <w:p w14:paraId="30250165" w14:textId="77777777" w:rsidR="00B93449" w:rsidRPr="00D30847" w:rsidRDefault="00B93449" w:rsidP="00385F22">
      <w:pPr>
        <w:spacing w:after="0" w:line="240" w:lineRule="auto"/>
        <w:jc w:val="both"/>
        <w:rPr>
          <w:rFonts w:cs="Calibri"/>
          <w:lang w:val="en-GB"/>
        </w:rPr>
      </w:pPr>
      <w:r w:rsidRPr="00D30847">
        <w:rPr>
          <w:rFonts w:cs="Calibri"/>
          <w:lang w:val="en-GB"/>
        </w:rPr>
        <w:t>- Proposes reengineering of certain business processes, in order to improve compliance in operations;</w:t>
      </w:r>
    </w:p>
    <w:p w14:paraId="16B344EE" w14:textId="77777777" w:rsidR="00B93449" w:rsidRPr="00D30847" w:rsidRDefault="00B93449" w:rsidP="00385F22">
      <w:pPr>
        <w:spacing w:after="0" w:line="240" w:lineRule="auto"/>
        <w:jc w:val="both"/>
        <w:rPr>
          <w:rFonts w:cs="Calibri"/>
          <w:lang w:val="en-GB"/>
        </w:rPr>
      </w:pPr>
      <w:r w:rsidRPr="00D30847">
        <w:rPr>
          <w:rFonts w:cs="Calibri"/>
          <w:lang w:val="en-GB"/>
        </w:rPr>
        <w:t>- Adopts/revises guidelines and operational work instructions in order to improve tax compliance;</w:t>
      </w:r>
    </w:p>
    <w:p w14:paraId="1048AC6D" w14:textId="77777777" w:rsidR="00B93449" w:rsidRPr="00D30847" w:rsidRDefault="00B93449" w:rsidP="00385F22">
      <w:pPr>
        <w:spacing w:after="0" w:line="240" w:lineRule="auto"/>
        <w:jc w:val="both"/>
        <w:rPr>
          <w:rFonts w:cs="Calibri"/>
          <w:lang w:val="en-GB"/>
        </w:rPr>
      </w:pPr>
      <w:r w:rsidRPr="00D30847">
        <w:rPr>
          <w:rFonts w:cs="Calibri"/>
          <w:lang w:val="en-GB"/>
        </w:rPr>
        <w:t>- Coordinates certain activities with the reform committee and the working body for ITIS;</w:t>
      </w:r>
    </w:p>
    <w:p w14:paraId="7B71429F" w14:textId="77777777" w:rsidR="00B93449" w:rsidRPr="00D30847" w:rsidRDefault="0023078B" w:rsidP="00385F22">
      <w:pPr>
        <w:spacing w:after="0" w:line="240" w:lineRule="auto"/>
        <w:jc w:val="both"/>
        <w:rPr>
          <w:rFonts w:cs="Calibri"/>
          <w:lang w:val="en-GB"/>
        </w:rPr>
      </w:pPr>
      <w:r w:rsidRPr="00D30847">
        <w:rPr>
          <w:rFonts w:cs="Calibri"/>
          <w:lang w:val="en-GB"/>
        </w:rPr>
        <w:t xml:space="preserve"> </w:t>
      </w:r>
      <w:r w:rsidR="00B93449" w:rsidRPr="00D30847">
        <w:rPr>
          <w:rFonts w:cs="Calibri"/>
          <w:lang w:val="en-GB"/>
        </w:rPr>
        <w:t>- Delegates tasks to the organizational units and employees needed for the implementation of the compliance management system, monitors the implementation, approves reports, and takes specific measures to remove non-conformities in the compliance management system, organizes meetings and gives directions for improving the functioning of the system for compliance management;</w:t>
      </w:r>
    </w:p>
    <w:p w14:paraId="4315BC48" w14:textId="77777777" w:rsidR="00B93449" w:rsidRPr="00D30847" w:rsidRDefault="00B93449" w:rsidP="00385F22">
      <w:pPr>
        <w:spacing w:after="0" w:line="240" w:lineRule="auto"/>
        <w:jc w:val="both"/>
        <w:rPr>
          <w:rFonts w:cs="Calibri"/>
          <w:lang w:val="en-GB"/>
        </w:rPr>
      </w:pPr>
      <w:r w:rsidRPr="00D30847">
        <w:rPr>
          <w:rFonts w:cs="Calibri"/>
          <w:lang w:val="en-GB"/>
        </w:rPr>
        <w:t>- Makes proposals - decisions to improve the compliance of operations;</w:t>
      </w:r>
    </w:p>
    <w:p w14:paraId="33E4ED00" w14:textId="77777777" w:rsidR="00B93449" w:rsidRPr="00D30847" w:rsidRDefault="00B93449" w:rsidP="00385F22">
      <w:pPr>
        <w:spacing w:after="0" w:line="240" w:lineRule="auto"/>
        <w:jc w:val="both"/>
        <w:rPr>
          <w:rFonts w:cs="Calibri"/>
          <w:lang w:val="en-GB"/>
        </w:rPr>
      </w:pPr>
      <w:r w:rsidRPr="00D30847">
        <w:rPr>
          <w:rFonts w:cs="Calibri"/>
          <w:lang w:val="en-GB"/>
        </w:rPr>
        <w:t>- Performs other tasks in the function of establishing and managing the compliance system.</w:t>
      </w:r>
    </w:p>
    <w:p w14:paraId="79C46A66" w14:textId="78B8DFA1" w:rsidR="0023078B" w:rsidRPr="00D30847" w:rsidRDefault="00B93449" w:rsidP="00385F22">
      <w:pPr>
        <w:spacing w:after="0" w:line="240" w:lineRule="auto"/>
        <w:jc w:val="both"/>
        <w:rPr>
          <w:rFonts w:cs="Calibri"/>
          <w:lang w:val="en-GB"/>
        </w:rPr>
      </w:pPr>
      <w:r w:rsidRPr="00D30847">
        <w:rPr>
          <w:rFonts w:cs="Calibri"/>
          <w:lang w:val="en-GB"/>
        </w:rPr>
        <w:t>The strategic plan of the PRO provides the general guidelines as priority goals, the measures that should be taken for their realization and the activities, which, with consistent application by the employees and with provided adequate funding, will ensure the realization of the basic mission and vision of the institution and will represent the foundation for building a modern tax authority with a high reputation and integrity among taxpayers, the domestic and international public - trust in professionalism, efficiency, transparency and service orientation.</w:t>
      </w:r>
    </w:p>
    <w:p w14:paraId="6768159A" w14:textId="6F06E9B7" w:rsidR="00DF185F" w:rsidRPr="00D30847" w:rsidRDefault="00DF185F" w:rsidP="00DF185F">
      <w:pPr>
        <w:spacing w:after="0" w:line="240" w:lineRule="auto"/>
        <w:jc w:val="both"/>
        <w:rPr>
          <w:rFonts w:cs="Calibri"/>
          <w:lang w:val="en-GB"/>
        </w:rPr>
      </w:pPr>
    </w:p>
    <w:p w14:paraId="7F32C688" w14:textId="14392900" w:rsidR="00A64FD7" w:rsidRPr="00D30847" w:rsidRDefault="008F758B" w:rsidP="002D0370">
      <w:pPr>
        <w:spacing w:line="240" w:lineRule="auto"/>
        <w:jc w:val="both"/>
        <w:rPr>
          <w:rFonts w:cs="Calibri"/>
          <w:b/>
          <w:bCs/>
          <w:iCs/>
          <w:color w:val="0070C0"/>
          <w:lang w:val="en-GB"/>
        </w:rPr>
      </w:pPr>
      <w:r w:rsidRPr="00D30847">
        <w:rPr>
          <w:rFonts w:cs="Calibri"/>
          <w:b/>
          <w:bCs/>
          <w:iCs/>
          <w:color w:val="0070C0"/>
          <w:lang w:val="en-GB"/>
        </w:rPr>
        <w:t>Activity</w:t>
      </w:r>
      <w:r w:rsidR="00B93449" w:rsidRPr="00D30847">
        <w:rPr>
          <w:rFonts w:cs="Calibri"/>
          <w:b/>
          <w:bCs/>
          <w:iCs/>
          <w:color w:val="0070C0"/>
          <w:lang w:val="en-GB"/>
        </w:rPr>
        <w:t xml:space="preserve"> </w:t>
      </w:r>
      <w:r w:rsidRPr="00D30847">
        <w:rPr>
          <w:rFonts w:cs="Calibri"/>
          <w:b/>
          <w:bCs/>
          <w:iCs/>
          <w:color w:val="0070C0"/>
          <w:lang w:val="en-GB"/>
        </w:rPr>
        <w:t xml:space="preserve">1: </w:t>
      </w:r>
      <w:r w:rsidR="00B93449" w:rsidRPr="00D30847">
        <w:rPr>
          <w:rFonts w:cs="Calibri"/>
          <w:b/>
          <w:bCs/>
          <w:iCs/>
          <w:color w:val="0070C0"/>
          <w:lang w:val="en-GB"/>
        </w:rPr>
        <w:t>More effective and efficient management of overdue tax debt</w:t>
      </w:r>
    </w:p>
    <w:p w14:paraId="340A4E49" w14:textId="6FE69B2C" w:rsidR="00B93449" w:rsidRPr="00D30847" w:rsidRDefault="00B93449" w:rsidP="002D0370">
      <w:pPr>
        <w:spacing w:line="240" w:lineRule="auto"/>
        <w:jc w:val="both"/>
        <w:rPr>
          <w:rFonts w:cs="Calibri"/>
          <w:lang w:val="en-GB"/>
        </w:rPr>
      </w:pPr>
      <w:r w:rsidRPr="00D30847">
        <w:rPr>
          <w:rFonts w:cs="Calibri"/>
          <w:lang w:val="en-GB"/>
        </w:rPr>
        <w:t>•</w:t>
      </w:r>
      <w:r w:rsidR="00FD485A" w:rsidRPr="00D30847">
        <w:rPr>
          <w:rFonts w:cs="Calibri"/>
          <w:lang w:val="en-GB"/>
        </w:rPr>
        <w:t xml:space="preserve"> </w:t>
      </w:r>
      <w:r w:rsidRPr="00D30847">
        <w:rPr>
          <w:rFonts w:cs="Calibri"/>
          <w:lang w:val="en-GB"/>
        </w:rPr>
        <w:t xml:space="preserve">Establishment of a Tax Enforcement </w:t>
      </w:r>
      <w:proofErr w:type="spellStart"/>
      <w:r w:rsidRPr="00D30847">
        <w:rPr>
          <w:rFonts w:cs="Calibri"/>
          <w:lang w:val="en-GB"/>
        </w:rPr>
        <w:t>Center</w:t>
      </w:r>
      <w:proofErr w:type="spellEnd"/>
    </w:p>
    <w:p w14:paraId="0A6A11FA" w14:textId="7CDBCD55" w:rsidR="00B93449" w:rsidRPr="00D30847" w:rsidRDefault="00B93449" w:rsidP="002D0370">
      <w:pPr>
        <w:spacing w:line="240" w:lineRule="auto"/>
        <w:jc w:val="both"/>
        <w:rPr>
          <w:rFonts w:cs="Calibri"/>
          <w:lang w:val="en-GB"/>
        </w:rPr>
      </w:pPr>
      <w:r w:rsidRPr="00D30847">
        <w:rPr>
          <w:rFonts w:cs="Calibri"/>
          <w:lang w:val="en-GB"/>
        </w:rPr>
        <w:lastRenderedPageBreak/>
        <w:t>•</w:t>
      </w:r>
      <w:r w:rsidR="00FD485A" w:rsidRPr="00D30847">
        <w:rPr>
          <w:rFonts w:cs="Calibri"/>
          <w:lang w:val="en-GB"/>
        </w:rPr>
        <w:t xml:space="preserve"> </w:t>
      </w:r>
      <w:r w:rsidRPr="00D30847">
        <w:rPr>
          <w:rFonts w:cs="Calibri"/>
          <w:lang w:val="en-GB"/>
        </w:rPr>
        <w:t>Prevention of the increase in unpaid tax liabilities, especially with targeted assistance and reduction of the "administrative" pressure on low-risk debtors, as well as by facilitating the payment of tax debt</w:t>
      </w:r>
    </w:p>
    <w:p w14:paraId="224053ED" w14:textId="17613AE1" w:rsidR="00B93449" w:rsidRPr="00D30847" w:rsidRDefault="00B93449" w:rsidP="002D0370">
      <w:pPr>
        <w:spacing w:line="240" w:lineRule="auto"/>
        <w:jc w:val="both"/>
        <w:rPr>
          <w:rFonts w:cs="Calibri"/>
          <w:lang w:val="en-GB"/>
        </w:rPr>
      </w:pPr>
      <w:r w:rsidRPr="00D30847">
        <w:rPr>
          <w:rFonts w:cs="Calibri"/>
          <w:lang w:val="en-GB"/>
        </w:rPr>
        <w:t>•</w:t>
      </w:r>
      <w:r w:rsidR="00FD485A" w:rsidRPr="00D30847">
        <w:rPr>
          <w:rFonts w:cs="Calibri"/>
          <w:lang w:val="en-GB"/>
        </w:rPr>
        <w:t xml:space="preserve"> </w:t>
      </w:r>
      <w:r w:rsidRPr="00D30847">
        <w:rPr>
          <w:rFonts w:cs="Calibri"/>
          <w:lang w:val="en-GB"/>
        </w:rPr>
        <w:t>More effective provision of payment and monetization of debts in proportion to the degree of risk of the debtor, through specialization of employees and consolidation of the internal organization</w:t>
      </w:r>
    </w:p>
    <w:p w14:paraId="18E0761B" w14:textId="081C8D1A" w:rsidR="00B93449" w:rsidRPr="00D30847" w:rsidRDefault="00B93449" w:rsidP="002D0370">
      <w:pPr>
        <w:spacing w:line="240" w:lineRule="auto"/>
        <w:jc w:val="both"/>
        <w:rPr>
          <w:rFonts w:cs="Calibri"/>
          <w:lang w:val="en-GB"/>
        </w:rPr>
      </w:pPr>
      <w:r w:rsidRPr="00D30847">
        <w:rPr>
          <w:rFonts w:cs="Calibri"/>
          <w:lang w:val="en-GB"/>
        </w:rPr>
        <w:t>•</w:t>
      </w:r>
      <w:r w:rsidR="00FD485A" w:rsidRPr="00D30847">
        <w:rPr>
          <w:rFonts w:cs="Calibri"/>
          <w:lang w:val="en-GB"/>
        </w:rPr>
        <w:t xml:space="preserve"> </w:t>
      </w:r>
      <w:r w:rsidRPr="00D30847">
        <w:rPr>
          <w:rFonts w:cs="Calibri"/>
          <w:lang w:val="en-GB"/>
        </w:rPr>
        <w:t>Resolving cases of old (accumulated) debts</w:t>
      </w:r>
    </w:p>
    <w:p w14:paraId="65DAEC07" w14:textId="1BD04190" w:rsidR="00E2092F" w:rsidRPr="00D30847" w:rsidRDefault="00B93449" w:rsidP="002D0370">
      <w:pPr>
        <w:spacing w:line="240" w:lineRule="auto"/>
        <w:jc w:val="both"/>
        <w:rPr>
          <w:rFonts w:cs="Calibri"/>
          <w:lang w:val="en-GB"/>
        </w:rPr>
      </w:pPr>
      <w:r w:rsidRPr="00D30847">
        <w:rPr>
          <w:rFonts w:cs="Calibri"/>
          <w:lang w:val="en-GB"/>
        </w:rPr>
        <w:t>•</w:t>
      </w:r>
      <w:r w:rsidR="00FD485A" w:rsidRPr="00D30847">
        <w:rPr>
          <w:rFonts w:cs="Calibri"/>
          <w:lang w:val="en-GB"/>
        </w:rPr>
        <w:t xml:space="preserve"> </w:t>
      </w:r>
      <w:r w:rsidRPr="00D30847">
        <w:rPr>
          <w:rFonts w:cs="Calibri"/>
          <w:lang w:val="en-GB"/>
        </w:rPr>
        <w:t>Adequate reactions of the PRO to the main causes of non-compliance and accumulated unpaid tax debts</w:t>
      </w:r>
    </w:p>
    <w:p w14:paraId="7C74ED42" w14:textId="1F6FF2E1" w:rsidR="002D0370" w:rsidRPr="00D30847" w:rsidRDefault="00B93449" w:rsidP="002D0370">
      <w:pPr>
        <w:spacing w:line="240" w:lineRule="auto"/>
        <w:jc w:val="both"/>
        <w:rPr>
          <w:rFonts w:cs="Calibri"/>
          <w:lang w:val="en-GB"/>
        </w:rPr>
      </w:pPr>
      <w:r w:rsidRPr="00D30847">
        <w:rPr>
          <w:rFonts w:cs="Calibri"/>
          <w:lang w:val="en-GB"/>
        </w:rPr>
        <w:t>Foundations for better management of tax debts - improvement of the framework (law, procedures, internal organization, etc.)</w:t>
      </w:r>
    </w:p>
    <w:p w14:paraId="7E8D9651" w14:textId="77777777" w:rsidR="0037730E" w:rsidRPr="00D30847" w:rsidRDefault="00B93449" w:rsidP="002D0370">
      <w:pPr>
        <w:spacing w:line="240" w:lineRule="auto"/>
        <w:jc w:val="both"/>
        <w:rPr>
          <w:rFonts w:cs="Calibri"/>
          <w:b/>
          <w:bCs/>
          <w:iCs/>
          <w:color w:val="0070C0"/>
          <w:lang w:val="en-GB"/>
        </w:rPr>
      </w:pPr>
      <w:r w:rsidRPr="00D30847">
        <w:rPr>
          <w:rFonts w:cs="Calibri"/>
          <w:b/>
          <w:bCs/>
          <w:iCs/>
          <w:color w:val="0070C0"/>
          <w:lang w:val="en-GB"/>
        </w:rPr>
        <w:t>Activity 2: Improving Compliance risk management</w:t>
      </w:r>
    </w:p>
    <w:p w14:paraId="4E24AA2C" w14:textId="77777777" w:rsidR="0037730E" w:rsidRPr="00D30847" w:rsidRDefault="00B93449" w:rsidP="002D0370">
      <w:pPr>
        <w:pStyle w:val="Heading4"/>
        <w:spacing w:before="0" w:after="200" w:line="240" w:lineRule="auto"/>
        <w:rPr>
          <w:rFonts w:eastAsia="Calibri" w:cs="Calibri"/>
          <w:b w:val="0"/>
          <w:bCs w:val="0"/>
          <w:i w:val="0"/>
          <w:iCs w:val="0"/>
          <w:color w:val="auto"/>
          <w:sz w:val="22"/>
          <w:szCs w:val="22"/>
          <w:lang w:eastAsia="en-US"/>
        </w:rPr>
      </w:pPr>
      <w:r w:rsidRPr="00D30847">
        <w:rPr>
          <w:rFonts w:eastAsia="Calibri" w:cs="Calibri"/>
          <w:b w:val="0"/>
          <w:bCs w:val="0"/>
          <w:i w:val="0"/>
          <w:iCs w:val="0"/>
          <w:color w:val="auto"/>
          <w:sz w:val="22"/>
          <w:szCs w:val="22"/>
          <w:lang w:eastAsia="en-US"/>
        </w:rPr>
        <w:t>•</w:t>
      </w:r>
      <w:r w:rsidR="00FD485A" w:rsidRPr="00D30847">
        <w:rPr>
          <w:rFonts w:eastAsia="Calibri" w:cs="Calibri"/>
          <w:b w:val="0"/>
          <w:bCs w:val="0"/>
          <w:i w:val="0"/>
          <w:iCs w:val="0"/>
          <w:color w:val="auto"/>
          <w:sz w:val="22"/>
          <w:szCs w:val="22"/>
          <w:lang w:eastAsia="en-US"/>
        </w:rPr>
        <w:t xml:space="preserve"> </w:t>
      </w:r>
      <w:r w:rsidRPr="00D30847">
        <w:rPr>
          <w:rFonts w:eastAsia="Calibri" w:cs="Calibri"/>
          <w:b w:val="0"/>
          <w:bCs w:val="0"/>
          <w:i w:val="0"/>
          <w:iCs w:val="0"/>
          <w:color w:val="auto"/>
          <w:sz w:val="22"/>
          <w:szCs w:val="22"/>
          <w:lang w:eastAsia="en-US"/>
        </w:rPr>
        <w:t>Further strengthening of risk management capacities within the Compliance Management Unit</w:t>
      </w:r>
    </w:p>
    <w:p w14:paraId="64175F42" w14:textId="77777777" w:rsidR="0037730E" w:rsidRPr="00D30847" w:rsidRDefault="0037730E" w:rsidP="002D0370">
      <w:pPr>
        <w:pStyle w:val="Heading4"/>
        <w:spacing w:before="0" w:after="200" w:line="240" w:lineRule="auto"/>
        <w:rPr>
          <w:rFonts w:eastAsia="Calibri" w:cs="Calibri"/>
          <w:b w:val="0"/>
          <w:bCs w:val="0"/>
          <w:i w:val="0"/>
          <w:iCs w:val="0"/>
          <w:color w:val="auto"/>
          <w:sz w:val="22"/>
          <w:szCs w:val="22"/>
          <w:lang w:eastAsia="en-US"/>
        </w:rPr>
      </w:pPr>
      <w:r w:rsidRPr="00D30847">
        <w:rPr>
          <w:rFonts w:cs="Calibri"/>
        </w:rPr>
        <w:t xml:space="preserve"> </w:t>
      </w:r>
      <w:r w:rsidRPr="00D30847">
        <w:rPr>
          <w:rFonts w:eastAsia="Calibri" w:cs="Calibri"/>
          <w:b w:val="0"/>
          <w:bCs w:val="0"/>
          <w:i w:val="0"/>
          <w:iCs w:val="0"/>
          <w:color w:val="auto"/>
          <w:sz w:val="22"/>
          <w:szCs w:val="22"/>
          <w:lang w:eastAsia="en-US"/>
        </w:rPr>
        <w:t xml:space="preserve">• Developing analytical capabilities within the Compliance Management Unit and the Compliance Committee as a prerequisite for risk management through appropriate training </w:t>
      </w:r>
    </w:p>
    <w:p w14:paraId="54A369AA" w14:textId="1C1986FC" w:rsidR="002D0370" w:rsidRPr="00D30847" w:rsidRDefault="0037730E" w:rsidP="002D0370">
      <w:pPr>
        <w:pStyle w:val="Heading4"/>
        <w:spacing w:before="0" w:after="200" w:line="240" w:lineRule="auto"/>
        <w:rPr>
          <w:rFonts w:eastAsia="Calibri" w:cs="Calibri"/>
          <w:b w:val="0"/>
          <w:bCs w:val="0"/>
          <w:i w:val="0"/>
          <w:iCs w:val="0"/>
          <w:color w:val="auto"/>
          <w:sz w:val="22"/>
          <w:szCs w:val="22"/>
          <w:lang w:eastAsia="en-US"/>
        </w:rPr>
      </w:pPr>
      <w:r w:rsidRPr="00D30847">
        <w:rPr>
          <w:rFonts w:eastAsia="Calibri" w:cs="Calibri"/>
          <w:b w:val="0"/>
          <w:bCs w:val="0"/>
          <w:i w:val="0"/>
          <w:iCs w:val="0"/>
          <w:color w:val="auto"/>
          <w:sz w:val="22"/>
          <w:szCs w:val="22"/>
          <w:lang w:eastAsia="en-US"/>
        </w:rPr>
        <w:t>• Preparation of a Plan to improve the compliance of the PRO</w:t>
      </w:r>
    </w:p>
    <w:p w14:paraId="52A9E364" w14:textId="77777777" w:rsidR="00B93449" w:rsidRPr="00D30847" w:rsidRDefault="00B93449" w:rsidP="00B93449">
      <w:pPr>
        <w:pStyle w:val="Heading4"/>
        <w:spacing w:line="240" w:lineRule="auto"/>
        <w:rPr>
          <w:rFonts w:eastAsia="Calibri" w:cs="Calibri"/>
          <w:b w:val="0"/>
          <w:bCs w:val="0"/>
          <w:i w:val="0"/>
          <w:iCs w:val="0"/>
          <w:color w:val="auto"/>
          <w:sz w:val="22"/>
          <w:szCs w:val="22"/>
          <w:lang w:eastAsia="en-US"/>
        </w:rPr>
      </w:pPr>
      <w:r w:rsidRPr="00D30847">
        <w:rPr>
          <w:rFonts w:eastAsia="Calibri" w:cs="Calibri"/>
          <w:b w:val="0"/>
          <w:bCs w:val="0"/>
          <w:i w:val="0"/>
          <w:iCs w:val="0"/>
          <w:color w:val="auto"/>
          <w:sz w:val="22"/>
          <w:szCs w:val="22"/>
          <w:lang w:eastAsia="en-US"/>
        </w:rPr>
        <w:t>Within the framework of the annual Action Plans for the implementation of the PFM program, additional activities for this measure can be defined, which would result from the revised Strategic Plan for the relevant period.</w:t>
      </w:r>
    </w:p>
    <w:p w14:paraId="6708894A" w14:textId="77777777" w:rsidR="00A64FD7" w:rsidRPr="00D30847" w:rsidRDefault="00A64FD7" w:rsidP="0023078B">
      <w:pPr>
        <w:pStyle w:val="Heading4"/>
        <w:spacing w:line="240" w:lineRule="auto"/>
        <w:rPr>
          <w:rFonts w:cs="Calibri"/>
          <w:sz w:val="22"/>
          <w:szCs w:val="22"/>
        </w:rPr>
      </w:pPr>
      <w:r w:rsidRPr="00D30847">
        <w:rPr>
          <w:rFonts w:cs="Calibri"/>
          <w:sz w:val="22"/>
          <w:szCs w:val="22"/>
        </w:rPr>
        <w:t>Implementation</w:t>
      </w:r>
    </w:p>
    <w:tbl>
      <w:tblPr>
        <w:tblW w:w="9322" w:type="dxa"/>
        <w:tblBorders>
          <w:insideH w:val="single" w:sz="4" w:space="0" w:color="FFFFFF"/>
        </w:tblBorders>
        <w:tblLayout w:type="fixed"/>
        <w:tblLook w:val="0080" w:firstRow="0" w:lastRow="0" w:firstColumn="1" w:lastColumn="0" w:noHBand="0" w:noVBand="0"/>
      </w:tblPr>
      <w:tblGrid>
        <w:gridCol w:w="2518"/>
        <w:gridCol w:w="6804"/>
      </w:tblGrid>
      <w:tr w:rsidR="000832C6" w:rsidRPr="00D30847" w14:paraId="1C417B27" w14:textId="77777777" w:rsidTr="00E2092F">
        <w:tc>
          <w:tcPr>
            <w:tcW w:w="2518" w:type="dxa"/>
            <w:tcBorders>
              <w:top w:val="nil"/>
              <w:bottom w:val="single" w:sz="4" w:space="0" w:color="FFFFFF"/>
            </w:tcBorders>
            <w:shd w:val="clear" w:color="auto" w:fill="002060"/>
          </w:tcPr>
          <w:p w14:paraId="4D87BFFD" w14:textId="704B6C72" w:rsidR="000832C6" w:rsidRPr="00D30847" w:rsidRDefault="000832C6" w:rsidP="00E84CD0">
            <w:pPr>
              <w:spacing w:line="240" w:lineRule="auto"/>
              <w:jc w:val="both"/>
              <w:rPr>
                <w:rFonts w:cs="Calibri"/>
                <w:b/>
                <w:sz w:val="20"/>
                <w:szCs w:val="20"/>
                <w:lang w:val="en-GB"/>
              </w:rPr>
            </w:pPr>
            <w:r w:rsidRPr="00D30847">
              <w:rPr>
                <w:rFonts w:cs="Calibri"/>
                <w:b/>
                <w:sz w:val="20"/>
                <w:szCs w:val="20"/>
                <w:lang w:val="en-GB"/>
              </w:rPr>
              <w:t>Completed</w:t>
            </w:r>
            <w:r w:rsidR="00070786" w:rsidRPr="00D30847">
              <w:rPr>
                <w:rFonts w:cs="Calibri"/>
                <w:b/>
                <w:sz w:val="20"/>
                <w:szCs w:val="20"/>
                <w:lang w:val="en-GB"/>
              </w:rPr>
              <w:t xml:space="preserve"> </w:t>
            </w:r>
            <w:r w:rsidRPr="00D30847">
              <w:rPr>
                <w:rFonts w:cs="Calibri"/>
                <w:b/>
                <w:sz w:val="20"/>
                <w:szCs w:val="20"/>
                <w:lang w:val="en-GB"/>
              </w:rPr>
              <w:t>in</w:t>
            </w:r>
            <w:r w:rsidR="00070786" w:rsidRPr="00D30847">
              <w:rPr>
                <w:rFonts w:cs="Calibri"/>
                <w:b/>
                <w:sz w:val="20"/>
                <w:szCs w:val="20"/>
                <w:lang w:val="en-GB"/>
              </w:rPr>
              <w:t xml:space="preserve"> </w:t>
            </w:r>
            <w:r w:rsidRPr="00D30847">
              <w:rPr>
                <w:rFonts w:cs="Calibri"/>
                <w:b/>
                <w:sz w:val="20"/>
                <w:szCs w:val="20"/>
                <w:lang w:val="en-GB"/>
              </w:rPr>
              <w:t>year:</w:t>
            </w:r>
          </w:p>
        </w:tc>
        <w:tc>
          <w:tcPr>
            <w:tcW w:w="6804" w:type="dxa"/>
            <w:tcBorders>
              <w:top w:val="nil"/>
              <w:bottom w:val="single" w:sz="4" w:space="0" w:color="FFFFFF"/>
            </w:tcBorders>
            <w:shd w:val="clear" w:color="auto" w:fill="D9E2F3"/>
          </w:tcPr>
          <w:p w14:paraId="6BDD1A29" w14:textId="1003A049" w:rsidR="000832C6" w:rsidRPr="00D30847" w:rsidRDefault="000832C6" w:rsidP="00E84CD0">
            <w:pPr>
              <w:spacing w:line="240" w:lineRule="auto"/>
              <w:jc w:val="both"/>
              <w:rPr>
                <w:rFonts w:cs="Calibri"/>
                <w:sz w:val="20"/>
                <w:szCs w:val="20"/>
                <w:lang w:val="en-GB"/>
              </w:rPr>
            </w:pPr>
            <w:r w:rsidRPr="00D30847">
              <w:rPr>
                <w:rFonts w:cs="Calibri"/>
                <w:sz w:val="20"/>
                <w:szCs w:val="20"/>
                <w:lang w:val="en-GB"/>
              </w:rPr>
              <w:t>202</w:t>
            </w:r>
            <w:r w:rsidR="00671067" w:rsidRPr="00D30847">
              <w:rPr>
                <w:rFonts w:cs="Calibri"/>
                <w:sz w:val="20"/>
                <w:szCs w:val="20"/>
                <w:lang w:val="en-GB"/>
              </w:rPr>
              <w:t>8</w:t>
            </w:r>
          </w:p>
        </w:tc>
      </w:tr>
      <w:tr w:rsidR="000832C6" w:rsidRPr="00D30847" w14:paraId="4ED30FC7" w14:textId="77777777" w:rsidTr="00E2092F">
        <w:tc>
          <w:tcPr>
            <w:tcW w:w="2518" w:type="dxa"/>
            <w:tcBorders>
              <w:top w:val="single" w:sz="4" w:space="0" w:color="FFFFFF"/>
              <w:bottom w:val="single" w:sz="4" w:space="0" w:color="FFFFFF"/>
            </w:tcBorders>
            <w:shd w:val="clear" w:color="auto" w:fill="002060"/>
          </w:tcPr>
          <w:p w14:paraId="171E3C25" w14:textId="77777777" w:rsidR="000832C6" w:rsidRPr="00D30847" w:rsidRDefault="000832C6" w:rsidP="00E84CD0">
            <w:pPr>
              <w:spacing w:line="240" w:lineRule="auto"/>
              <w:jc w:val="both"/>
              <w:rPr>
                <w:rFonts w:cs="Calibri"/>
                <w:b/>
                <w:sz w:val="20"/>
                <w:szCs w:val="20"/>
                <w:lang w:val="en-GB"/>
              </w:rPr>
            </w:pPr>
            <w:r w:rsidRPr="00D30847">
              <w:rPr>
                <w:rFonts w:cs="Calibri"/>
                <w:b/>
                <w:sz w:val="20"/>
                <w:szCs w:val="20"/>
                <w:lang w:val="en-GB"/>
              </w:rPr>
              <w:t>Deliverables:</w:t>
            </w:r>
          </w:p>
        </w:tc>
        <w:tc>
          <w:tcPr>
            <w:tcW w:w="6804" w:type="dxa"/>
            <w:tcBorders>
              <w:top w:val="single" w:sz="4" w:space="0" w:color="FFFFFF"/>
              <w:bottom w:val="single" w:sz="4" w:space="0" w:color="FFFFFF"/>
            </w:tcBorders>
            <w:shd w:val="clear" w:color="auto" w:fill="D9E2F3"/>
          </w:tcPr>
          <w:p w14:paraId="5B0B5516" w14:textId="77777777" w:rsidR="00B93449" w:rsidRPr="00D30847" w:rsidRDefault="00B93449" w:rsidP="00AD2AD5">
            <w:pPr>
              <w:numPr>
                <w:ilvl w:val="0"/>
                <w:numId w:val="25"/>
              </w:numPr>
              <w:spacing w:after="0" w:line="240" w:lineRule="auto"/>
              <w:ind w:left="183" w:hanging="183"/>
              <w:jc w:val="both"/>
              <w:rPr>
                <w:rFonts w:cs="Calibri"/>
                <w:sz w:val="20"/>
                <w:szCs w:val="20"/>
                <w:lang w:val="en-GB"/>
              </w:rPr>
            </w:pPr>
            <w:r w:rsidRPr="00D30847">
              <w:rPr>
                <w:rFonts w:cs="Calibri"/>
                <w:sz w:val="20"/>
                <w:szCs w:val="20"/>
                <w:lang w:val="en-GB"/>
              </w:rPr>
              <w:t>Implemented measures and activities to strengthen "social" awareness of the tax responsibility of the founders and managers of companies and inter-institutional compliance in practicing the mechanisms for this responsibility</w:t>
            </w:r>
          </w:p>
          <w:p w14:paraId="5CCC21CE" w14:textId="77777777" w:rsidR="00B93449" w:rsidRPr="00D30847" w:rsidRDefault="00B93449" w:rsidP="00AD2AD5">
            <w:pPr>
              <w:numPr>
                <w:ilvl w:val="0"/>
                <w:numId w:val="25"/>
              </w:numPr>
              <w:spacing w:after="0" w:line="240" w:lineRule="auto"/>
              <w:ind w:left="183" w:hanging="183"/>
              <w:jc w:val="both"/>
              <w:rPr>
                <w:rFonts w:cs="Calibri"/>
                <w:sz w:val="20"/>
                <w:szCs w:val="20"/>
                <w:lang w:val="en-GB"/>
              </w:rPr>
            </w:pPr>
            <w:r w:rsidRPr="00D30847">
              <w:rPr>
                <w:rFonts w:cs="Calibri"/>
                <w:sz w:val="20"/>
                <w:szCs w:val="20"/>
                <w:lang w:val="en-GB"/>
              </w:rPr>
              <w:t>Proposal for changes and additions to the Law on Tax Procedure (which are not related to the redesign of business processes) - harmonized with the Ministry of Finance and launched in the adoption procedure</w:t>
            </w:r>
          </w:p>
          <w:p w14:paraId="1E39BC7F" w14:textId="77777777" w:rsidR="00B93449" w:rsidRPr="00D30847" w:rsidRDefault="00B93449" w:rsidP="00AD2AD5">
            <w:pPr>
              <w:numPr>
                <w:ilvl w:val="0"/>
                <w:numId w:val="25"/>
              </w:numPr>
              <w:spacing w:after="0" w:line="240" w:lineRule="auto"/>
              <w:ind w:left="183" w:hanging="183"/>
              <w:jc w:val="both"/>
              <w:rPr>
                <w:rFonts w:cs="Calibri"/>
                <w:sz w:val="20"/>
                <w:szCs w:val="20"/>
                <w:lang w:val="en-GB"/>
              </w:rPr>
            </w:pPr>
            <w:r w:rsidRPr="00D30847">
              <w:rPr>
                <w:rFonts w:cs="Calibri"/>
                <w:sz w:val="20"/>
                <w:szCs w:val="20"/>
                <w:lang w:val="en-GB"/>
              </w:rPr>
              <w:t xml:space="preserve">Established and functional Tax Enforcement </w:t>
            </w:r>
            <w:proofErr w:type="spellStart"/>
            <w:r w:rsidRPr="00D30847">
              <w:rPr>
                <w:rFonts w:cs="Calibri"/>
                <w:sz w:val="20"/>
                <w:szCs w:val="20"/>
                <w:lang w:val="en-GB"/>
              </w:rPr>
              <w:t>Center</w:t>
            </w:r>
            <w:proofErr w:type="spellEnd"/>
          </w:p>
          <w:p w14:paraId="4D4E45A8" w14:textId="280113C1" w:rsidR="000832C6" w:rsidRPr="00D30847" w:rsidRDefault="00B93449" w:rsidP="00AD2AD5">
            <w:pPr>
              <w:numPr>
                <w:ilvl w:val="0"/>
                <w:numId w:val="25"/>
              </w:numPr>
              <w:spacing w:after="0" w:line="240" w:lineRule="auto"/>
              <w:ind w:left="183" w:hanging="183"/>
              <w:jc w:val="both"/>
              <w:rPr>
                <w:rFonts w:cs="Calibri"/>
                <w:sz w:val="20"/>
                <w:szCs w:val="20"/>
                <w:lang w:val="en-GB"/>
              </w:rPr>
            </w:pPr>
            <w:r w:rsidRPr="00D30847">
              <w:rPr>
                <w:rFonts w:cs="Calibri"/>
                <w:sz w:val="20"/>
                <w:szCs w:val="20"/>
                <w:lang w:val="en-GB"/>
              </w:rPr>
              <w:t>Adopted Plan to improve the compliance of the PRO</w:t>
            </w:r>
          </w:p>
        </w:tc>
      </w:tr>
      <w:tr w:rsidR="000832C6" w:rsidRPr="00D30847" w14:paraId="078E1510" w14:textId="77777777" w:rsidTr="00E2092F">
        <w:tc>
          <w:tcPr>
            <w:tcW w:w="2518" w:type="dxa"/>
            <w:tcBorders>
              <w:top w:val="single" w:sz="4" w:space="0" w:color="FFFFFF"/>
              <w:bottom w:val="single" w:sz="4" w:space="0" w:color="FFFFFF"/>
            </w:tcBorders>
            <w:shd w:val="clear" w:color="auto" w:fill="002060"/>
          </w:tcPr>
          <w:p w14:paraId="121125A7" w14:textId="67443DB1" w:rsidR="000832C6" w:rsidRPr="00D30847" w:rsidRDefault="000832C6" w:rsidP="00E84CD0">
            <w:pPr>
              <w:spacing w:line="240" w:lineRule="auto"/>
              <w:jc w:val="both"/>
              <w:rPr>
                <w:rFonts w:cs="Calibri"/>
                <w:b/>
                <w:sz w:val="20"/>
                <w:szCs w:val="20"/>
                <w:lang w:val="en-GB"/>
              </w:rPr>
            </w:pPr>
            <w:r w:rsidRPr="00D30847">
              <w:rPr>
                <w:rFonts w:cs="Calibri"/>
                <w:b/>
                <w:sz w:val="20"/>
                <w:szCs w:val="20"/>
                <w:lang w:val="en-GB"/>
              </w:rPr>
              <w:t>Costs</w:t>
            </w:r>
            <w:r w:rsidR="00070786" w:rsidRPr="00D30847">
              <w:rPr>
                <w:rFonts w:cs="Calibri"/>
                <w:b/>
                <w:sz w:val="20"/>
                <w:szCs w:val="20"/>
                <w:lang w:val="en-GB"/>
              </w:rPr>
              <w:t xml:space="preserve"> </w:t>
            </w:r>
            <w:r w:rsidRPr="00D30847">
              <w:rPr>
                <w:rFonts w:cs="Calibri"/>
                <w:b/>
                <w:sz w:val="20"/>
                <w:szCs w:val="20"/>
                <w:lang w:val="en-GB"/>
              </w:rPr>
              <w:t>implications:</w:t>
            </w:r>
          </w:p>
        </w:tc>
        <w:tc>
          <w:tcPr>
            <w:tcW w:w="6804" w:type="dxa"/>
            <w:tcBorders>
              <w:top w:val="single" w:sz="4" w:space="0" w:color="FFFFFF"/>
              <w:bottom w:val="single" w:sz="4" w:space="0" w:color="FFFFFF"/>
            </w:tcBorders>
            <w:shd w:val="clear" w:color="auto" w:fill="D9E2F3"/>
          </w:tcPr>
          <w:p w14:paraId="36DE41C6" w14:textId="7628CA96" w:rsidR="000832C6" w:rsidRPr="00D30847" w:rsidRDefault="00C86F24" w:rsidP="00532C0E">
            <w:pPr>
              <w:spacing w:line="240" w:lineRule="auto"/>
              <w:rPr>
                <w:rFonts w:cs="Calibri"/>
                <w:sz w:val="20"/>
                <w:szCs w:val="20"/>
                <w:lang w:val="en-GB"/>
              </w:rPr>
            </w:pPr>
            <w:r w:rsidRPr="00D30847">
              <w:rPr>
                <w:rFonts w:cs="Calibri"/>
                <w:sz w:val="20"/>
                <w:szCs w:val="20"/>
                <w:lang w:val="en-GB"/>
              </w:rPr>
              <w:t>106</w:t>
            </w:r>
            <w:r w:rsidR="0023078B" w:rsidRPr="00D30847">
              <w:rPr>
                <w:rFonts w:cs="Calibri"/>
                <w:sz w:val="20"/>
                <w:szCs w:val="20"/>
                <w:lang w:val="en-GB"/>
              </w:rPr>
              <w:t>,000 euros</w:t>
            </w:r>
          </w:p>
        </w:tc>
      </w:tr>
      <w:tr w:rsidR="000832C6" w:rsidRPr="00D30847" w14:paraId="0FEF7C7F" w14:textId="77777777" w:rsidTr="00E2092F">
        <w:trPr>
          <w:trHeight w:val="544"/>
        </w:trPr>
        <w:tc>
          <w:tcPr>
            <w:tcW w:w="2518" w:type="dxa"/>
            <w:tcBorders>
              <w:top w:val="single" w:sz="4" w:space="0" w:color="FFFFFF"/>
              <w:bottom w:val="single" w:sz="4" w:space="0" w:color="FFFFFF"/>
            </w:tcBorders>
            <w:shd w:val="clear" w:color="auto" w:fill="002060"/>
          </w:tcPr>
          <w:p w14:paraId="70CAA8E7" w14:textId="5E052330" w:rsidR="000832C6" w:rsidRPr="00D30847" w:rsidRDefault="000832C6" w:rsidP="00E84CD0">
            <w:pPr>
              <w:spacing w:line="240" w:lineRule="auto"/>
              <w:jc w:val="both"/>
              <w:rPr>
                <w:rFonts w:cs="Calibri"/>
                <w:b/>
                <w:sz w:val="20"/>
                <w:szCs w:val="20"/>
                <w:lang w:val="en-GB"/>
              </w:rPr>
            </w:pPr>
            <w:r w:rsidRPr="00D30847">
              <w:rPr>
                <w:rFonts w:cs="Calibri"/>
                <w:b/>
                <w:sz w:val="20"/>
                <w:szCs w:val="20"/>
                <w:lang w:val="en-GB"/>
              </w:rPr>
              <w:t>Responsible</w:t>
            </w:r>
            <w:r w:rsidR="00070786" w:rsidRPr="00D30847">
              <w:rPr>
                <w:rFonts w:cs="Calibri"/>
                <w:b/>
                <w:sz w:val="20"/>
                <w:szCs w:val="20"/>
                <w:lang w:val="en-GB"/>
              </w:rPr>
              <w:t xml:space="preserve"> </w:t>
            </w:r>
            <w:r w:rsidRPr="00D30847">
              <w:rPr>
                <w:rFonts w:cs="Calibri"/>
                <w:b/>
                <w:sz w:val="20"/>
                <w:szCs w:val="20"/>
                <w:lang w:val="en-GB"/>
              </w:rPr>
              <w:t xml:space="preserve">entity: </w:t>
            </w:r>
          </w:p>
        </w:tc>
        <w:tc>
          <w:tcPr>
            <w:tcW w:w="6804" w:type="dxa"/>
            <w:tcBorders>
              <w:top w:val="single" w:sz="4" w:space="0" w:color="FFFFFF"/>
              <w:bottom w:val="single" w:sz="4" w:space="0" w:color="FFFFFF"/>
            </w:tcBorders>
            <w:shd w:val="clear" w:color="auto" w:fill="D9E2F3"/>
          </w:tcPr>
          <w:p w14:paraId="29BE988F" w14:textId="067BEC22" w:rsidR="000832C6" w:rsidRPr="00D30847" w:rsidRDefault="000832C6" w:rsidP="00E84CD0">
            <w:pPr>
              <w:spacing w:line="240" w:lineRule="auto"/>
              <w:jc w:val="both"/>
              <w:rPr>
                <w:rFonts w:cs="Calibri"/>
                <w:sz w:val="20"/>
                <w:szCs w:val="20"/>
                <w:lang w:val="en-GB"/>
              </w:rPr>
            </w:pPr>
            <w:r w:rsidRPr="00D30847">
              <w:rPr>
                <w:rFonts w:cs="Calibri"/>
                <w:sz w:val="20"/>
                <w:szCs w:val="20"/>
                <w:lang w:val="en-GB"/>
              </w:rPr>
              <w:t>Public</w:t>
            </w:r>
            <w:r w:rsidR="00070786" w:rsidRPr="00D30847">
              <w:rPr>
                <w:rFonts w:cs="Calibri"/>
                <w:sz w:val="20"/>
                <w:szCs w:val="20"/>
                <w:lang w:val="en-GB"/>
              </w:rPr>
              <w:t xml:space="preserve"> </w:t>
            </w:r>
            <w:r w:rsidRPr="00D30847">
              <w:rPr>
                <w:rFonts w:cs="Calibri"/>
                <w:sz w:val="20"/>
                <w:szCs w:val="20"/>
                <w:lang w:val="en-GB"/>
              </w:rPr>
              <w:t>Revenue Office</w:t>
            </w:r>
          </w:p>
        </w:tc>
      </w:tr>
      <w:tr w:rsidR="000832C6" w:rsidRPr="00D30847" w14:paraId="78013623" w14:textId="77777777" w:rsidTr="00E2092F">
        <w:tc>
          <w:tcPr>
            <w:tcW w:w="2518" w:type="dxa"/>
            <w:tcBorders>
              <w:top w:val="single" w:sz="4" w:space="0" w:color="FFFFFF"/>
              <w:bottom w:val="nil"/>
            </w:tcBorders>
            <w:shd w:val="clear" w:color="auto" w:fill="002060"/>
          </w:tcPr>
          <w:p w14:paraId="7187BFBE" w14:textId="77777777" w:rsidR="000832C6" w:rsidRPr="00D30847" w:rsidRDefault="000832C6" w:rsidP="00E84CD0">
            <w:pPr>
              <w:spacing w:line="240" w:lineRule="auto"/>
              <w:jc w:val="both"/>
              <w:rPr>
                <w:rFonts w:cs="Calibri"/>
                <w:b/>
                <w:sz w:val="20"/>
                <w:szCs w:val="20"/>
                <w:lang w:val="en-GB"/>
              </w:rPr>
            </w:pPr>
            <w:r w:rsidRPr="00D30847">
              <w:rPr>
                <w:rFonts w:cs="Calibri"/>
                <w:b/>
                <w:sz w:val="20"/>
                <w:szCs w:val="20"/>
                <w:lang w:val="en-GB"/>
              </w:rPr>
              <w:t>Risk:</w:t>
            </w:r>
          </w:p>
        </w:tc>
        <w:tc>
          <w:tcPr>
            <w:tcW w:w="6804" w:type="dxa"/>
            <w:tcBorders>
              <w:top w:val="single" w:sz="4" w:space="0" w:color="FFFFFF"/>
              <w:bottom w:val="nil"/>
            </w:tcBorders>
            <w:shd w:val="clear" w:color="auto" w:fill="D9E2F3"/>
          </w:tcPr>
          <w:p w14:paraId="66CAADD4" w14:textId="77777777" w:rsidR="00B93449" w:rsidRPr="00D30847" w:rsidRDefault="00B93449" w:rsidP="00AD2AD5">
            <w:pPr>
              <w:numPr>
                <w:ilvl w:val="0"/>
                <w:numId w:val="33"/>
              </w:numPr>
              <w:spacing w:after="0" w:line="240" w:lineRule="auto"/>
              <w:ind w:left="183" w:hanging="180"/>
              <w:jc w:val="both"/>
              <w:rPr>
                <w:rFonts w:cs="Calibri"/>
                <w:sz w:val="20"/>
                <w:szCs w:val="20"/>
                <w:lang w:val="en-GB"/>
              </w:rPr>
            </w:pPr>
            <w:r w:rsidRPr="00D30847">
              <w:rPr>
                <w:rFonts w:cs="Calibri"/>
                <w:sz w:val="20"/>
                <w:szCs w:val="20"/>
                <w:lang w:val="en-GB"/>
              </w:rPr>
              <w:t>Organizational and other risks that are related to the implementation of CDI</w:t>
            </w:r>
          </w:p>
          <w:p w14:paraId="087B886B" w14:textId="77777777" w:rsidR="00B93449" w:rsidRPr="00D30847" w:rsidRDefault="00B93449" w:rsidP="00AD2AD5">
            <w:pPr>
              <w:numPr>
                <w:ilvl w:val="0"/>
                <w:numId w:val="33"/>
              </w:numPr>
              <w:spacing w:after="0" w:line="240" w:lineRule="auto"/>
              <w:ind w:left="183" w:hanging="180"/>
              <w:jc w:val="both"/>
              <w:rPr>
                <w:rFonts w:cs="Calibri"/>
                <w:sz w:val="20"/>
                <w:szCs w:val="20"/>
                <w:lang w:val="en-GB"/>
              </w:rPr>
            </w:pPr>
            <w:r w:rsidRPr="00D30847">
              <w:rPr>
                <w:rFonts w:cs="Calibri"/>
                <w:sz w:val="20"/>
                <w:szCs w:val="20"/>
                <w:lang w:val="en-GB"/>
              </w:rPr>
              <w:t>Failure to implement compliance risk management</w:t>
            </w:r>
          </w:p>
          <w:p w14:paraId="062D21A7" w14:textId="77777777" w:rsidR="00B93449" w:rsidRPr="00D30847" w:rsidRDefault="00B93449" w:rsidP="00AD2AD5">
            <w:pPr>
              <w:numPr>
                <w:ilvl w:val="0"/>
                <w:numId w:val="33"/>
              </w:numPr>
              <w:spacing w:after="0" w:line="240" w:lineRule="auto"/>
              <w:ind w:left="183" w:hanging="180"/>
              <w:jc w:val="both"/>
              <w:rPr>
                <w:rFonts w:cs="Calibri"/>
                <w:sz w:val="20"/>
                <w:szCs w:val="20"/>
                <w:lang w:val="en-GB"/>
              </w:rPr>
            </w:pPr>
            <w:r w:rsidRPr="00D30847">
              <w:rPr>
                <w:rFonts w:cs="Calibri"/>
                <w:sz w:val="20"/>
                <w:szCs w:val="20"/>
                <w:lang w:val="en-GB"/>
              </w:rPr>
              <w:t>The process of enacting legal amendments has been delayed</w:t>
            </w:r>
          </w:p>
          <w:p w14:paraId="21EF64F8" w14:textId="0C70C0AA" w:rsidR="000832C6" w:rsidRPr="00D30847" w:rsidRDefault="00B93449" w:rsidP="00AD2AD5">
            <w:pPr>
              <w:numPr>
                <w:ilvl w:val="0"/>
                <w:numId w:val="33"/>
              </w:numPr>
              <w:spacing w:after="0" w:line="240" w:lineRule="auto"/>
              <w:ind w:left="183" w:hanging="180"/>
              <w:jc w:val="both"/>
              <w:rPr>
                <w:rFonts w:cs="Calibri"/>
                <w:sz w:val="20"/>
                <w:szCs w:val="20"/>
                <w:lang w:val="en-GB"/>
              </w:rPr>
            </w:pPr>
            <w:r w:rsidRPr="00D30847">
              <w:rPr>
                <w:rFonts w:cs="Calibri"/>
                <w:sz w:val="20"/>
                <w:szCs w:val="20"/>
                <w:lang w:val="en-GB"/>
              </w:rPr>
              <w:t>Failure to introduce compliance risk management</w:t>
            </w:r>
          </w:p>
        </w:tc>
      </w:tr>
    </w:tbl>
    <w:p w14:paraId="1035FC17" w14:textId="77777777" w:rsidR="00DE0C26" w:rsidRPr="00D30847" w:rsidRDefault="00DE0C26" w:rsidP="00E84CD0">
      <w:pPr>
        <w:spacing w:line="240" w:lineRule="auto"/>
        <w:jc w:val="both"/>
        <w:rPr>
          <w:rFonts w:cs="Calibri"/>
          <w:b/>
          <w:color w:val="1F4E79"/>
          <w:lang w:val="en-GB"/>
        </w:rPr>
      </w:pPr>
    </w:p>
    <w:p w14:paraId="7315DF86" w14:textId="77777777" w:rsidR="00B93449" w:rsidRPr="00D30847" w:rsidRDefault="00B93449" w:rsidP="00B93449">
      <w:pPr>
        <w:spacing w:line="240" w:lineRule="auto"/>
        <w:jc w:val="both"/>
        <w:rPr>
          <w:rFonts w:cs="Calibri"/>
          <w:b/>
          <w:color w:val="0070C0"/>
          <w:sz w:val="24"/>
          <w:szCs w:val="24"/>
          <w:lang w:val="en-GB"/>
        </w:rPr>
      </w:pPr>
      <w:r w:rsidRPr="00D30847">
        <w:rPr>
          <w:rFonts w:cs="Calibri"/>
          <w:b/>
          <w:color w:val="0070C0"/>
          <w:sz w:val="24"/>
          <w:szCs w:val="24"/>
          <w:lang w:val="en-GB"/>
        </w:rPr>
        <w:t>Measure 2: Digital transformation of the PRO with the establishment of an Integrated Tax Information System (ITIS)</w:t>
      </w:r>
    </w:p>
    <w:p w14:paraId="19753FB2" w14:textId="77777777" w:rsidR="00A64FD7" w:rsidRPr="00D30847" w:rsidRDefault="00A64FD7" w:rsidP="00E84CD0">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40873B9B" w14:textId="77777777" w:rsidR="00B93449" w:rsidRPr="00D30847" w:rsidRDefault="00B93449" w:rsidP="00B93449">
      <w:pPr>
        <w:spacing w:line="240" w:lineRule="auto"/>
        <w:jc w:val="both"/>
        <w:rPr>
          <w:rFonts w:cs="Calibri"/>
          <w:lang w:val="en-GB"/>
        </w:rPr>
      </w:pPr>
      <w:r w:rsidRPr="00D30847">
        <w:rPr>
          <w:rFonts w:cs="Calibri"/>
          <w:lang w:val="en-GB"/>
        </w:rPr>
        <w:t>The purpose of this measure is to continue strengthening the administrative capacity of the tax administration by improving business practices and making changes in accordance with the overall digital transformation, with the aim of improving the administration of tax revenues and contributions, providing quality service to customers, improving the skills and knowledge of tax officials</w:t>
      </w:r>
    </w:p>
    <w:p w14:paraId="5DC452AA" w14:textId="77777777" w:rsidR="008F758B" w:rsidRPr="00D30847" w:rsidRDefault="00A64FD7" w:rsidP="00E84CD0">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lastRenderedPageBreak/>
        <w:t>Reference to findings from external assessments:</w:t>
      </w:r>
    </w:p>
    <w:tbl>
      <w:tblPr>
        <w:tblW w:w="8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993"/>
        <w:gridCol w:w="7587"/>
      </w:tblGrid>
      <w:tr w:rsidR="008F758B" w:rsidRPr="00D30847" w14:paraId="23579EE4" w14:textId="77777777" w:rsidTr="00F46E0B">
        <w:tc>
          <w:tcPr>
            <w:tcW w:w="993" w:type="dxa"/>
            <w:shd w:val="clear" w:color="auto" w:fill="DDDDDD"/>
          </w:tcPr>
          <w:p w14:paraId="4FA4204B" w14:textId="77777777" w:rsidR="008F758B" w:rsidRPr="00D30847" w:rsidRDefault="006A55CA" w:rsidP="00DF185F">
            <w:pPr>
              <w:spacing w:after="0" w:line="240" w:lineRule="auto"/>
              <w:jc w:val="both"/>
              <w:rPr>
                <w:rFonts w:eastAsia="Times New Roman" w:cs="Calibri"/>
                <w:b/>
                <w:color w:val="202124"/>
                <w:sz w:val="20"/>
                <w:szCs w:val="20"/>
                <w:lang w:val="en-GB"/>
              </w:rPr>
            </w:pPr>
            <w:r w:rsidRPr="00D30847">
              <w:rPr>
                <w:rFonts w:cs="Calibri"/>
                <w:b/>
                <w:sz w:val="20"/>
                <w:szCs w:val="20"/>
                <w:lang w:val="en-GB"/>
              </w:rPr>
              <w:t>PJRFO</w:t>
            </w:r>
          </w:p>
        </w:tc>
        <w:tc>
          <w:tcPr>
            <w:tcW w:w="7587" w:type="dxa"/>
            <w:shd w:val="clear" w:color="auto" w:fill="DDDDDD"/>
          </w:tcPr>
          <w:p w14:paraId="6677C399" w14:textId="77777777" w:rsidR="008F758B" w:rsidRPr="00D30847" w:rsidRDefault="006A55CA" w:rsidP="00DF185F">
            <w:pPr>
              <w:spacing w:line="240" w:lineRule="auto"/>
              <w:rPr>
                <w:rFonts w:cs="Calibri"/>
                <w:sz w:val="20"/>
                <w:szCs w:val="20"/>
                <w:lang w:val="en-GB"/>
              </w:rPr>
            </w:pPr>
            <w:r w:rsidRPr="00D30847">
              <w:rPr>
                <w:rFonts w:cs="Calibri"/>
                <w:b/>
                <w:bCs/>
                <w:i/>
                <w:iCs/>
                <w:sz w:val="20"/>
                <w:szCs w:val="20"/>
                <w:lang w:val="en-GB"/>
              </w:rPr>
              <w:t>PEFA Assessment Report, March 2022</w:t>
            </w:r>
            <w:r w:rsidRPr="00D30847">
              <w:rPr>
                <w:rFonts w:cs="Calibri"/>
                <w:sz w:val="20"/>
                <w:szCs w:val="20"/>
                <w:lang w:val="en-GB"/>
              </w:rPr>
              <w:t>:</w:t>
            </w:r>
          </w:p>
          <w:p w14:paraId="1B97A312" w14:textId="77777777" w:rsidR="008F758B" w:rsidRPr="00D30847" w:rsidRDefault="006A55CA" w:rsidP="00DF185F">
            <w:pPr>
              <w:spacing w:line="240" w:lineRule="auto"/>
              <w:jc w:val="both"/>
              <w:rPr>
                <w:rFonts w:cs="Calibri"/>
                <w:sz w:val="20"/>
                <w:szCs w:val="20"/>
                <w:lang w:val="en-GB"/>
              </w:rPr>
            </w:pPr>
            <w:r w:rsidRPr="00D30847">
              <w:rPr>
                <w:rFonts w:cs="Calibri"/>
                <w:sz w:val="20"/>
                <w:szCs w:val="20"/>
                <w:lang w:val="en-GB"/>
              </w:rPr>
              <w:t>In the area of ​​tax administration, the institutional reforms determined by the Public Finance Management Reform Program 2018-2021 and the Strategy for the Reform of the Tax System (2021-2025) are operationalized through the Strategic Plan of the PRO for the period 2021-2023. One of the key activities envisaged is the installation of a new integrated information technology (IT) system that will support the basic functions of the tax administration and replace the existing information systems that are outdated, fragmented, incomplete or too rigid to cope with the changes of the laws and with the basic functions of the tax administration. After reviewing the detailed project and business processes, the PRO started developing the integrated Tax Information System.</w:t>
            </w:r>
          </w:p>
        </w:tc>
      </w:tr>
      <w:tr w:rsidR="008F758B" w:rsidRPr="00D30847" w14:paraId="6342E2EE" w14:textId="77777777" w:rsidTr="00F46E0B">
        <w:tc>
          <w:tcPr>
            <w:tcW w:w="993" w:type="dxa"/>
            <w:shd w:val="clear" w:color="auto" w:fill="DDDDDD"/>
          </w:tcPr>
          <w:p w14:paraId="737750E4" w14:textId="77777777" w:rsidR="008F758B" w:rsidRPr="00D30847" w:rsidRDefault="006A55CA" w:rsidP="00DF185F">
            <w:pPr>
              <w:spacing w:after="0" w:line="240" w:lineRule="auto"/>
              <w:jc w:val="both"/>
              <w:rPr>
                <w:rFonts w:eastAsia="Times New Roman" w:cs="Calibri"/>
                <w:b/>
                <w:color w:val="202124"/>
                <w:sz w:val="20"/>
                <w:szCs w:val="20"/>
                <w:lang w:val="en-GB"/>
              </w:rPr>
            </w:pPr>
            <w:r w:rsidRPr="00D30847">
              <w:rPr>
                <w:rFonts w:cs="Calibri"/>
                <w:b/>
                <w:sz w:val="20"/>
                <w:szCs w:val="20"/>
                <w:lang w:val="en-GB"/>
              </w:rPr>
              <w:t>PPRU</w:t>
            </w:r>
          </w:p>
        </w:tc>
        <w:tc>
          <w:tcPr>
            <w:tcW w:w="7587" w:type="dxa"/>
            <w:shd w:val="clear" w:color="auto" w:fill="DDDDDD"/>
          </w:tcPr>
          <w:p w14:paraId="43672048" w14:textId="77777777" w:rsidR="008F758B" w:rsidRPr="00D30847" w:rsidRDefault="006A55CA" w:rsidP="00DF185F">
            <w:pPr>
              <w:spacing w:line="240" w:lineRule="auto"/>
              <w:rPr>
                <w:rFonts w:cs="Calibri"/>
                <w:b/>
                <w:bCs/>
                <w:i/>
                <w:iCs/>
                <w:sz w:val="20"/>
                <w:szCs w:val="20"/>
                <w:lang w:val="en-GB"/>
              </w:rPr>
            </w:pPr>
            <w:r w:rsidRPr="00D30847">
              <w:rPr>
                <w:rFonts w:cs="Calibri"/>
                <w:b/>
                <w:bCs/>
                <w:i/>
                <w:iCs/>
                <w:sz w:val="20"/>
                <w:szCs w:val="20"/>
                <w:lang w:val="en-GB" w:bidi="en-US"/>
              </w:rPr>
              <w:t>SIGMA Monitoring Report - Principles of Public Administration, November 2021</w:t>
            </w:r>
          </w:p>
          <w:p w14:paraId="664E41E5" w14:textId="77777777" w:rsidR="008F758B" w:rsidRPr="00D30847" w:rsidRDefault="006A55CA" w:rsidP="00DF185F">
            <w:pPr>
              <w:spacing w:line="240" w:lineRule="auto"/>
              <w:jc w:val="both"/>
              <w:rPr>
                <w:rFonts w:cs="Calibri"/>
                <w:sz w:val="20"/>
                <w:szCs w:val="20"/>
                <w:lang w:val="en-GB"/>
              </w:rPr>
            </w:pPr>
            <w:r w:rsidRPr="00D30847">
              <w:rPr>
                <w:rFonts w:cs="Calibri"/>
                <w:sz w:val="20"/>
                <w:szCs w:val="20"/>
                <w:lang w:val="en-GB"/>
              </w:rPr>
              <w:t>However, the analysis of a sample of services shows that only the filing and payment of personal tax has significantly improved with the introduction of the new e-Personal Tax system in 2018, including the preparation of pre-filled annual tax returns for all taxpayers.</w:t>
            </w:r>
          </w:p>
        </w:tc>
      </w:tr>
      <w:tr w:rsidR="008F758B" w:rsidRPr="00D30847" w14:paraId="51ECD7D3" w14:textId="77777777" w:rsidTr="00F46E0B">
        <w:tc>
          <w:tcPr>
            <w:tcW w:w="993" w:type="dxa"/>
            <w:shd w:val="clear" w:color="auto" w:fill="DDDDDD"/>
          </w:tcPr>
          <w:p w14:paraId="18089E27" w14:textId="27BE2870" w:rsidR="008F758B" w:rsidRPr="00D30847" w:rsidRDefault="006A55CA" w:rsidP="00DF185F">
            <w:pPr>
              <w:spacing w:before="80" w:after="0" w:line="240" w:lineRule="auto"/>
              <w:rPr>
                <w:rFonts w:cs="Calibri"/>
                <w:b/>
                <w:sz w:val="20"/>
                <w:szCs w:val="20"/>
                <w:lang w:val="en-GB"/>
              </w:rPr>
            </w:pPr>
            <w:r w:rsidRPr="00D30847">
              <w:rPr>
                <w:rFonts w:cs="Calibri"/>
                <w:b/>
                <w:sz w:val="20"/>
                <w:szCs w:val="20"/>
                <w:lang w:val="en-GB"/>
              </w:rPr>
              <w:t>IMF</w:t>
            </w:r>
          </w:p>
          <w:p w14:paraId="1DA801E8" w14:textId="77777777" w:rsidR="008F758B" w:rsidRPr="00D30847" w:rsidRDefault="008F758B" w:rsidP="00DF185F">
            <w:pPr>
              <w:spacing w:after="0" w:line="240" w:lineRule="auto"/>
              <w:jc w:val="both"/>
              <w:rPr>
                <w:rFonts w:eastAsia="Times New Roman" w:cs="Calibri"/>
                <w:color w:val="202124"/>
                <w:sz w:val="20"/>
                <w:szCs w:val="20"/>
                <w:lang w:val="en-GB"/>
              </w:rPr>
            </w:pPr>
          </w:p>
        </w:tc>
        <w:tc>
          <w:tcPr>
            <w:tcW w:w="7587" w:type="dxa"/>
            <w:shd w:val="clear" w:color="auto" w:fill="DDDDDD"/>
          </w:tcPr>
          <w:p w14:paraId="515DDC8C" w14:textId="77777777" w:rsidR="008F758B" w:rsidRPr="00D30847" w:rsidRDefault="006A55CA" w:rsidP="00DF185F">
            <w:pPr>
              <w:spacing w:line="240" w:lineRule="auto"/>
              <w:rPr>
                <w:rFonts w:cs="Calibri"/>
                <w:sz w:val="20"/>
                <w:szCs w:val="20"/>
                <w:lang w:val="en-GB"/>
              </w:rPr>
            </w:pPr>
            <w:r w:rsidRPr="00D30847">
              <w:rPr>
                <w:rFonts w:cs="Calibri"/>
                <w:sz w:val="20"/>
                <w:szCs w:val="20"/>
                <w:lang w:val="en-GB"/>
              </w:rPr>
              <w:t>In the period from December 7, 2020 to February 5, 2021, an assessment of the tax administration of the Republic of North Macedonia was carried out using the Tax Administration Diagnostic Assessment Tool (TADAT).</w:t>
            </w:r>
          </w:p>
          <w:p w14:paraId="18E2DAB4" w14:textId="77777777" w:rsidR="008F758B" w:rsidRPr="00D30847" w:rsidRDefault="006A55CA" w:rsidP="00DF185F">
            <w:pPr>
              <w:spacing w:line="240" w:lineRule="auto"/>
              <w:jc w:val="both"/>
              <w:rPr>
                <w:rFonts w:cs="Calibri"/>
                <w:sz w:val="20"/>
                <w:szCs w:val="20"/>
                <w:lang w:val="en-GB"/>
              </w:rPr>
            </w:pPr>
            <w:r w:rsidRPr="00D30847">
              <w:rPr>
                <w:rFonts w:cs="Calibri"/>
                <w:sz w:val="20"/>
                <w:szCs w:val="20"/>
                <w:lang w:val="en-GB"/>
              </w:rPr>
              <w:t>The TADAT performance evaluation report notes that while the Public Revenue Office (PRO) has developed some strong components within overall tax management, there are more important functions that are either at an early stage of development. Most of the strengths of the PRO are in the area of ​​services to taxpayers: a high degree of electronic filing that leads to good and timely filing; use of pre-filled tax returns, tax withholding at the time of payment and arrangements in the form of advance payments; extensive publication of data from its operations. The benefits of these strengths, however, are not fully exploited due to the poor state of the information (IT) system.</w:t>
            </w:r>
          </w:p>
        </w:tc>
      </w:tr>
      <w:tr w:rsidR="008F758B" w:rsidRPr="00D30847" w14:paraId="02F212D1" w14:textId="77777777" w:rsidTr="00F46E0B">
        <w:tc>
          <w:tcPr>
            <w:tcW w:w="993" w:type="dxa"/>
            <w:shd w:val="clear" w:color="auto" w:fill="DDDDDD"/>
          </w:tcPr>
          <w:p w14:paraId="0620887B" w14:textId="45222761" w:rsidR="008F758B" w:rsidRPr="00D30847" w:rsidRDefault="006A55CA" w:rsidP="00DF185F">
            <w:pPr>
              <w:spacing w:before="80" w:after="0" w:line="240" w:lineRule="auto"/>
              <w:rPr>
                <w:rFonts w:cs="Calibri"/>
                <w:b/>
                <w:sz w:val="20"/>
                <w:szCs w:val="20"/>
                <w:lang w:val="en-GB"/>
              </w:rPr>
            </w:pPr>
            <w:r w:rsidRPr="00D30847">
              <w:rPr>
                <w:rFonts w:cs="Calibri"/>
                <w:b/>
                <w:sz w:val="20"/>
                <w:szCs w:val="20"/>
                <w:lang w:val="en-GB"/>
              </w:rPr>
              <w:t>SB</w:t>
            </w:r>
          </w:p>
          <w:p w14:paraId="29208D75" w14:textId="4A4D9425" w:rsidR="008F758B" w:rsidRPr="00D30847" w:rsidRDefault="006A55CA" w:rsidP="00DF185F">
            <w:pPr>
              <w:spacing w:before="80" w:after="0" w:line="240" w:lineRule="auto"/>
              <w:jc w:val="both"/>
              <w:rPr>
                <w:rFonts w:eastAsia="Times New Roman" w:cs="Calibri"/>
                <w:color w:val="202124"/>
                <w:sz w:val="20"/>
                <w:szCs w:val="20"/>
                <w:lang w:val="en-GB"/>
              </w:rPr>
            </w:pPr>
            <w:r w:rsidRPr="00D30847">
              <w:rPr>
                <w:rFonts w:cs="Calibri"/>
                <w:b/>
                <w:sz w:val="20"/>
                <w:szCs w:val="20"/>
                <w:lang w:val="en-GB"/>
              </w:rPr>
              <w:t>WB</w:t>
            </w:r>
          </w:p>
        </w:tc>
        <w:tc>
          <w:tcPr>
            <w:tcW w:w="7587" w:type="dxa"/>
            <w:shd w:val="clear" w:color="auto" w:fill="DDDDDD"/>
          </w:tcPr>
          <w:p w14:paraId="60DF92E0" w14:textId="77777777" w:rsidR="008F758B" w:rsidRPr="00D30847" w:rsidRDefault="006A55CA" w:rsidP="00532C0E">
            <w:pPr>
              <w:spacing w:after="0" w:line="240" w:lineRule="auto"/>
              <w:jc w:val="both"/>
              <w:rPr>
                <w:rFonts w:cs="Calibri"/>
                <w:sz w:val="20"/>
                <w:szCs w:val="20"/>
                <w:lang w:val="en-GB"/>
              </w:rPr>
            </w:pPr>
            <w:r w:rsidRPr="00D30847">
              <w:rPr>
                <w:rFonts w:cs="Calibri"/>
                <w:sz w:val="20"/>
                <w:szCs w:val="20"/>
                <w:lang w:val="en-GB"/>
              </w:rPr>
              <w:t>Project on building effective, transparent and accountable public finance institutions, October 2022</w:t>
            </w:r>
          </w:p>
          <w:p w14:paraId="7C127F40" w14:textId="77777777" w:rsidR="008F758B" w:rsidRPr="00D30847" w:rsidRDefault="006A55CA" w:rsidP="00532C0E">
            <w:pPr>
              <w:spacing w:after="0" w:line="240" w:lineRule="auto"/>
              <w:jc w:val="both"/>
              <w:rPr>
                <w:rFonts w:cs="Calibri"/>
                <w:sz w:val="20"/>
                <w:szCs w:val="20"/>
                <w:lang w:val="en-GB"/>
              </w:rPr>
            </w:pPr>
            <w:r w:rsidRPr="00D30847">
              <w:rPr>
                <w:rFonts w:cs="Calibri"/>
                <w:sz w:val="20"/>
                <w:szCs w:val="20"/>
                <w:lang w:val="en-GB"/>
              </w:rPr>
              <w:t>Component 2: Strengthening tax management practices and systems in the PRO</w:t>
            </w:r>
          </w:p>
          <w:p w14:paraId="6CA8BF52" w14:textId="77777777" w:rsidR="008F758B" w:rsidRPr="00D30847" w:rsidRDefault="006A55CA" w:rsidP="00532C0E">
            <w:pPr>
              <w:spacing w:after="0" w:line="240" w:lineRule="auto"/>
              <w:jc w:val="both"/>
              <w:rPr>
                <w:rFonts w:cs="Calibri"/>
                <w:sz w:val="20"/>
                <w:szCs w:val="20"/>
                <w:lang w:val="en-GB"/>
              </w:rPr>
            </w:pPr>
            <w:r w:rsidRPr="00D30847">
              <w:rPr>
                <w:rFonts w:cs="Calibri"/>
                <w:sz w:val="20"/>
                <w:szCs w:val="20"/>
                <w:lang w:val="en-GB"/>
              </w:rPr>
              <w:t>The objective of component 2 is to strengthen the operational effectiveness of the work of the PRO with a focus on strengthening its tax compliance management system and certain administrative functions. Funding of certain activities is foreseen, which complements the current investments of the PRO in the development of the basic modules (registration, submission and service management, accounting, payment and refund, debt management, assessments, legal affairs, and audit) of the integrated tax information system which is implemented within the national budget.</w:t>
            </w:r>
          </w:p>
          <w:p w14:paraId="20C09D69" w14:textId="77777777" w:rsidR="008F758B" w:rsidRPr="00D30847" w:rsidRDefault="006A55CA" w:rsidP="00532C0E">
            <w:pPr>
              <w:spacing w:after="0" w:line="240" w:lineRule="auto"/>
              <w:jc w:val="both"/>
              <w:rPr>
                <w:rFonts w:cs="Calibri"/>
                <w:sz w:val="20"/>
                <w:szCs w:val="20"/>
                <w:lang w:val="en-GB"/>
              </w:rPr>
            </w:pPr>
            <w:r w:rsidRPr="00D30847">
              <w:rPr>
                <w:rFonts w:cs="Calibri"/>
                <w:sz w:val="20"/>
                <w:szCs w:val="20"/>
                <w:lang w:val="en-GB"/>
              </w:rPr>
              <w:t>Subcomponent 2.2– Improvement and expansion of the tax revenue management information systems of the PRO: This subcomponent will support the ongoing modernization of the PRO tax revenue management information system through a series of complementary activities that serve as a critical foundation of efforts to increase management effectiveness of income.</w:t>
            </w:r>
          </w:p>
          <w:p w14:paraId="186378EC" w14:textId="77777777" w:rsidR="008F758B" w:rsidRPr="00D30847" w:rsidRDefault="006A55CA" w:rsidP="00DF185F">
            <w:pPr>
              <w:spacing w:line="240" w:lineRule="auto"/>
              <w:jc w:val="both"/>
              <w:rPr>
                <w:rFonts w:cs="Calibri"/>
                <w:b/>
                <w:bCs/>
                <w:sz w:val="20"/>
                <w:szCs w:val="20"/>
                <w:u w:val="single"/>
                <w:lang w:val="en-GB"/>
              </w:rPr>
            </w:pPr>
            <w:r w:rsidRPr="00D30847">
              <w:rPr>
                <w:rFonts w:cs="Calibri"/>
                <w:b/>
                <w:bCs/>
                <w:sz w:val="20"/>
                <w:szCs w:val="20"/>
                <w:u w:val="single"/>
                <w:lang w:val="en-GB"/>
              </w:rPr>
              <w:t>TAX DIAMOND</w:t>
            </w:r>
          </w:p>
          <w:p w14:paraId="3B22BCEB" w14:textId="77777777" w:rsidR="008F758B" w:rsidRPr="00D30847" w:rsidRDefault="006A55CA" w:rsidP="00532C0E">
            <w:pPr>
              <w:spacing w:after="0" w:line="240" w:lineRule="auto"/>
              <w:jc w:val="both"/>
              <w:rPr>
                <w:rFonts w:cs="Calibri"/>
                <w:sz w:val="20"/>
                <w:szCs w:val="20"/>
                <w:lang w:val="en-GB"/>
              </w:rPr>
            </w:pPr>
            <w:r w:rsidRPr="00D30847">
              <w:rPr>
                <w:rFonts w:cs="Calibri"/>
                <w:sz w:val="20"/>
                <w:szCs w:val="20"/>
                <w:lang w:val="en-GB"/>
              </w:rPr>
              <w:t>A World Bank (WB) team conducted an assessment of the tax administration of the PRO from June 15 - July 30, 2020.</w:t>
            </w:r>
          </w:p>
          <w:p w14:paraId="3EB64C47" w14:textId="77777777" w:rsidR="008F758B" w:rsidRPr="00D30847" w:rsidRDefault="006A55CA" w:rsidP="00532C0E">
            <w:pPr>
              <w:spacing w:after="0" w:line="240" w:lineRule="auto"/>
              <w:jc w:val="both"/>
              <w:rPr>
                <w:rFonts w:cs="Calibri"/>
                <w:sz w:val="20"/>
                <w:szCs w:val="20"/>
                <w:lang w:val="en-GB"/>
              </w:rPr>
            </w:pPr>
            <w:r w:rsidRPr="00D30847">
              <w:rPr>
                <w:rFonts w:cs="Calibri"/>
                <w:sz w:val="20"/>
                <w:szCs w:val="20"/>
                <w:lang w:val="en-GB"/>
              </w:rPr>
              <w:t>The assessment of the tax administration for the Public Revenue Office in North Macedonia lists the following recommendations, for which there is an opportunity for improvement:</w:t>
            </w:r>
          </w:p>
          <w:p w14:paraId="72990F84" w14:textId="77777777" w:rsidR="008F758B" w:rsidRPr="00D30847" w:rsidRDefault="006A55CA" w:rsidP="00532C0E">
            <w:pPr>
              <w:spacing w:after="0" w:line="240" w:lineRule="auto"/>
              <w:jc w:val="both"/>
              <w:rPr>
                <w:rFonts w:cs="Calibri"/>
                <w:sz w:val="20"/>
                <w:szCs w:val="20"/>
                <w:lang w:val="en-GB"/>
              </w:rPr>
            </w:pPr>
            <w:r w:rsidRPr="00D30847">
              <w:rPr>
                <w:rFonts w:cs="Calibri"/>
                <w:sz w:val="20"/>
                <w:szCs w:val="20"/>
                <w:lang w:val="en-GB"/>
              </w:rPr>
              <w:t>• Data integration and development of a new integrated IT system that supports all basic tax administrative functions</w:t>
            </w:r>
          </w:p>
          <w:p w14:paraId="74F51EFB" w14:textId="77777777" w:rsidR="008F758B" w:rsidRPr="00D30847" w:rsidRDefault="006A55CA" w:rsidP="00532C0E">
            <w:pPr>
              <w:spacing w:after="0" w:line="240" w:lineRule="auto"/>
              <w:jc w:val="both"/>
              <w:rPr>
                <w:rFonts w:cs="Calibri"/>
                <w:sz w:val="20"/>
                <w:szCs w:val="20"/>
                <w:lang w:val="en-GB"/>
              </w:rPr>
            </w:pPr>
            <w:r w:rsidRPr="00D30847">
              <w:rPr>
                <w:rFonts w:cs="Calibri"/>
                <w:sz w:val="20"/>
                <w:szCs w:val="20"/>
                <w:lang w:val="en-GB"/>
              </w:rPr>
              <w:t>• Change management process to ensure new system is developed, tested and introduced on time and within budget</w:t>
            </w:r>
          </w:p>
          <w:p w14:paraId="7AB26FE7" w14:textId="77777777" w:rsidR="008F758B" w:rsidRPr="00D30847" w:rsidRDefault="006A55CA" w:rsidP="00532C0E">
            <w:pPr>
              <w:spacing w:after="0" w:line="240" w:lineRule="auto"/>
              <w:jc w:val="both"/>
              <w:rPr>
                <w:rFonts w:cs="Calibri"/>
                <w:sz w:val="20"/>
                <w:szCs w:val="20"/>
                <w:lang w:val="en-GB"/>
              </w:rPr>
            </w:pPr>
            <w:r w:rsidRPr="00D30847">
              <w:rPr>
                <w:rFonts w:cs="Calibri"/>
                <w:sz w:val="20"/>
                <w:szCs w:val="20"/>
                <w:lang w:val="en-GB"/>
              </w:rPr>
              <w:t>• Hardware / software upgrade</w:t>
            </w:r>
          </w:p>
          <w:p w14:paraId="2A7BE057" w14:textId="77777777" w:rsidR="008F758B" w:rsidRPr="00D30847" w:rsidRDefault="006A55CA" w:rsidP="00532C0E">
            <w:pPr>
              <w:spacing w:after="0" w:line="240" w:lineRule="auto"/>
              <w:jc w:val="both"/>
              <w:rPr>
                <w:rFonts w:cs="Calibri"/>
                <w:sz w:val="20"/>
                <w:szCs w:val="20"/>
                <w:lang w:val="en-GB"/>
              </w:rPr>
            </w:pPr>
            <w:r w:rsidRPr="00D30847">
              <w:rPr>
                <w:rFonts w:cs="Calibri"/>
                <w:sz w:val="20"/>
                <w:szCs w:val="20"/>
                <w:lang w:val="en-GB"/>
              </w:rPr>
              <w:lastRenderedPageBreak/>
              <w:t>• Filling vacant IT positions</w:t>
            </w:r>
          </w:p>
          <w:p w14:paraId="6D5A20FA" w14:textId="77777777" w:rsidR="008F758B" w:rsidRPr="00D30847" w:rsidRDefault="006A55CA" w:rsidP="00532C0E">
            <w:pPr>
              <w:spacing w:after="0" w:line="240" w:lineRule="auto"/>
              <w:jc w:val="both"/>
              <w:rPr>
                <w:rFonts w:cs="Calibri"/>
                <w:sz w:val="20"/>
                <w:szCs w:val="20"/>
                <w:lang w:val="en-GB"/>
              </w:rPr>
            </w:pPr>
            <w:r w:rsidRPr="00D30847">
              <w:rPr>
                <w:rFonts w:cs="Calibri"/>
                <w:sz w:val="20"/>
                <w:szCs w:val="20"/>
                <w:lang w:val="en-GB"/>
              </w:rPr>
              <w:t>• Starting with measuring the processing time of basic processes</w:t>
            </w:r>
          </w:p>
          <w:p w14:paraId="35AFF994" w14:textId="77777777" w:rsidR="008F758B" w:rsidRPr="00D30847" w:rsidRDefault="006A55CA" w:rsidP="00532C0E">
            <w:pPr>
              <w:spacing w:after="0" w:line="240" w:lineRule="auto"/>
              <w:jc w:val="both"/>
              <w:rPr>
                <w:rFonts w:cs="Calibri"/>
                <w:sz w:val="20"/>
                <w:szCs w:val="20"/>
                <w:lang w:val="en-GB"/>
              </w:rPr>
            </w:pPr>
            <w:r w:rsidRPr="00D30847">
              <w:rPr>
                <w:rFonts w:cs="Calibri"/>
                <w:sz w:val="20"/>
                <w:szCs w:val="20"/>
                <w:lang w:val="en-GB"/>
              </w:rPr>
              <w:t>• Use of new technologies (</w:t>
            </w:r>
            <w:proofErr w:type="spellStart"/>
            <w:r w:rsidRPr="00D30847">
              <w:rPr>
                <w:rFonts w:cs="Calibri"/>
                <w:sz w:val="20"/>
                <w:szCs w:val="20"/>
                <w:lang w:val="en-GB"/>
              </w:rPr>
              <w:t>eg</w:t>
            </w:r>
            <w:proofErr w:type="spellEnd"/>
            <w:r w:rsidRPr="00D30847">
              <w:rPr>
                <w:rFonts w:cs="Calibri"/>
                <w:sz w:val="20"/>
                <w:szCs w:val="20"/>
                <w:lang w:val="en-GB"/>
              </w:rPr>
              <w:t>, expanded use of big data, third-party data-responsive systems, use of artificial intelligence)</w:t>
            </w:r>
          </w:p>
          <w:p w14:paraId="7F7D3F4B" w14:textId="3E3DE54D" w:rsidR="008F758B" w:rsidRPr="00D30847" w:rsidRDefault="006A55CA" w:rsidP="00532C0E">
            <w:pPr>
              <w:spacing w:after="0" w:line="240" w:lineRule="auto"/>
              <w:jc w:val="both"/>
              <w:rPr>
                <w:rFonts w:cs="Calibri"/>
                <w:sz w:val="20"/>
                <w:szCs w:val="20"/>
                <w:lang w:val="en-GB"/>
              </w:rPr>
            </w:pPr>
            <w:r w:rsidRPr="00D30847">
              <w:rPr>
                <w:rFonts w:cs="Calibri"/>
                <w:sz w:val="20"/>
                <w:szCs w:val="20"/>
                <w:lang w:val="en-GB"/>
              </w:rPr>
              <w:t>• Improvement of the business continuity plan</w:t>
            </w:r>
          </w:p>
        </w:tc>
      </w:tr>
      <w:tr w:rsidR="008F758B" w:rsidRPr="00D30847" w14:paraId="21984D5B" w14:textId="77777777" w:rsidTr="00F46E0B">
        <w:tc>
          <w:tcPr>
            <w:tcW w:w="993" w:type="dxa"/>
            <w:shd w:val="clear" w:color="auto" w:fill="DDDDDD"/>
          </w:tcPr>
          <w:p w14:paraId="1BC88510" w14:textId="1D393C77" w:rsidR="008F758B" w:rsidRPr="00D30847" w:rsidRDefault="006A55CA" w:rsidP="00DF185F">
            <w:pPr>
              <w:spacing w:before="80" w:after="0" w:line="240" w:lineRule="auto"/>
              <w:jc w:val="both"/>
              <w:rPr>
                <w:rFonts w:eastAsia="Times New Roman" w:cs="Calibri"/>
                <w:b/>
                <w:color w:val="202124"/>
                <w:sz w:val="20"/>
                <w:szCs w:val="20"/>
                <w:lang w:val="en-GB"/>
              </w:rPr>
            </w:pPr>
            <w:r w:rsidRPr="00D30847">
              <w:rPr>
                <w:rFonts w:cs="Calibri"/>
                <w:b/>
                <w:sz w:val="20"/>
                <w:szCs w:val="20"/>
                <w:lang w:val="en-GB"/>
              </w:rPr>
              <w:lastRenderedPageBreak/>
              <w:t>EU</w:t>
            </w:r>
          </w:p>
        </w:tc>
        <w:tc>
          <w:tcPr>
            <w:tcW w:w="7587" w:type="dxa"/>
            <w:shd w:val="clear" w:color="auto" w:fill="DDDDDD"/>
          </w:tcPr>
          <w:p w14:paraId="76A585F0" w14:textId="15F0D3EE" w:rsidR="008F758B" w:rsidRPr="00D30847" w:rsidRDefault="006A55CA" w:rsidP="00DF185F">
            <w:pPr>
              <w:spacing w:line="240" w:lineRule="auto"/>
              <w:jc w:val="both"/>
              <w:rPr>
                <w:rFonts w:cs="Calibri"/>
                <w:b/>
                <w:bCs/>
                <w:sz w:val="20"/>
                <w:szCs w:val="20"/>
                <w:u w:val="single"/>
                <w:lang w:val="en-GB"/>
              </w:rPr>
            </w:pPr>
            <w:r w:rsidRPr="00D30847">
              <w:rPr>
                <w:rFonts w:cs="Calibri"/>
                <w:b/>
                <w:bCs/>
                <w:sz w:val="20"/>
                <w:szCs w:val="20"/>
                <w:u w:val="single"/>
                <w:lang w:val="en-GB"/>
              </w:rPr>
              <w:t>EU Report 202</w:t>
            </w:r>
            <w:r w:rsidR="00671067" w:rsidRPr="00D30847">
              <w:rPr>
                <w:rFonts w:cs="Calibri"/>
                <w:b/>
                <w:bCs/>
                <w:sz w:val="20"/>
                <w:szCs w:val="20"/>
                <w:u w:val="single"/>
                <w:lang w:val="en-GB"/>
              </w:rPr>
              <w:t>4</w:t>
            </w:r>
            <w:r w:rsidRPr="00D30847">
              <w:rPr>
                <w:rFonts w:cs="Calibri"/>
                <w:b/>
                <w:bCs/>
                <w:sz w:val="20"/>
                <w:szCs w:val="20"/>
                <w:u w:val="single"/>
                <w:lang w:val="en-GB"/>
              </w:rPr>
              <w:t xml:space="preserve"> (Chapter 16-Taxation)</w:t>
            </w:r>
          </w:p>
          <w:p w14:paraId="0BBB0AC1" w14:textId="582F1F90" w:rsidR="008F758B" w:rsidRPr="00D30847" w:rsidRDefault="00671067" w:rsidP="00532C0E">
            <w:pPr>
              <w:spacing w:after="0" w:line="240" w:lineRule="auto"/>
              <w:jc w:val="both"/>
              <w:rPr>
                <w:rFonts w:cs="Calibri"/>
                <w:sz w:val="20"/>
                <w:szCs w:val="20"/>
                <w:lang w:val="en-GB"/>
              </w:rPr>
            </w:pPr>
            <w:r w:rsidRPr="00D30847">
              <w:rPr>
                <w:rFonts w:cs="Calibri"/>
                <w:sz w:val="20"/>
                <w:szCs w:val="20"/>
                <w:lang w:val="en-GB"/>
              </w:rPr>
              <w:t>North Macedonia remains moderately prepared in the area of taxation. Limited progress was made, specifically by reducing the administrative burden for taxpayers and setting up a reform management office to support the reform agenda of the Public Revenue Office (PRO). The Commission’s recommendations from last year were not fully implemented and therefore remain largely valid. In the coming year, North Macedonia should in particular: → develop a new integrated IT tax system for the PRO, improve its compliance risk management and step up the strategic reform process of the PRO; → start preparations for putting in place a mechanism for the effective implementation of the automatic exchange of tax information with EU Member States in line with the OECD Global Standard. → start the preparations towards achieving interconnection and interoperability with the EU taxation IT systems.</w:t>
            </w:r>
          </w:p>
        </w:tc>
      </w:tr>
      <w:tr w:rsidR="008F758B" w:rsidRPr="00D30847" w14:paraId="2809E376" w14:textId="77777777" w:rsidTr="00F46E0B">
        <w:tc>
          <w:tcPr>
            <w:tcW w:w="993" w:type="dxa"/>
            <w:shd w:val="clear" w:color="auto" w:fill="DDDDDD"/>
          </w:tcPr>
          <w:p w14:paraId="6ADC5B39" w14:textId="37D15FB9" w:rsidR="008F758B" w:rsidRPr="00D30847" w:rsidRDefault="006A55CA" w:rsidP="00DF185F">
            <w:pPr>
              <w:spacing w:before="80" w:after="0" w:line="240" w:lineRule="auto"/>
              <w:ind w:left="-94" w:right="-31"/>
              <w:rPr>
                <w:rFonts w:cs="Calibri"/>
                <w:b/>
                <w:sz w:val="20"/>
                <w:szCs w:val="20"/>
                <w:lang w:val="en-GB"/>
              </w:rPr>
            </w:pPr>
            <w:r w:rsidRPr="00D30847">
              <w:rPr>
                <w:rFonts w:cs="Calibri"/>
                <w:b/>
                <w:sz w:val="20"/>
                <w:szCs w:val="20"/>
                <w:lang w:val="en-GB"/>
              </w:rPr>
              <w:t>Others</w:t>
            </w:r>
          </w:p>
          <w:p w14:paraId="22A47845" w14:textId="77777777" w:rsidR="008F758B" w:rsidRPr="00D30847" w:rsidRDefault="008F758B" w:rsidP="00DF185F">
            <w:pPr>
              <w:spacing w:before="80" w:after="0" w:line="240" w:lineRule="auto"/>
              <w:ind w:left="-94" w:right="-31"/>
              <w:jc w:val="both"/>
              <w:rPr>
                <w:rFonts w:eastAsia="Times New Roman" w:cs="Calibri"/>
                <w:color w:val="202124"/>
                <w:sz w:val="20"/>
                <w:szCs w:val="20"/>
                <w:lang w:val="en-GB"/>
              </w:rPr>
            </w:pPr>
          </w:p>
        </w:tc>
        <w:tc>
          <w:tcPr>
            <w:tcW w:w="7587" w:type="dxa"/>
            <w:shd w:val="clear" w:color="auto" w:fill="DDDDDD"/>
          </w:tcPr>
          <w:p w14:paraId="1AA6AB89" w14:textId="57EF90A9" w:rsidR="008F758B" w:rsidRPr="00D30847" w:rsidRDefault="006A55CA" w:rsidP="00DF185F">
            <w:pPr>
              <w:spacing w:line="240" w:lineRule="auto"/>
              <w:jc w:val="both"/>
              <w:rPr>
                <w:rFonts w:cs="Calibri"/>
                <w:sz w:val="20"/>
                <w:szCs w:val="20"/>
                <w:lang w:val="en-GB"/>
              </w:rPr>
            </w:pPr>
            <w:r w:rsidRPr="00D30847">
              <w:rPr>
                <w:rFonts w:cs="Calibri"/>
                <w:sz w:val="20"/>
                <w:szCs w:val="20"/>
                <w:lang w:val="en-GB"/>
              </w:rPr>
              <w:t xml:space="preserve">Development and reengineering of work processes for the new tax integrated IT system – IPA2/EUIF The project "Development and restructuring of work processes for the new tax integrated IT system" was completed on 31.01.2019 and the </w:t>
            </w:r>
            <w:r w:rsidR="008F391C" w:rsidRPr="00D30847">
              <w:rPr>
                <w:rFonts w:cs="Calibri"/>
                <w:sz w:val="20"/>
                <w:szCs w:val="20"/>
                <w:lang w:val="en-GB"/>
              </w:rPr>
              <w:t>modelled</w:t>
            </w:r>
            <w:r w:rsidRPr="00D30847">
              <w:rPr>
                <w:rFonts w:cs="Calibri"/>
                <w:sz w:val="20"/>
                <w:szCs w:val="20"/>
                <w:lang w:val="en-GB"/>
              </w:rPr>
              <w:t xml:space="preserve"> business processes (BPM2) were delivered that show the global scheme of the business processes to be reengineered and integrated into the new IT system ("TO-BE" system), a technical specification for the hardware and software for the new integrated IT system and for qual</w:t>
            </w:r>
            <w:r w:rsidR="008F758B" w:rsidRPr="00D30847">
              <w:rPr>
                <w:sz w:val="20"/>
                <w:szCs w:val="20"/>
                <w:lang w:val="en-GB"/>
              </w:rPr>
              <w:t>i</w:t>
            </w:r>
            <w:r w:rsidRPr="00D30847">
              <w:rPr>
                <w:rFonts w:cs="Calibri"/>
                <w:sz w:val="20"/>
                <w:szCs w:val="20"/>
                <w:lang w:val="en-GB"/>
              </w:rPr>
              <w:t>ty control - technical support for implementation has been delivered.</w:t>
            </w:r>
          </w:p>
          <w:p w14:paraId="070F70A7" w14:textId="77777777" w:rsidR="008F758B" w:rsidRPr="00D30847" w:rsidRDefault="006A55CA" w:rsidP="00DF185F">
            <w:pPr>
              <w:spacing w:line="240" w:lineRule="auto"/>
              <w:jc w:val="both"/>
              <w:rPr>
                <w:rFonts w:cs="Calibri"/>
                <w:b/>
                <w:bCs/>
                <w:i/>
                <w:iCs/>
                <w:sz w:val="20"/>
                <w:szCs w:val="20"/>
                <w:u w:val="single"/>
                <w:lang w:val="en-GB"/>
              </w:rPr>
            </w:pPr>
            <w:r w:rsidRPr="00D30847">
              <w:rPr>
                <w:rFonts w:cs="Calibri"/>
                <w:b/>
                <w:bCs/>
                <w:i/>
                <w:iCs/>
                <w:sz w:val="20"/>
                <w:szCs w:val="20"/>
                <w:u w:val="single"/>
                <w:lang w:val="en-GB"/>
              </w:rPr>
              <w:t>Twinning project of the EU with Austria and Croatia</w:t>
            </w:r>
          </w:p>
          <w:p w14:paraId="76616DE3" w14:textId="77777777" w:rsidR="008F758B" w:rsidRPr="00D30847" w:rsidRDefault="006A55CA" w:rsidP="00DF185F">
            <w:pPr>
              <w:spacing w:line="240" w:lineRule="auto"/>
              <w:jc w:val="both"/>
              <w:rPr>
                <w:rFonts w:cs="Calibri"/>
                <w:sz w:val="20"/>
                <w:szCs w:val="20"/>
                <w:lang w:val="en-GB"/>
              </w:rPr>
            </w:pPr>
            <w:r w:rsidRPr="00D30847">
              <w:rPr>
                <w:rFonts w:cs="Calibri"/>
                <w:sz w:val="20"/>
                <w:szCs w:val="20"/>
                <w:lang w:val="en-GB"/>
              </w:rPr>
              <w:t>The twinning project "Improving revenue collection and tax and customs policy" is implemented in the period 2020-2023 with the support of twinning partners from Austria and Croatia.</w:t>
            </w:r>
          </w:p>
          <w:p w14:paraId="12C198A6" w14:textId="15DFD5BD" w:rsidR="003C20E4" w:rsidRPr="00D30847" w:rsidRDefault="006A55CA" w:rsidP="00DF185F">
            <w:pPr>
              <w:spacing w:line="240" w:lineRule="auto"/>
              <w:jc w:val="both"/>
              <w:rPr>
                <w:rFonts w:cs="Calibri"/>
                <w:sz w:val="20"/>
                <w:szCs w:val="20"/>
                <w:lang w:val="en-GB"/>
              </w:rPr>
            </w:pPr>
            <w:r w:rsidRPr="00D30847">
              <w:rPr>
                <w:rFonts w:cs="Calibri"/>
                <w:sz w:val="20"/>
                <w:szCs w:val="20"/>
                <w:lang w:val="en-GB"/>
              </w:rPr>
              <w:t xml:space="preserve">The activities under Component 4: Operational and administrative capacities of the Public Revenue Office for the implementation of national legislation, IT services and procedures improved by the IPA twinning project "Improving revenue collection and tax and customs policy", relating to the Authority's capacities for public revenue for the implementation of improved tax legislation, the capacities in the areas of tax debt management, tax collection and tax assessment, detection of tax evasion using indirect methods for assessment of the internal audit function of undeclared income in the systems of internal control, professional and ethical standards for employee </w:t>
            </w:r>
            <w:r w:rsidR="008F391C" w:rsidRPr="00D30847">
              <w:rPr>
                <w:rFonts w:cs="Calibri"/>
                <w:sz w:val="20"/>
                <w:szCs w:val="20"/>
                <w:lang w:val="en-GB"/>
              </w:rPr>
              <w:t>behaviour</w:t>
            </w:r>
            <w:r w:rsidRPr="00D30847">
              <w:rPr>
                <w:rFonts w:cs="Calibri"/>
                <w:sz w:val="20"/>
                <w:szCs w:val="20"/>
                <w:lang w:val="en-GB"/>
              </w:rPr>
              <w:t>, human resource management, public procurement, international exchange of information and improved modernization process of tax administration; Quality assurance for the new IT system, implemented e-services and business processes and Designed warehouse for data (prepared plan for data integration and establishment of data warehouse and plan for utilization of data for different analysis).</w:t>
            </w:r>
          </w:p>
        </w:tc>
      </w:tr>
    </w:tbl>
    <w:p w14:paraId="4F1DB4D8" w14:textId="77777777" w:rsidR="00436B95" w:rsidRPr="00D30847" w:rsidRDefault="00436B95" w:rsidP="00DF185F">
      <w:pPr>
        <w:pStyle w:val="CommentText"/>
        <w:rPr>
          <w:rFonts w:cs="Calibri"/>
          <w:bCs/>
          <w:sz w:val="22"/>
          <w:szCs w:val="22"/>
        </w:rPr>
      </w:pPr>
    </w:p>
    <w:p w14:paraId="0CDAFD96" w14:textId="77777777" w:rsidR="00A64FD7" w:rsidRPr="00D30847" w:rsidRDefault="00A64FD7" w:rsidP="00DF185F">
      <w:pPr>
        <w:pStyle w:val="CommentText"/>
        <w:rPr>
          <w:rFonts w:cs="Calibri"/>
          <w:b/>
          <w:bCs/>
          <w:i/>
          <w:iCs/>
          <w:color w:val="4F81BD"/>
          <w:sz w:val="22"/>
          <w:szCs w:val="22"/>
        </w:rPr>
      </w:pPr>
      <w:r w:rsidRPr="00D30847">
        <w:rPr>
          <w:rFonts w:cs="Calibri"/>
          <w:b/>
          <w:bCs/>
          <w:i/>
          <w:iCs/>
          <w:color w:val="4F81BD"/>
          <w:sz w:val="22"/>
          <w:szCs w:val="22"/>
        </w:rPr>
        <w:t>Context / Background</w:t>
      </w:r>
    </w:p>
    <w:p w14:paraId="662C4125" w14:textId="6F3AE78A" w:rsidR="008C48FA" w:rsidRPr="00D30847" w:rsidRDefault="008C48FA" w:rsidP="00DF185F">
      <w:pPr>
        <w:spacing w:line="240" w:lineRule="auto"/>
        <w:jc w:val="both"/>
        <w:rPr>
          <w:rFonts w:cs="Calibri"/>
          <w:lang w:val="en-GB"/>
        </w:rPr>
      </w:pPr>
      <w:r w:rsidRPr="00D30847">
        <w:rPr>
          <w:rFonts w:cs="Calibri"/>
          <w:lang w:val="en-GB"/>
        </w:rPr>
        <w:t xml:space="preserve">The Public Revenue Office has a vision to become a model professional organization recognized for best practices and quality standards. In this direction, the mission of the PRO is to provide high quality services for taxpayers, simplified tax procedures for timely and accurate </w:t>
      </w:r>
      <w:r w:rsidR="008F391C" w:rsidRPr="00D30847">
        <w:rPr>
          <w:rFonts w:cs="Calibri"/>
          <w:lang w:val="en-GB"/>
        </w:rPr>
        <w:t>fulfilment</w:t>
      </w:r>
      <w:r w:rsidRPr="00D30847">
        <w:rPr>
          <w:rFonts w:cs="Calibri"/>
          <w:lang w:val="en-GB"/>
        </w:rPr>
        <w:t xml:space="preserve"> of obligations and fair and efficient collection of taxes and other public charges.</w:t>
      </w:r>
    </w:p>
    <w:p w14:paraId="4ACC183C" w14:textId="399F84EB" w:rsidR="008C48FA" w:rsidRPr="00D30847" w:rsidRDefault="008C48FA" w:rsidP="00DF185F">
      <w:pPr>
        <w:spacing w:line="240" w:lineRule="auto"/>
        <w:jc w:val="both"/>
        <w:rPr>
          <w:rFonts w:cs="Calibri"/>
          <w:lang w:val="en-GB"/>
        </w:rPr>
      </w:pPr>
      <w:r w:rsidRPr="00D30847">
        <w:rPr>
          <w:rFonts w:cs="Calibri"/>
          <w:lang w:val="en-GB"/>
        </w:rPr>
        <w:t xml:space="preserve">The use of information technology has always been an integral part of the effective functioning of modern tax administration. Historically, the use of such technology was limited only to automation of taxpayer registration functions, automation of filing and processing of returns and management of taxpayer accounts, but now its use has been extended to almost all functions of tax administration. Also, the information systems for tax administration management have been developed from the </w:t>
      </w:r>
      <w:r w:rsidRPr="00D30847">
        <w:rPr>
          <w:rFonts w:cs="Calibri"/>
          <w:lang w:val="en-GB"/>
        </w:rPr>
        <w:lastRenderedPageBreak/>
        <w:t>former "basic tax system", which mainly consisted of the register of taxpayers, the database of tax returns and the accounts of taxpayers, to today's modern integrated "Information Systems for tax administration management" that provide a holistic view of the tax</w:t>
      </w:r>
      <w:r w:rsidR="00361577" w:rsidRPr="00D30847">
        <w:rPr>
          <w:rFonts w:cs="Calibri"/>
          <w:lang w:val="en-GB"/>
        </w:rPr>
        <w:t xml:space="preserve"> </w:t>
      </w:r>
      <w:r w:rsidRPr="00D30847">
        <w:rPr>
          <w:rFonts w:cs="Calibri"/>
          <w:lang w:val="en-GB"/>
        </w:rPr>
        <w:t>payer across all aspects of tax administration.</w:t>
      </w:r>
    </w:p>
    <w:p w14:paraId="12CA8FF0" w14:textId="77777777" w:rsidR="008C48FA" w:rsidRPr="00D30847" w:rsidRDefault="008C48FA" w:rsidP="00DF185F">
      <w:pPr>
        <w:spacing w:line="240" w:lineRule="auto"/>
        <w:jc w:val="both"/>
        <w:rPr>
          <w:rFonts w:cs="Calibri"/>
          <w:lang w:val="en-GB"/>
        </w:rPr>
      </w:pPr>
      <w:r w:rsidRPr="00D30847">
        <w:rPr>
          <w:rFonts w:cs="Calibri"/>
          <w:lang w:val="en-GB"/>
        </w:rPr>
        <w:t>Legacy systems, which were used and some are still used, are limited in their functionality and have not evolved to meet the changing needs of tax administration. The key weakness of the PRO information system is the lack of real-time information and a reliable and clear picture of the taxpayer's compliance status. In addition, there are several ongoing reforms and initiatives aimed at promoting voluntary taxation, improving the effectiveness of taxpayer services and improving the business environment. These initiatives require the strengthening of IT systems and the development of appropriate functionalities in order to effectively utilize these efforts.</w:t>
      </w:r>
    </w:p>
    <w:p w14:paraId="0000B160" w14:textId="5E86B684" w:rsidR="008C48FA" w:rsidRPr="00D30847" w:rsidRDefault="008C48FA" w:rsidP="00DF185F">
      <w:pPr>
        <w:spacing w:line="240" w:lineRule="auto"/>
        <w:jc w:val="both"/>
        <w:rPr>
          <w:rFonts w:cs="Calibri"/>
          <w:lang w:val="en-GB"/>
        </w:rPr>
      </w:pPr>
      <w:r w:rsidRPr="00D30847">
        <w:rPr>
          <w:rFonts w:cs="Calibri"/>
          <w:lang w:val="en-GB"/>
        </w:rPr>
        <w:t>In that context, the implementation of the new tax system should not only address the current demands of the tax authorities, but should also address the most critical issues and limitations of the existing systems, thus removing (or reducing) the current shortcomings. Th</w:t>
      </w:r>
      <w:r w:rsidR="002C5E79" w:rsidRPr="00D30847">
        <w:rPr>
          <w:rFonts w:cs="Calibri"/>
          <w:lang w:val="en-GB"/>
        </w:rPr>
        <w:t>e new tax information system (IT</w:t>
      </w:r>
      <w:r w:rsidRPr="00D30847">
        <w:rPr>
          <w:rFonts w:cs="Calibri"/>
          <w:lang w:val="en-GB"/>
        </w:rPr>
        <w:t>IS) aims to improve the operational efficiency of tax administration functions, as well as increase revenues by strengthening compliance monitoring and improving taxpayer services.</w:t>
      </w:r>
    </w:p>
    <w:p w14:paraId="35A1526B" w14:textId="77777777" w:rsidR="008C48FA" w:rsidRPr="00D30847" w:rsidRDefault="008C48FA" w:rsidP="00DF185F">
      <w:pPr>
        <w:spacing w:line="240" w:lineRule="auto"/>
        <w:jc w:val="both"/>
        <w:rPr>
          <w:rFonts w:cs="Calibri"/>
          <w:lang w:val="en-GB"/>
        </w:rPr>
      </w:pPr>
      <w:r w:rsidRPr="00D30847">
        <w:rPr>
          <w:rFonts w:cs="Calibri"/>
          <w:lang w:val="en-GB"/>
        </w:rPr>
        <w:t>A 2014 PRO IT system study found that the PRO's existing IT system is outdated, fragmented, incomplete and inflexible in dealing with legislative changes. As a first step towards the introduction of a new integrated information system in the PRO from November 1, 2017 to January 31, 2019, the IPA 2 Project "Development and reengineering of business processes for the new tax integrated IT system" was implemented.</w:t>
      </w:r>
    </w:p>
    <w:p w14:paraId="08E3A29A" w14:textId="77777777" w:rsidR="008C48FA" w:rsidRPr="00D30847" w:rsidRDefault="008C48FA" w:rsidP="00DF185F">
      <w:pPr>
        <w:spacing w:line="240" w:lineRule="auto"/>
        <w:jc w:val="both"/>
        <w:rPr>
          <w:rFonts w:cs="Calibri"/>
          <w:lang w:val="en-GB"/>
        </w:rPr>
      </w:pPr>
      <w:r w:rsidRPr="00D30847">
        <w:rPr>
          <w:rFonts w:cs="Calibri"/>
          <w:lang w:val="en-GB"/>
        </w:rPr>
        <w:t>Based on the work processes defined in this project, a future model of an integrated tax IT system of the PRO was proposed, which will provide optimal processes for collection, reporting, analysis and risk management in accordance with the tax legislation.</w:t>
      </w:r>
    </w:p>
    <w:p w14:paraId="1FE19309" w14:textId="77777777" w:rsidR="008C48FA" w:rsidRPr="00D30847" w:rsidRDefault="008C48FA" w:rsidP="00DF185F">
      <w:pPr>
        <w:spacing w:line="240" w:lineRule="auto"/>
        <w:jc w:val="both"/>
        <w:rPr>
          <w:rFonts w:cs="Calibri"/>
          <w:lang w:val="en-GB"/>
        </w:rPr>
      </w:pPr>
      <w:r w:rsidRPr="00D30847">
        <w:rPr>
          <w:rFonts w:cs="Calibri"/>
          <w:lang w:val="en-GB"/>
        </w:rPr>
        <w:t>Several logical units are defined: registration, management of filling out tax returns and their receipt, assessment, forced collection, payments, refunds, accounting, audit, legal affairs, international cooperation, compliance management, service management and data exchange with external systems. Each of the logical units consists of several processes that support the required functionality. This project also defined the hardware architecture of the new IT system needed to support these workflows.</w:t>
      </w:r>
    </w:p>
    <w:p w14:paraId="2BD296BD" w14:textId="77777777" w:rsidR="008C48FA" w:rsidRPr="00D30847" w:rsidRDefault="008C48FA" w:rsidP="00DF185F">
      <w:pPr>
        <w:spacing w:line="240" w:lineRule="auto"/>
        <w:jc w:val="both"/>
        <w:rPr>
          <w:rFonts w:cs="Calibri"/>
          <w:lang w:val="en-GB"/>
        </w:rPr>
      </w:pPr>
      <w:r w:rsidRPr="00D30847">
        <w:rPr>
          <w:rFonts w:cs="Calibri"/>
          <w:lang w:val="en-GB"/>
        </w:rPr>
        <w:t>In January 2019, the Public Revenue Office adopted an IT strategy 2019-2022, which envisages using modern information and communication technology to provide a reliable and secure information system for the development of a flexible, efficient, effective, and service-oriented tax administration.</w:t>
      </w:r>
    </w:p>
    <w:p w14:paraId="48ED9BAA" w14:textId="77777777" w:rsidR="008C48FA" w:rsidRPr="00D30847" w:rsidRDefault="008C48FA" w:rsidP="00DF185F">
      <w:pPr>
        <w:spacing w:line="240" w:lineRule="auto"/>
        <w:jc w:val="both"/>
        <w:rPr>
          <w:rFonts w:cs="Calibri"/>
          <w:lang w:val="en-GB"/>
        </w:rPr>
      </w:pPr>
      <w:r w:rsidRPr="00D30847">
        <w:rPr>
          <w:rFonts w:cs="Calibri"/>
          <w:lang w:val="en-GB"/>
        </w:rPr>
        <w:t>The new ITIS is being developed as proprietary software (a web-based application based on an Oracle database) rather than COTS (due to budget / time constraints and sustainability issues).</w:t>
      </w:r>
    </w:p>
    <w:p w14:paraId="5E799BC7" w14:textId="6BE4C92B" w:rsidR="008C48FA" w:rsidRPr="00D30847" w:rsidRDefault="008C48FA" w:rsidP="00DF185F">
      <w:pPr>
        <w:spacing w:line="240" w:lineRule="auto"/>
        <w:jc w:val="both"/>
        <w:rPr>
          <w:rFonts w:cs="Calibri"/>
          <w:lang w:val="en-GB"/>
        </w:rPr>
      </w:pPr>
      <w:r w:rsidRPr="00D30847">
        <w:rPr>
          <w:rFonts w:cs="Calibri"/>
          <w:lang w:val="en-GB"/>
        </w:rPr>
        <w:t>Considering the above, the activities/sub-activities related to the establishment of the new Integrated Tax Information System (ITIS), which in the PFM Program 20</w:t>
      </w:r>
      <w:r w:rsidR="00671067" w:rsidRPr="00D30847">
        <w:rPr>
          <w:rFonts w:cs="Calibri"/>
          <w:lang w:val="en-GB"/>
        </w:rPr>
        <w:t>24</w:t>
      </w:r>
      <w:r w:rsidRPr="00D30847">
        <w:rPr>
          <w:rFonts w:cs="Calibri"/>
          <w:lang w:val="en-GB"/>
        </w:rPr>
        <w:t>-202</w:t>
      </w:r>
      <w:r w:rsidR="00671067" w:rsidRPr="00D30847">
        <w:rPr>
          <w:rFonts w:cs="Calibri"/>
          <w:lang w:val="en-GB"/>
        </w:rPr>
        <w:t>7</w:t>
      </w:r>
      <w:r w:rsidRPr="00D30847">
        <w:rPr>
          <w:rFonts w:cs="Calibri"/>
          <w:lang w:val="en-GB"/>
        </w:rPr>
        <w:t xml:space="preserve"> are foreseen to be realized in the period 2022-2024, are transferred to the new PFM Program 202</w:t>
      </w:r>
      <w:r w:rsidR="00671067" w:rsidRPr="00D30847">
        <w:rPr>
          <w:rFonts w:cs="Calibri"/>
          <w:lang w:val="en-GB"/>
        </w:rPr>
        <w:t>5</w:t>
      </w:r>
      <w:r w:rsidRPr="00D30847">
        <w:rPr>
          <w:rFonts w:cs="Calibri"/>
          <w:lang w:val="en-GB"/>
        </w:rPr>
        <w:t>-202</w:t>
      </w:r>
      <w:r w:rsidR="00671067" w:rsidRPr="00D30847">
        <w:rPr>
          <w:rFonts w:cs="Calibri"/>
          <w:lang w:val="en-GB"/>
        </w:rPr>
        <w:t>8, which follows the timeline in the new Reform Program of the Public Revenue Office 2025-2028 "Transition to the Digital World".</w:t>
      </w:r>
      <w:r w:rsidRPr="00D30847">
        <w:rPr>
          <w:rFonts w:cs="Calibri"/>
          <w:lang w:val="en-GB"/>
        </w:rPr>
        <w:t xml:space="preserve"> </w:t>
      </w:r>
    </w:p>
    <w:p w14:paraId="7A5A0505" w14:textId="39FEF18E" w:rsidR="008C48FA" w:rsidRPr="00D30847" w:rsidRDefault="008C48FA" w:rsidP="00DF185F">
      <w:pPr>
        <w:spacing w:line="240" w:lineRule="auto"/>
        <w:jc w:val="both"/>
        <w:rPr>
          <w:rFonts w:cs="Calibri"/>
          <w:lang w:val="en-GB"/>
        </w:rPr>
      </w:pPr>
      <w:r w:rsidRPr="00D30847">
        <w:rPr>
          <w:rFonts w:cs="Calibri"/>
          <w:lang w:val="en-GB"/>
        </w:rPr>
        <w:t xml:space="preserve">With the amendments to the Law on the Public Revenue Office, which are in force from 05/03/2023. the formal organization and structure for the implementation of the digital transformation reform of the PRO has been arranged. In accordance with the legal provisions, the Director of the Public Revenue Office with a decision dated 05/18/2023. established a Working Body for the implementation of a Tax Information System, whose task is: implementation, upgrading, optimization, execution, regulation, maintenance, control, staff education and analysis of all processes and functionalities related to the tax information system. In the month of August 2023, the working body proposed a holistic and </w:t>
      </w:r>
      <w:r w:rsidRPr="00D30847">
        <w:rPr>
          <w:rFonts w:cs="Calibri"/>
          <w:lang w:val="en-GB"/>
        </w:rPr>
        <w:lastRenderedPageBreak/>
        <w:t>comprehensive Draft Program for the implementation of the Tax Information System 2023-2028, which presents the vision for redesigned business processes and new tax services that will be automated and digitized through the new information system, the vision for compliance management based on the processing of mass data and the use of tools for business intelligence and the provision of IT security and stability</w:t>
      </w:r>
      <w:r w:rsidR="00671067" w:rsidRPr="00D30847">
        <w:rPr>
          <w:rFonts w:cs="Calibri"/>
          <w:lang w:val="en-GB"/>
        </w:rPr>
        <w:t>. In October 2024, the Reform Program of the Public Revenue Office 2025-2028 "Transition to the Digital World" was adopted and signed, which will set the roadmap for the implementation of this holistic reform in the PRO. In order to more effectively monitor the implementation of the program, the PRO established a Committee for Strategic and Reform Management.</w:t>
      </w:r>
    </w:p>
    <w:p w14:paraId="6A7F87F3" w14:textId="77777777" w:rsidR="008C48FA" w:rsidRPr="00D30847" w:rsidRDefault="008C48FA" w:rsidP="00DF185F">
      <w:pPr>
        <w:spacing w:line="240" w:lineRule="auto"/>
        <w:jc w:val="both"/>
        <w:rPr>
          <w:rFonts w:cs="Calibri"/>
          <w:lang w:val="en-GB"/>
        </w:rPr>
      </w:pPr>
      <w:r w:rsidRPr="00D30847">
        <w:rPr>
          <w:rFonts w:cs="Calibri"/>
          <w:lang w:val="en-GB"/>
        </w:rPr>
        <w:t>Part of the financial resources for the new Tax Information System have been provided through the project "Building effective, transparent and accountable institutions for the management of public finances", which became effective with the conclusion of an Agreement with the World Bank, namely:</w:t>
      </w:r>
    </w:p>
    <w:p w14:paraId="398F6E4A" w14:textId="3014ED07" w:rsidR="008C48FA" w:rsidRPr="00D30847" w:rsidRDefault="00361577" w:rsidP="00DF185F">
      <w:pPr>
        <w:spacing w:line="240" w:lineRule="auto"/>
        <w:jc w:val="both"/>
        <w:rPr>
          <w:rFonts w:cs="Calibri"/>
          <w:lang w:val="en-GB"/>
        </w:rPr>
      </w:pPr>
      <w:r w:rsidRPr="00D30847">
        <w:rPr>
          <w:rFonts w:cs="Calibri"/>
          <w:lang w:val="en-GB"/>
        </w:rPr>
        <w:t xml:space="preserve">1.  </w:t>
      </w:r>
      <w:r w:rsidR="008C48FA" w:rsidRPr="00D30847">
        <w:rPr>
          <w:rFonts w:cs="Calibri"/>
          <w:lang w:val="en-GB"/>
        </w:rPr>
        <w:t>IT solutions for the modernization of taxpayer services by improving the e-Taxes/e-Services portal and additional online opportunities to support citizen engagement in the tax domain through feedback mechanisms, smart applications, or other software tools</w:t>
      </w:r>
    </w:p>
    <w:p w14:paraId="4E86CDC5" w14:textId="61215AF3" w:rsidR="008C48FA" w:rsidRPr="00D30847" w:rsidRDefault="00361577" w:rsidP="00DF185F">
      <w:pPr>
        <w:spacing w:line="240" w:lineRule="auto"/>
        <w:jc w:val="both"/>
        <w:rPr>
          <w:rFonts w:cs="Calibri"/>
          <w:lang w:val="en-GB"/>
        </w:rPr>
      </w:pPr>
      <w:r w:rsidRPr="00D30847">
        <w:rPr>
          <w:rFonts w:cs="Calibri"/>
          <w:lang w:val="en-GB"/>
        </w:rPr>
        <w:t xml:space="preserve">2. </w:t>
      </w:r>
      <w:r w:rsidR="008C48FA" w:rsidRPr="00D30847">
        <w:rPr>
          <w:rFonts w:cs="Calibri"/>
          <w:lang w:val="en-GB"/>
        </w:rPr>
        <w:t>Data warehouse and business intelligence tools - Software and hardware required for the new DW for online analytical processing, statistics and reporting and software required for the development of risk management tools for compliance and decision-making process in the PRO</w:t>
      </w:r>
    </w:p>
    <w:p w14:paraId="2490E3F2" w14:textId="46892E3E" w:rsidR="008C48FA" w:rsidRPr="00D30847" w:rsidRDefault="00361577" w:rsidP="00DF185F">
      <w:pPr>
        <w:spacing w:line="240" w:lineRule="auto"/>
        <w:jc w:val="both"/>
        <w:rPr>
          <w:rFonts w:cs="Calibri"/>
          <w:lang w:val="en-GB"/>
        </w:rPr>
      </w:pPr>
      <w:r w:rsidRPr="00D30847">
        <w:rPr>
          <w:rFonts w:cs="Calibri"/>
          <w:lang w:val="en-GB"/>
        </w:rPr>
        <w:t xml:space="preserve">3. </w:t>
      </w:r>
      <w:r w:rsidR="008C48FA" w:rsidRPr="00D30847">
        <w:rPr>
          <w:rFonts w:cs="Calibri"/>
          <w:lang w:val="en-GB"/>
        </w:rPr>
        <w:t xml:space="preserve">Combined Call </w:t>
      </w:r>
      <w:proofErr w:type="spellStart"/>
      <w:r w:rsidR="008C48FA" w:rsidRPr="00D30847">
        <w:rPr>
          <w:rFonts w:cs="Calibri"/>
          <w:lang w:val="en-GB"/>
        </w:rPr>
        <w:t>Center</w:t>
      </w:r>
      <w:proofErr w:type="spellEnd"/>
      <w:r w:rsidR="008C48FA" w:rsidRPr="00D30847">
        <w:rPr>
          <w:rFonts w:cs="Calibri"/>
          <w:lang w:val="en-GB"/>
        </w:rPr>
        <w:t xml:space="preserve">/Help Desk - Software and Hardware Required to Set Up a Call </w:t>
      </w:r>
      <w:proofErr w:type="spellStart"/>
      <w:r w:rsidR="008C48FA" w:rsidRPr="00D30847">
        <w:rPr>
          <w:rFonts w:cs="Calibri"/>
          <w:lang w:val="en-GB"/>
        </w:rPr>
        <w:t>Center</w:t>
      </w:r>
      <w:proofErr w:type="spellEnd"/>
      <w:r w:rsidR="008C48FA" w:rsidRPr="00D30847">
        <w:rPr>
          <w:rFonts w:cs="Calibri"/>
          <w:lang w:val="en-GB"/>
        </w:rPr>
        <w:t>/Help Desk</w:t>
      </w:r>
    </w:p>
    <w:p w14:paraId="65858B89" w14:textId="410F7B20" w:rsidR="008C48FA" w:rsidRPr="00D30847" w:rsidRDefault="00361577" w:rsidP="00DF185F">
      <w:pPr>
        <w:spacing w:line="240" w:lineRule="auto"/>
        <w:jc w:val="both"/>
        <w:rPr>
          <w:rFonts w:cs="Calibri"/>
          <w:lang w:val="en-GB"/>
        </w:rPr>
      </w:pPr>
      <w:r w:rsidRPr="00D30847">
        <w:rPr>
          <w:rFonts w:cs="Calibri"/>
          <w:lang w:val="en-GB"/>
        </w:rPr>
        <w:t xml:space="preserve">4. </w:t>
      </w:r>
      <w:r w:rsidR="008C48FA" w:rsidRPr="00D30847">
        <w:rPr>
          <w:rFonts w:cs="Calibri"/>
          <w:lang w:val="en-GB"/>
        </w:rPr>
        <w:t xml:space="preserve">Hardware required for the implementation of the tax information system modules - Procurement and installation of additional servers, data storage units, replication systems and other solutions required for the implementation of the tax information system modules (including the e-invoicing module), expansion of the tax information system operations in the existing the PRO data </w:t>
      </w:r>
      <w:proofErr w:type="spellStart"/>
      <w:r w:rsidR="008C48FA" w:rsidRPr="00D30847">
        <w:rPr>
          <w:rFonts w:cs="Calibri"/>
          <w:lang w:val="en-GB"/>
        </w:rPr>
        <w:t>center</w:t>
      </w:r>
      <w:proofErr w:type="spellEnd"/>
      <w:r w:rsidR="008C48FA" w:rsidRPr="00D30847">
        <w:rPr>
          <w:rFonts w:cs="Calibri"/>
          <w:lang w:val="en-GB"/>
        </w:rPr>
        <w:t xml:space="preserve"> and the new joint Disaster Recovery Centre managed by the Ministry of Interior.</w:t>
      </w:r>
    </w:p>
    <w:p w14:paraId="3EE86936" w14:textId="0D123B29" w:rsidR="007222CA" w:rsidRPr="00D30847" w:rsidRDefault="008C48FA" w:rsidP="006C526B">
      <w:pPr>
        <w:pStyle w:val="Heading4"/>
        <w:spacing w:line="240" w:lineRule="auto"/>
        <w:rPr>
          <w:rFonts w:eastAsia="Calibri" w:cs="Calibri"/>
          <w:b w:val="0"/>
          <w:bCs w:val="0"/>
          <w:i w:val="0"/>
          <w:iCs w:val="0"/>
          <w:color w:val="auto"/>
          <w:sz w:val="22"/>
          <w:szCs w:val="22"/>
          <w:lang w:eastAsia="en-US"/>
        </w:rPr>
      </w:pPr>
      <w:r w:rsidRPr="00D30847">
        <w:rPr>
          <w:rFonts w:eastAsia="Calibri" w:cs="Calibri"/>
          <w:b w:val="0"/>
          <w:bCs w:val="0"/>
          <w:i w:val="0"/>
          <w:iCs w:val="0"/>
          <w:color w:val="auto"/>
          <w:sz w:val="22"/>
          <w:szCs w:val="22"/>
          <w:lang w:eastAsia="en-US"/>
        </w:rPr>
        <w:t>This activity is expected to end in 202</w:t>
      </w:r>
      <w:r w:rsidR="00671067" w:rsidRPr="00D30847">
        <w:rPr>
          <w:rFonts w:eastAsia="Calibri" w:cs="Calibri"/>
          <w:b w:val="0"/>
          <w:bCs w:val="0"/>
          <w:i w:val="0"/>
          <w:iCs w:val="0"/>
          <w:color w:val="auto"/>
          <w:sz w:val="22"/>
          <w:szCs w:val="22"/>
          <w:lang w:eastAsia="en-US"/>
        </w:rPr>
        <w:t>8</w:t>
      </w:r>
      <w:r w:rsidRPr="00D30847">
        <w:rPr>
          <w:rFonts w:eastAsia="Calibri" w:cs="Calibri"/>
          <w:b w:val="0"/>
          <w:bCs w:val="0"/>
          <w:i w:val="0"/>
          <w:iCs w:val="0"/>
          <w:color w:val="auto"/>
          <w:sz w:val="22"/>
          <w:szCs w:val="22"/>
          <w:lang w:eastAsia="en-US"/>
        </w:rPr>
        <w:t xml:space="preserve">, during which the following </w:t>
      </w:r>
      <w:r w:rsidR="00070786" w:rsidRPr="00D30847">
        <w:rPr>
          <w:rFonts w:eastAsia="Calibri" w:cs="Calibri"/>
          <w:b w:val="0"/>
          <w:bCs w:val="0"/>
          <w:i w:val="0"/>
          <w:iCs w:val="0"/>
          <w:color w:val="auto"/>
          <w:sz w:val="22"/>
          <w:szCs w:val="22"/>
          <w:lang w:eastAsia="en-US"/>
        </w:rPr>
        <w:t>activities</w:t>
      </w:r>
      <w:r w:rsidRPr="00D30847" w:rsidDel="008F758B">
        <w:rPr>
          <w:rFonts w:eastAsia="Calibri" w:cs="Calibri"/>
          <w:b w:val="0"/>
          <w:bCs w:val="0"/>
          <w:i w:val="0"/>
          <w:iCs w:val="0"/>
          <w:color w:val="auto"/>
          <w:sz w:val="22"/>
          <w:szCs w:val="22"/>
          <w:lang w:eastAsia="en-US"/>
        </w:rPr>
        <w:t xml:space="preserve"> </w:t>
      </w:r>
      <w:r w:rsidRPr="00D30847">
        <w:rPr>
          <w:rFonts w:eastAsia="Calibri" w:cs="Calibri"/>
          <w:b w:val="0"/>
          <w:bCs w:val="0"/>
          <w:i w:val="0"/>
          <w:iCs w:val="0"/>
          <w:color w:val="auto"/>
          <w:sz w:val="22"/>
          <w:szCs w:val="22"/>
          <w:lang w:eastAsia="en-US"/>
        </w:rPr>
        <w:t>will be implemented:</w:t>
      </w:r>
    </w:p>
    <w:p w14:paraId="79AC6726" w14:textId="77777777" w:rsidR="006C526B" w:rsidRPr="00D30847" w:rsidRDefault="006C526B" w:rsidP="006C526B">
      <w:pPr>
        <w:rPr>
          <w:lang w:val="en-GB"/>
        </w:rPr>
      </w:pPr>
    </w:p>
    <w:p w14:paraId="2294ECF4" w14:textId="14738073" w:rsidR="008C48FA" w:rsidRPr="00D30847" w:rsidRDefault="008C48FA" w:rsidP="00DF185F">
      <w:pPr>
        <w:spacing w:line="240" w:lineRule="auto"/>
        <w:jc w:val="both"/>
        <w:rPr>
          <w:rFonts w:cs="Calibri"/>
          <w:b/>
          <w:bCs/>
          <w:iCs/>
          <w:color w:val="4F81BD"/>
          <w:lang w:val="en-GB"/>
        </w:rPr>
      </w:pPr>
      <w:r w:rsidRPr="00D30847">
        <w:rPr>
          <w:rFonts w:cs="Calibri"/>
          <w:b/>
          <w:bCs/>
          <w:iCs/>
          <w:color w:val="4F81BD"/>
          <w:lang w:val="en-GB"/>
        </w:rPr>
        <w:t>Activity 1: Completion of the remaining modules of the Integrated Tax Information System</w:t>
      </w:r>
    </w:p>
    <w:p w14:paraId="64A79830" w14:textId="0F9E91CB" w:rsidR="008C48FA" w:rsidRPr="00D30847" w:rsidRDefault="008C48FA" w:rsidP="00361577">
      <w:pPr>
        <w:pStyle w:val="Heading4"/>
        <w:spacing w:before="0" w:after="0" w:line="240" w:lineRule="auto"/>
        <w:rPr>
          <w:rFonts w:eastAsia="Calibri" w:cs="Calibri"/>
          <w:b w:val="0"/>
          <w:bCs w:val="0"/>
          <w:i w:val="0"/>
          <w:iCs w:val="0"/>
          <w:color w:val="auto"/>
          <w:sz w:val="22"/>
          <w:szCs w:val="22"/>
          <w:lang w:eastAsia="en-US"/>
        </w:rPr>
      </w:pPr>
      <w:r w:rsidRPr="00D30847">
        <w:rPr>
          <w:rFonts w:eastAsia="Calibri" w:cs="Calibri"/>
          <w:b w:val="0"/>
          <w:bCs w:val="0"/>
          <w:i w:val="0"/>
          <w:iCs w:val="0"/>
          <w:color w:val="auto"/>
          <w:sz w:val="22"/>
          <w:szCs w:val="22"/>
          <w:lang w:eastAsia="en-US"/>
        </w:rPr>
        <w:t xml:space="preserve">- Development of functional and technical specification and initiation of public procurement </w:t>
      </w:r>
      <w:r w:rsidR="00361577" w:rsidRPr="00D30847">
        <w:rPr>
          <w:rFonts w:eastAsia="Calibri" w:cs="Calibri"/>
          <w:b w:val="0"/>
          <w:bCs w:val="0"/>
          <w:i w:val="0"/>
          <w:iCs w:val="0"/>
          <w:color w:val="auto"/>
          <w:sz w:val="22"/>
          <w:szCs w:val="22"/>
          <w:lang w:eastAsia="en-US"/>
        </w:rPr>
        <w:t xml:space="preserve">       </w:t>
      </w:r>
      <w:r w:rsidRPr="00D30847">
        <w:rPr>
          <w:rFonts w:eastAsia="Calibri" w:cs="Calibri"/>
          <w:b w:val="0"/>
          <w:bCs w:val="0"/>
          <w:i w:val="0"/>
          <w:iCs w:val="0"/>
          <w:color w:val="auto"/>
          <w:sz w:val="22"/>
          <w:szCs w:val="22"/>
          <w:lang w:eastAsia="en-US"/>
        </w:rPr>
        <w:t>procedure for a new tax information system to support the tax functions of the PRO</w:t>
      </w:r>
    </w:p>
    <w:p w14:paraId="0C865317" w14:textId="77777777" w:rsidR="008C48FA" w:rsidRPr="00D30847" w:rsidRDefault="008C48FA" w:rsidP="00361577">
      <w:pPr>
        <w:pStyle w:val="Heading4"/>
        <w:spacing w:before="0" w:after="0" w:line="240" w:lineRule="auto"/>
        <w:rPr>
          <w:rFonts w:eastAsia="Calibri" w:cs="Calibri"/>
          <w:b w:val="0"/>
          <w:bCs w:val="0"/>
          <w:i w:val="0"/>
          <w:iCs w:val="0"/>
          <w:color w:val="auto"/>
          <w:sz w:val="22"/>
          <w:szCs w:val="22"/>
          <w:lang w:eastAsia="en-US"/>
        </w:rPr>
      </w:pPr>
      <w:r w:rsidRPr="00D30847">
        <w:rPr>
          <w:rFonts w:eastAsia="Calibri" w:cs="Calibri"/>
          <w:b w:val="0"/>
          <w:bCs w:val="0"/>
          <w:i w:val="0"/>
          <w:iCs w:val="0"/>
          <w:color w:val="auto"/>
          <w:sz w:val="22"/>
          <w:szCs w:val="22"/>
          <w:lang w:eastAsia="en-US"/>
        </w:rPr>
        <w:t>- Starting with a phased implementation of the performance of a new Tax Information System</w:t>
      </w:r>
    </w:p>
    <w:p w14:paraId="119C6062" w14:textId="6B57B286" w:rsidR="00015266" w:rsidRPr="00D30847" w:rsidRDefault="008C48FA" w:rsidP="006C526B">
      <w:pPr>
        <w:pStyle w:val="Heading4"/>
        <w:spacing w:before="0" w:after="0" w:line="240" w:lineRule="auto"/>
        <w:rPr>
          <w:rFonts w:eastAsia="Calibri" w:cs="Calibri"/>
          <w:b w:val="0"/>
          <w:bCs w:val="0"/>
          <w:i w:val="0"/>
          <w:iCs w:val="0"/>
          <w:color w:val="auto"/>
          <w:sz w:val="22"/>
          <w:szCs w:val="22"/>
          <w:lang w:eastAsia="en-US"/>
        </w:rPr>
      </w:pPr>
      <w:r w:rsidRPr="00D30847">
        <w:rPr>
          <w:rFonts w:eastAsia="Calibri" w:cs="Calibri"/>
          <w:b w:val="0"/>
          <w:bCs w:val="0"/>
          <w:i w:val="0"/>
          <w:iCs w:val="0"/>
          <w:color w:val="auto"/>
          <w:sz w:val="22"/>
          <w:szCs w:val="22"/>
          <w:lang w:eastAsia="en-US"/>
        </w:rPr>
        <w:t>- Continuation of the phased implementation of the performance of a new Tax Information System</w:t>
      </w:r>
    </w:p>
    <w:p w14:paraId="6E3F906C" w14:textId="77777777" w:rsidR="00532C0E" w:rsidRPr="00D30847" w:rsidRDefault="00532C0E" w:rsidP="00532C0E">
      <w:pPr>
        <w:rPr>
          <w:sz w:val="10"/>
          <w:szCs w:val="10"/>
          <w:lang w:val="en-GB"/>
        </w:rPr>
      </w:pPr>
    </w:p>
    <w:p w14:paraId="157A49CD" w14:textId="2E137732" w:rsidR="00AE0C5A" w:rsidRPr="00D30847" w:rsidRDefault="008F758B" w:rsidP="00DF185F">
      <w:pPr>
        <w:spacing w:line="240" w:lineRule="auto"/>
        <w:jc w:val="both"/>
        <w:rPr>
          <w:rFonts w:cs="Calibri"/>
          <w:b/>
          <w:bCs/>
          <w:iCs/>
          <w:color w:val="4F81BD"/>
          <w:lang w:val="en-GB"/>
        </w:rPr>
      </w:pPr>
      <w:r w:rsidRPr="00D30847">
        <w:rPr>
          <w:rFonts w:cs="Calibri"/>
          <w:b/>
          <w:bCs/>
          <w:iCs/>
          <w:color w:val="4F81BD"/>
          <w:lang w:val="en-GB"/>
        </w:rPr>
        <w:t>Activity</w:t>
      </w:r>
      <w:r w:rsidR="00EB301D" w:rsidRPr="00D30847">
        <w:rPr>
          <w:rFonts w:cs="Calibri"/>
          <w:b/>
          <w:bCs/>
          <w:iCs/>
          <w:color w:val="4F81BD"/>
          <w:lang w:val="en-GB"/>
        </w:rPr>
        <w:t xml:space="preserve"> </w:t>
      </w:r>
      <w:r w:rsidRPr="00D30847">
        <w:rPr>
          <w:rFonts w:cs="Calibri"/>
          <w:b/>
          <w:bCs/>
          <w:iCs/>
          <w:color w:val="4F81BD"/>
          <w:lang w:val="en-GB"/>
        </w:rPr>
        <w:t>2:</w:t>
      </w:r>
      <w:r w:rsidR="0020483D" w:rsidRPr="00D30847">
        <w:rPr>
          <w:rFonts w:cs="Calibri"/>
          <w:b/>
          <w:bCs/>
          <w:iCs/>
          <w:color w:val="4F81BD"/>
          <w:lang w:val="en-GB"/>
        </w:rPr>
        <w:t xml:space="preserve"> </w:t>
      </w:r>
      <w:r w:rsidR="006A55CA" w:rsidRPr="00D30847">
        <w:rPr>
          <w:rFonts w:cs="Calibri"/>
          <w:b/>
          <w:bCs/>
          <w:iCs/>
          <w:color w:val="4F81BD"/>
          <w:lang w:val="en-GB"/>
        </w:rPr>
        <w:t>Ensuring IS security (Information System) and smooth functioning of the integrated tax information system</w:t>
      </w:r>
    </w:p>
    <w:p w14:paraId="7C9B8724" w14:textId="23E7410C" w:rsidR="008C48FA" w:rsidRPr="00D30847" w:rsidRDefault="008C48FA" w:rsidP="00361577">
      <w:pPr>
        <w:pStyle w:val="Heading4"/>
        <w:spacing w:before="0" w:after="0" w:line="240" w:lineRule="auto"/>
        <w:rPr>
          <w:rFonts w:eastAsia="Calibri" w:cs="Calibri"/>
          <w:b w:val="0"/>
          <w:bCs w:val="0"/>
          <w:i w:val="0"/>
          <w:iCs w:val="0"/>
          <w:color w:val="auto"/>
          <w:sz w:val="22"/>
          <w:szCs w:val="22"/>
          <w:lang w:eastAsia="en-US"/>
        </w:rPr>
      </w:pPr>
      <w:r w:rsidRPr="00D30847">
        <w:rPr>
          <w:rFonts w:eastAsia="Calibri" w:cs="Calibri"/>
          <w:b w:val="0"/>
          <w:bCs w:val="0"/>
          <w:i w:val="0"/>
          <w:iCs w:val="0"/>
          <w:color w:val="auto"/>
          <w:sz w:val="22"/>
          <w:szCs w:val="22"/>
          <w:lang w:eastAsia="en-US"/>
        </w:rPr>
        <w:t>- Increasing the security of IT systems of the PRO</w:t>
      </w:r>
    </w:p>
    <w:p w14:paraId="759C6A82" w14:textId="77777777" w:rsidR="008C48FA" w:rsidRPr="00D30847" w:rsidRDefault="008C48FA" w:rsidP="00361577">
      <w:pPr>
        <w:pStyle w:val="Heading4"/>
        <w:spacing w:before="0" w:after="0" w:line="240" w:lineRule="auto"/>
        <w:rPr>
          <w:rFonts w:eastAsia="Calibri" w:cs="Calibri"/>
          <w:b w:val="0"/>
          <w:bCs w:val="0"/>
          <w:i w:val="0"/>
          <w:iCs w:val="0"/>
          <w:color w:val="auto"/>
          <w:sz w:val="22"/>
          <w:szCs w:val="22"/>
          <w:lang w:eastAsia="en-US"/>
        </w:rPr>
      </w:pPr>
      <w:r w:rsidRPr="00D30847">
        <w:rPr>
          <w:rFonts w:eastAsia="Calibri" w:cs="Calibri"/>
          <w:b w:val="0"/>
          <w:bCs w:val="0"/>
          <w:i w:val="0"/>
          <w:iCs w:val="0"/>
          <w:color w:val="auto"/>
          <w:sz w:val="22"/>
          <w:szCs w:val="22"/>
          <w:lang w:eastAsia="en-US"/>
        </w:rPr>
        <w:t>- Development and restructuring of the IT subsystems of the PRO</w:t>
      </w:r>
    </w:p>
    <w:p w14:paraId="0CAEF5F1" w14:textId="77777777" w:rsidR="008C48FA" w:rsidRPr="00D30847" w:rsidRDefault="008C48FA" w:rsidP="00361577">
      <w:pPr>
        <w:pStyle w:val="Heading4"/>
        <w:spacing w:before="0" w:after="0" w:line="240" w:lineRule="auto"/>
        <w:rPr>
          <w:rFonts w:eastAsia="Calibri" w:cs="Calibri"/>
          <w:b w:val="0"/>
          <w:bCs w:val="0"/>
          <w:i w:val="0"/>
          <w:iCs w:val="0"/>
          <w:color w:val="auto"/>
          <w:sz w:val="22"/>
          <w:szCs w:val="22"/>
          <w:lang w:eastAsia="en-US"/>
        </w:rPr>
      </w:pPr>
      <w:r w:rsidRPr="00D30847">
        <w:rPr>
          <w:rFonts w:eastAsia="Calibri" w:cs="Calibri"/>
          <w:b w:val="0"/>
          <w:bCs w:val="0"/>
          <w:i w:val="0"/>
          <w:iCs w:val="0"/>
          <w:color w:val="auto"/>
          <w:sz w:val="22"/>
          <w:szCs w:val="22"/>
          <w:lang w:eastAsia="en-US"/>
        </w:rPr>
        <w:t xml:space="preserve">- Establishment of a Disaster Recovery </w:t>
      </w:r>
      <w:proofErr w:type="spellStart"/>
      <w:r w:rsidRPr="00D30847">
        <w:rPr>
          <w:rFonts w:eastAsia="Calibri" w:cs="Calibri"/>
          <w:b w:val="0"/>
          <w:bCs w:val="0"/>
          <w:i w:val="0"/>
          <w:iCs w:val="0"/>
          <w:color w:val="auto"/>
          <w:sz w:val="22"/>
          <w:szCs w:val="22"/>
          <w:lang w:eastAsia="en-US"/>
        </w:rPr>
        <w:t>Center</w:t>
      </w:r>
      <w:proofErr w:type="spellEnd"/>
    </w:p>
    <w:p w14:paraId="03AE8FB0" w14:textId="77777777" w:rsidR="00A64FD7" w:rsidRPr="00D30847" w:rsidRDefault="00A64FD7" w:rsidP="00AE0C5A">
      <w:pPr>
        <w:pStyle w:val="Heading4"/>
        <w:spacing w:line="240" w:lineRule="auto"/>
        <w:rPr>
          <w:rFonts w:eastAsia="Calibri" w:cs="Calibri"/>
          <w:bCs w:val="0"/>
          <w:iCs w:val="0"/>
          <w:color w:val="0070C0"/>
          <w:sz w:val="22"/>
          <w:szCs w:val="22"/>
          <w:lang w:eastAsia="en-US"/>
        </w:rPr>
      </w:pPr>
      <w:r w:rsidRPr="00D30847">
        <w:rPr>
          <w:rFonts w:eastAsia="Calibri" w:cs="Calibri"/>
          <w:bCs w:val="0"/>
          <w:iCs w:val="0"/>
          <w:color w:val="0070C0"/>
          <w:sz w:val="22"/>
          <w:szCs w:val="22"/>
          <w:lang w:eastAsia="en-US"/>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0832C6" w:rsidRPr="00D30847" w14:paraId="194D9DF2" w14:textId="77777777" w:rsidTr="007222CA">
        <w:tc>
          <w:tcPr>
            <w:tcW w:w="2518" w:type="dxa"/>
            <w:tcBorders>
              <w:top w:val="nil"/>
              <w:bottom w:val="single" w:sz="4" w:space="0" w:color="FFFFFF"/>
            </w:tcBorders>
            <w:shd w:val="clear" w:color="auto" w:fill="002060"/>
          </w:tcPr>
          <w:p w14:paraId="5ACAFFAB" w14:textId="62D578FE" w:rsidR="000832C6" w:rsidRPr="00D30847" w:rsidRDefault="000832C6" w:rsidP="00E84CD0">
            <w:pPr>
              <w:spacing w:line="240" w:lineRule="auto"/>
              <w:jc w:val="both"/>
              <w:rPr>
                <w:rFonts w:cs="Calibri"/>
                <w:b/>
                <w:sz w:val="20"/>
                <w:szCs w:val="20"/>
                <w:lang w:val="en-GB"/>
              </w:rPr>
            </w:pPr>
            <w:r w:rsidRPr="00D30847">
              <w:rPr>
                <w:rFonts w:cs="Calibri"/>
                <w:b/>
                <w:sz w:val="20"/>
                <w:szCs w:val="20"/>
                <w:lang w:val="en-GB"/>
              </w:rPr>
              <w:t>Completed</w:t>
            </w:r>
            <w:r w:rsidR="00070786" w:rsidRPr="00D30847">
              <w:rPr>
                <w:rFonts w:cs="Calibri"/>
                <w:b/>
                <w:sz w:val="20"/>
                <w:szCs w:val="20"/>
                <w:lang w:val="en-GB"/>
              </w:rPr>
              <w:t xml:space="preserve"> </w:t>
            </w:r>
            <w:r w:rsidRPr="00D30847">
              <w:rPr>
                <w:rFonts w:cs="Calibri"/>
                <w:b/>
                <w:sz w:val="20"/>
                <w:szCs w:val="20"/>
                <w:lang w:val="en-GB"/>
              </w:rPr>
              <w:t>in</w:t>
            </w:r>
            <w:r w:rsidR="00070786" w:rsidRPr="00D30847">
              <w:rPr>
                <w:rFonts w:cs="Calibri"/>
                <w:b/>
                <w:sz w:val="20"/>
                <w:szCs w:val="20"/>
                <w:lang w:val="en-GB"/>
              </w:rPr>
              <w:t xml:space="preserve"> </w:t>
            </w:r>
            <w:r w:rsidRPr="00D30847">
              <w:rPr>
                <w:rFonts w:cs="Calibri"/>
                <w:b/>
                <w:sz w:val="20"/>
                <w:szCs w:val="20"/>
                <w:lang w:val="en-GB"/>
              </w:rPr>
              <w:t>year:</w:t>
            </w:r>
          </w:p>
        </w:tc>
        <w:tc>
          <w:tcPr>
            <w:tcW w:w="6246" w:type="dxa"/>
            <w:tcBorders>
              <w:top w:val="nil"/>
              <w:bottom w:val="single" w:sz="4" w:space="0" w:color="FFFFFF"/>
            </w:tcBorders>
            <w:shd w:val="clear" w:color="auto" w:fill="D9E2F3"/>
          </w:tcPr>
          <w:p w14:paraId="38BF2DD2" w14:textId="3BD09494" w:rsidR="000832C6" w:rsidRPr="00D30847" w:rsidRDefault="000832C6" w:rsidP="00E84CD0">
            <w:pPr>
              <w:tabs>
                <w:tab w:val="left" w:pos="1526"/>
              </w:tabs>
              <w:spacing w:after="0" w:line="240" w:lineRule="auto"/>
              <w:jc w:val="both"/>
              <w:rPr>
                <w:rFonts w:cs="Calibri"/>
                <w:sz w:val="20"/>
                <w:szCs w:val="20"/>
                <w:lang w:val="en-GB"/>
              </w:rPr>
            </w:pPr>
            <w:r w:rsidRPr="00D30847">
              <w:rPr>
                <w:rFonts w:cs="Calibri"/>
                <w:sz w:val="20"/>
                <w:szCs w:val="20"/>
                <w:lang w:val="en-GB"/>
              </w:rPr>
              <w:t>202</w:t>
            </w:r>
            <w:r w:rsidR="00671067" w:rsidRPr="00D30847">
              <w:rPr>
                <w:rFonts w:cs="Calibri"/>
                <w:sz w:val="20"/>
                <w:szCs w:val="20"/>
                <w:lang w:val="en-GB"/>
              </w:rPr>
              <w:t>8</w:t>
            </w:r>
          </w:p>
        </w:tc>
      </w:tr>
      <w:tr w:rsidR="000832C6" w:rsidRPr="00D30847" w14:paraId="06A33AB3" w14:textId="77777777" w:rsidTr="007222CA">
        <w:tc>
          <w:tcPr>
            <w:tcW w:w="2518" w:type="dxa"/>
            <w:tcBorders>
              <w:top w:val="single" w:sz="4" w:space="0" w:color="FFFFFF"/>
              <w:bottom w:val="single" w:sz="4" w:space="0" w:color="FFFFFF"/>
            </w:tcBorders>
            <w:shd w:val="clear" w:color="auto" w:fill="002060"/>
          </w:tcPr>
          <w:p w14:paraId="51B0F96C" w14:textId="77777777" w:rsidR="000832C6" w:rsidRPr="00D30847" w:rsidRDefault="000832C6" w:rsidP="00E84CD0">
            <w:pPr>
              <w:spacing w:line="240" w:lineRule="auto"/>
              <w:jc w:val="both"/>
              <w:rPr>
                <w:rFonts w:cs="Calibri"/>
                <w:b/>
                <w:sz w:val="20"/>
                <w:szCs w:val="20"/>
                <w:lang w:val="en-GB"/>
              </w:rPr>
            </w:pPr>
            <w:r w:rsidRPr="00D30847">
              <w:rPr>
                <w:rFonts w:cs="Calibri"/>
                <w:b/>
                <w:sz w:val="20"/>
                <w:szCs w:val="20"/>
                <w:lang w:val="en-GB"/>
              </w:rPr>
              <w:t>Deliverables:</w:t>
            </w:r>
          </w:p>
        </w:tc>
        <w:tc>
          <w:tcPr>
            <w:tcW w:w="6246" w:type="dxa"/>
            <w:tcBorders>
              <w:top w:val="single" w:sz="4" w:space="0" w:color="FFFFFF"/>
              <w:bottom w:val="single" w:sz="4" w:space="0" w:color="FFFFFF"/>
            </w:tcBorders>
            <w:shd w:val="clear" w:color="auto" w:fill="D9E2F3"/>
          </w:tcPr>
          <w:p w14:paraId="0D5D7A08" w14:textId="262D77DC" w:rsidR="000832C6" w:rsidRPr="00D30847" w:rsidRDefault="000832C6" w:rsidP="00AD2AD5">
            <w:pPr>
              <w:pStyle w:val="ListParagraph"/>
              <w:numPr>
                <w:ilvl w:val="0"/>
                <w:numId w:val="5"/>
              </w:numPr>
              <w:tabs>
                <w:tab w:val="left" w:pos="183"/>
              </w:tabs>
              <w:spacing w:after="0" w:line="240" w:lineRule="auto"/>
              <w:ind w:left="543" w:hanging="543"/>
              <w:rPr>
                <w:rFonts w:cs="Calibri"/>
                <w:sz w:val="20"/>
                <w:szCs w:val="20"/>
              </w:rPr>
            </w:pPr>
            <w:r w:rsidRPr="00D30847">
              <w:rPr>
                <w:rFonts w:cs="Calibri"/>
                <w:sz w:val="20"/>
                <w:szCs w:val="20"/>
              </w:rPr>
              <w:t>New SOFTWARE</w:t>
            </w:r>
          </w:p>
          <w:p w14:paraId="561F378F" w14:textId="4BE7D03E" w:rsidR="000832C6" w:rsidRPr="00D30847" w:rsidRDefault="000832C6" w:rsidP="00AD2AD5">
            <w:pPr>
              <w:pStyle w:val="ListParagraph"/>
              <w:numPr>
                <w:ilvl w:val="0"/>
                <w:numId w:val="5"/>
              </w:numPr>
              <w:tabs>
                <w:tab w:val="left" w:pos="183"/>
              </w:tabs>
              <w:spacing w:after="0" w:line="240" w:lineRule="auto"/>
              <w:ind w:left="543" w:hanging="543"/>
              <w:rPr>
                <w:rFonts w:cs="Calibri"/>
                <w:sz w:val="20"/>
                <w:szCs w:val="20"/>
              </w:rPr>
            </w:pPr>
            <w:r w:rsidRPr="00D30847">
              <w:rPr>
                <w:rFonts w:cs="Calibri"/>
                <w:sz w:val="20"/>
                <w:szCs w:val="20"/>
              </w:rPr>
              <w:t>New HARDWARE</w:t>
            </w:r>
          </w:p>
        </w:tc>
      </w:tr>
      <w:tr w:rsidR="000832C6" w:rsidRPr="00D30847" w14:paraId="23D783A6" w14:textId="77777777" w:rsidTr="007222CA">
        <w:tc>
          <w:tcPr>
            <w:tcW w:w="2518" w:type="dxa"/>
            <w:tcBorders>
              <w:top w:val="single" w:sz="4" w:space="0" w:color="FFFFFF"/>
              <w:bottom w:val="single" w:sz="4" w:space="0" w:color="FFFFFF"/>
            </w:tcBorders>
            <w:shd w:val="clear" w:color="auto" w:fill="002060"/>
          </w:tcPr>
          <w:p w14:paraId="3F0F9F06" w14:textId="7EEDD782" w:rsidR="000832C6" w:rsidRPr="00D30847" w:rsidRDefault="000832C6" w:rsidP="00E84CD0">
            <w:pPr>
              <w:spacing w:line="240" w:lineRule="auto"/>
              <w:jc w:val="both"/>
              <w:rPr>
                <w:rFonts w:cs="Calibri"/>
                <w:b/>
                <w:sz w:val="20"/>
                <w:szCs w:val="20"/>
                <w:lang w:val="en-GB"/>
              </w:rPr>
            </w:pPr>
            <w:r w:rsidRPr="00D30847">
              <w:rPr>
                <w:rFonts w:cs="Calibri"/>
                <w:b/>
                <w:sz w:val="20"/>
                <w:szCs w:val="20"/>
                <w:lang w:val="en-GB"/>
              </w:rPr>
              <w:t>Costs</w:t>
            </w:r>
            <w:r w:rsidR="00070786" w:rsidRPr="00D30847">
              <w:rPr>
                <w:rFonts w:cs="Calibri"/>
                <w:b/>
                <w:sz w:val="20"/>
                <w:szCs w:val="20"/>
                <w:lang w:val="en-GB"/>
              </w:rPr>
              <w:t xml:space="preserve"> </w:t>
            </w:r>
            <w:r w:rsidRPr="00D30847">
              <w:rPr>
                <w:rFonts w:cs="Calibri"/>
                <w:b/>
                <w:sz w:val="20"/>
                <w:szCs w:val="20"/>
                <w:lang w:val="en-GB"/>
              </w:rPr>
              <w:t>implications:</w:t>
            </w:r>
          </w:p>
        </w:tc>
        <w:tc>
          <w:tcPr>
            <w:tcW w:w="6246" w:type="dxa"/>
            <w:tcBorders>
              <w:top w:val="single" w:sz="4" w:space="0" w:color="FFFFFF"/>
              <w:bottom w:val="single" w:sz="4" w:space="0" w:color="FFFFFF"/>
            </w:tcBorders>
            <w:shd w:val="clear" w:color="auto" w:fill="D9E2F3"/>
          </w:tcPr>
          <w:p w14:paraId="55547348" w14:textId="07A5655E" w:rsidR="000832C6" w:rsidRPr="00D30847" w:rsidRDefault="009220E2" w:rsidP="00E84CD0">
            <w:pPr>
              <w:tabs>
                <w:tab w:val="left" w:pos="1526"/>
              </w:tabs>
              <w:spacing w:after="0" w:line="240" w:lineRule="auto"/>
              <w:jc w:val="both"/>
              <w:rPr>
                <w:rFonts w:cs="Calibri"/>
                <w:sz w:val="20"/>
                <w:szCs w:val="20"/>
                <w:lang w:val="en-GB"/>
              </w:rPr>
            </w:pPr>
            <w:r w:rsidRPr="00D30847">
              <w:rPr>
                <w:rFonts w:cs="Calibri"/>
                <w:sz w:val="20"/>
                <w:szCs w:val="20"/>
                <w:lang w:val="en-GB"/>
              </w:rPr>
              <w:t xml:space="preserve">EUR </w:t>
            </w:r>
            <w:r w:rsidR="008F758B" w:rsidRPr="00D30847">
              <w:rPr>
                <w:rFonts w:cs="Calibri"/>
                <w:sz w:val="20"/>
                <w:szCs w:val="20"/>
                <w:lang w:val="en-GB"/>
              </w:rPr>
              <w:t>1</w:t>
            </w:r>
            <w:r w:rsidR="00671067" w:rsidRPr="00D30847">
              <w:rPr>
                <w:rFonts w:cs="Calibri"/>
                <w:sz w:val="20"/>
                <w:szCs w:val="20"/>
                <w:lang w:val="en-GB"/>
              </w:rPr>
              <w:t>6</w:t>
            </w:r>
            <w:r w:rsidR="008F758B" w:rsidRPr="00D30847">
              <w:rPr>
                <w:rFonts w:cs="Calibri"/>
                <w:sz w:val="20"/>
                <w:szCs w:val="20"/>
                <w:lang w:val="en-GB"/>
              </w:rPr>
              <w:t>.</w:t>
            </w:r>
            <w:r w:rsidR="00671067" w:rsidRPr="00D30847">
              <w:rPr>
                <w:rFonts w:cs="Calibri"/>
                <w:sz w:val="20"/>
                <w:szCs w:val="20"/>
                <w:lang w:val="en-GB"/>
              </w:rPr>
              <w:t>879</w:t>
            </w:r>
            <w:r w:rsidR="008F758B" w:rsidRPr="00D30847">
              <w:rPr>
                <w:rFonts w:cs="Calibri"/>
                <w:sz w:val="20"/>
                <w:szCs w:val="20"/>
                <w:lang w:val="en-GB"/>
              </w:rPr>
              <w:t>.000</w:t>
            </w:r>
          </w:p>
        </w:tc>
      </w:tr>
      <w:tr w:rsidR="000832C6" w:rsidRPr="00D30847" w14:paraId="36399D4B" w14:textId="77777777" w:rsidTr="007222CA">
        <w:trPr>
          <w:trHeight w:val="368"/>
        </w:trPr>
        <w:tc>
          <w:tcPr>
            <w:tcW w:w="2518" w:type="dxa"/>
            <w:tcBorders>
              <w:top w:val="single" w:sz="4" w:space="0" w:color="FFFFFF"/>
              <w:bottom w:val="single" w:sz="4" w:space="0" w:color="FFFFFF"/>
            </w:tcBorders>
            <w:shd w:val="clear" w:color="auto" w:fill="002060"/>
          </w:tcPr>
          <w:p w14:paraId="1DE23FC3" w14:textId="33F7285A" w:rsidR="000832C6" w:rsidRPr="00D30847" w:rsidRDefault="000832C6" w:rsidP="00E84CD0">
            <w:pPr>
              <w:spacing w:line="240" w:lineRule="auto"/>
              <w:jc w:val="both"/>
              <w:rPr>
                <w:rFonts w:cs="Calibri"/>
                <w:b/>
                <w:sz w:val="20"/>
                <w:szCs w:val="20"/>
                <w:lang w:val="en-GB"/>
              </w:rPr>
            </w:pPr>
            <w:r w:rsidRPr="00D30847">
              <w:rPr>
                <w:rFonts w:cs="Calibri"/>
                <w:b/>
                <w:sz w:val="20"/>
                <w:szCs w:val="20"/>
                <w:lang w:val="en-GB"/>
              </w:rPr>
              <w:lastRenderedPageBreak/>
              <w:t>Responsible</w:t>
            </w:r>
            <w:r w:rsidR="00070786" w:rsidRPr="00D30847">
              <w:rPr>
                <w:rFonts w:cs="Calibri"/>
                <w:b/>
                <w:sz w:val="20"/>
                <w:szCs w:val="20"/>
                <w:lang w:val="en-GB"/>
              </w:rPr>
              <w:t xml:space="preserve"> </w:t>
            </w:r>
            <w:r w:rsidRPr="00D30847">
              <w:rPr>
                <w:rFonts w:cs="Calibri"/>
                <w:b/>
                <w:sz w:val="20"/>
                <w:szCs w:val="20"/>
                <w:lang w:val="en-GB"/>
              </w:rPr>
              <w:t xml:space="preserve">entity: </w:t>
            </w:r>
          </w:p>
        </w:tc>
        <w:tc>
          <w:tcPr>
            <w:tcW w:w="6246" w:type="dxa"/>
            <w:tcBorders>
              <w:top w:val="single" w:sz="4" w:space="0" w:color="FFFFFF"/>
              <w:bottom w:val="single" w:sz="4" w:space="0" w:color="FFFFFF"/>
            </w:tcBorders>
            <w:shd w:val="clear" w:color="auto" w:fill="D9E2F3"/>
          </w:tcPr>
          <w:p w14:paraId="0BB4E81F" w14:textId="65704E17" w:rsidR="000832C6" w:rsidRPr="00D30847" w:rsidRDefault="000832C6" w:rsidP="00E84CD0">
            <w:pPr>
              <w:tabs>
                <w:tab w:val="left" w:pos="4219"/>
              </w:tabs>
              <w:spacing w:after="0" w:line="240" w:lineRule="auto"/>
              <w:jc w:val="both"/>
              <w:rPr>
                <w:rFonts w:cs="Calibri"/>
                <w:sz w:val="20"/>
                <w:szCs w:val="20"/>
                <w:lang w:val="en-GB"/>
              </w:rPr>
            </w:pPr>
            <w:r w:rsidRPr="00D30847">
              <w:rPr>
                <w:rFonts w:cs="Calibri"/>
                <w:sz w:val="20"/>
                <w:szCs w:val="20"/>
                <w:lang w:val="en-GB"/>
              </w:rPr>
              <w:t>Public</w:t>
            </w:r>
            <w:r w:rsidR="00A917C2" w:rsidRPr="00D30847">
              <w:rPr>
                <w:rFonts w:cs="Calibri"/>
                <w:sz w:val="20"/>
                <w:szCs w:val="20"/>
                <w:lang w:val="en-GB"/>
              </w:rPr>
              <w:t xml:space="preserve"> </w:t>
            </w:r>
            <w:r w:rsidRPr="00D30847">
              <w:rPr>
                <w:rFonts w:cs="Calibri"/>
                <w:sz w:val="20"/>
                <w:szCs w:val="20"/>
                <w:lang w:val="en-GB"/>
              </w:rPr>
              <w:t>Revenue Office</w:t>
            </w:r>
          </w:p>
        </w:tc>
      </w:tr>
      <w:tr w:rsidR="000832C6" w:rsidRPr="00D30847" w14:paraId="3BF39D73" w14:textId="77777777" w:rsidTr="007222CA">
        <w:tc>
          <w:tcPr>
            <w:tcW w:w="2518" w:type="dxa"/>
            <w:tcBorders>
              <w:top w:val="single" w:sz="4" w:space="0" w:color="FFFFFF"/>
              <w:bottom w:val="nil"/>
            </w:tcBorders>
            <w:shd w:val="clear" w:color="auto" w:fill="002060"/>
          </w:tcPr>
          <w:p w14:paraId="5B540A48" w14:textId="77777777" w:rsidR="000832C6" w:rsidRPr="00D30847" w:rsidRDefault="000832C6" w:rsidP="00E84CD0">
            <w:pPr>
              <w:spacing w:line="240" w:lineRule="auto"/>
              <w:jc w:val="both"/>
              <w:rPr>
                <w:rFonts w:cs="Calibri"/>
                <w:b/>
                <w:sz w:val="20"/>
                <w:szCs w:val="20"/>
                <w:lang w:val="en-GB"/>
              </w:rPr>
            </w:pPr>
            <w:r w:rsidRPr="00D30847">
              <w:rPr>
                <w:rFonts w:cs="Calibri"/>
                <w:b/>
                <w:sz w:val="20"/>
                <w:szCs w:val="20"/>
                <w:lang w:val="en-GB"/>
              </w:rPr>
              <w:t>Risk:</w:t>
            </w:r>
          </w:p>
        </w:tc>
        <w:tc>
          <w:tcPr>
            <w:tcW w:w="6246" w:type="dxa"/>
            <w:tcBorders>
              <w:top w:val="single" w:sz="4" w:space="0" w:color="FFFFFF"/>
              <w:bottom w:val="nil"/>
            </w:tcBorders>
            <w:shd w:val="clear" w:color="auto" w:fill="D9E2F3"/>
          </w:tcPr>
          <w:p w14:paraId="62751D46" w14:textId="77777777" w:rsidR="008C48FA" w:rsidRPr="00D30847" w:rsidRDefault="008C48FA" w:rsidP="007222CA">
            <w:pPr>
              <w:numPr>
                <w:ilvl w:val="0"/>
                <w:numId w:val="5"/>
              </w:numPr>
              <w:tabs>
                <w:tab w:val="left" w:pos="93"/>
              </w:tabs>
              <w:spacing w:after="0" w:line="240" w:lineRule="auto"/>
              <w:ind w:left="317" w:hanging="404"/>
              <w:jc w:val="both"/>
              <w:rPr>
                <w:rFonts w:cs="Calibri"/>
                <w:sz w:val="20"/>
                <w:szCs w:val="20"/>
                <w:lang w:val="en-GB"/>
              </w:rPr>
            </w:pPr>
            <w:r w:rsidRPr="00D30847">
              <w:rPr>
                <w:rFonts w:cs="Calibri"/>
                <w:sz w:val="20"/>
                <w:szCs w:val="20"/>
                <w:lang w:val="en-GB"/>
              </w:rPr>
              <w:t>Insufficient commitment to reform</w:t>
            </w:r>
          </w:p>
          <w:p w14:paraId="41F0DFBF" w14:textId="77777777" w:rsidR="008C48FA" w:rsidRPr="00D30847" w:rsidRDefault="008C48FA" w:rsidP="007222CA">
            <w:pPr>
              <w:numPr>
                <w:ilvl w:val="0"/>
                <w:numId w:val="5"/>
              </w:numPr>
              <w:tabs>
                <w:tab w:val="left" w:pos="93"/>
              </w:tabs>
              <w:spacing w:after="0" w:line="240" w:lineRule="auto"/>
              <w:ind w:left="317" w:hanging="404"/>
              <w:jc w:val="both"/>
              <w:rPr>
                <w:rFonts w:cs="Calibri"/>
                <w:sz w:val="20"/>
                <w:szCs w:val="20"/>
                <w:lang w:val="en-GB"/>
              </w:rPr>
            </w:pPr>
            <w:r w:rsidRPr="00D30847">
              <w:rPr>
                <w:rFonts w:cs="Calibri"/>
                <w:sz w:val="20"/>
                <w:szCs w:val="20"/>
                <w:lang w:val="en-GB"/>
              </w:rPr>
              <w:t>Lack of finance</w:t>
            </w:r>
          </w:p>
          <w:p w14:paraId="50C469A5" w14:textId="77777777" w:rsidR="008C48FA" w:rsidRPr="00D30847" w:rsidRDefault="008C48FA" w:rsidP="007222CA">
            <w:pPr>
              <w:numPr>
                <w:ilvl w:val="0"/>
                <w:numId w:val="5"/>
              </w:numPr>
              <w:tabs>
                <w:tab w:val="left" w:pos="93"/>
              </w:tabs>
              <w:spacing w:after="0" w:line="240" w:lineRule="auto"/>
              <w:ind w:left="317" w:hanging="404"/>
              <w:jc w:val="both"/>
              <w:rPr>
                <w:rFonts w:cs="Calibri"/>
                <w:sz w:val="20"/>
                <w:szCs w:val="20"/>
                <w:lang w:val="en-GB"/>
              </w:rPr>
            </w:pPr>
            <w:r w:rsidRPr="00D30847">
              <w:rPr>
                <w:rFonts w:cs="Calibri"/>
                <w:sz w:val="20"/>
                <w:szCs w:val="20"/>
                <w:lang w:val="en-GB"/>
              </w:rPr>
              <w:t>Lack of capacity and commitment of the employees of the PRO, especially the IT staff</w:t>
            </w:r>
          </w:p>
          <w:p w14:paraId="1A15AED1" w14:textId="77777777" w:rsidR="008C48FA" w:rsidRPr="00D30847" w:rsidRDefault="008C48FA" w:rsidP="007222CA">
            <w:pPr>
              <w:numPr>
                <w:ilvl w:val="0"/>
                <w:numId w:val="5"/>
              </w:numPr>
              <w:tabs>
                <w:tab w:val="left" w:pos="93"/>
              </w:tabs>
              <w:spacing w:after="0" w:line="240" w:lineRule="auto"/>
              <w:ind w:left="317" w:hanging="404"/>
              <w:jc w:val="both"/>
              <w:rPr>
                <w:rFonts w:cs="Calibri"/>
                <w:sz w:val="20"/>
                <w:szCs w:val="20"/>
                <w:lang w:val="en-GB"/>
              </w:rPr>
            </w:pPr>
            <w:r w:rsidRPr="00D30847">
              <w:rPr>
                <w:rFonts w:cs="Calibri"/>
                <w:sz w:val="20"/>
                <w:szCs w:val="20"/>
                <w:lang w:val="en-GB"/>
              </w:rPr>
              <w:t>Major changes in legal provisions</w:t>
            </w:r>
          </w:p>
          <w:p w14:paraId="4A83C399" w14:textId="77777777" w:rsidR="000832C6" w:rsidRPr="00D30847" w:rsidRDefault="000832C6" w:rsidP="00AE0C5A">
            <w:pPr>
              <w:tabs>
                <w:tab w:val="left" w:pos="122"/>
              </w:tabs>
              <w:spacing w:after="0" w:line="240" w:lineRule="auto"/>
              <w:ind w:left="317"/>
              <w:jc w:val="both"/>
              <w:rPr>
                <w:rFonts w:cs="Calibri"/>
                <w:sz w:val="20"/>
                <w:szCs w:val="20"/>
                <w:lang w:val="en-GB"/>
              </w:rPr>
            </w:pPr>
          </w:p>
        </w:tc>
      </w:tr>
    </w:tbl>
    <w:p w14:paraId="00F1CA00" w14:textId="0FB1E2B1" w:rsidR="00532C0E" w:rsidRDefault="00532C0E" w:rsidP="00E84CD0">
      <w:pPr>
        <w:pStyle w:val="Heading1"/>
        <w:spacing w:line="240" w:lineRule="auto"/>
        <w:jc w:val="both"/>
        <w:rPr>
          <w:rFonts w:ascii="Calibri" w:hAnsi="Calibri" w:cs="Calibri"/>
          <w:color w:val="2F5496"/>
          <w:sz w:val="10"/>
          <w:szCs w:val="10"/>
          <w:lang w:val="en-GB"/>
        </w:rPr>
      </w:pPr>
    </w:p>
    <w:p w14:paraId="365248D7" w14:textId="4FCF62AD" w:rsidR="00AC5DE9" w:rsidRDefault="00AC5DE9" w:rsidP="00AC5DE9">
      <w:pPr>
        <w:rPr>
          <w:lang w:val="en-GB"/>
        </w:rPr>
      </w:pPr>
    </w:p>
    <w:p w14:paraId="62097990" w14:textId="63982A69" w:rsidR="00AC5DE9" w:rsidRDefault="00AC5DE9" w:rsidP="00AC5DE9">
      <w:pPr>
        <w:rPr>
          <w:lang w:val="en-GB"/>
        </w:rPr>
      </w:pPr>
    </w:p>
    <w:p w14:paraId="5F9FFC66" w14:textId="21F5E413" w:rsidR="00AC5DE9" w:rsidRDefault="00AC5DE9" w:rsidP="00AC5DE9">
      <w:pPr>
        <w:rPr>
          <w:lang w:val="en-GB"/>
        </w:rPr>
      </w:pPr>
    </w:p>
    <w:p w14:paraId="713B64B9" w14:textId="767BE53A" w:rsidR="00AC5DE9" w:rsidRDefault="00AC5DE9" w:rsidP="00AC5DE9">
      <w:pPr>
        <w:rPr>
          <w:lang w:val="en-GB"/>
        </w:rPr>
      </w:pPr>
    </w:p>
    <w:p w14:paraId="0A15E499" w14:textId="1F9546C0" w:rsidR="00AC5DE9" w:rsidRDefault="00AC5DE9" w:rsidP="00AC5DE9">
      <w:pPr>
        <w:rPr>
          <w:lang w:val="en-GB"/>
        </w:rPr>
      </w:pPr>
    </w:p>
    <w:p w14:paraId="3CC7F576" w14:textId="3A580CAC" w:rsidR="00AC5DE9" w:rsidRDefault="00AC5DE9" w:rsidP="00AC5DE9">
      <w:pPr>
        <w:rPr>
          <w:lang w:val="en-GB"/>
        </w:rPr>
      </w:pPr>
    </w:p>
    <w:p w14:paraId="5EEAEB03" w14:textId="34C39A72" w:rsidR="00AC5DE9" w:rsidRDefault="00AC5DE9" w:rsidP="00AC5DE9">
      <w:pPr>
        <w:rPr>
          <w:lang w:val="en-GB"/>
        </w:rPr>
      </w:pPr>
    </w:p>
    <w:p w14:paraId="4F08D171" w14:textId="7ABE7CBF" w:rsidR="00AC5DE9" w:rsidRDefault="00AC5DE9" w:rsidP="00AC5DE9">
      <w:pPr>
        <w:rPr>
          <w:lang w:val="en-GB"/>
        </w:rPr>
      </w:pPr>
    </w:p>
    <w:p w14:paraId="78C498DB" w14:textId="044E8408" w:rsidR="00AC5DE9" w:rsidRDefault="00AC5DE9" w:rsidP="00AC5DE9">
      <w:pPr>
        <w:rPr>
          <w:lang w:val="en-GB"/>
        </w:rPr>
      </w:pPr>
    </w:p>
    <w:p w14:paraId="532BCAB9" w14:textId="7AD4E7D8" w:rsidR="00AC5DE9" w:rsidRDefault="00AC5DE9" w:rsidP="00AC5DE9">
      <w:pPr>
        <w:rPr>
          <w:lang w:val="en-GB"/>
        </w:rPr>
      </w:pPr>
    </w:p>
    <w:p w14:paraId="54CF3ECE" w14:textId="06D16418" w:rsidR="00AC5DE9" w:rsidRDefault="00AC5DE9" w:rsidP="00AC5DE9">
      <w:pPr>
        <w:rPr>
          <w:lang w:val="en-GB"/>
        </w:rPr>
      </w:pPr>
    </w:p>
    <w:p w14:paraId="29F99602" w14:textId="4F6C7F7F" w:rsidR="00AC5DE9" w:rsidRDefault="00AC5DE9" w:rsidP="00AC5DE9">
      <w:pPr>
        <w:rPr>
          <w:lang w:val="en-GB"/>
        </w:rPr>
      </w:pPr>
    </w:p>
    <w:p w14:paraId="1063F851" w14:textId="18DD5907" w:rsidR="00AC5DE9" w:rsidRDefault="00AC5DE9" w:rsidP="00AC5DE9">
      <w:pPr>
        <w:rPr>
          <w:lang w:val="en-GB"/>
        </w:rPr>
      </w:pPr>
    </w:p>
    <w:p w14:paraId="7EAD1F95" w14:textId="628AA308" w:rsidR="00AC5DE9" w:rsidRDefault="00AC5DE9" w:rsidP="00AC5DE9">
      <w:pPr>
        <w:rPr>
          <w:lang w:val="en-GB"/>
        </w:rPr>
      </w:pPr>
    </w:p>
    <w:p w14:paraId="7B9D4C35" w14:textId="342257C5" w:rsidR="00AC5DE9" w:rsidRDefault="00AC5DE9" w:rsidP="00AC5DE9">
      <w:pPr>
        <w:rPr>
          <w:lang w:val="en-GB"/>
        </w:rPr>
      </w:pPr>
    </w:p>
    <w:p w14:paraId="248DF2D7" w14:textId="28C0E888" w:rsidR="00AC5DE9" w:rsidRDefault="00AC5DE9" w:rsidP="00AC5DE9">
      <w:pPr>
        <w:rPr>
          <w:lang w:val="en-GB"/>
        </w:rPr>
      </w:pPr>
    </w:p>
    <w:p w14:paraId="0BA57DB4" w14:textId="5ADFB627" w:rsidR="00AC5DE9" w:rsidRDefault="00AC5DE9" w:rsidP="00AC5DE9">
      <w:pPr>
        <w:rPr>
          <w:lang w:val="en-GB"/>
        </w:rPr>
      </w:pPr>
    </w:p>
    <w:p w14:paraId="535BEECD" w14:textId="20D8F7EC" w:rsidR="00AC5DE9" w:rsidRDefault="00AC5DE9" w:rsidP="00AC5DE9">
      <w:pPr>
        <w:rPr>
          <w:lang w:val="en-GB"/>
        </w:rPr>
      </w:pPr>
    </w:p>
    <w:p w14:paraId="3EABE157" w14:textId="63F3B80A" w:rsidR="00AC5DE9" w:rsidRDefault="00AC5DE9" w:rsidP="00AC5DE9">
      <w:pPr>
        <w:rPr>
          <w:lang w:val="en-GB"/>
        </w:rPr>
      </w:pPr>
    </w:p>
    <w:p w14:paraId="17E84A80" w14:textId="6335B654" w:rsidR="00AC5DE9" w:rsidRDefault="00AC5DE9" w:rsidP="00AC5DE9">
      <w:pPr>
        <w:rPr>
          <w:lang w:val="en-GB"/>
        </w:rPr>
      </w:pPr>
    </w:p>
    <w:p w14:paraId="1EA095C6" w14:textId="27080D88" w:rsidR="00AC5DE9" w:rsidRDefault="00AC5DE9" w:rsidP="00AC5DE9">
      <w:pPr>
        <w:rPr>
          <w:lang w:val="en-GB"/>
        </w:rPr>
      </w:pPr>
    </w:p>
    <w:p w14:paraId="7AFBE46F" w14:textId="6A2051C1" w:rsidR="00AC5DE9" w:rsidRDefault="00AC5DE9" w:rsidP="00AC5DE9">
      <w:pPr>
        <w:rPr>
          <w:lang w:val="en-GB"/>
        </w:rPr>
      </w:pPr>
    </w:p>
    <w:p w14:paraId="74ED4455" w14:textId="77777777" w:rsidR="00AC5DE9" w:rsidRPr="00AC5DE9" w:rsidRDefault="00AC5DE9" w:rsidP="00AC5DE9">
      <w:pPr>
        <w:rPr>
          <w:lang w:val="en-GB"/>
        </w:rPr>
      </w:pPr>
    </w:p>
    <w:p w14:paraId="79124B17" w14:textId="48FF306E" w:rsidR="00A64FD7" w:rsidRPr="00D30847" w:rsidRDefault="00A64FD7" w:rsidP="006C526B">
      <w:pPr>
        <w:pStyle w:val="Heading1"/>
        <w:spacing w:after="0" w:line="240" w:lineRule="auto"/>
        <w:jc w:val="both"/>
        <w:rPr>
          <w:rFonts w:ascii="Calibri" w:hAnsi="Calibri" w:cs="Calibri"/>
          <w:color w:val="0070C0"/>
          <w:sz w:val="28"/>
          <w:szCs w:val="28"/>
          <w:lang w:val="en-GB"/>
        </w:rPr>
      </w:pPr>
      <w:bookmarkStart w:id="27" w:name="_Toc187841806"/>
      <w:r w:rsidRPr="00D30847">
        <w:rPr>
          <w:rFonts w:ascii="Calibri" w:hAnsi="Calibri" w:cs="Calibri"/>
          <w:color w:val="0070C0"/>
          <w:sz w:val="28"/>
          <w:szCs w:val="28"/>
          <w:lang w:val="en-GB"/>
        </w:rPr>
        <w:lastRenderedPageBreak/>
        <w:t>Priority 3: Customs</w:t>
      </w:r>
      <w:bookmarkEnd w:id="27"/>
    </w:p>
    <w:p w14:paraId="4DD7A113" w14:textId="77777777" w:rsidR="004A38AA" w:rsidRPr="00D30847" w:rsidRDefault="004A38AA" w:rsidP="006C526B">
      <w:pPr>
        <w:spacing w:before="240"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Objective</w:t>
      </w:r>
    </w:p>
    <w:p w14:paraId="54F14672" w14:textId="2E8BC653" w:rsidR="008C48FA" w:rsidRPr="00D30847" w:rsidRDefault="008C48FA" w:rsidP="006C526B">
      <w:pPr>
        <w:spacing w:line="240" w:lineRule="auto"/>
        <w:jc w:val="both"/>
        <w:rPr>
          <w:rFonts w:cs="Calibri"/>
          <w:lang w:val="en-GB"/>
        </w:rPr>
      </w:pPr>
      <w:r w:rsidRPr="00D30847">
        <w:rPr>
          <w:rFonts w:cs="Calibri"/>
          <w:lang w:val="en-GB"/>
        </w:rPr>
        <w:t xml:space="preserve">Implementation of accelerated and facilitated customs procedures properly controlled without causing delays in the flow of goods and passengers, with strengthened control mechanisms. Ensure </w:t>
      </w:r>
      <w:r w:rsidR="00A917C2" w:rsidRPr="00D30847">
        <w:rPr>
          <w:rFonts w:cs="Calibri"/>
          <w:lang w:val="en-GB"/>
        </w:rPr>
        <w:t>efficient</w:t>
      </w:r>
      <w:r w:rsidRPr="00D30847">
        <w:rPr>
          <w:rFonts w:cs="Calibri"/>
          <w:lang w:val="en-GB"/>
        </w:rPr>
        <w:t xml:space="preserve"> revenue collection, modernization and digitalization, by following the recommendations for harmonization and association with the EU.</w:t>
      </w:r>
    </w:p>
    <w:p w14:paraId="5C0A3C02" w14:textId="77777777" w:rsidR="003A338C" w:rsidRPr="00D30847" w:rsidRDefault="003A338C" w:rsidP="003A338C">
      <w:pPr>
        <w:spacing w:line="240" w:lineRule="auto"/>
        <w:jc w:val="both"/>
        <w:rPr>
          <w:rFonts w:cs="Calibri"/>
          <w:lang w:val="en-GB"/>
        </w:rPr>
      </w:pPr>
      <w:r w:rsidRPr="00D30847">
        <w:rPr>
          <w:rFonts w:cs="Calibri"/>
          <w:lang w:val="en-GB"/>
        </w:rPr>
        <w:t>The goal of this priority will be achieved through the following measures and activities:</w:t>
      </w:r>
    </w:p>
    <w:tbl>
      <w:tblPr>
        <w:tblW w:w="8812" w:type="dxa"/>
        <w:tblInd w:w="378" w:type="dxa"/>
        <w:tblLayout w:type="fixed"/>
        <w:tblLook w:val="01E0" w:firstRow="1" w:lastRow="1" w:firstColumn="1" w:lastColumn="1" w:noHBand="0" w:noVBand="0"/>
      </w:tblPr>
      <w:tblGrid>
        <w:gridCol w:w="1431"/>
        <w:gridCol w:w="7381"/>
      </w:tblGrid>
      <w:tr w:rsidR="004A38AA" w:rsidRPr="00D30847" w14:paraId="2161B258" w14:textId="77777777" w:rsidTr="00D4719C">
        <w:trPr>
          <w:trHeight w:val="614"/>
        </w:trPr>
        <w:tc>
          <w:tcPr>
            <w:tcW w:w="1431" w:type="dxa"/>
            <w:shd w:val="clear" w:color="auto" w:fill="auto"/>
          </w:tcPr>
          <w:p w14:paraId="03A9E8AE" w14:textId="72DC12CC" w:rsidR="004A38AA" w:rsidRPr="00D30847" w:rsidRDefault="003A338C" w:rsidP="003A338C">
            <w:pPr>
              <w:spacing w:line="240" w:lineRule="auto"/>
              <w:ind w:right="-48"/>
              <w:rPr>
                <w:rFonts w:cs="Calibri"/>
                <w:b/>
                <w:lang w:val="en-GB"/>
              </w:rPr>
            </w:pPr>
            <w:r w:rsidRPr="00D30847">
              <w:rPr>
                <w:rFonts w:cs="Calibri"/>
                <w:b/>
                <w:lang w:val="en-GB"/>
              </w:rPr>
              <w:t>Measur</w:t>
            </w:r>
            <w:r w:rsidR="00EB301D" w:rsidRPr="00D30847">
              <w:rPr>
                <w:rFonts w:cs="Calibri"/>
                <w:b/>
                <w:lang w:val="en-GB"/>
              </w:rPr>
              <w:t>e</w:t>
            </w:r>
            <w:r w:rsidRPr="00D30847">
              <w:rPr>
                <w:rFonts w:cs="Calibri"/>
                <w:b/>
                <w:lang w:val="en-GB"/>
              </w:rPr>
              <w:t xml:space="preserve"> 1:</w:t>
            </w:r>
          </w:p>
        </w:tc>
        <w:tc>
          <w:tcPr>
            <w:tcW w:w="7381" w:type="dxa"/>
            <w:shd w:val="clear" w:color="auto" w:fill="auto"/>
          </w:tcPr>
          <w:p w14:paraId="28500878" w14:textId="6F3FD822" w:rsidR="004A38AA" w:rsidRPr="00D30847" w:rsidRDefault="003A338C" w:rsidP="00E84CD0">
            <w:pPr>
              <w:spacing w:line="240" w:lineRule="auto"/>
              <w:jc w:val="both"/>
              <w:rPr>
                <w:rFonts w:cs="Calibri"/>
                <w:lang w:val="en-GB"/>
              </w:rPr>
            </w:pPr>
            <w:r w:rsidRPr="00D30847">
              <w:rPr>
                <w:rFonts w:cs="Calibri"/>
                <w:b/>
                <w:lang w:val="en-GB"/>
              </w:rPr>
              <w:t>Strengthening joint control mechanisms and capacities in order to combat illegal trade and organized crime</w:t>
            </w:r>
          </w:p>
        </w:tc>
      </w:tr>
      <w:tr w:rsidR="004A38AA" w:rsidRPr="00D30847" w14:paraId="477348C2" w14:textId="77777777" w:rsidTr="00D4719C">
        <w:trPr>
          <w:trHeight w:val="1263"/>
        </w:trPr>
        <w:tc>
          <w:tcPr>
            <w:tcW w:w="1431" w:type="dxa"/>
            <w:shd w:val="clear" w:color="auto" w:fill="auto"/>
          </w:tcPr>
          <w:p w14:paraId="3C03B023" w14:textId="1497E46B" w:rsidR="004A38AA" w:rsidRPr="00D30847" w:rsidRDefault="003A338C" w:rsidP="00E84CD0">
            <w:pPr>
              <w:spacing w:line="240" w:lineRule="auto"/>
              <w:jc w:val="both"/>
              <w:rPr>
                <w:rFonts w:cs="Calibri"/>
                <w:lang w:val="en-GB"/>
              </w:rPr>
            </w:pPr>
            <w:r w:rsidRPr="00D30847">
              <w:rPr>
                <w:rFonts w:cs="Calibri"/>
                <w:lang w:val="en-GB"/>
              </w:rPr>
              <w:t>Activity 1:</w:t>
            </w:r>
          </w:p>
        </w:tc>
        <w:tc>
          <w:tcPr>
            <w:tcW w:w="7381" w:type="dxa"/>
            <w:shd w:val="clear" w:color="auto" w:fill="auto"/>
          </w:tcPr>
          <w:p w14:paraId="74890435" w14:textId="3A9E6394" w:rsidR="004A38AA" w:rsidRPr="00D30847" w:rsidRDefault="003A338C" w:rsidP="00E84CD0">
            <w:pPr>
              <w:spacing w:line="240" w:lineRule="auto"/>
              <w:jc w:val="both"/>
              <w:rPr>
                <w:rFonts w:cs="Calibri"/>
                <w:lang w:val="en-GB"/>
              </w:rPr>
            </w:pPr>
            <w:r w:rsidRPr="00D30847">
              <w:rPr>
                <w:rFonts w:cs="Calibri"/>
                <w:lang w:val="en-GB"/>
              </w:rPr>
              <w:t>Equipping with modern and reliable control equipment and appropriate training for employees, in order to protect financial and economic interests, guarantee the safety and security of citizens, environmental protection and protection from unfair and illicit trade</w:t>
            </w:r>
          </w:p>
        </w:tc>
      </w:tr>
      <w:tr w:rsidR="004A38AA" w:rsidRPr="00D30847" w14:paraId="0EF4A13B" w14:textId="77777777" w:rsidTr="00D4719C">
        <w:trPr>
          <w:trHeight w:val="458"/>
        </w:trPr>
        <w:tc>
          <w:tcPr>
            <w:tcW w:w="1431" w:type="dxa"/>
            <w:shd w:val="clear" w:color="auto" w:fill="auto"/>
          </w:tcPr>
          <w:p w14:paraId="2CBB1CB6" w14:textId="77777777" w:rsidR="004A38AA" w:rsidRPr="00D30847" w:rsidRDefault="004A38AA" w:rsidP="00E84CD0">
            <w:pPr>
              <w:spacing w:line="240" w:lineRule="auto"/>
              <w:jc w:val="both"/>
              <w:rPr>
                <w:rFonts w:cs="Calibri"/>
                <w:b/>
                <w:lang w:val="en-GB"/>
              </w:rPr>
            </w:pPr>
            <w:r w:rsidRPr="00D30847">
              <w:rPr>
                <w:rFonts w:cs="Calibri"/>
                <w:b/>
                <w:lang w:val="en-GB"/>
              </w:rPr>
              <w:t>Measure 2:</w:t>
            </w:r>
          </w:p>
        </w:tc>
        <w:tc>
          <w:tcPr>
            <w:tcW w:w="7381" w:type="dxa"/>
            <w:shd w:val="clear" w:color="auto" w:fill="auto"/>
          </w:tcPr>
          <w:p w14:paraId="21492A9E" w14:textId="1651CBAA" w:rsidR="004A38AA" w:rsidRPr="00D30847" w:rsidRDefault="003A338C" w:rsidP="00E84CD0">
            <w:pPr>
              <w:spacing w:line="240" w:lineRule="auto"/>
              <w:jc w:val="both"/>
              <w:rPr>
                <w:rFonts w:cs="Calibri"/>
                <w:b/>
                <w:lang w:val="en-GB"/>
              </w:rPr>
            </w:pPr>
            <w:r w:rsidRPr="00D30847">
              <w:rPr>
                <w:rFonts w:cs="Calibri"/>
                <w:b/>
                <w:lang w:val="en-GB"/>
              </w:rPr>
              <w:t>Modernization of customs services and their digitalization</w:t>
            </w:r>
          </w:p>
        </w:tc>
      </w:tr>
      <w:tr w:rsidR="004A38AA" w:rsidRPr="00D30847" w14:paraId="36448584" w14:textId="77777777" w:rsidTr="00D4719C">
        <w:trPr>
          <w:trHeight w:val="991"/>
        </w:trPr>
        <w:tc>
          <w:tcPr>
            <w:tcW w:w="1431" w:type="dxa"/>
            <w:shd w:val="clear" w:color="auto" w:fill="auto"/>
          </w:tcPr>
          <w:p w14:paraId="59D9FFE4" w14:textId="77777777" w:rsidR="004A38AA" w:rsidRPr="00D30847" w:rsidRDefault="004A38AA" w:rsidP="00E84CD0">
            <w:pPr>
              <w:spacing w:line="240" w:lineRule="auto"/>
              <w:jc w:val="both"/>
              <w:rPr>
                <w:rFonts w:cs="Calibri"/>
                <w:lang w:val="en-GB"/>
              </w:rPr>
            </w:pPr>
            <w:r w:rsidRPr="00D30847">
              <w:rPr>
                <w:rFonts w:cs="Calibri"/>
                <w:lang w:val="en-GB"/>
              </w:rPr>
              <w:t>Activity 1:</w:t>
            </w:r>
          </w:p>
        </w:tc>
        <w:tc>
          <w:tcPr>
            <w:tcW w:w="7381" w:type="dxa"/>
            <w:shd w:val="clear" w:color="auto" w:fill="auto"/>
          </w:tcPr>
          <w:p w14:paraId="1B3AB528" w14:textId="6F2E76E0" w:rsidR="00EA4DEC" w:rsidRPr="00D30847" w:rsidRDefault="003A338C" w:rsidP="00E84CD0">
            <w:pPr>
              <w:spacing w:line="240" w:lineRule="auto"/>
              <w:jc w:val="both"/>
              <w:rPr>
                <w:rFonts w:cs="Calibri"/>
                <w:lang w:val="en-GB"/>
              </w:rPr>
            </w:pPr>
            <w:bookmarkStart w:id="28" w:name="_Hlk89937138"/>
            <w:r w:rsidRPr="00D30847">
              <w:rPr>
                <w:rFonts w:cs="Calibri"/>
                <w:lang w:val="en-GB"/>
              </w:rPr>
              <w:t xml:space="preserve">Implementation of modern systems in order to comply with the Multiannual Strategic Plan of the EU (MASP), integration with European systems and procurement of appropriate </w:t>
            </w:r>
            <w:r w:rsidR="00961D64" w:rsidRPr="00D30847">
              <w:rPr>
                <w:rFonts w:cs="Calibri"/>
                <w:lang w:val="en-GB"/>
              </w:rPr>
              <w:t>ICT equipment</w:t>
            </w:r>
            <w:r w:rsidRPr="00D30847">
              <w:rPr>
                <w:rFonts w:cs="Calibri"/>
                <w:lang w:val="en-GB"/>
              </w:rPr>
              <w:t>.</w:t>
            </w:r>
            <w:bookmarkEnd w:id="28"/>
          </w:p>
        </w:tc>
      </w:tr>
      <w:tr w:rsidR="00EA4DEC" w:rsidRPr="00D30847" w14:paraId="5EEDCB0A" w14:textId="77777777" w:rsidTr="00EA4DEC">
        <w:trPr>
          <w:trHeight w:val="558"/>
        </w:trPr>
        <w:tc>
          <w:tcPr>
            <w:tcW w:w="1431" w:type="dxa"/>
            <w:shd w:val="clear" w:color="auto" w:fill="auto"/>
          </w:tcPr>
          <w:p w14:paraId="57BFC78E" w14:textId="77777777" w:rsidR="00EA4DEC" w:rsidRPr="00D30847" w:rsidRDefault="00EA4DEC" w:rsidP="00EA4DEC">
            <w:pPr>
              <w:spacing w:after="0" w:line="240" w:lineRule="auto"/>
              <w:jc w:val="both"/>
              <w:rPr>
                <w:rFonts w:cs="Calibri"/>
                <w:b/>
                <w:bCs/>
                <w:lang w:val="en-GB"/>
              </w:rPr>
            </w:pPr>
            <w:r w:rsidRPr="00D30847">
              <w:rPr>
                <w:rFonts w:cs="Calibri"/>
                <w:b/>
                <w:bCs/>
                <w:lang w:val="en-GB"/>
              </w:rPr>
              <w:t>Measure 3:</w:t>
            </w:r>
          </w:p>
          <w:p w14:paraId="46B983C0" w14:textId="77777777" w:rsidR="00EA4DEC" w:rsidRPr="00D30847" w:rsidRDefault="00EA4DEC" w:rsidP="00EA4DEC">
            <w:pPr>
              <w:spacing w:after="0" w:line="240" w:lineRule="auto"/>
              <w:jc w:val="center"/>
              <w:rPr>
                <w:rFonts w:cs="Calibri"/>
                <w:lang w:val="en-GB"/>
              </w:rPr>
            </w:pPr>
          </w:p>
        </w:tc>
        <w:tc>
          <w:tcPr>
            <w:tcW w:w="7381" w:type="dxa"/>
            <w:shd w:val="clear" w:color="auto" w:fill="auto"/>
          </w:tcPr>
          <w:p w14:paraId="5600273A" w14:textId="254B70DA" w:rsidR="00EA4DEC" w:rsidRPr="00D30847" w:rsidRDefault="00EA4DEC" w:rsidP="00EA4DEC">
            <w:pPr>
              <w:spacing w:after="0" w:line="240" w:lineRule="auto"/>
              <w:jc w:val="both"/>
              <w:rPr>
                <w:rFonts w:cs="Calibri"/>
                <w:b/>
                <w:bCs/>
                <w:lang w:val="en-GB"/>
              </w:rPr>
            </w:pPr>
            <w:bookmarkStart w:id="29" w:name="_Hlk160019548"/>
            <w:r w:rsidRPr="00D30847">
              <w:rPr>
                <w:rFonts w:cs="Calibri"/>
                <w:b/>
                <w:bCs/>
                <w:lang w:val="en-GB"/>
              </w:rPr>
              <w:t>Adequate monitoring of excise good sand collection of excise duties</w:t>
            </w:r>
            <w:bookmarkEnd w:id="29"/>
          </w:p>
        </w:tc>
      </w:tr>
      <w:tr w:rsidR="00EA4DEC" w:rsidRPr="00D30847" w14:paraId="2A43A382" w14:textId="77777777" w:rsidTr="00AC5DE9">
        <w:trPr>
          <w:trHeight w:val="691"/>
        </w:trPr>
        <w:tc>
          <w:tcPr>
            <w:tcW w:w="1431" w:type="dxa"/>
            <w:shd w:val="clear" w:color="auto" w:fill="auto"/>
          </w:tcPr>
          <w:p w14:paraId="6831B023" w14:textId="77777777" w:rsidR="00EA4DEC" w:rsidRPr="00D30847" w:rsidRDefault="00EA4DEC" w:rsidP="00EA4DEC">
            <w:pPr>
              <w:spacing w:after="0" w:line="240" w:lineRule="auto"/>
              <w:jc w:val="both"/>
              <w:rPr>
                <w:rFonts w:cs="Calibri"/>
                <w:lang w:val="en-GB"/>
              </w:rPr>
            </w:pPr>
            <w:r w:rsidRPr="00D30847">
              <w:rPr>
                <w:rFonts w:cs="Calibri"/>
                <w:lang w:val="en-GB"/>
              </w:rPr>
              <w:t>Activity 1:</w:t>
            </w:r>
          </w:p>
          <w:p w14:paraId="4DC53B5F" w14:textId="77777777" w:rsidR="00EA4DEC" w:rsidRPr="00D30847" w:rsidRDefault="00EA4DEC" w:rsidP="00EA4DEC">
            <w:pPr>
              <w:spacing w:after="0" w:line="240" w:lineRule="auto"/>
              <w:jc w:val="both"/>
              <w:rPr>
                <w:rFonts w:cs="Calibri"/>
                <w:b/>
                <w:bCs/>
                <w:lang w:val="en-GB"/>
              </w:rPr>
            </w:pPr>
          </w:p>
        </w:tc>
        <w:tc>
          <w:tcPr>
            <w:tcW w:w="7381" w:type="dxa"/>
            <w:shd w:val="clear" w:color="auto" w:fill="auto"/>
          </w:tcPr>
          <w:p w14:paraId="228382F5" w14:textId="2C80775E" w:rsidR="00EA4DEC" w:rsidRPr="00D30847" w:rsidRDefault="00EA4DEC" w:rsidP="00EA4DEC">
            <w:pPr>
              <w:spacing w:after="0" w:line="240" w:lineRule="auto"/>
              <w:jc w:val="both"/>
              <w:rPr>
                <w:rFonts w:cs="Calibri"/>
                <w:b/>
                <w:bCs/>
                <w:lang w:val="en-GB"/>
              </w:rPr>
            </w:pPr>
            <w:bookmarkStart w:id="30" w:name="_Hlk160018561"/>
            <w:r w:rsidRPr="00D30847">
              <w:rPr>
                <w:rStyle w:val="rynqvb"/>
                <w:lang w:val="en-GB"/>
              </w:rPr>
              <w:t>Establishing a system for marking and tracking tobacco products (cigarettes) through the TRACK&amp;TRACE system</w:t>
            </w:r>
            <w:bookmarkEnd w:id="30"/>
          </w:p>
        </w:tc>
      </w:tr>
    </w:tbl>
    <w:p w14:paraId="7DC2E574" w14:textId="38CF5FB0" w:rsidR="004A38AA" w:rsidRPr="00D30847" w:rsidRDefault="004A38AA" w:rsidP="00E84CD0">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Outcome</w:t>
      </w:r>
      <w:r w:rsidR="00813F23" w:rsidRPr="00D30847">
        <w:rPr>
          <w:rFonts w:eastAsia="MS PGothic" w:cs="Calibri"/>
          <w:b/>
          <w:bCs/>
          <w:i/>
          <w:iCs/>
          <w:color w:val="4F81BD"/>
          <w:lang w:val="en-GB" w:eastAsia="zh-CN"/>
        </w:rPr>
        <w:t>s</w:t>
      </w:r>
    </w:p>
    <w:p w14:paraId="38E97E70" w14:textId="056D66C6" w:rsidR="004A38AA" w:rsidRPr="00D30847" w:rsidRDefault="007222CA" w:rsidP="007222CA">
      <w:pPr>
        <w:spacing w:after="120" w:line="240" w:lineRule="auto"/>
        <w:jc w:val="both"/>
        <w:rPr>
          <w:rFonts w:cs="Calibri"/>
          <w:color w:val="000000"/>
          <w:lang w:val="en-GB"/>
        </w:rPr>
      </w:pPr>
      <w:r w:rsidRPr="00D30847">
        <w:rPr>
          <w:rFonts w:cs="Calibri"/>
          <w:color w:val="000000"/>
          <w:lang w:val="en-GB"/>
        </w:rPr>
        <w:t xml:space="preserve">1. </w:t>
      </w:r>
      <w:r w:rsidR="004A38AA" w:rsidRPr="00D30847">
        <w:rPr>
          <w:rFonts w:cs="Calibri"/>
          <w:color w:val="000000"/>
          <w:lang w:val="en-GB"/>
        </w:rPr>
        <w:t>Availability of innovative equipment and training of staff for detection and control in order to: control without disturbance, detection</w:t>
      </w:r>
      <w:r w:rsidR="008F391C" w:rsidRPr="00D30847">
        <w:rPr>
          <w:rFonts w:cs="Calibri"/>
          <w:color w:val="000000"/>
          <w:lang w:val="en-GB"/>
        </w:rPr>
        <w:t xml:space="preserve"> of hidden objects on persons,</w:t>
      </w:r>
      <w:r w:rsidR="004A38AA" w:rsidRPr="00D30847">
        <w:rPr>
          <w:rFonts w:cs="Calibri"/>
          <w:color w:val="000000"/>
          <w:lang w:val="en-GB"/>
        </w:rPr>
        <w:t xml:space="preserve"> sampling and analysis of samples, manual search;</w:t>
      </w:r>
    </w:p>
    <w:p w14:paraId="70A46CB8" w14:textId="6E4C936D" w:rsidR="004A38AA" w:rsidRPr="00D30847" w:rsidRDefault="007222CA" w:rsidP="007222CA">
      <w:pPr>
        <w:spacing w:after="120" w:line="240" w:lineRule="auto"/>
        <w:jc w:val="both"/>
        <w:rPr>
          <w:rFonts w:cs="Calibri"/>
          <w:color w:val="000000"/>
          <w:lang w:val="en-GB"/>
        </w:rPr>
      </w:pPr>
      <w:r w:rsidRPr="00D30847">
        <w:rPr>
          <w:rFonts w:cs="Calibri"/>
          <w:color w:val="000000"/>
          <w:lang w:val="en-GB"/>
        </w:rPr>
        <w:t xml:space="preserve">2. </w:t>
      </w:r>
      <w:r w:rsidR="004A38AA" w:rsidRPr="00D30847">
        <w:rPr>
          <w:rFonts w:cs="Calibri"/>
          <w:color w:val="000000"/>
          <w:lang w:val="en-GB"/>
        </w:rPr>
        <w:t xml:space="preserve">Introduction of a complete paperless environment in the customs procedure, through the implementation of electronic systems from the e-Customs program, i.e. the Multiannual Strategic Plan of the EU (MASP), compatible with the systems and procedures in the European Union; preparation for interconnection and interoperability with EU systems and implementation of systems compliant with EU systems (which may be established prior to EU accession) and staffing with </w:t>
      </w:r>
      <w:r w:rsidR="00961D64" w:rsidRPr="00D30847">
        <w:rPr>
          <w:rFonts w:cs="Calibri"/>
          <w:color w:val="000000"/>
          <w:lang w:val="en-GB"/>
        </w:rPr>
        <w:t>ICT equipment</w:t>
      </w:r>
      <w:r w:rsidR="003F1115" w:rsidRPr="00D30847">
        <w:rPr>
          <w:rFonts w:cs="Calibri"/>
          <w:color w:val="000000"/>
          <w:lang w:val="en-GB"/>
        </w:rPr>
        <w:t xml:space="preserve"> </w:t>
      </w:r>
      <w:r w:rsidR="004A38AA" w:rsidRPr="00D30847">
        <w:rPr>
          <w:rFonts w:cs="Calibri"/>
          <w:color w:val="000000"/>
          <w:lang w:val="en-GB"/>
        </w:rPr>
        <w:t>for those systems.</w:t>
      </w:r>
    </w:p>
    <w:p w14:paraId="709D3003" w14:textId="6568FB16" w:rsidR="00EA4DEC" w:rsidRPr="00D30847" w:rsidRDefault="007222CA" w:rsidP="00AC5DE9">
      <w:pPr>
        <w:spacing w:after="120" w:line="240" w:lineRule="auto"/>
        <w:jc w:val="both"/>
        <w:rPr>
          <w:rFonts w:cs="Calibri"/>
          <w:color w:val="000000"/>
          <w:lang w:val="en-GB"/>
        </w:rPr>
      </w:pPr>
      <w:r w:rsidRPr="00D30847">
        <w:rPr>
          <w:rFonts w:cs="Calibri"/>
          <w:color w:val="000000"/>
          <w:lang w:val="en-GB"/>
        </w:rPr>
        <w:t xml:space="preserve">3. </w:t>
      </w:r>
      <w:r w:rsidR="00EA4DEC" w:rsidRPr="00D30847">
        <w:rPr>
          <w:rFonts w:cs="Calibri"/>
          <w:color w:val="000000"/>
          <w:lang w:val="en-GB"/>
        </w:rPr>
        <w:t xml:space="preserve">Introduction of system for marking and tracking of tobacco products </w:t>
      </w:r>
      <w:r w:rsidR="008F391C" w:rsidRPr="00D30847">
        <w:rPr>
          <w:rFonts w:cs="Calibri"/>
          <w:color w:val="000000"/>
          <w:lang w:val="en-GB"/>
        </w:rPr>
        <w:t>(cigarettes</w:t>
      </w:r>
      <w:r w:rsidR="00EA4DEC" w:rsidRPr="00D30847">
        <w:rPr>
          <w:rFonts w:cs="Calibri"/>
          <w:color w:val="000000"/>
          <w:lang w:val="en-GB"/>
        </w:rPr>
        <w:t>)</w:t>
      </w:r>
      <w:r w:rsidR="003F1115" w:rsidRPr="00D30847">
        <w:rPr>
          <w:rFonts w:cs="Calibri"/>
          <w:color w:val="000000"/>
          <w:lang w:val="en-GB"/>
        </w:rPr>
        <w:t xml:space="preserve"> </w:t>
      </w:r>
      <w:r w:rsidR="00EA4DEC" w:rsidRPr="00D30847">
        <w:rPr>
          <w:rFonts w:cs="Calibri"/>
          <w:color w:val="000000"/>
          <w:lang w:val="en-GB"/>
        </w:rPr>
        <w:t>and availability of high level data for the cigarettes into free circulation that strongly decreases the possibilities fo</w:t>
      </w:r>
      <w:r w:rsidR="00AC5DE9">
        <w:rPr>
          <w:rFonts w:cs="Calibri"/>
          <w:color w:val="000000"/>
          <w:lang w:val="en-GB"/>
        </w:rPr>
        <w:t>r illicit trade and tax evasion</w:t>
      </w:r>
    </w:p>
    <w:p w14:paraId="6EEBCD78" w14:textId="058D041D" w:rsidR="004A38AA" w:rsidRPr="00D30847" w:rsidRDefault="004A38AA" w:rsidP="00E84CD0">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Outcome</w:t>
      </w:r>
      <w:r w:rsidR="00D4719C" w:rsidRPr="00D30847">
        <w:rPr>
          <w:rFonts w:eastAsia="MS PGothic" w:cs="Calibri"/>
          <w:b/>
          <w:bCs/>
          <w:i/>
          <w:iCs/>
          <w:color w:val="4F81BD"/>
          <w:lang w:val="en-GB" w:eastAsia="zh-CN"/>
        </w:rPr>
        <w:t xml:space="preserve"> </w:t>
      </w:r>
      <w:r w:rsidRPr="00D30847">
        <w:rPr>
          <w:rFonts w:eastAsia="MS PGothic" w:cs="Calibri"/>
          <w:b/>
          <w:bCs/>
          <w:i/>
          <w:iCs/>
          <w:color w:val="4F81BD"/>
          <w:lang w:val="en-GB" w:eastAsia="zh-CN"/>
        </w:rPr>
        <w:t>indicator</w:t>
      </w:r>
      <w:r w:rsidR="00813F23" w:rsidRPr="00D30847">
        <w:rPr>
          <w:rFonts w:eastAsia="MS PGothic" w:cs="Calibri"/>
          <w:b/>
          <w:bCs/>
          <w:i/>
          <w:iCs/>
          <w:color w:val="4F81BD"/>
          <w:lang w:val="en-GB" w:eastAsia="zh-CN"/>
        </w:rPr>
        <w:t>s</w:t>
      </w:r>
    </w:p>
    <w:p w14:paraId="1F4F4B55" w14:textId="0BC07F59" w:rsidR="003A338C" w:rsidRPr="00D30847" w:rsidRDefault="008C0607" w:rsidP="008C0607">
      <w:pPr>
        <w:spacing w:after="120" w:line="240" w:lineRule="auto"/>
        <w:jc w:val="both"/>
        <w:rPr>
          <w:rFonts w:cs="Calibri"/>
          <w:lang w:val="en-GB"/>
        </w:rPr>
      </w:pPr>
      <w:r w:rsidRPr="00D30847">
        <w:rPr>
          <w:rFonts w:cs="Calibri"/>
          <w:lang w:val="en-GB"/>
        </w:rPr>
        <w:t xml:space="preserve">1. </w:t>
      </w:r>
      <w:r w:rsidR="00961D64" w:rsidRPr="00D30847">
        <w:rPr>
          <w:rFonts w:cs="Calibri"/>
          <w:lang w:val="en-GB"/>
        </w:rPr>
        <w:t>Percentage of staff employed in the corresponding units for customs control are trained to use the new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15"/>
      </w:tblGrid>
      <w:tr w:rsidR="007541EA" w:rsidRPr="00D30847" w14:paraId="00538B0C" w14:textId="77777777" w:rsidTr="002B77A4">
        <w:trPr>
          <w:trHeight w:val="395"/>
        </w:trPr>
        <w:tc>
          <w:tcPr>
            <w:tcW w:w="4608" w:type="dxa"/>
            <w:shd w:val="clear" w:color="auto" w:fill="E8E8E8"/>
          </w:tcPr>
          <w:p w14:paraId="2F090969" w14:textId="72E23AF7" w:rsidR="007541EA" w:rsidRPr="00D30847" w:rsidRDefault="007541EA"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961D64" w:rsidRPr="00D30847">
              <w:rPr>
                <w:rFonts w:eastAsia="Times New Roman" w:cs="Calibri"/>
                <w:b/>
                <w:bCs/>
                <w:i/>
                <w:iCs/>
                <w:color w:val="202124"/>
                <w:sz w:val="20"/>
                <w:szCs w:val="20"/>
                <w:lang w:val="en-GB"/>
              </w:rPr>
              <w:t>3</w:t>
            </w:r>
          </w:p>
        </w:tc>
        <w:tc>
          <w:tcPr>
            <w:tcW w:w="4608" w:type="dxa"/>
            <w:shd w:val="clear" w:color="auto" w:fill="E8E8E8"/>
          </w:tcPr>
          <w:p w14:paraId="08BAC63B" w14:textId="6BFD1A6D" w:rsidR="007541EA" w:rsidRPr="00D30847" w:rsidRDefault="007541EA"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961D64" w:rsidRPr="00D30847">
              <w:rPr>
                <w:rFonts w:eastAsia="Times New Roman" w:cs="Calibri"/>
                <w:b/>
                <w:bCs/>
                <w:i/>
                <w:iCs/>
                <w:color w:val="202124"/>
                <w:sz w:val="20"/>
                <w:szCs w:val="20"/>
                <w:lang w:val="en-GB"/>
              </w:rPr>
              <w:t>8</w:t>
            </w:r>
          </w:p>
        </w:tc>
      </w:tr>
      <w:tr w:rsidR="007541EA" w:rsidRPr="00D30847" w14:paraId="40737F9B" w14:textId="77777777" w:rsidTr="002B77A4">
        <w:trPr>
          <w:trHeight w:val="278"/>
        </w:trPr>
        <w:tc>
          <w:tcPr>
            <w:tcW w:w="4608" w:type="dxa"/>
            <w:shd w:val="clear" w:color="auto" w:fill="E8E8E8"/>
          </w:tcPr>
          <w:p w14:paraId="2009F506" w14:textId="77777777" w:rsidR="007541EA" w:rsidRPr="00D30847" w:rsidRDefault="00083A1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w:t>
            </w:r>
          </w:p>
        </w:tc>
        <w:tc>
          <w:tcPr>
            <w:tcW w:w="4608" w:type="dxa"/>
            <w:shd w:val="clear" w:color="auto" w:fill="E8E8E8"/>
          </w:tcPr>
          <w:p w14:paraId="39099A5C" w14:textId="67EBBBCF" w:rsidR="007541EA" w:rsidRPr="00D30847" w:rsidRDefault="00961D64"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70% of  staff employed in the corresponding units for customs control are trained to use the new equipment</w:t>
            </w:r>
          </w:p>
        </w:tc>
      </w:tr>
    </w:tbl>
    <w:p w14:paraId="29F34263" w14:textId="77777777" w:rsidR="007541EA" w:rsidRPr="00D30847" w:rsidRDefault="007541EA" w:rsidP="007541EA">
      <w:pPr>
        <w:spacing w:after="120" w:line="240" w:lineRule="auto"/>
        <w:ind w:left="714"/>
        <w:jc w:val="both"/>
        <w:rPr>
          <w:rFonts w:cs="Calibri"/>
          <w:lang w:val="en-GB"/>
        </w:rPr>
      </w:pPr>
    </w:p>
    <w:p w14:paraId="4778A01F" w14:textId="750B20C2" w:rsidR="003A338C" w:rsidRPr="00D30847" w:rsidRDefault="008C0607" w:rsidP="008C0607">
      <w:pPr>
        <w:spacing w:line="240" w:lineRule="auto"/>
        <w:rPr>
          <w:rFonts w:cs="Calibri"/>
          <w:lang w:val="en-GB"/>
        </w:rPr>
      </w:pPr>
      <w:r w:rsidRPr="00D30847">
        <w:rPr>
          <w:rFonts w:cs="Calibri"/>
          <w:lang w:val="en-GB"/>
        </w:rPr>
        <w:t xml:space="preserve">2. </w:t>
      </w:r>
      <w:r w:rsidR="003A338C" w:rsidRPr="00D30847">
        <w:rPr>
          <w:rFonts w:cs="Calibri"/>
          <w:lang w:val="en-GB"/>
        </w:rPr>
        <w:t>Implemented at least two (2) new IT systems / modules from the EU Multiannual Strategic Plan (MASP) at national level on appropriate hardware (ICS2 and e-commerce).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7541EA" w:rsidRPr="00D30847" w14:paraId="2515AFF1" w14:textId="77777777" w:rsidTr="002B77A4">
        <w:trPr>
          <w:trHeight w:val="395"/>
        </w:trPr>
        <w:tc>
          <w:tcPr>
            <w:tcW w:w="4608" w:type="dxa"/>
            <w:shd w:val="clear" w:color="auto" w:fill="E8E8E8"/>
          </w:tcPr>
          <w:p w14:paraId="561DF34F" w14:textId="5990E9E9" w:rsidR="007541EA" w:rsidRPr="00D30847" w:rsidRDefault="007541EA"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961D64" w:rsidRPr="00D30847">
              <w:rPr>
                <w:rFonts w:eastAsia="Times New Roman" w:cs="Calibri"/>
                <w:b/>
                <w:bCs/>
                <w:i/>
                <w:iCs/>
                <w:color w:val="202124"/>
                <w:sz w:val="20"/>
                <w:szCs w:val="20"/>
                <w:lang w:val="en-GB"/>
              </w:rPr>
              <w:t>3</w:t>
            </w:r>
          </w:p>
        </w:tc>
        <w:tc>
          <w:tcPr>
            <w:tcW w:w="4608" w:type="dxa"/>
            <w:shd w:val="clear" w:color="auto" w:fill="E8E8E8"/>
          </w:tcPr>
          <w:p w14:paraId="560BFDD5" w14:textId="276A7732" w:rsidR="007541EA" w:rsidRPr="00D30847" w:rsidRDefault="007541EA"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961D64" w:rsidRPr="00D30847">
              <w:rPr>
                <w:rFonts w:eastAsia="Times New Roman" w:cs="Calibri"/>
                <w:b/>
                <w:bCs/>
                <w:i/>
                <w:iCs/>
                <w:color w:val="202124"/>
                <w:sz w:val="20"/>
                <w:szCs w:val="20"/>
                <w:lang w:val="en-GB"/>
              </w:rPr>
              <w:t>8</w:t>
            </w:r>
          </w:p>
        </w:tc>
      </w:tr>
      <w:tr w:rsidR="007541EA" w:rsidRPr="00D30847" w14:paraId="03B8975D" w14:textId="77777777" w:rsidTr="002B77A4">
        <w:trPr>
          <w:trHeight w:val="278"/>
        </w:trPr>
        <w:tc>
          <w:tcPr>
            <w:tcW w:w="4608" w:type="dxa"/>
            <w:shd w:val="clear" w:color="auto" w:fill="E8E8E8"/>
          </w:tcPr>
          <w:p w14:paraId="4C0B890A" w14:textId="77777777" w:rsidR="007541EA" w:rsidRPr="00D30847" w:rsidRDefault="00083A1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0</w:t>
            </w:r>
          </w:p>
        </w:tc>
        <w:tc>
          <w:tcPr>
            <w:tcW w:w="4608" w:type="dxa"/>
            <w:shd w:val="clear" w:color="auto" w:fill="E8E8E8"/>
          </w:tcPr>
          <w:p w14:paraId="71953253" w14:textId="77777777" w:rsidR="007541EA" w:rsidRPr="00D30847" w:rsidRDefault="00083A1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2</w:t>
            </w:r>
          </w:p>
        </w:tc>
      </w:tr>
    </w:tbl>
    <w:p w14:paraId="0182B560" w14:textId="77777777" w:rsidR="00EA4DEC" w:rsidRPr="00D30847" w:rsidRDefault="00EA4DEC" w:rsidP="00EA4DEC">
      <w:pPr>
        <w:spacing w:after="120" w:line="240" w:lineRule="auto"/>
        <w:ind w:left="360"/>
        <w:jc w:val="both"/>
        <w:rPr>
          <w:rFonts w:cs="Calibri"/>
          <w:lang w:val="en-GB"/>
        </w:rPr>
      </w:pPr>
    </w:p>
    <w:p w14:paraId="530BB601" w14:textId="61FD886B" w:rsidR="00EA4DEC" w:rsidRPr="00D30847" w:rsidRDefault="008C0607" w:rsidP="008C0607">
      <w:pPr>
        <w:spacing w:after="120" w:line="240" w:lineRule="auto"/>
        <w:jc w:val="both"/>
        <w:rPr>
          <w:rFonts w:cs="Calibri"/>
          <w:lang w:val="en-GB"/>
        </w:rPr>
      </w:pPr>
      <w:r w:rsidRPr="00D30847">
        <w:rPr>
          <w:rFonts w:cs="Calibri"/>
          <w:lang w:val="en-GB"/>
        </w:rPr>
        <w:t xml:space="preserve">3. </w:t>
      </w:r>
      <w:r w:rsidR="00EA4DEC" w:rsidRPr="00D30847">
        <w:rPr>
          <w:rStyle w:val="rynqvb"/>
          <w:lang w:val="en-GB"/>
        </w:rPr>
        <w:t>Establishing a system for marking and tracking tobacco products (cigarettes) through the TRACK&amp;TRACE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EA4DEC" w:rsidRPr="00D30847" w14:paraId="02DDD4C5" w14:textId="77777777" w:rsidTr="00EA4DEC">
        <w:trPr>
          <w:trHeight w:val="395"/>
        </w:trPr>
        <w:tc>
          <w:tcPr>
            <w:tcW w:w="4608" w:type="dxa"/>
            <w:shd w:val="clear" w:color="auto" w:fill="E8E8E8"/>
          </w:tcPr>
          <w:p w14:paraId="177BE7AF" w14:textId="3A6B940E" w:rsidR="00EA4DEC" w:rsidRPr="00D30847" w:rsidRDefault="00EA4DEC" w:rsidP="00EA4DEC">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961D64" w:rsidRPr="00D30847">
              <w:rPr>
                <w:rFonts w:eastAsia="Times New Roman" w:cs="Calibri"/>
                <w:b/>
                <w:bCs/>
                <w:i/>
                <w:iCs/>
                <w:color w:val="202124"/>
                <w:sz w:val="20"/>
                <w:szCs w:val="20"/>
                <w:lang w:val="en-GB"/>
              </w:rPr>
              <w:t>3</w:t>
            </w:r>
          </w:p>
        </w:tc>
        <w:tc>
          <w:tcPr>
            <w:tcW w:w="4608" w:type="dxa"/>
            <w:shd w:val="clear" w:color="auto" w:fill="E8E8E8"/>
          </w:tcPr>
          <w:p w14:paraId="0773DC79" w14:textId="4C1B9D39" w:rsidR="00EA4DEC" w:rsidRPr="00D30847" w:rsidRDefault="00EA4DEC" w:rsidP="00EA4DEC">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961D64" w:rsidRPr="00D30847">
              <w:rPr>
                <w:rFonts w:eastAsia="Times New Roman" w:cs="Calibri"/>
                <w:b/>
                <w:bCs/>
                <w:i/>
                <w:iCs/>
                <w:color w:val="202124"/>
                <w:sz w:val="20"/>
                <w:szCs w:val="20"/>
                <w:lang w:val="en-GB"/>
              </w:rPr>
              <w:t>8</w:t>
            </w:r>
          </w:p>
        </w:tc>
      </w:tr>
      <w:tr w:rsidR="00EA4DEC" w:rsidRPr="00D30847" w14:paraId="1906A616" w14:textId="77777777" w:rsidTr="00EA4DEC">
        <w:trPr>
          <w:trHeight w:val="278"/>
        </w:trPr>
        <w:tc>
          <w:tcPr>
            <w:tcW w:w="4608" w:type="dxa"/>
            <w:shd w:val="clear" w:color="auto" w:fill="E8E8E8"/>
          </w:tcPr>
          <w:p w14:paraId="13382FA2" w14:textId="77777777" w:rsidR="00EA4DEC" w:rsidRPr="00D30847" w:rsidRDefault="00EA4DEC" w:rsidP="00EA4DEC">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0</w:t>
            </w:r>
          </w:p>
        </w:tc>
        <w:tc>
          <w:tcPr>
            <w:tcW w:w="4608" w:type="dxa"/>
            <w:shd w:val="clear" w:color="auto" w:fill="E8E8E8"/>
          </w:tcPr>
          <w:p w14:paraId="6D8817D1" w14:textId="77777777" w:rsidR="00EA4DEC" w:rsidRPr="00D30847" w:rsidRDefault="00EA4DEC" w:rsidP="00EA4DEC">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High level of preparation for implementation of </w:t>
            </w:r>
            <w:r w:rsidRPr="00D30847">
              <w:rPr>
                <w:rStyle w:val="rynqvb"/>
                <w:lang w:val="en-GB"/>
              </w:rPr>
              <w:t>TRACK&amp;TRACE system</w:t>
            </w:r>
          </w:p>
        </w:tc>
      </w:tr>
    </w:tbl>
    <w:p w14:paraId="5B936BFA" w14:textId="56675F04" w:rsidR="007541EA" w:rsidRPr="00D30847" w:rsidRDefault="007541EA" w:rsidP="007541EA">
      <w:pPr>
        <w:spacing w:after="120" w:line="240" w:lineRule="auto"/>
        <w:ind w:left="714"/>
        <w:jc w:val="both"/>
        <w:rPr>
          <w:rFonts w:cs="Calibri"/>
          <w:lang w:val="en-GB"/>
        </w:rPr>
      </w:pPr>
    </w:p>
    <w:p w14:paraId="6F6EA6EC" w14:textId="77777777" w:rsidR="003A338C" w:rsidRPr="00D30847" w:rsidRDefault="003A338C" w:rsidP="003A338C">
      <w:pPr>
        <w:spacing w:before="240" w:line="240" w:lineRule="auto"/>
        <w:jc w:val="both"/>
        <w:rPr>
          <w:rFonts w:cs="Calibri"/>
          <w:b/>
          <w:color w:val="0070C0"/>
          <w:sz w:val="24"/>
          <w:szCs w:val="24"/>
          <w:lang w:val="en-GB"/>
        </w:rPr>
      </w:pPr>
      <w:r w:rsidRPr="00D30847">
        <w:rPr>
          <w:rFonts w:cs="Calibri"/>
          <w:b/>
          <w:color w:val="0070C0"/>
          <w:sz w:val="24"/>
          <w:szCs w:val="24"/>
          <w:lang w:val="en-GB"/>
        </w:rPr>
        <w:t>Measure 1: Strengthening joint control mechanisms and capacities in order to combat illegal trade and organized crime</w:t>
      </w:r>
    </w:p>
    <w:p w14:paraId="08BA3929" w14:textId="21266756" w:rsidR="004A38AA" w:rsidRPr="00D30847" w:rsidRDefault="004A38AA" w:rsidP="00E84CD0">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Measure</w:t>
      </w:r>
      <w:r w:rsidR="00D4719C" w:rsidRPr="00D30847">
        <w:rPr>
          <w:rFonts w:eastAsia="MS PGothic" w:cs="Calibri"/>
          <w:b/>
          <w:bCs/>
          <w:i/>
          <w:iCs/>
          <w:color w:val="4F81BD"/>
          <w:lang w:val="en-GB" w:eastAsia="zh-CN"/>
        </w:rPr>
        <w:t xml:space="preserve"> </w:t>
      </w:r>
      <w:r w:rsidRPr="00D30847">
        <w:rPr>
          <w:rFonts w:eastAsia="MS PGothic" w:cs="Calibri"/>
          <w:b/>
          <w:bCs/>
          <w:i/>
          <w:iCs/>
          <w:color w:val="4F81BD"/>
          <w:lang w:val="en-GB" w:eastAsia="zh-CN"/>
        </w:rPr>
        <w:t>objective</w:t>
      </w:r>
    </w:p>
    <w:p w14:paraId="3459A7FB" w14:textId="04EC143A" w:rsidR="00436B95" w:rsidRPr="00D30847" w:rsidRDefault="003A338C" w:rsidP="003A338C">
      <w:pPr>
        <w:spacing w:line="240" w:lineRule="auto"/>
        <w:jc w:val="both"/>
        <w:rPr>
          <w:rFonts w:cs="Calibri"/>
          <w:lang w:val="en-GB"/>
        </w:rPr>
      </w:pPr>
      <w:r w:rsidRPr="00D30847">
        <w:rPr>
          <w:rFonts w:cs="Calibri"/>
          <w:lang w:val="en-GB"/>
        </w:rPr>
        <w:t>The purpose of the measure is to suppress illegal trade and organized crime, protect the legal economy, ensure safety and security, protect the health and safety of citizens and protect the environment.</w:t>
      </w:r>
    </w:p>
    <w:p w14:paraId="1C1E125D" w14:textId="3F2D7AB1" w:rsidR="004A38AA" w:rsidRPr="00D30847" w:rsidRDefault="004A38AA" w:rsidP="00E84CD0">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Reference</w:t>
      </w:r>
      <w:r w:rsidR="00D4719C" w:rsidRPr="00D30847">
        <w:rPr>
          <w:rFonts w:eastAsia="MS PGothic" w:cs="Calibri"/>
          <w:b/>
          <w:bCs/>
          <w:i/>
          <w:iCs/>
          <w:color w:val="4F81BD"/>
          <w:lang w:val="en-GB" w:eastAsia="zh-CN"/>
        </w:rPr>
        <w:t xml:space="preserve"> </w:t>
      </w:r>
      <w:r w:rsidRPr="00D30847">
        <w:rPr>
          <w:rFonts w:eastAsia="MS PGothic" w:cs="Calibri"/>
          <w:b/>
          <w:bCs/>
          <w:i/>
          <w:iCs/>
          <w:color w:val="4F81BD"/>
          <w:lang w:val="en-GB" w:eastAsia="zh-CN"/>
        </w:rPr>
        <w:t>to</w:t>
      </w:r>
      <w:r w:rsidR="00D4719C" w:rsidRPr="00D30847">
        <w:rPr>
          <w:rFonts w:eastAsia="MS PGothic" w:cs="Calibri"/>
          <w:b/>
          <w:bCs/>
          <w:i/>
          <w:iCs/>
          <w:color w:val="4F81BD"/>
          <w:lang w:val="en-GB" w:eastAsia="zh-CN"/>
        </w:rPr>
        <w:t xml:space="preserve"> </w:t>
      </w:r>
      <w:r w:rsidRPr="00D30847">
        <w:rPr>
          <w:rFonts w:eastAsia="MS PGothic" w:cs="Calibri"/>
          <w:b/>
          <w:bCs/>
          <w:i/>
          <w:iCs/>
          <w:color w:val="4F81BD"/>
          <w:lang w:val="en-GB" w:eastAsia="zh-CN"/>
        </w:rPr>
        <w:t>findings</w:t>
      </w:r>
      <w:r w:rsidR="00D4719C" w:rsidRPr="00D30847">
        <w:rPr>
          <w:rFonts w:eastAsia="MS PGothic" w:cs="Calibri"/>
          <w:b/>
          <w:bCs/>
          <w:i/>
          <w:iCs/>
          <w:color w:val="4F81BD"/>
          <w:lang w:val="en-GB" w:eastAsia="zh-CN"/>
        </w:rPr>
        <w:t xml:space="preserve"> </w:t>
      </w:r>
      <w:r w:rsidRPr="00D30847">
        <w:rPr>
          <w:rFonts w:eastAsia="MS PGothic" w:cs="Calibri"/>
          <w:b/>
          <w:bCs/>
          <w:i/>
          <w:iCs/>
          <w:color w:val="4F81BD"/>
          <w:lang w:val="en-GB" w:eastAsia="zh-CN"/>
        </w:rPr>
        <w:t>from</w:t>
      </w:r>
      <w:r w:rsidR="00D4719C" w:rsidRPr="00D30847">
        <w:rPr>
          <w:rFonts w:eastAsia="MS PGothic" w:cs="Calibri"/>
          <w:b/>
          <w:bCs/>
          <w:i/>
          <w:iCs/>
          <w:color w:val="4F81BD"/>
          <w:lang w:val="en-GB" w:eastAsia="zh-CN"/>
        </w:rPr>
        <w:t xml:space="preserve"> </w:t>
      </w:r>
      <w:r w:rsidRPr="00D30847">
        <w:rPr>
          <w:rFonts w:eastAsia="MS PGothic" w:cs="Calibri"/>
          <w:b/>
          <w:bCs/>
          <w:i/>
          <w:iCs/>
          <w:color w:val="4F81BD"/>
          <w:lang w:val="en-GB" w:eastAsia="zh-CN"/>
        </w:rPr>
        <w:t>external</w:t>
      </w:r>
      <w:r w:rsidR="00D4719C" w:rsidRPr="00D30847">
        <w:rPr>
          <w:rFonts w:eastAsia="MS PGothic" w:cs="Calibri"/>
          <w:b/>
          <w:bCs/>
          <w:i/>
          <w:iCs/>
          <w:color w:val="4F81BD"/>
          <w:lang w:val="en-GB" w:eastAsia="zh-CN"/>
        </w:rPr>
        <w:t xml:space="preserve"> </w:t>
      </w:r>
      <w:r w:rsidRPr="00D30847">
        <w:rPr>
          <w:rFonts w:eastAsia="MS PGothic" w:cs="Calibri"/>
          <w:b/>
          <w:bCs/>
          <w:i/>
          <w:iCs/>
          <w:color w:val="4F81BD"/>
          <w:lang w:val="en-GB" w:eastAsia="zh-CN"/>
        </w:rPr>
        <w:t>assessments</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28"/>
        <w:gridCol w:w="7902"/>
      </w:tblGrid>
      <w:tr w:rsidR="004A38AA" w:rsidRPr="00D30847" w14:paraId="6AC31AC6" w14:textId="77777777" w:rsidTr="00686BBE">
        <w:trPr>
          <w:trHeight w:val="1403"/>
        </w:trPr>
        <w:tc>
          <w:tcPr>
            <w:tcW w:w="1028" w:type="dxa"/>
            <w:shd w:val="clear" w:color="auto" w:fill="DDDDDD"/>
          </w:tcPr>
          <w:p w14:paraId="48B347EF" w14:textId="31640D71" w:rsidR="004A38AA" w:rsidRPr="00D30847" w:rsidRDefault="004A38AA" w:rsidP="00E84CD0">
            <w:pPr>
              <w:spacing w:line="240" w:lineRule="auto"/>
              <w:jc w:val="both"/>
              <w:rPr>
                <w:rFonts w:cs="Calibri"/>
                <w:b/>
                <w:sz w:val="20"/>
                <w:szCs w:val="20"/>
                <w:lang w:val="en-GB"/>
              </w:rPr>
            </w:pPr>
            <w:r w:rsidRPr="00D30847">
              <w:rPr>
                <w:rFonts w:cs="Calibri"/>
                <w:b/>
                <w:sz w:val="20"/>
                <w:szCs w:val="20"/>
                <w:lang w:val="en-GB"/>
              </w:rPr>
              <w:t>EU</w:t>
            </w:r>
          </w:p>
        </w:tc>
        <w:tc>
          <w:tcPr>
            <w:tcW w:w="7902" w:type="dxa"/>
            <w:shd w:val="clear" w:color="auto" w:fill="DDDDDD"/>
          </w:tcPr>
          <w:p w14:paraId="740BA164" w14:textId="77777777" w:rsidR="00961D64" w:rsidRPr="00D30847" w:rsidRDefault="00961D64" w:rsidP="00961D64">
            <w:pPr>
              <w:spacing w:line="240" w:lineRule="auto"/>
              <w:jc w:val="both"/>
              <w:rPr>
                <w:rFonts w:cs="Calibri"/>
                <w:b/>
                <w:sz w:val="20"/>
                <w:szCs w:val="20"/>
                <w:lang w:val="en-GB"/>
              </w:rPr>
            </w:pPr>
            <w:r w:rsidRPr="00D30847">
              <w:rPr>
                <w:rFonts w:cs="Calibri"/>
                <w:b/>
                <w:sz w:val="20"/>
                <w:szCs w:val="20"/>
                <w:lang w:val="en-GB"/>
              </w:rPr>
              <w:t>EU Report for 2024</w:t>
            </w:r>
          </w:p>
          <w:p w14:paraId="7D3B7C13" w14:textId="77777777" w:rsidR="00961D64" w:rsidRPr="00D30847" w:rsidRDefault="00961D64" w:rsidP="00961D64">
            <w:pPr>
              <w:spacing w:line="240" w:lineRule="auto"/>
              <w:jc w:val="both"/>
              <w:rPr>
                <w:rFonts w:cs="Calibri"/>
                <w:b/>
                <w:sz w:val="20"/>
                <w:szCs w:val="20"/>
                <w:lang w:val="en-GB"/>
              </w:rPr>
            </w:pPr>
            <w:r w:rsidRPr="00D30847">
              <w:rPr>
                <w:rFonts w:cs="Calibri"/>
                <w:b/>
                <w:sz w:val="20"/>
                <w:szCs w:val="20"/>
                <w:lang w:val="en-GB"/>
              </w:rPr>
              <w:t xml:space="preserve">North Macedonia has a good level of preparation in this area. Limited progress was made on the consolidation and upgrade of IT systems. The customs administration implements a fully paperless environment for processing customs declarations and excise documents. </w:t>
            </w:r>
          </w:p>
          <w:p w14:paraId="6E13E3C1" w14:textId="77777777" w:rsidR="00961D64" w:rsidRPr="00D30847" w:rsidRDefault="00961D64" w:rsidP="00961D64">
            <w:pPr>
              <w:spacing w:line="240" w:lineRule="auto"/>
              <w:jc w:val="both"/>
              <w:rPr>
                <w:rFonts w:cs="Calibri"/>
                <w:b/>
                <w:sz w:val="20"/>
                <w:szCs w:val="20"/>
                <w:lang w:val="en-GB"/>
              </w:rPr>
            </w:pPr>
            <w:r w:rsidRPr="00D30847">
              <w:rPr>
                <w:rFonts w:cs="Calibri"/>
                <w:b/>
                <w:sz w:val="20"/>
                <w:szCs w:val="20"/>
                <w:lang w:val="en-GB"/>
              </w:rPr>
              <w:t xml:space="preserve">The Commission’s recommendations from last year were partially implemented and remain largely valid. In the coming year, North Macedonia should in particular: </w:t>
            </w:r>
          </w:p>
          <w:p w14:paraId="0C1550E3" w14:textId="77777777" w:rsidR="00961D64" w:rsidRPr="00D30847" w:rsidRDefault="00961D64" w:rsidP="00961D64">
            <w:pPr>
              <w:spacing w:line="240" w:lineRule="auto"/>
              <w:jc w:val="both"/>
              <w:rPr>
                <w:rFonts w:cs="Calibri"/>
                <w:b/>
                <w:sz w:val="20"/>
                <w:szCs w:val="20"/>
                <w:lang w:val="en-GB"/>
              </w:rPr>
            </w:pPr>
            <w:r w:rsidRPr="00D30847">
              <w:rPr>
                <w:rFonts w:cs="Calibri"/>
                <w:b/>
                <w:sz w:val="20"/>
                <w:szCs w:val="20"/>
                <w:lang w:val="en-GB"/>
              </w:rPr>
              <w:t xml:space="preserve">→ upgrade its national component of the New Computerised Transit System (NCTS) to Phase 5; </w:t>
            </w:r>
          </w:p>
          <w:p w14:paraId="28CCCBFD" w14:textId="77777777" w:rsidR="00961D64" w:rsidRPr="00D30847" w:rsidRDefault="00961D64" w:rsidP="00961D64">
            <w:pPr>
              <w:spacing w:line="240" w:lineRule="auto"/>
              <w:jc w:val="both"/>
              <w:rPr>
                <w:rFonts w:cs="Calibri"/>
                <w:b/>
                <w:sz w:val="20"/>
                <w:szCs w:val="20"/>
                <w:lang w:val="en-GB"/>
              </w:rPr>
            </w:pPr>
            <w:r w:rsidRPr="00D30847">
              <w:rPr>
                <w:rFonts w:cs="Calibri"/>
                <w:b/>
                <w:sz w:val="20"/>
                <w:szCs w:val="20"/>
                <w:lang w:val="en-GB"/>
              </w:rPr>
              <w:t xml:space="preserve">→ ensure continued alignment of the customs legislation with the EU acquis and continue the consolidation and application of its national customs IT systems in line with the Commission’s Union Customs Code (UCC) Work Programme and multiannual strategic plan (MASP) modules, and ensure their upgrade; </w:t>
            </w:r>
          </w:p>
          <w:p w14:paraId="08F4BF28" w14:textId="4882EF61" w:rsidR="00961D64" w:rsidRPr="00D30847" w:rsidRDefault="00961D64" w:rsidP="00E84CD0">
            <w:pPr>
              <w:spacing w:line="240" w:lineRule="auto"/>
              <w:jc w:val="both"/>
              <w:rPr>
                <w:rFonts w:cs="Calibri"/>
                <w:b/>
                <w:sz w:val="20"/>
                <w:szCs w:val="20"/>
                <w:lang w:val="en-GB"/>
              </w:rPr>
            </w:pPr>
            <w:r w:rsidRPr="00D30847">
              <w:rPr>
                <w:rFonts w:cs="Calibri"/>
                <w:b/>
                <w:sz w:val="20"/>
                <w:szCs w:val="20"/>
                <w:lang w:val="en-GB"/>
              </w:rPr>
              <w:t>→ ratify the Protocol on Elimination of Illicit Trade in Tobacco Products.</w:t>
            </w:r>
          </w:p>
          <w:p w14:paraId="20DB86F9" w14:textId="6BBE9205" w:rsidR="004A38AA" w:rsidRPr="00D30847" w:rsidRDefault="004A38AA" w:rsidP="00E84CD0">
            <w:pPr>
              <w:spacing w:line="240" w:lineRule="auto"/>
              <w:jc w:val="both"/>
              <w:rPr>
                <w:rFonts w:cs="Calibri"/>
                <w:b/>
                <w:sz w:val="20"/>
                <w:szCs w:val="20"/>
                <w:lang w:val="en-GB"/>
              </w:rPr>
            </w:pPr>
            <w:r w:rsidRPr="00D30847">
              <w:rPr>
                <w:rFonts w:cs="Calibri"/>
                <w:b/>
                <w:sz w:val="20"/>
                <w:szCs w:val="20"/>
                <w:lang w:val="en-GB"/>
              </w:rPr>
              <w:t>EU Report</w:t>
            </w:r>
            <w:r w:rsidR="00D4719C" w:rsidRPr="00D30847">
              <w:rPr>
                <w:rFonts w:cs="Calibri"/>
                <w:b/>
                <w:sz w:val="20"/>
                <w:szCs w:val="20"/>
                <w:lang w:val="en-GB"/>
              </w:rPr>
              <w:t xml:space="preserve"> </w:t>
            </w:r>
            <w:r w:rsidRPr="00D30847">
              <w:rPr>
                <w:rFonts w:cs="Calibri"/>
                <w:b/>
                <w:sz w:val="20"/>
                <w:szCs w:val="20"/>
                <w:lang w:val="en-GB"/>
              </w:rPr>
              <w:t>for 202</w:t>
            </w:r>
            <w:r w:rsidR="00A705BA" w:rsidRPr="00D30847">
              <w:rPr>
                <w:rFonts w:cs="Calibri"/>
                <w:b/>
                <w:sz w:val="20"/>
                <w:szCs w:val="20"/>
                <w:lang w:val="en-GB"/>
              </w:rPr>
              <w:t>3</w:t>
            </w:r>
          </w:p>
          <w:p w14:paraId="50D0CF7F" w14:textId="77777777" w:rsidR="003A338C" w:rsidRPr="00D30847" w:rsidRDefault="003A338C" w:rsidP="003A338C">
            <w:pPr>
              <w:spacing w:after="0" w:line="240" w:lineRule="auto"/>
              <w:jc w:val="both"/>
              <w:rPr>
                <w:rFonts w:cs="Calibri"/>
                <w:sz w:val="20"/>
                <w:szCs w:val="20"/>
                <w:lang w:val="en-GB"/>
              </w:rPr>
            </w:pPr>
            <w:r w:rsidRPr="00D30847">
              <w:rPr>
                <w:rFonts w:cs="Calibri"/>
                <w:sz w:val="20"/>
                <w:szCs w:val="20"/>
                <w:lang w:val="en-GB"/>
              </w:rPr>
              <w:t>North Macedonia has a good level of preparation in this area. Limited progress was made</w:t>
            </w:r>
          </w:p>
          <w:p w14:paraId="75B510A1" w14:textId="77777777" w:rsidR="003A338C" w:rsidRPr="00D30847" w:rsidRDefault="003A338C" w:rsidP="003A338C">
            <w:pPr>
              <w:spacing w:after="0" w:line="240" w:lineRule="auto"/>
              <w:jc w:val="both"/>
              <w:rPr>
                <w:rFonts w:cs="Calibri"/>
                <w:sz w:val="20"/>
                <w:szCs w:val="20"/>
                <w:lang w:val="en-GB"/>
              </w:rPr>
            </w:pPr>
            <w:r w:rsidRPr="00D30847">
              <w:rPr>
                <w:rFonts w:cs="Calibri"/>
                <w:sz w:val="20"/>
                <w:szCs w:val="20"/>
                <w:lang w:val="en-GB"/>
              </w:rPr>
              <w:t>on consolidation, application and upgrade of IT systems while the Concept of authorised</w:t>
            </w:r>
          </w:p>
          <w:p w14:paraId="3E4BDF75" w14:textId="77777777" w:rsidR="003A338C" w:rsidRPr="00D30847" w:rsidRDefault="003A338C" w:rsidP="003A338C">
            <w:pPr>
              <w:spacing w:after="0" w:line="240" w:lineRule="auto"/>
              <w:jc w:val="both"/>
              <w:rPr>
                <w:rFonts w:cs="Calibri"/>
                <w:sz w:val="20"/>
                <w:szCs w:val="20"/>
                <w:lang w:val="en-GB"/>
              </w:rPr>
            </w:pPr>
            <w:r w:rsidRPr="00D30847">
              <w:rPr>
                <w:rFonts w:cs="Calibri"/>
                <w:sz w:val="20"/>
                <w:szCs w:val="20"/>
                <w:lang w:val="en-GB"/>
              </w:rPr>
              <w:t>economic operators (AEO) was further promoted, including through regional cooperation</w:t>
            </w:r>
          </w:p>
          <w:p w14:paraId="35391ABA" w14:textId="7FC865CA" w:rsidR="004A38AA" w:rsidRPr="00D30847" w:rsidRDefault="003A338C" w:rsidP="003A338C">
            <w:pPr>
              <w:spacing w:line="240" w:lineRule="auto"/>
              <w:jc w:val="both"/>
              <w:rPr>
                <w:rFonts w:cs="Calibri"/>
                <w:sz w:val="20"/>
                <w:szCs w:val="20"/>
                <w:lang w:val="en-GB"/>
              </w:rPr>
            </w:pPr>
            <w:r w:rsidRPr="00D30847">
              <w:rPr>
                <w:rFonts w:cs="Calibri"/>
                <w:sz w:val="20"/>
                <w:szCs w:val="20"/>
                <w:lang w:val="en-GB"/>
              </w:rPr>
              <w:t>initiatives among the customs administrations of the WB6 countries.</w:t>
            </w:r>
          </w:p>
        </w:tc>
      </w:tr>
    </w:tbl>
    <w:p w14:paraId="59E70987" w14:textId="77777777" w:rsidR="004A38AA" w:rsidRPr="00D30847" w:rsidRDefault="004A38AA" w:rsidP="00E84CD0">
      <w:pPr>
        <w:spacing w:line="240" w:lineRule="auto"/>
        <w:jc w:val="both"/>
        <w:rPr>
          <w:rFonts w:cs="Calibri"/>
          <w:lang w:val="en-GB"/>
        </w:rPr>
      </w:pPr>
    </w:p>
    <w:p w14:paraId="0F655397" w14:textId="77777777" w:rsidR="004A38AA" w:rsidRPr="00D30847" w:rsidRDefault="004A38AA" w:rsidP="00E84CD0">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Context/Background</w:t>
      </w:r>
    </w:p>
    <w:p w14:paraId="565A238E" w14:textId="77777777" w:rsidR="003A338C" w:rsidRPr="00D30847" w:rsidRDefault="003A338C" w:rsidP="003A338C">
      <w:pPr>
        <w:spacing w:line="240" w:lineRule="auto"/>
        <w:jc w:val="both"/>
        <w:rPr>
          <w:rFonts w:cs="Calibri"/>
          <w:lang w:val="en-GB"/>
        </w:rPr>
      </w:pPr>
      <w:bookmarkStart w:id="31" w:name="_Hlk89937901"/>
      <w:r w:rsidRPr="00D30847">
        <w:rPr>
          <w:rFonts w:cs="Calibri"/>
          <w:lang w:val="en-GB"/>
        </w:rPr>
        <w:lastRenderedPageBreak/>
        <w:t>The goals and measures for the implementation of the CA strategy are covered by strategic priorities and strategic goals is the suppression of illegal trade and organized crime, protection of the legal economy, ensuring safety and security, protection of the health and safety of citizens and protection of the environment.</w:t>
      </w:r>
    </w:p>
    <w:p w14:paraId="5B12DB7F" w14:textId="77777777" w:rsidR="003A338C" w:rsidRPr="00D30847" w:rsidRDefault="003A338C" w:rsidP="003A338C">
      <w:pPr>
        <w:spacing w:line="240" w:lineRule="auto"/>
        <w:jc w:val="both"/>
        <w:rPr>
          <w:rFonts w:cs="Calibri"/>
          <w:lang w:val="en-GB"/>
        </w:rPr>
      </w:pPr>
      <w:r w:rsidRPr="00D30847">
        <w:rPr>
          <w:rFonts w:cs="Calibri"/>
          <w:lang w:val="en-GB"/>
        </w:rPr>
        <w:t>Supply chain oversight is based on risk management that ensures faster flow of goods and passengers, and controls are performed selectively to protect the financial interests of the national economy, society and the environment.</w:t>
      </w:r>
    </w:p>
    <w:p w14:paraId="7D7B79F7" w14:textId="77777777" w:rsidR="003A338C" w:rsidRPr="00D30847" w:rsidRDefault="003A338C" w:rsidP="003A338C">
      <w:pPr>
        <w:spacing w:line="240" w:lineRule="auto"/>
        <w:jc w:val="both"/>
        <w:rPr>
          <w:rFonts w:cs="Calibri"/>
          <w:lang w:val="en-GB"/>
        </w:rPr>
      </w:pPr>
      <w:r w:rsidRPr="00D30847">
        <w:rPr>
          <w:rFonts w:cs="Calibri"/>
          <w:lang w:val="en-GB"/>
        </w:rPr>
        <w:t>A key factor for quality data analysis is the employees and they will be constantly trained to strengthen their capacity. The appropriate distribution of controls, before customs clearance, during customs procedures and after customs clearance, provides a balance for the proper use of available resources.</w:t>
      </w:r>
    </w:p>
    <w:p w14:paraId="0502E8FA" w14:textId="77777777" w:rsidR="003A338C" w:rsidRPr="00D30847" w:rsidRDefault="003A338C" w:rsidP="003A338C">
      <w:pPr>
        <w:spacing w:line="240" w:lineRule="auto"/>
        <w:jc w:val="both"/>
        <w:rPr>
          <w:rFonts w:cs="Calibri"/>
          <w:lang w:val="en-GB"/>
        </w:rPr>
      </w:pPr>
      <w:r w:rsidRPr="00D30847">
        <w:rPr>
          <w:rFonts w:cs="Calibri"/>
          <w:lang w:val="en-GB"/>
        </w:rPr>
        <w:t>The motivation of the employees and their interest in achieving higher professional standards is constantly nurtured. One of the goals is to direct the activities towards providing more customs experts in the field of control, which will be especially important when starting the negotiations with the European Union.</w:t>
      </w:r>
    </w:p>
    <w:p w14:paraId="5BB07631" w14:textId="77777777" w:rsidR="003A338C" w:rsidRPr="00D30847" w:rsidRDefault="003A338C" w:rsidP="003A338C">
      <w:pPr>
        <w:spacing w:line="240" w:lineRule="auto"/>
        <w:jc w:val="both"/>
        <w:rPr>
          <w:rFonts w:cs="Calibri"/>
          <w:lang w:val="en-GB"/>
        </w:rPr>
      </w:pPr>
      <w:r w:rsidRPr="00D30847">
        <w:rPr>
          <w:rFonts w:cs="Calibri"/>
          <w:lang w:val="en-GB"/>
        </w:rPr>
        <w:t>The more intensive application of new technologies will bring with it new and more frequent forms of crime, such as data-related criminal acts, cyber threats. Customs will need to be dedicated to preparing for action by improving capacity, applying the best tools and innovative technologies and appropriate training.</w:t>
      </w:r>
    </w:p>
    <w:p w14:paraId="1BB3188F" w14:textId="4E62C61D" w:rsidR="003A338C" w:rsidRPr="00D30847" w:rsidRDefault="003A338C" w:rsidP="003A338C">
      <w:pPr>
        <w:spacing w:line="240" w:lineRule="auto"/>
        <w:jc w:val="both"/>
        <w:rPr>
          <w:rFonts w:cs="Calibri"/>
          <w:lang w:val="en-GB"/>
        </w:rPr>
      </w:pPr>
      <w:r w:rsidRPr="00D30847">
        <w:rPr>
          <w:rFonts w:cs="Calibri"/>
          <w:lang w:val="en-GB"/>
        </w:rPr>
        <w:t xml:space="preserve">Activities will be undertaken in accordance with the Action Plan for Suppression of the Gray Economy, for improvement of the professional staff in the field of inspection services in the competent institutions in order to achieve effective results in the fight against the </w:t>
      </w:r>
      <w:proofErr w:type="spellStart"/>
      <w:r w:rsidRPr="00D30847">
        <w:rPr>
          <w:rFonts w:cs="Calibri"/>
          <w:lang w:val="en-GB"/>
        </w:rPr>
        <w:t>gray</w:t>
      </w:r>
      <w:proofErr w:type="spellEnd"/>
      <w:r w:rsidRPr="00D30847">
        <w:rPr>
          <w:rFonts w:cs="Calibri"/>
          <w:lang w:val="en-GB"/>
        </w:rPr>
        <w:t xml:space="preserve"> economy, conducting relevant comparative analysis and appropriate application of positive comparative examples experiences, preparation of precise registers in order to efficiently locate the relevant sectors in which the highest level of </w:t>
      </w:r>
      <w:r w:rsidR="00D30847" w:rsidRPr="00D30847">
        <w:rPr>
          <w:rFonts w:cs="Calibri"/>
          <w:lang w:val="en-GB"/>
        </w:rPr>
        <w:t>grey</w:t>
      </w:r>
      <w:r w:rsidRPr="00D30847">
        <w:rPr>
          <w:rFonts w:cs="Calibri"/>
          <w:lang w:val="en-GB"/>
        </w:rPr>
        <w:t xml:space="preserve"> economy is recorded.</w:t>
      </w:r>
      <w:bookmarkEnd w:id="31"/>
    </w:p>
    <w:p w14:paraId="04132C81" w14:textId="77777777" w:rsidR="003A338C" w:rsidRPr="00D30847" w:rsidRDefault="003A338C" w:rsidP="003A338C">
      <w:pPr>
        <w:spacing w:line="240" w:lineRule="auto"/>
        <w:jc w:val="both"/>
        <w:rPr>
          <w:rFonts w:cs="Calibri"/>
          <w:b/>
          <w:bCs/>
          <w:iCs/>
          <w:color w:val="0070C0"/>
          <w:lang w:val="en-GB"/>
        </w:rPr>
      </w:pPr>
      <w:r w:rsidRPr="00D30847">
        <w:rPr>
          <w:rFonts w:cs="Calibri"/>
          <w:b/>
          <w:bCs/>
          <w:iCs/>
          <w:color w:val="0070C0"/>
          <w:lang w:val="en-GB"/>
        </w:rPr>
        <w:t>Activity 1: Equipping with modern and reliable control equipment and appropriate training for employees, in order to protect financial and economic interests, guarantee the safety and security of citizens, environmental protection and protection from unfair and illicit trade</w:t>
      </w:r>
    </w:p>
    <w:p w14:paraId="28C93B5C" w14:textId="77777777" w:rsidR="003A338C" w:rsidRPr="00D30847" w:rsidRDefault="003A338C" w:rsidP="003A338C">
      <w:pPr>
        <w:spacing w:line="240" w:lineRule="auto"/>
        <w:jc w:val="both"/>
        <w:rPr>
          <w:rFonts w:cs="Calibri"/>
          <w:lang w:val="en-GB"/>
        </w:rPr>
      </w:pPr>
      <w:r w:rsidRPr="00D30847">
        <w:rPr>
          <w:rFonts w:cs="Calibri"/>
          <w:lang w:val="en-GB"/>
        </w:rPr>
        <w:t>In order to be modern and efficient and ready to adapt to the inevitable changes, the CA will raise the level of quality and professionalism of the work performed by the customs officers, in accordance with the principles of simplification, fairness and efficiency. Customs strives to be "SMART" which is in line with the policy of the World Customs Organization, which means: secure borders, automation, traceability and measurability, improving risk management and above all monitoring and application of the latest technology.</w:t>
      </w:r>
    </w:p>
    <w:p w14:paraId="3CAAD6EF" w14:textId="77777777" w:rsidR="00EA4DEC" w:rsidRPr="00D30847" w:rsidRDefault="00EA4DEC" w:rsidP="00EA4DEC">
      <w:pPr>
        <w:spacing w:line="240" w:lineRule="auto"/>
        <w:jc w:val="both"/>
        <w:rPr>
          <w:rFonts w:cs="Calibri"/>
          <w:lang w:val="en-GB"/>
        </w:rPr>
      </w:pPr>
      <w:r w:rsidRPr="00D30847">
        <w:rPr>
          <w:rFonts w:cs="Calibri"/>
          <w:lang w:val="en-GB"/>
        </w:rPr>
        <w:t>All activities that will be undertaken for the modernization of the customs service will be in accordance with the commitment of the modern European services to be proactive, to act homogeneously with all participants, with a commitment to innovation and sustainability. Establishing a data channel with trusted partners and effective data sharing mechanisms remains a challenge.</w:t>
      </w:r>
    </w:p>
    <w:p w14:paraId="7FEC8F64" w14:textId="77777777" w:rsidR="003A338C" w:rsidRPr="00D30847" w:rsidRDefault="003A338C" w:rsidP="003A338C">
      <w:pPr>
        <w:spacing w:line="240" w:lineRule="auto"/>
        <w:jc w:val="both"/>
        <w:rPr>
          <w:rFonts w:cs="Calibri"/>
          <w:lang w:val="en-GB"/>
        </w:rPr>
      </w:pPr>
      <w:r w:rsidRPr="00D30847">
        <w:rPr>
          <w:rFonts w:cs="Calibri"/>
          <w:lang w:val="en-GB"/>
        </w:rPr>
        <w:t>The Customs Administration, as one of the state bodies responsible for prosecuting perpetrators of crimes, will participate in the implementation of coordinated measures to prevent money laundering and terrorist financing, which will be undertaken by the competent institutions and will act to strengthen inter-institutional and international cooperation, devoting adequate technical and human resources. Success in detecting, documenting and prosecuting money laundering and terrorist financing cases will depend on the quality of the information exchanged.</w:t>
      </w:r>
    </w:p>
    <w:p w14:paraId="3145FD78" w14:textId="77777777" w:rsidR="003A338C" w:rsidRPr="00D30847" w:rsidRDefault="003A338C" w:rsidP="003A338C">
      <w:pPr>
        <w:spacing w:line="240" w:lineRule="auto"/>
        <w:jc w:val="both"/>
        <w:rPr>
          <w:rFonts w:cs="Calibri"/>
          <w:lang w:val="en-GB"/>
        </w:rPr>
      </w:pPr>
      <w:r w:rsidRPr="00D30847">
        <w:rPr>
          <w:rFonts w:cs="Calibri"/>
          <w:lang w:val="en-GB"/>
        </w:rPr>
        <w:t xml:space="preserve">Special attention will be paid to the operational units that should be composed of a sufficient number of employees with an appropriate profile, to be characterized by the ability to act in all situations, as </w:t>
      </w:r>
      <w:r w:rsidRPr="00D30847">
        <w:rPr>
          <w:rFonts w:cs="Calibri"/>
          <w:lang w:val="en-GB"/>
        </w:rPr>
        <w:lastRenderedPageBreak/>
        <w:t>a solid factor in preventing and detecting illegal actions, discouraging the intention to die. such activities and resolutely dealing with them.</w:t>
      </w:r>
    </w:p>
    <w:p w14:paraId="6519AE19" w14:textId="77777777" w:rsidR="003A338C" w:rsidRPr="00D30847" w:rsidRDefault="003A338C" w:rsidP="003A338C">
      <w:pPr>
        <w:spacing w:line="240" w:lineRule="auto"/>
        <w:jc w:val="both"/>
        <w:rPr>
          <w:rFonts w:cs="Calibri"/>
          <w:lang w:val="en-GB"/>
        </w:rPr>
      </w:pPr>
      <w:r w:rsidRPr="00D30847">
        <w:rPr>
          <w:rFonts w:cs="Calibri"/>
          <w:lang w:val="en-GB"/>
        </w:rPr>
        <w:t>Joint actions are taken to improve the capacity to fight organized crime: improved electronic recording and exchange of information at national and international level, modernization of border control equipment, procurement of new CCTV equipment and improved mobility; and rapid response capabilities.</w:t>
      </w:r>
    </w:p>
    <w:p w14:paraId="2538D631" w14:textId="77777777" w:rsidR="003A338C" w:rsidRPr="00D30847" w:rsidRDefault="003A338C" w:rsidP="003A338C">
      <w:pPr>
        <w:spacing w:line="240" w:lineRule="auto"/>
        <w:jc w:val="both"/>
        <w:rPr>
          <w:rFonts w:cs="Calibri"/>
          <w:lang w:val="en-GB"/>
        </w:rPr>
      </w:pPr>
      <w:r w:rsidRPr="00D30847">
        <w:rPr>
          <w:rFonts w:cs="Calibri"/>
          <w:lang w:val="en-GB"/>
        </w:rPr>
        <w:t>Joint control mechanisms for a more efficient and coordinated response to illicit trade and organized crime through selected controls will be strengthened.</w:t>
      </w:r>
    </w:p>
    <w:p w14:paraId="107DD8DD" w14:textId="77777777" w:rsidR="003A338C" w:rsidRPr="00D30847" w:rsidRDefault="003A338C" w:rsidP="003A338C">
      <w:pPr>
        <w:spacing w:line="240" w:lineRule="auto"/>
        <w:jc w:val="both"/>
        <w:rPr>
          <w:rFonts w:cs="Calibri"/>
          <w:lang w:val="en-GB"/>
        </w:rPr>
      </w:pPr>
      <w:r w:rsidRPr="00D30847">
        <w:rPr>
          <w:rFonts w:cs="Calibri"/>
          <w:i/>
          <w:lang w:val="en-GB"/>
        </w:rPr>
        <w:t xml:space="preserve">Strategic action activities for strengthening the joint control mechanisms by equipping </w:t>
      </w:r>
      <w:r w:rsidRPr="00D30847">
        <w:rPr>
          <w:rFonts w:cs="Calibri"/>
          <w:lang w:val="en-GB"/>
        </w:rPr>
        <w:t>with modern and reliable control equipment that will help the customs authorities to protect financial and economic interests, guarantee the safety and security of citizens, environmental protection and protection from disloyal and illicit trade:</w:t>
      </w:r>
    </w:p>
    <w:p w14:paraId="46F55F91" w14:textId="77777777" w:rsidR="003A338C" w:rsidRPr="00D30847" w:rsidRDefault="003A338C" w:rsidP="00AD2AD5">
      <w:pPr>
        <w:numPr>
          <w:ilvl w:val="0"/>
          <w:numId w:val="8"/>
        </w:numPr>
        <w:spacing w:after="0" w:line="240" w:lineRule="auto"/>
        <w:jc w:val="both"/>
        <w:rPr>
          <w:rFonts w:cs="Calibri"/>
          <w:color w:val="000000"/>
          <w:lang w:val="en-GB"/>
        </w:rPr>
      </w:pPr>
      <w:r w:rsidRPr="00D30847">
        <w:rPr>
          <w:rFonts w:cs="Calibri"/>
          <w:color w:val="000000"/>
          <w:lang w:val="en-GB"/>
        </w:rPr>
        <w:t>Improving the capacities of the control and prosecution bodies for fight against crime</w:t>
      </w:r>
    </w:p>
    <w:p w14:paraId="4E6009E1" w14:textId="77777777" w:rsidR="003A338C" w:rsidRPr="00D30847" w:rsidRDefault="003A338C" w:rsidP="00AD2AD5">
      <w:pPr>
        <w:numPr>
          <w:ilvl w:val="0"/>
          <w:numId w:val="8"/>
        </w:numPr>
        <w:spacing w:after="0" w:line="240" w:lineRule="auto"/>
        <w:jc w:val="both"/>
        <w:rPr>
          <w:rFonts w:cs="Calibri"/>
          <w:color w:val="000000"/>
          <w:lang w:val="en-GB"/>
        </w:rPr>
      </w:pPr>
      <w:r w:rsidRPr="00D30847">
        <w:rPr>
          <w:rFonts w:cs="Calibri"/>
          <w:color w:val="000000"/>
          <w:lang w:val="en-GB"/>
        </w:rPr>
        <w:t>Synergy between law enforcement agencies and improved security situation</w:t>
      </w:r>
    </w:p>
    <w:p w14:paraId="5567CC29" w14:textId="77777777" w:rsidR="003A338C" w:rsidRPr="00D30847" w:rsidRDefault="003A338C" w:rsidP="00AD2AD5">
      <w:pPr>
        <w:numPr>
          <w:ilvl w:val="0"/>
          <w:numId w:val="8"/>
        </w:numPr>
        <w:spacing w:after="0" w:line="240" w:lineRule="auto"/>
        <w:jc w:val="both"/>
        <w:rPr>
          <w:rFonts w:cs="Calibri"/>
          <w:color w:val="000000"/>
          <w:lang w:val="en-GB"/>
        </w:rPr>
      </w:pPr>
      <w:r w:rsidRPr="00D30847">
        <w:rPr>
          <w:rFonts w:cs="Calibri"/>
          <w:color w:val="000000"/>
          <w:lang w:val="en-GB"/>
        </w:rPr>
        <w:t>Strengthening the capacities of national institutions and their coordination in monitoring the flow of money, as well as detecting possible concealment and transfer of illegally acquired property</w:t>
      </w:r>
    </w:p>
    <w:p w14:paraId="0A102F6B" w14:textId="77777777" w:rsidR="003A338C" w:rsidRPr="00D30847" w:rsidRDefault="003A338C" w:rsidP="00AD2AD5">
      <w:pPr>
        <w:numPr>
          <w:ilvl w:val="0"/>
          <w:numId w:val="8"/>
        </w:numPr>
        <w:spacing w:after="0" w:line="240" w:lineRule="auto"/>
        <w:jc w:val="both"/>
        <w:rPr>
          <w:rFonts w:cs="Calibri"/>
          <w:color w:val="000000"/>
          <w:lang w:val="en-GB"/>
        </w:rPr>
      </w:pPr>
      <w:r w:rsidRPr="00D30847">
        <w:rPr>
          <w:rFonts w:cs="Calibri"/>
          <w:color w:val="000000"/>
          <w:lang w:val="en-GB"/>
        </w:rPr>
        <w:t>Criminal investigations to result in confiscation of property and property gain</w:t>
      </w:r>
    </w:p>
    <w:p w14:paraId="29F7CC47" w14:textId="77777777" w:rsidR="003A338C" w:rsidRPr="00D30847" w:rsidRDefault="003A338C" w:rsidP="00AD2AD5">
      <w:pPr>
        <w:numPr>
          <w:ilvl w:val="0"/>
          <w:numId w:val="8"/>
        </w:numPr>
        <w:spacing w:after="0" w:line="240" w:lineRule="auto"/>
        <w:jc w:val="both"/>
        <w:rPr>
          <w:rFonts w:cs="Calibri"/>
          <w:color w:val="000000"/>
          <w:lang w:val="en-GB"/>
        </w:rPr>
      </w:pPr>
      <w:r w:rsidRPr="00D30847">
        <w:rPr>
          <w:rFonts w:cs="Calibri"/>
          <w:color w:val="000000"/>
          <w:lang w:val="en-GB"/>
        </w:rPr>
        <w:t>Increased efficiency in detecting, prosecuting and adequately sanctioning perpetrators of money laundering and terrorist financing</w:t>
      </w:r>
    </w:p>
    <w:p w14:paraId="2264804F" w14:textId="77777777" w:rsidR="003A338C" w:rsidRPr="00D30847" w:rsidRDefault="003A338C" w:rsidP="00AD2AD5">
      <w:pPr>
        <w:numPr>
          <w:ilvl w:val="0"/>
          <w:numId w:val="8"/>
        </w:numPr>
        <w:spacing w:after="0" w:line="240" w:lineRule="auto"/>
        <w:jc w:val="both"/>
        <w:rPr>
          <w:rFonts w:cs="Calibri"/>
          <w:color w:val="000000"/>
          <w:lang w:val="en-GB"/>
        </w:rPr>
      </w:pPr>
      <w:r w:rsidRPr="00D30847">
        <w:rPr>
          <w:rFonts w:cs="Calibri"/>
          <w:color w:val="000000"/>
          <w:lang w:val="en-GB"/>
        </w:rPr>
        <w:t>Access to electronic databases to be established and functional</w:t>
      </w:r>
    </w:p>
    <w:p w14:paraId="049B193D" w14:textId="77777777" w:rsidR="003A338C" w:rsidRPr="00D30847" w:rsidRDefault="003A338C" w:rsidP="00AD2AD5">
      <w:pPr>
        <w:numPr>
          <w:ilvl w:val="0"/>
          <w:numId w:val="8"/>
        </w:numPr>
        <w:spacing w:after="0" w:line="240" w:lineRule="auto"/>
        <w:jc w:val="both"/>
        <w:rPr>
          <w:rFonts w:cs="Calibri"/>
          <w:color w:val="000000"/>
          <w:lang w:val="en-GB"/>
        </w:rPr>
      </w:pPr>
      <w:r w:rsidRPr="00D30847">
        <w:rPr>
          <w:rFonts w:cs="Calibri"/>
          <w:color w:val="000000"/>
          <w:lang w:val="en-GB"/>
        </w:rPr>
        <w:t>Trained staff for performing the legal competencies in accordance with the identified risks</w:t>
      </w:r>
    </w:p>
    <w:p w14:paraId="4D23F806" w14:textId="6E07299D" w:rsidR="003A338C" w:rsidRPr="00D30847" w:rsidRDefault="003A338C" w:rsidP="00AD2AD5">
      <w:pPr>
        <w:numPr>
          <w:ilvl w:val="0"/>
          <w:numId w:val="8"/>
        </w:numPr>
        <w:spacing w:after="0" w:line="240" w:lineRule="auto"/>
        <w:jc w:val="both"/>
        <w:rPr>
          <w:rFonts w:cs="Calibri"/>
          <w:color w:val="000000"/>
          <w:lang w:val="en-GB"/>
        </w:rPr>
      </w:pPr>
      <w:r w:rsidRPr="00D30847">
        <w:rPr>
          <w:rFonts w:cs="Calibri"/>
          <w:color w:val="000000"/>
          <w:lang w:val="en-GB"/>
        </w:rPr>
        <w:t>Improving the professional staff in the field of inspection services in the competent institutions, in order to achieve effective results in the fight against the shadow economy.</w:t>
      </w:r>
    </w:p>
    <w:p w14:paraId="23D4705C" w14:textId="77777777" w:rsidR="00602A32" w:rsidRPr="00D30847" w:rsidRDefault="00602A32" w:rsidP="00602A32">
      <w:pPr>
        <w:spacing w:after="0" w:line="240" w:lineRule="auto"/>
        <w:ind w:left="720"/>
        <w:jc w:val="both"/>
        <w:rPr>
          <w:rFonts w:cs="Calibri"/>
          <w:color w:val="000000"/>
          <w:lang w:val="en-GB"/>
        </w:rPr>
      </w:pPr>
    </w:p>
    <w:p w14:paraId="77EEE73A" w14:textId="77777777" w:rsidR="003A338C" w:rsidRPr="00D30847" w:rsidRDefault="003A338C" w:rsidP="00532C0E">
      <w:pPr>
        <w:spacing w:after="0" w:line="240" w:lineRule="auto"/>
        <w:jc w:val="both"/>
        <w:rPr>
          <w:rFonts w:cs="Calibri"/>
          <w:color w:val="000000"/>
          <w:lang w:val="en-GB"/>
        </w:rPr>
      </w:pPr>
      <w:r w:rsidRPr="00D30847">
        <w:rPr>
          <w:rFonts w:cs="Calibri"/>
          <w:color w:val="000000"/>
          <w:lang w:val="en-GB"/>
        </w:rPr>
        <w:t>Adequate customs controls with results that will not disrupt, but will facilitate cross-border trade.</w:t>
      </w:r>
    </w:p>
    <w:p w14:paraId="23298F3D" w14:textId="77777777" w:rsidR="003A338C" w:rsidRPr="00D30847" w:rsidRDefault="003A338C" w:rsidP="00532C0E">
      <w:pPr>
        <w:spacing w:after="0" w:line="240" w:lineRule="auto"/>
        <w:jc w:val="both"/>
        <w:rPr>
          <w:rFonts w:cs="Calibri"/>
          <w:color w:val="000000"/>
          <w:lang w:val="en-GB"/>
        </w:rPr>
      </w:pPr>
      <w:r w:rsidRPr="00D30847">
        <w:rPr>
          <w:rFonts w:cs="Calibri"/>
          <w:color w:val="000000"/>
          <w:lang w:val="en-GB"/>
        </w:rPr>
        <w:t>Successful management of the challenges arising from the ever-changing models of global business operations and supply chain, which depends not only on the human factor, but also on the availability and proper functioning of modern and reliable customs control equipment. Challenges over increased e-commerce, digitalisation and resistance to cyber threats also increase the need for effective customs controls</w:t>
      </w:r>
    </w:p>
    <w:p w14:paraId="0C68D1AF" w14:textId="77777777" w:rsidR="003A338C" w:rsidRPr="00D30847" w:rsidRDefault="003A338C" w:rsidP="00532C0E">
      <w:pPr>
        <w:spacing w:after="0" w:line="240" w:lineRule="auto"/>
        <w:jc w:val="both"/>
        <w:rPr>
          <w:rFonts w:cs="Calibri"/>
          <w:color w:val="000000"/>
          <w:lang w:val="en-GB"/>
        </w:rPr>
      </w:pPr>
      <w:r w:rsidRPr="00D30847">
        <w:rPr>
          <w:rFonts w:cs="Calibri"/>
          <w:color w:val="000000"/>
          <w:lang w:val="en-GB"/>
        </w:rPr>
        <w:t>Improved compliance with the implementation of customs controls and prevention of situations where a certain flow of goods is redirected to places with weaker customs control.</w:t>
      </w:r>
    </w:p>
    <w:p w14:paraId="77A4BD0F" w14:textId="40ED33AF" w:rsidR="006C526B" w:rsidRPr="00D30847" w:rsidRDefault="006C526B" w:rsidP="00E84CD0">
      <w:pPr>
        <w:spacing w:line="240" w:lineRule="auto"/>
        <w:jc w:val="both"/>
        <w:rPr>
          <w:rFonts w:cs="Calibri"/>
          <w:b/>
          <w:bCs/>
          <w:i/>
          <w:iCs/>
          <w:color w:val="4F81BD"/>
          <w:sz w:val="10"/>
          <w:szCs w:val="10"/>
          <w:lang w:val="en-GB"/>
        </w:rPr>
      </w:pPr>
    </w:p>
    <w:p w14:paraId="1733917B" w14:textId="27E74ADF" w:rsidR="004A38AA" w:rsidRPr="00D30847" w:rsidRDefault="004A38AA" w:rsidP="00E84CD0">
      <w:pPr>
        <w:spacing w:line="240" w:lineRule="auto"/>
        <w:jc w:val="both"/>
        <w:rPr>
          <w:rFonts w:cs="Calibri"/>
          <w:b/>
          <w:bCs/>
          <w:i/>
          <w:iCs/>
          <w:color w:val="4F81BD"/>
          <w:lang w:val="en-GB"/>
        </w:rPr>
      </w:pPr>
      <w:r w:rsidRPr="00D30847">
        <w:rPr>
          <w:rFonts w:cs="Calibri"/>
          <w:b/>
          <w:bCs/>
          <w:i/>
          <w:iCs/>
          <w:color w:val="4F81BD"/>
          <w:lang w:val="en-GB"/>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5E5647" w:rsidRPr="00D30847" w14:paraId="4A17F6A4" w14:textId="77777777" w:rsidTr="00686BBE">
        <w:tc>
          <w:tcPr>
            <w:tcW w:w="2518" w:type="dxa"/>
            <w:tcBorders>
              <w:top w:val="nil"/>
              <w:bottom w:val="single" w:sz="4" w:space="0" w:color="FFFFFF"/>
            </w:tcBorders>
            <w:shd w:val="clear" w:color="auto" w:fill="002060"/>
          </w:tcPr>
          <w:p w14:paraId="3060EC3C" w14:textId="24A4AC69" w:rsidR="005E5647" w:rsidRPr="00D30847" w:rsidRDefault="005E5647" w:rsidP="00E84CD0">
            <w:pPr>
              <w:spacing w:line="240" w:lineRule="auto"/>
              <w:jc w:val="both"/>
              <w:rPr>
                <w:rFonts w:cs="Calibri"/>
                <w:b/>
                <w:color w:val="FFFFFF"/>
                <w:sz w:val="20"/>
                <w:szCs w:val="20"/>
                <w:lang w:val="en-GB"/>
              </w:rPr>
            </w:pPr>
            <w:r w:rsidRPr="00D30847">
              <w:rPr>
                <w:rFonts w:cs="Calibri"/>
                <w:b/>
                <w:color w:val="FFFFFF"/>
                <w:sz w:val="20"/>
                <w:szCs w:val="20"/>
                <w:lang w:val="en-GB"/>
              </w:rPr>
              <w:t>Completed</w:t>
            </w:r>
            <w:r w:rsidR="00D4719C" w:rsidRPr="00D30847">
              <w:rPr>
                <w:rFonts w:cs="Calibri"/>
                <w:b/>
                <w:color w:val="FFFFFF"/>
                <w:sz w:val="20"/>
                <w:szCs w:val="20"/>
                <w:lang w:val="en-GB"/>
              </w:rPr>
              <w:t xml:space="preserve"> </w:t>
            </w:r>
            <w:r w:rsidRPr="00D30847">
              <w:rPr>
                <w:rFonts w:cs="Calibri"/>
                <w:b/>
                <w:color w:val="FFFFFF"/>
                <w:sz w:val="20"/>
                <w:szCs w:val="20"/>
                <w:lang w:val="en-GB"/>
              </w:rPr>
              <w:t>in</w:t>
            </w:r>
            <w:r w:rsidR="00D4719C" w:rsidRPr="00D30847">
              <w:rPr>
                <w:rFonts w:cs="Calibri"/>
                <w:b/>
                <w:color w:val="FFFFFF"/>
                <w:sz w:val="20"/>
                <w:szCs w:val="20"/>
                <w:lang w:val="en-GB"/>
              </w:rPr>
              <w:t xml:space="preserve"> </w:t>
            </w:r>
            <w:r w:rsidRPr="00D30847">
              <w:rPr>
                <w:rFonts w:cs="Calibri"/>
                <w:b/>
                <w:color w:val="FFFFFF"/>
                <w:sz w:val="20"/>
                <w:szCs w:val="20"/>
                <w:lang w:val="en-GB"/>
              </w:rPr>
              <w:t>year:</w:t>
            </w:r>
          </w:p>
        </w:tc>
        <w:tc>
          <w:tcPr>
            <w:tcW w:w="6246" w:type="dxa"/>
            <w:tcBorders>
              <w:top w:val="nil"/>
              <w:bottom w:val="single" w:sz="4" w:space="0" w:color="FFFFFF"/>
            </w:tcBorders>
            <w:shd w:val="clear" w:color="auto" w:fill="D9E2F3"/>
          </w:tcPr>
          <w:p w14:paraId="11537764" w14:textId="691F4575" w:rsidR="005E5647" w:rsidRPr="00D30847" w:rsidRDefault="005E5647" w:rsidP="00E84CD0">
            <w:pPr>
              <w:spacing w:line="240" w:lineRule="auto"/>
              <w:jc w:val="both"/>
              <w:rPr>
                <w:rFonts w:cs="Calibri"/>
                <w:sz w:val="20"/>
                <w:szCs w:val="20"/>
                <w:lang w:val="en-GB"/>
              </w:rPr>
            </w:pPr>
            <w:r w:rsidRPr="00D30847">
              <w:rPr>
                <w:rFonts w:cs="Calibri"/>
                <w:sz w:val="20"/>
                <w:szCs w:val="20"/>
                <w:lang w:val="en-GB"/>
              </w:rPr>
              <w:t>202</w:t>
            </w:r>
            <w:r w:rsidR="00961D64" w:rsidRPr="00D30847">
              <w:rPr>
                <w:rFonts w:cs="Calibri"/>
                <w:sz w:val="20"/>
                <w:szCs w:val="20"/>
                <w:lang w:val="en-GB"/>
              </w:rPr>
              <w:t>8</w:t>
            </w:r>
          </w:p>
        </w:tc>
      </w:tr>
      <w:tr w:rsidR="005E5647" w:rsidRPr="00D30847" w14:paraId="30F941A9" w14:textId="77777777" w:rsidTr="00686BBE">
        <w:tc>
          <w:tcPr>
            <w:tcW w:w="2518" w:type="dxa"/>
            <w:tcBorders>
              <w:top w:val="single" w:sz="4" w:space="0" w:color="FFFFFF"/>
              <w:bottom w:val="single" w:sz="4" w:space="0" w:color="FFFFFF"/>
            </w:tcBorders>
            <w:shd w:val="clear" w:color="auto" w:fill="002060"/>
          </w:tcPr>
          <w:p w14:paraId="145DDE14" w14:textId="77777777" w:rsidR="005E5647" w:rsidRPr="00D30847" w:rsidRDefault="005E5647" w:rsidP="00E84CD0">
            <w:pPr>
              <w:spacing w:line="240" w:lineRule="auto"/>
              <w:jc w:val="both"/>
              <w:rPr>
                <w:rFonts w:cs="Calibri"/>
                <w:b/>
                <w:color w:val="FFFFFF"/>
                <w:sz w:val="20"/>
                <w:szCs w:val="20"/>
                <w:lang w:val="en-GB"/>
              </w:rPr>
            </w:pPr>
            <w:r w:rsidRPr="00D30847">
              <w:rPr>
                <w:rFonts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701D5957" w14:textId="6FB880AD" w:rsidR="005E5647" w:rsidRPr="00D30847" w:rsidRDefault="000E0B02" w:rsidP="00E84CD0">
            <w:pPr>
              <w:spacing w:line="240" w:lineRule="auto"/>
              <w:jc w:val="both"/>
              <w:rPr>
                <w:rFonts w:cs="Calibri"/>
                <w:color w:val="000000"/>
                <w:sz w:val="20"/>
                <w:szCs w:val="20"/>
                <w:lang w:val="en-GB"/>
              </w:rPr>
            </w:pPr>
            <w:r w:rsidRPr="00D30847">
              <w:rPr>
                <w:rFonts w:cs="Calibri"/>
                <w:color w:val="000000"/>
                <w:sz w:val="20"/>
                <w:szCs w:val="20"/>
                <w:lang w:val="en-GB"/>
              </w:rPr>
              <w:t xml:space="preserve">- </w:t>
            </w:r>
            <w:r w:rsidR="005E5647" w:rsidRPr="00D30847">
              <w:rPr>
                <w:rFonts w:cs="Calibri"/>
                <w:color w:val="000000"/>
                <w:sz w:val="20"/>
                <w:szCs w:val="20"/>
                <w:lang w:val="en-GB"/>
              </w:rPr>
              <w:t>Availability of innovative equipment and training of staff for detection and control in order to: control without disturbance, , sampling and analysis</w:t>
            </w:r>
            <w:r w:rsidR="009220E2" w:rsidRPr="00D30847">
              <w:rPr>
                <w:rFonts w:cs="Calibri"/>
                <w:color w:val="000000"/>
                <w:sz w:val="20"/>
                <w:szCs w:val="20"/>
                <w:lang w:val="en-GB"/>
              </w:rPr>
              <w:t xml:space="preserve"> of samples, manual search</w:t>
            </w:r>
            <w:r w:rsidR="00BE77BD" w:rsidRPr="00D30847">
              <w:rPr>
                <w:rFonts w:cs="Calibri"/>
                <w:color w:val="000000"/>
                <w:sz w:val="20"/>
                <w:szCs w:val="20"/>
                <w:lang w:val="en-GB"/>
              </w:rPr>
              <w:t>.</w:t>
            </w:r>
          </w:p>
        </w:tc>
      </w:tr>
      <w:tr w:rsidR="005E5647" w:rsidRPr="00D30847" w14:paraId="4F51C28C" w14:textId="77777777" w:rsidTr="00686BBE">
        <w:trPr>
          <w:trHeight w:val="391"/>
        </w:trPr>
        <w:tc>
          <w:tcPr>
            <w:tcW w:w="2518" w:type="dxa"/>
            <w:tcBorders>
              <w:top w:val="single" w:sz="4" w:space="0" w:color="FFFFFF"/>
              <w:bottom w:val="single" w:sz="4" w:space="0" w:color="FFFFFF"/>
            </w:tcBorders>
            <w:shd w:val="clear" w:color="auto" w:fill="002060"/>
          </w:tcPr>
          <w:p w14:paraId="6558CF54" w14:textId="62690A6A" w:rsidR="005E5647" w:rsidRPr="00D30847" w:rsidRDefault="005E5647" w:rsidP="00E84CD0">
            <w:pPr>
              <w:spacing w:line="240" w:lineRule="auto"/>
              <w:jc w:val="both"/>
              <w:rPr>
                <w:rFonts w:cs="Calibri"/>
                <w:b/>
                <w:color w:val="FFFFFF"/>
                <w:sz w:val="20"/>
                <w:szCs w:val="20"/>
                <w:lang w:val="en-GB"/>
              </w:rPr>
            </w:pPr>
            <w:r w:rsidRPr="00D30847">
              <w:rPr>
                <w:rFonts w:cs="Calibri"/>
                <w:b/>
                <w:color w:val="FFFFFF"/>
                <w:sz w:val="20"/>
                <w:szCs w:val="20"/>
                <w:lang w:val="en-GB"/>
              </w:rPr>
              <w:t>Costs</w:t>
            </w:r>
            <w:r w:rsidR="00D4719C" w:rsidRPr="00D30847">
              <w:rPr>
                <w:rFonts w:cs="Calibri"/>
                <w:b/>
                <w:color w:val="FFFFFF"/>
                <w:sz w:val="20"/>
                <w:szCs w:val="20"/>
                <w:lang w:val="en-GB"/>
              </w:rPr>
              <w:t xml:space="preserve"> </w:t>
            </w:r>
            <w:r w:rsidRPr="00D30847">
              <w:rPr>
                <w:rFonts w:cs="Calibri"/>
                <w:b/>
                <w:color w:val="FFFFFF"/>
                <w:sz w:val="20"/>
                <w:szCs w:val="20"/>
                <w:lang w:val="en-GB"/>
              </w:rPr>
              <w:t>implications:</w:t>
            </w:r>
          </w:p>
        </w:tc>
        <w:tc>
          <w:tcPr>
            <w:tcW w:w="6246" w:type="dxa"/>
            <w:tcBorders>
              <w:top w:val="single" w:sz="4" w:space="0" w:color="FFFFFF"/>
              <w:bottom w:val="single" w:sz="4" w:space="0" w:color="FFFFFF"/>
            </w:tcBorders>
            <w:shd w:val="clear" w:color="auto" w:fill="D9E2F3"/>
          </w:tcPr>
          <w:p w14:paraId="1B16A8AD" w14:textId="59567726" w:rsidR="005E5647" w:rsidRPr="00D30847" w:rsidRDefault="00EE1FAA" w:rsidP="00E84CD0">
            <w:pPr>
              <w:spacing w:line="240" w:lineRule="auto"/>
              <w:jc w:val="both"/>
              <w:rPr>
                <w:rFonts w:cs="Calibri"/>
                <w:sz w:val="20"/>
                <w:szCs w:val="20"/>
                <w:lang w:val="en-GB"/>
              </w:rPr>
            </w:pPr>
            <w:r w:rsidRPr="00D30847">
              <w:rPr>
                <w:rFonts w:cs="Calibri"/>
                <w:sz w:val="20"/>
                <w:szCs w:val="20"/>
                <w:lang w:val="en-GB"/>
              </w:rPr>
              <w:t xml:space="preserve">EUR </w:t>
            </w:r>
            <w:r w:rsidR="00155B08" w:rsidRPr="00D30847">
              <w:rPr>
                <w:rFonts w:cs="Calibri"/>
                <w:sz w:val="20"/>
                <w:szCs w:val="20"/>
                <w:lang w:val="en-GB"/>
              </w:rPr>
              <w:t>2</w:t>
            </w:r>
            <w:r w:rsidRPr="00D30847">
              <w:rPr>
                <w:rFonts w:cs="Calibri"/>
                <w:sz w:val="20"/>
                <w:szCs w:val="20"/>
                <w:lang w:val="en-GB"/>
              </w:rPr>
              <w:t>,</w:t>
            </w:r>
            <w:r w:rsidR="009220E2" w:rsidRPr="00D30847">
              <w:rPr>
                <w:rFonts w:cs="Calibri"/>
                <w:sz w:val="20"/>
                <w:szCs w:val="20"/>
                <w:lang w:val="en-GB"/>
              </w:rPr>
              <w:t>000</w:t>
            </w:r>
            <w:r w:rsidRPr="00D30847">
              <w:rPr>
                <w:rFonts w:cs="Calibri"/>
                <w:sz w:val="20"/>
                <w:szCs w:val="20"/>
                <w:lang w:val="en-GB"/>
              </w:rPr>
              <w:t>,</w:t>
            </w:r>
            <w:r w:rsidR="009220E2" w:rsidRPr="00D30847">
              <w:rPr>
                <w:rFonts w:cs="Calibri"/>
                <w:sz w:val="20"/>
                <w:szCs w:val="20"/>
                <w:lang w:val="en-GB"/>
              </w:rPr>
              <w:t xml:space="preserve">000 </w:t>
            </w:r>
          </w:p>
        </w:tc>
      </w:tr>
      <w:tr w:rsidR="005E5647" w:rsidRPr="00D30847" w14:paraId="51050430" w14:textId="77777777" w:rsidTr="00686BBE">
        <w:trPr>
          <w:trHeight w:val="532"/>
        </w:trPr>
        <w:tc>
          <w:tcPr>
            <w:tcW w:w="2518" w:type="dxa"/>
            <w:tcBorders>
              <w:top w:val="single" w:sz="4" w:space="0" w:color="FFFFFF"/>
              <w:bottom w:val="single" w:sz="4" w:space="0" w:color="FFFFFF"/>
            </w:tcBorders>
            <w:shd w:val="clear" w:color="auto" w:fill="002060"/>
          </w:tcPr>
          <w:p w14:paraId="0EA15C90" w14:textId="0F5ABF9D" w:rsidR="005E5647" w:rsidRPr="00D30847" w:rsidRDefault="005E5647" w:rsidP="00E84CD0">
            <w:pPr>
              <w:spacing w:line="240" w:lineRule="auto"/>
              <w:jc w:val="both"/>
              <w:rPr>
                <w:rFonts w:cs="Calibri"/>
                <w:b/>
                <w:color w:val="FFFFFF"/>
                <w:sz w:val="20"/>
                <w:szCs w:val="20"/>
                <w:lang w:val="en-GB"/>
              </w:rPr>
            </w:pPr>
            <w:r w:rsidRPr="00D30847">
              <w:rPr>
                <w:rFonts w:cs="Calibri"/>
                <w:b/>
                <w:color w:val="FFFFFF"/>
                <w:sz w:val="20"/>
                <w:szCs w:val="20"/>
                <w:lang w:val="en-GB"/>
              </w:rPr>
              <w:t>Responsible</w:t>
            </w:r>
            <w:r w:rsidR="00D4719C" w:rsidRPr="00D30847">
              <w:rPr>
                <w:rFonts w:cs="Calibri"/>
                <w:b/>
                <w:color w:val="FFFFFF"/>
                <w:sz w:val="20"/>
                <w:szCs w:val="20"/>
                <w:lang w:val="en-GB"/>
              </w:rPr>
              <w:t xml:space="preserve"> </w:t>
            </w:r>
            <w:r w:rsidRPr="00D30847">
              <w:rPr>
                <w:rFonts w:cs="Calibri"/>
                <w:b/>
                <w:color w:val="FFFFFF"/>
                <w:sz w:val="20"/>
                <w:szCs w:val="20"/>
                <w:lang w:val="en-GB"/>
              </w:rPr>
              <w:t xml:space="preserve">entity: </w:t>
            </w:r>
          </w:p>
        </w:tc>
        <w:tc>
          <w:tcPr>
            <w:tcW w:w="6246" w:type="dxa"/>
            <w:tcBorders>
              <w:top w:val="single" w:sz="4" w:space="0" w:color="FFFFFF"/>
              <w:bottom w:val="single" w:sz="4" w:space="0" w:color="FFFFFF"/>
            </w:tcBorders>
            <w:shd w:val="clear" w:color="auto" w:fill="D9E2F3"/>
          </w:tcPr>
          <w:p w14:paraId="5F68C2C6" w14:textId="471DC657" w:rsidR="005E5647" w:rsidRPr="00D30847" w:rsidRDefault="009220E2" w:rsidP="00AD2AD5">
            <w:pPr>
              <w:pStyle w:val="ListParagraph"/>
              <w:numPr>
                <w:ilvl w:val="0"/>
                <w:numId w:val="8"/>
              </w:numPr>
              <w:spacing w:line="240" w:lineRule="auto"/>
              <w:ind w:left="183" w:hanging="180"/>
              <w:rPr>
                <w:rFonts w:cs="Calibri"/>
                <w:sz w:val="20"/>
                <w:szCs w:val="20"/>
              </w:rPr>
            </w:pPr>
            <w:r w:rsidRPr="00D30847">
              <w:rPr>
                <w:rFonts w:cs="Calibri"/>
                <w:sz w:val="20"/>
                <w:szCs w:val="20"/>
              </w:rPr>
              <w:t>Customs</w:t>
            </w:r>
            <w:r w:rsidR="00D4719C" w:rsidRPr="00D30847">
              <w:rPr>
                <w:rFonts w:cs="Calibri"/>
                <w:sz w:val="20"/>
                <w:szCs w:val="20"/>
              </w:rPr>
              <w:t xml:space="preserve"> </w:t>
            </w:r>
            <w:r w:rsidRPr="00D30847">
              <w:rPr>
                <w:rFonts w:cs="Calibri"/>
                <w:sz w:val="20"/>
                <w:szCs w:val="20"/>
              </w:rPr>
              <w:t>Administration</w:t>
            </w:r>
          </w:p>
        </w:tc>
      </w:tr>
      <w:tr w:rsidR="005E5647" w:rsidRPr="00D30847" w14:paraId="2283044D" w14:textId="77777777" w:rsidTr="00686BBE">
        <w:tc>
          <w:tcPr>
            <w:tcW w:w="2518" w:type="dxa"/>
            <w:tcBorders>
              <w:top w:val="single" w:sz="4" w:space="0" w:color="FFFFFF"/>
              <w:bottom w:val="nil"/>
            </w:tcBorders>
            <w:shd w:val="clear" w:color="auto" w:fill="002060"/>
          </w:tcPr>
          <w:p w14:paraId="487E929C" w14:textId="77777777" w:rsidR="005E5647" w:rsidRPr="00D30847" w:rsidRDefault="005E5647" w:rsidP="00E84CD0">
            <w:pPr>
              <w:spacing w:line="240" w:lineRule="auto"/>
              <w:jc w:val="both"/>
              <w:rPr>
                <w:rFonts w:cs="Calibri"/>
                <w:b/>
                <w:color w:val="FFFFFF"/>
                <w:sz w:val="20"/>
                <w:szCs w:val="20"/>
                <w:lang w:val="en-GB"/>
              </w:rPr>
            </w:pPr>
            <w:r w:rsidRPr="00D30847">
              <w:rPr>
                <w:rFonts w:cs="Calibri"/>
                <w:b/>
                <w:color w:val="FFFFFF"/>
                <w:sz w:val="20"/>
                <w:szCs w:val="20"/>
                <w:lang w:val="en-GB"/>
              </w:rPr>
              <w:t>Risk:</w:t>
            </w:r>
          </w:p>
        </w:tc>
        <w:tc>
          <w:tcPr>
            <w:tcW w:w="6246" w:type="dxa"/>
            <w:tcBorders>
              <w:top w:val="single" w:sz="4" w:space="0" w:color="FFFFFF"/>
              <w:bottom w:val="nil"/>
            </w:tcBorders>
            <w:shd w:val="clear" w:color="auto" w:fill="D9E2F3"/>
          </w:tcPr>
          <w:p w14:paraId="3ACB3719" w14:textId="77777777" w:rsidR="005E5647" w:rsidRPr="00D30847" w:rsidRDefault="005E5647" w:rsidP="00AD2AD5">
            <w:pPr>
              <w:numPr>
                <w:ilvl w:val="0"/>
                <w:numId w:val="34"/>
              </w:numPr>
              <w:spacing w:after="0" w:line="240" w:lineRule="auto"/>
              <w:ind w:left="183" w:hanging="149"/>
              <w:jc w:val="both"/>
              <w:rPr>
                <w:rFonts w:cs="Calibri"/>
                <w:sz w:val="20"/>
                <w:szCs w:val="20"/>
                <w:lang w:val="en-GB"/>
              </w:rPr>
            </w:pPr>
            <w:r w:rsidRPr="00D30847">
              <w:rPr>
                <w:rFonts w:cs="Calibri"/>
                <w:sz w:val="20"/>
                <w:szCs w:val="20"/>
                <w:lang w:val="en-GB"/>
              </w:rPr>
              <w:t>Different levels of customs staffing can be an incentive for organized crime networks to redirect their operations to border points with weaker customs control;</w:t>
            </w:r>
          </w:p>
          <w:p w14:paraId="210D9E6A" w14:textId="77777777" w:rsidR="005E5647" w:rsidRPr="00D30847" w:rsidRDefault="005E5647" w:rsidP="00AD2AD5">
            <w:pPr>
              <w:numPr>
                <w:ilvl w:val="0"/>
                <w:numId w:val="34"/>
              </w:numPr>
              <w:spacing w:after="0" w:line="240" w:lineRule="auto"/>
              <w:ind w:left="183" w:hanging="149"/>
              <w:jc w:val="both"/>
              <w:rPr>
                <w:rFonts w:cs="Calibri"/>
                <w:sz w:val="20"/>
                <w:szCs w:val="20"/>
                <w:lang w:val="en-GB"/>
              </w:rPr>
            </w:pPr>
            <w:r w:rsidRPr="00D30847">
              <w:rPr>
                <w:rFonts w:cs="Calibri"/>
                <w:sz w:val="20"/>
                <w:szCs w:val="20"/>
                <w:lang w:val="en-GB"/>
              </w:rPr>
              <w:t>Timely and quality implementation of trainings for handling the new sophisticated control equipment;</w:t>
            </w:r>
          </w:p>
        </w:tc>
      </w:tr>
    </w:tbl>
    <w:p w14:paraId="1748D5DE" w14:textId="77777777" w:rsidR="004A38AA" w:rsidRPr="00D30847" w:rsidRDefault="004A38AA" w:rsidP="00E84CD0">
      <w:pPr>
        <w:spacing w:line="240" w:lineRule="auto"/>
        <w:jc w:val="both"/>
        <w:rPr>
          <w:rFonts w:cs="Calibri"/>
          <w:lang w:val="en-GB"/>
        </w:rPr>
      </w:pPr>
    </w:p>
    <w:p w14:paraId="4E2DDF93" w14:textId="77777777" w:rsidR="003A338C" w:rsidRPr="00D30847" w:rsidRDefault="003A338C" w:rsidP="003A338C">
      <w:pPr>
        <w:spacing w:line="240" w:lineRule="auto"/>
        <w:jc w:val="both"/>
        <w:rPr>
          <w:rFonts w:cs="Calibri"/>
          <w:b/>
          <w:color w:val="0070C0"/>
          <w:sz w:val="24"/>
          <w:szCs w:val="24"/>
          <w:lang w:val="en-GB"/>
        </w:rPr>
      </w:pPr>
      <w:r w:rsidRPr="00D30847">
        <w:rPr>
          <w:rFonts w:cs="Calibri"/>
          <w:b/>
          <w:color w:val="0070C0"/>
          <w:sz w:val="24"/>
          <w:szCs w:val="24"/>
          <w:lang w:val="en-GB"/>
        </w:rPr>
        <w:lastRenderedPageBreak/>
        <w:t>Measure 2: Modernization of customs services and their digitalization</w:t>
      </w:r>
    </w:p>
    <w:p w14:paraId="4663CE07" w14:textId="50E6FBD8" w:rsidR="00813F23" w:rsidRPr="00D30847" w:rsidRDefault="00813F23" w:rsidP="00E84CD0">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Measure</w:t>
      </w:r>
      <w:r w:rsidR="003A338C" w:rsidRPr="00D30847">
        <w:rPr>
          <w:rFonts w:eastAsia="MS PGothic" w:cs="Calibri"/>
          <w:b/>
          <w:bCs/>
          <w:i/>
          <w:iCs/>
          <w:color w:val="4F81BD"/>
          <w:lang w:val="en-GB" w:eastAsia="zh-CN"/>
        </w:rPr>
        <w:t xml:space="preserve"> </w:t>
      </w:r>
      <w:r w:rsidRPr="00D30847">
        <w:rPr>
          <w:rFonts w:eastAsia="MS PGothic" w:cs="Calibri"/>
          <w:b/>
          <w:bCs/>
          <w:i/>
          <w:iCs/>
          <w:color w:val="4F81BD"/>
          <w:lang w:val="en-GB" w:eastAsia="zh-CN"/>
        </w:rPr>
        <w:t>objective</w:t>
      </w:r>
    </w:p>
    <w:p w14:paraId="1B8F3D50" w14:textId="6FAE477B" w:rsidR="003C6564" w:rsidRPr="00D30847" w:rsidRDefault="003A338C" w:rsidP="003A338C">
      <w:pPr>
        <w:spacing w:line="240" w:lineRule="auto"/>
        <w:jc w:val="both"/>
        <w:rPr>
          <w:rFonts w:cs="Calibri"/>
          <w:lang w:val="en-GB"/>
        </w:rPr>
      </w:pPr>
      <w:r w:rsidRPr="00D30847">
        <w:rPr>
          <w:rFonts w:cs="Calibri"/>
          <w:lang w:val="en-GB"/>
        </w:rPr>
        <w:t>By achieving this goal through modernization and continuation of the digitalization process, and at the same time by following the recommendations for harmonization and association with the EU, the system of public finances, fiscal discipline and efficiency in the management and use of public resources will be strengthened, transparency will be promoted and efficient services and economic development will be provided. This goal contributes to the provisions of the PFM Reform Program, which supports the dialogue with the EU and helps in more efficient use of EU funds through the institutions of North Macedonia, on the road to EU accession.</w:t>
      </w:r>
    </w:p>
    <w:p w14:paraId="274B4FEB" w14:textId="247B56C7" w:rsidR="004A38AA" w:rsidRPr="00D30847" w:rsidRDefault="004A38AA" w:rsidP="00E84CD0">
      <w:pPr>
        <w:spacing w:line="240" w:lineRule="auto"/>
        <w:jc w:val="both"/>
        <w:rPr>
          <w:rFonts w:cs="Calibri"/>
          <w:b/>
          <w:bCs/>
          <w:i/>
          <w:iCs/>
          <w:color w:val="4F81BD"/>
          <w:lang w:val="en-GB"/>
        </w:rPr>
      </w:pPr>
      <w:r w:rsidRPr="00D30847">
        <w:rPr>
          <w:rFonts w:cs="Calibri"/>
          <w:b/>
          <w:bCs/>
          <w:i/>
          <w:iCs/>
          <w:color w:val="4F81BD"/>
          <w:lang w:val="en-GB"/>
        </w:rPr>
        <w:t>Reference</w:t>
      </w:r>
      <w:r w:rsidR="00DF185F" w:rsidRPr="00D30847">
        <w:rPr>
          <w:rFonts w:cs="Calibri"/>
          <w:b/>
          <w:bCs/>
          <w:i/>
          <w:iCs/>
          <w:color w:val="4F81BD"/>
          <w:lang w:val="en-GB"/>
        </w:rPr>
        <w:t xml:space="preserve"> </w:t>
      </w:r>
      <w:r w:rsidRPr="00D30847">
        <w:rPr>
          <w:rFonts w:cs="Calibri"/>
          <w:b/>
          <w:bCs/>
          <w:i/>
          <w:iCs/>
          <w:color w:val="4F81BD"/>
          <w:lang w:val="en-GB"/>
        </w:rPr>
        <w:t>to</w:t>
      </w:r>
      <w:r w:rsidR="00DF185F" w:rsidRPr="00D30847">
        <w:rPr>
          <w:rFonts w:cs="Calibri"/>
          <w:b/>
          <w:bCs/>
          <w:i/>
          <w:iCs/>
          <w:color w:val="4F81BD"/>
          <w:lang w:val="en-GB"/>
        </w:rPr>
        <w:t xml:space="preserve"> </w:t>
      </w:r>
      <w:r w:rsidRPr="00D30847">
        <w:rPr>
          <w:rFonts w:cs="Calibri"/>
          <w:b/>
          <w:bCs/>
          <w:i/>
          <w:iCs/>
          <w:color w:val="4F81BD"/>
          <w:lang w:val="en-GB"/>
        </w:rPr>
        <w:t>findings</w:t>
      </w:r>
      <w:r w:rsidR="00DF185F" w:rsidRPr="00D30847">
        <w:rPr>
          <w:rFonts w:cs="Calibri"/>
          <w:b/>
          <w:bCs/>
          <w:i/>
          <w:iCs/>
          <w:color w:val="4F81BD"/>
          <w:lang w:val="en-GB"/>
        </w:rPr>
        <w:t xml:space="preserve"> </w:t>
      </w:r>
      <w:r w:rsidRPr="00D30847">
        <w:rPr>
          <w:rFonts w:cs="Calibri"/>
          <w:b/>
          <w:bCs/>
          <w:i/>
          <w:iCs/>
          <w:color w:val="4F81BD"/>
          <w:lang w:val="en-GB"/>
        </w:rPr>
        <w:t>from</w:t>
      </w:r>
      <w:r w:rsidR="00DF185F" w:rsidRPr="00D30847">
        <w:rPr>
          <w:rFonts w:cs="Calibri"/>
          <w:b/>
          <w:bCs/>
          <w:i/>
          <w:iCs/>
          <w:color w:val="4F81BD"/>
          <w:lang w:val="en-GB"/>
        </w:rPr>
        <w:t xml:space="preserve"> </w:t>
      </w:r>
      <w:r w:rsidRPr="00D30847">
        <w:rPr>
          <w:rFonts w:cs="Calibri"/>
          <w:b/>
          <w:bCs/>
          <w:i/>
          <w:iCs/>
          <w:color w:val="4F81BD"/>
          <w:lang w:val="en-GB"/>
        </w:rPr>
        <w:t>external</w:t>
      </w:r>
      <w:r w:rsidR="00DF185F" w:rsidRPr="00D30847">
        <w:rPr>
          <w:rFonts w:cs="Calibri"/>
          <w:b/>
          <w:bCs/>
          <w:i/>
          <w:iCs/>
          <w:color w:val="4F81BD"/>
          <w:lang w:val="en-GB"/>
        </w:rPr>
        <w:t xml:space="preserve"> </w:t>
      </w:r>
      <w:r w:rsidRPr="00D30847">
        <w:rPr>
          <w:rFonts w:cs="Calibri"/>
          <w:b/>
          <w:bCs/>
          <w:i/>
          <w:iCs/>
          <w:color w:val="4F81BD"/>
          <w:lang w:val="en-GB"/>
        </w:rPr>
        <w:t>assessments:</w:t>
      </w:r>
    </w:p>
    <w:tbl>
      <w:tblPr>
        <w:tblW w:w="8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2"/>
        <w:gridCol w:w="7318"/>
      </w:tblGrid>
      <w:tr w:rsidR="004A38AA" w:rsidRPr="00D30847" w14:paraId="2213A44D" w14:textId="77777777" w:rsidTr="00E059A9">
        <w:tc>
          <w:tcPr>
            <w:tcW w:w="1262" w:type="dxa"/>
            <w:shd w:val="clear" w:color="auto" w:fill="DDDDDD"/>
          </w:tcPr>
          <w:p w14:paraId="0F45B514" w14:textId="62FB43F0" w:rsidR="004A38AA" w:rsidRPr="00D30847" w:rsidRDefault="004A38AA" w:rsidP="00E84CD0">
            <w:pPr>
              <w:spacing w:line="240" w:lineRule="auto"/>
              <w:jc w:val="both"/>
              <w:rPr>
                <w:rFonts w:cs="Calibri"/>
                <w:b/>
                <w:sz w:val="20"/>
                <w:szCs w:val="20"/>
                <w:lang w:val="en-GB"/>
              </w:rPr>
            </w:pPr>
            <w:r w:rsidRPr="00D30847">
              <w:rPr>
                <w:rFonts w:cs="Calibri"/>
                <w:b/>
                <w:sz w:val="20"/>
                <w:szCs w:val="20"/>
                <w:lang w:val="en-GB"/>
              </w:rPr>
              <w:t>EU</w:t>
            </w:r>
          </w:p>
        </w:tc>
        <w:tc>
          <w:tcPr>
            <w:tcW w:w="7318" w:type="dxa"/>
            <w:shd w:val="clear" w:color="auto" w:fill="DDDDDD"/>
          </w:tcPr>
          <w:p w14:paraId="72441F38" w14:textId="77777777" w:rsidR="00961D64" w:rsidRPr="00D30847" w:rsidRDefault="00961D64" w:rsidP="00961D64">
            <w:pPr>
              <w:spacing w:line="240" w:lineRule="auto"/>
              <w:jc w:val="both"/>
              <w:rPr>
                <w:rFonts w:cs="Calibri"/>
                <w:b/>
                <w:sz w:val="20"/>
                <w:szCs w:val="20"/>
                <w:lang w:val="en-GB"/>
              </w:rPr>
            </w:pPr>
            <w:r w:rsidRPr="00D30847">
              <w:rPr>
                <w:rFonts w:cs="Calibri"/>
                <w:b/>
                <w:sz w:val="20"/>
                <w:szCs w:val="20"/>
                <w:lang w:val="en-GB"/>
              </w:rPr>
              <w:t xml:space="preserve">EU Report for 2024 </w:t>
            </w:r>
          </w:p>
          <w:p w14:paraId="3A6EA35A" w14:textId="77777777" w:rsidR="00961D64" w:rsidRPr="00D30847" w:rsidRDefault="00961D64" w:rsidP="00961D64">
            <w:pPr>
              <w:spacing w:line="240" w:lineRule="auto"/>
              <w:jc w:val="both"/>
              <w:rPr>
                <w:rFonts w:cs="Calibri"/>
                <w:b/>
                <w:sz w:val="20"/>
                <w:szCs w:val="20"/>
                <w:lang w:val="en-GB"/>
              </w:rPr>
            </w:pPr>
            <w:r w:rsidRPr="00D30847">
              <w:rPr>
                <w:rFonts w:cs="Calibri"/>
                <w:b/>
                <w:sz w:val="20"/>
                <w:szCs w:val="20"/>
                <w:lang w:val="en-GB"/>
              </w:rPr>
              <w:t xml:space="preserve">North Macedonia has a good level of preparation in this area. Limited progress was made on the consolidation and upgrade of IT systems. The customs administration implements a fully paperless environment for processing customs declarations and excise documents. </w:t>
            </w:r>
          </w:p>
          <w:p w14:paraId="417D7ED9" w14:textId="77777777" w:rsidR="00961D64" w:rsidRPr="00D30847" w:rsidRDefault="00961D64" w:rsidP="00961D64">
            <w:pPr>
              <w:spacing w:line="240" w:lineRule="auto"/>
              <w:jc w:val="both"/>
              <w:rPr>
                <w:rFonts w:cs="Calibri"/>
                <w:b/>
                <w:sz w:val="20"/>
                <w:szCs w:val="20"/>
                <w:lang w:val="en-GB"/>
              </w:rPr>
            </w:pPr>
            <w:r w:rsidRPr="00D30847">
              <w:rPr>
                <w:rFonts w:cs="Calibri"/>
                <w:b/>
                <w:sz w:val="20"/>
                <w:szCs w:val="20"/>
                <w:lang w:val="en-GB"/>
              </w:rPr>
              <w:t xml:space="preserve">The Commission’s recommendations from last year were partially implemented and remain largely valid. In the coming year, North Macedonia should in particular: </w:t>
            </w:r>
          </w:p>
          <w:p w14:paraId="06782BCB" w14:textId="77777777" w:rsidR="00961D64" w:rsidRPr="00D30847" w:rsidRDefault="00961D64" w:rsidP="00961D64">
            <w:pPr>
              <w:spacing w:line="240" w:lineRule="auto"/>
              <w:jc w:val="both"/>
              <w:rPr>
                <w:rFonts w:cs="Calibri"/>
                <w:b/>
                <w:sz w:val="20"/>
                <w:szCs w:val="20"/>
                <w:lang w:val="en-GB"/>
              </w:rPr>
            </w:pPr>
            <w:r w:rsidRPr="00D30847">
              <w:rPr>
                <w:rFonts w:cs="Calibri"/>
                <w:b/>
                <w:sz w:val="20"/>
                <w:szCs w:val="20"/>
                <w:lang w:val="en-GB"/>
              </w:rPr>
              <w:t xml:space="preserve">→ upgrade its national component of the New Computerised Transit System (NCTS) to Phase 5; </w:t>
            </w:r>
          </w:p>
          <w:p w14:paraId="4B34BFDF" w14:textId="77777777" w:rsidR="00961D64" w:rsidRPr="00D30847" w:rsidRDefault="00961D64" w:rsidP="00961D64">
            <w:pPr>
              <w:spacing w:line="240" w:lineRule="auto"/>
              <w:jc w:val="both"/>
              <w:rPr>
                <w:rFonts w:cs="Calibri"/>
                <w:b/>
                <w:sz w:val="20"/>
                <w:szCs w:val="20"/>
                <w:lang w:val="en-GB"/>
              </w:rPr>
            </w:pPr>
            <w:r w:rsidRPr="00D30847">
              <w:rPr>
                <w:rFonts w:cs="Calibri"/>
                <w:b/>
                <w:sz w:val="20"/>
                <w:szCs w:val="20"/>
                <w:lang w:val="en-GB"/>
              </w:rPr>
              <w:t xml:space="preserve">→ ensure continued alignment of the customs legislation with the EU acquis and continue the consolidation and application of its national customs IT systems in line with the Commission’s Union Customs Code (UCC) Work Programme and multiannual strategic plan (MASP) modules, and ensure their upgrade; </w:t>
            </w:r>
          </w:p>
          <w:p w14:paraId="379BE244" w14:textId="405B5F2D" w:rsidR="00961D64" w:rsidRPr="00D30847" w:rsidRDefault="00961D64" w:rsidP="00E84CD0">
            <w:pPr>
              <w:spacing w:line="240" w:lineRule="auto"/>
              <w:jc w:val="both"/>
              <w:rPr>
                <w:rFonts w:cs="Calibri"/>
                <w:b/>
                <w:sz w:val="20"/>
                <w:szCs w:val="20"/>
                <w:lang w:val="en-GB"/>
              </w:rPr>
            </w:pPr>
            <w:r w:rsidRPr="00D30847">
              <w:rPr>
                <w:rFonts w:cs="Calibri"/>
                <w:b/>
                <w:sz w:val="20"/>
                <w:szCs w:val="20"/>
                <w:lang w:val="en-GB"/>
              </w:rPr>
              <w:t>→ ratify the Protocol on Elimination of Illicit Trade in Tobacco Products</w:t>
            </w:r>
          </w:p>
          <w:p w14:paraId="0040776B" w14:textId="462FECCA" w:rsidR="004A38AA" w:rsidRPr="00D30847" w:rsidRDefault="004A38AA" w:rsidP="00E84CD0">
            <w:pPr>
              <w:spacing w:line="240" w:lineRule="auto"/>
              <w:jc w:val="both"/>
              <w:rPr>
                <w:rFonts w:cs="Calibri"/>
                <w:b/>
                <w:sz w:val="20"/>
                <w:szCs w:val="20"/>
                <w:lang w:val="en-GB"/>
              </w:rPr>
            </w:pPr>
            <w:r w:rsidRPr="00D30847">
              <w:rPr>
                <w:rFonts w:cs="Calibri"/>
                <w:b/>
                <w:sz w:val="20"/>
                <w:szCs w:val="20"/>
                <w:lang w:val="en-GB"/>
              </w:rPr>
              <w:t>EU Report</w:t>
            </w:r>
            <w:r w:rsidR="003A338C" w:rsidRPr="00D30847">
              <w:rPr>
                <w:rFonts w:cs="Calibri"/>
                <w:b/>
                <w:sz w:val="20"/>
                <w:szCs w:val="20"/>
                <w:lang w:val="en-GB"/>
              </w:rPr>
              <w:t xml:space="preserve"> </w:t>
            </w:r>
            <w:r w:rsidRPr="00D30847">
              <w:rPr>
                <w:rFonts w:cs="Calibri"/>
                <w:b/>
                <w:sz w:val="20"/>
                <w:szCs w:val="20"/>
                <w:lang w:val="en-GB"/>
              </w:rPr>
              <w:t>for 202</w:t>
            </w:r>
            <w:r w:rsidR="00A705BA" w:rsidRPr="00D30847">
              <w:rPr>
                <w:rFonts w:cs="Calibri"/>
                <w:b/>
                <w:sz w:val="20"/>
                <w:szCs w:val="20"/>
                <w:lang w:val="en-GB"/>
              </w:rPr>
              <w:t>3</w:t>
            </w:r>
          </w:p>
          <w:p w14:paraId="23E176FD" w14:textId="77777777" w:rsidR="003A338C" w:rsidRPr="00D30847" w:rsidRDefault="003A338C" w:rsidP="003A338C">
            <w:pPr>
              <w:spacing w:after="0" w:line="240" w:lineRule="auto"/>
              <w:jc w:val="both"/>
              <w:rPr>
                <w:rFonts w:eastAsia="MS PGothic" w:cs="Calibri"/>
                <w:sz w:val="20"/>
                <w:szCs w:val="20"/>
                <w:lang w:val="en-GB" w:eastAsia="zh-CN"/>
              </w:rPr>
            </w:pPr>
            <w:r w:rsidRPr="00D30847">
              <w:rPr>
                <w:rFonts w:eastAsia="MS PGothic" w:cs="Calibri"/>
                <w:sz w:val="20"/>
                <w:szCs w:val="20"/>
                <w:lang w:val="en-GB" w:eastAsia="zh-CN"/>
              </w:rPr>
              <w:t>North Macedonia has a good level of preparation in this area. Limited progress was made</w:t>
            </w:r>
          </w:p>
          <w:p w14:paraId="1B9E837B" w14:textId="77777777" w:rsidR="003A338C" w:rsidRPr="00D30847" w:rsidRDefault="003A338C" w:rsidP="003A338C">
            <w:pPr>
              <w:spacing w:after="0" w:line="240" w:lineRule="auto"/>
              <w:jc w:val="both"/>
              <w:rPr>
                <w:rFonts w:eastAsia="MS PGothic" w:cs="Calibri"/>
                <w:sz w:val="20"/>
                <w:szCs w:val="20"/>
                <w:lang w:val="en-GB" w:eastAsia="zh-CN"/>
              </w:rPr>
            </w:pPr>
            <w:r w:rsidRPr="00D30847">
              <w:rPr>
                <w:rFonts w:eastAsia="MS PGothic" w:cs="Calibri"/>
                <w:sz w:val="20"/>
                <w:szCs w:val="20"/>
                <w:lang w:val="en-GB" w:eastAsia="zh-CN"/>
              </w:rPr>
              <w:t>on consolidation, application and upgrade of IT systems while the Concept of authorised</w:t>
            </w:r>
          </w:p>
          <w:p w14:paraId="2B26C8AC" w14:textId="77777777" w:rsidR="003A338C" w:rsidRPr="00D30847" w:rsidRDefault="003A338C" w:rsidP="003A338C">
            <w:pPr>
              <w:spacing w:after="0" w:line="240" w:lineRule="auto"/>
              <w:jc w:val="both"/>
              <w:rPr>
                <w:rFonts w:eastAsia="MS PGothic" w:cs="Calibri"/>
                <w:sz w:val="20"/>
                <w:szCs w:val="20"/>
                <w:lang w:val="en-GB" w:eastAsia="zh-CN"/>
              </w:rPr>
            </w:pPr>
            <w:r w:rsidRPr="00D30847">
              <w:rPr>
                <w:rFonts w:eastAsia="MS PGothic" w:cs="Calibri"/>
                <w:sz w:val="20"/>
                <w:szCs w:val="20"/>
                <w:lang w:val="en-GB" w:eastAsia="zh-CN"/>
              </w:rPr>
              <w:t>economic operators (AEO) was further promoted, including through regional cooperation</w:t>
            </w:r>
          </w:p>
          <w:p w14:paraId="678CDD53" w14:textId="26189EFE" w:rsidR="004A38AA" w:rsidRPr="00D30847" w:rsidRDefault="003A338C" w:rsidP="00E84CD0">
            <w:pPr>
              <w:spacing w:after="0" w:line="240" w:lineRule="auto"/>
              <w:jc w:val="both"/>
              <w:rPr>
                <w:rFonts w:eastAsia="MS PGothic" w:cs="Calibri"/>
                <w:sz w:val="18"/>
                <w:szCs w:val="18"/>
                <w:lang w:val="en-GB" w:eastAsia="zh-CN"/>
              </w:rPr>
            </w:pPr>
            <w:r w:rsidRPr="00D30847">
              <w:rPr>
                <w:rFonts w:eastAsia="MS PGothic" w:cs="Calibri"/>
                <w:sz w:val="20"/>
                <w:szCs w:val="20"/>
                <w:lang w:val="en-GB" w:eastAsia="zh-CN"/>
              </w:rPr>
              <w:t>initiatives among the customs administrations of the WB6 countries. In the coming year, the country should, in particular continue the consolidation and full application of its IT systems, including alignment with the Commission's Multiannual Strategic Plan (MASP) modules, ensure their continuous upgrade, and business continuity.</w:t>
            </w:r>
          </w:p>
        </w:tc>
      </w:tr>
      <w:tr w:rsidR="004A38AA" w:rsidRPr="00D30847" w14:paraId="6C9DCF5A" w14:textId="77777777" w:rsidTr="00E059A9">
        <w:tc>
          <w:tcPr>
            <w:tcW w:w="1262" w:type="dxa"/>
            <w:shd w:val="clear" w:color="auto" w:fill="DDDDDD"/>
          </w:tcPr>
          <w:p w14:paraId="6692EE12" w14:textId="5C6A45D9" w:rsidR="004A38AA" w:rsidRPr="00D30847" w:rsidRDefault="004A38AA" w:rsidP="00E84CD0">
            <w:pPr>
              <w:spacing w:line="240" w:lineRule="auto"/>
              <w:jc w:val="both"/>
              <w:rPr>
                <w:rFonts w:cs="Calibri"/>
                <w:b/>
                <w:sz w:val="20"/>
                <w:szCs w:val="20"/>
                <w:lang w:val="en-GB"/>
              </w:rPr>
            </w:pPr>
            <w:r w:rsidRPr="00D30847">
              <w:rPr>
                <w:rFonts w:cs="Calibri"/>
                <w:b/>
                <w:sz w:val="20"/>
                <w:szCs w:val="20"/>
                <w:lang w:val="en-GB"/>
              </w:rPr>
              <w:t>Others</w:t>
            </w:r>
          </w:p>
        </w:tc>
        <w:tc>
          <w:tcPr>
            <w:tcW w:w="7318" w:type="dxa"/>
            <w:shd w:val="clear" w:color="auto" w:fill="DDDDDD"/>
          </w:tcPr>
          <w:p w14:paraId="64243256" w14:textId="77777777" w:rsidR="003A338C" w:rsidRPr="00D30847" w:rsidRDefault="003A338C" w:rsidP="003A338C">
            <w:pPr>
              <w:spacing w:after="0" w:line="240" w:lineRule="auto"/>
              <w:jc w:val="both"/>
              <w:rPr>
                <w:sz w:val="20"/>
                <w:szCs w:val="20"/>
                <w:lang w:val="en-GB"/>
              </w:rPr>
            </w:pPr>
            <w:r w:rsidRPr="00D30847">
              <w:rPr>
                <w:rFonts w:cs="Calibri"/>
                <w:b/>
                <w:bCs/>
                <w:sz w:val="20"/>
                <w:szCs w:val="20"/>
                <w:lang w:val="en-GB"/>
              </w:rPr>
              <w:t>Implement System for Identity and Access Management (IAM) and Registration of Economic Operators (EORI2), in line with the latest EU requirements</w:t>
            </w:r>
            <w:r w:rsidRPr="00D30847">
              <w:rPr>
                <w:b/>
                <w:bCs/>
                <w:sz w:val="20"/>
                <w:szCs w:val="20"/>
                <w:lang w:val="en-GB"/>
              </w:rPr>
              <w:t xml:space="preserve"> </w:t>
            </w:r>
            <w:r w:rsidRPr="00D30847">
              <w:rPr>
                <w:rFonts w:cs="Calibri"/>
                <w:b/>
                <w:bCs/>
                <w:sz w:val="20"/>
                <w:szCs w:val="20"/>
                <w:lang w:val="en-GB"/>
              </w:rPr>
              <w:t>(IPA 3 – IPA 2021-2022)</w:t>
            </w:r>
            <w:r w:rsidRPr="00D30847">
              <w:rPr>
                <w:sz w:val="20"/>
                <w:szCs w:val="20"/>
                <w:lang w:val="en-GB"/>
              </w:rPr>
              <w:t xml:space="preserve"> </w:t>
            </w:r>
          </w:p>
          <w:p w14:paraId="707BB7E1" w14:textId="1F67E607" w:rsidR="003A338C" w:rsidRPr="00D30847" w:rsidRDefault="003A338C" w:rsidP="003A338C">
            <w:pPr>
              <w:spacing w:after="0" w:line="240" w:lineRule="auto"/>
              <w:jc w:val="both"/>
              <w:rPr>
                <w:rFonts w:eastAsia="MS PGothic" w:cs="Calibri"/>
                <w:sz w:val="20"/>
                <w:szCs w:val="20"/>
                <w:lang w:val="en-GB" w:eastAsia="zh-CN"/>
              </w:rPr>
            </w:pPr>
            <w:r w:rsidRPr="00D30847">
              <w:rPr>
                <w:rFonts w:eastAsia="MS PGothic" w:cs="Calibri"/>
                <w:sz w:val="20"/>
                <w:szCs w:val="20"/>
                <w:lang w:val="en-GB" w:eastAsia="zh-CN"/>
              </w:rPr>
              <w:t xml:space="preserve">This should be harmonized at </w:t>
            </w:r>
            <w:r w:rsidR="00D4719C" w:rsidRPr="00D30847">
              <w:rPr>
                <w:rFonts w:eastAsia="MS PGothic" w:cs="Calibri"/>
                <w:sz w:val="20"/>
                <w:szCs w:val="20"/>
                <w:lang w:val="en-GB" w:eastAsia="zh-CN"/>
              </w:rPr>
              <w:t>national</w:t>
            </w:r>
            <w:r w:rsidRPr="00D30847">
              <w:rPr>
                <w:rFonts w:eastAsia="MS PGothic" w:cs="Calibri"/>
                <w:sz w:val="20"/>
                <w:szCs w:val="20"/>
                <w:lang w:val="en-GB" w:eastAsia="zh-CN"/>
              </w:rPr>
              <w:t xml:space="preserve"> level with the standards defined in the Multi-Annual Strategic Plan of the EU for the implementation of the </w:t>
            </w:r>
            <w:proofErr w:type="spellStart"/>
            <w:r w:rsidRPr="00D30847">
              <w:rPr>
                <w:rFonts w:eastAsia="MS PGothic" w:cs="Calibri"/>
                <w:sz w:val="20"/>
                <w:szCs w:val="20"/>
                <w:lang w:val="en-GB" w:eastAsia="zh-CN"/>
              </w:rPr>
              <w:t>eCustoms</w:t>
            </w:r>
            <w:proofErr w:type="spellEnd"/>
            <w:r w:rsidRPr="00D30847">
              <w:rPr>
                <w:rFonts w:eastAsia="MS PGothic" w:cs="Calibri"/>
                <w:sz w:val="20"/>
                <w:szCs w:val="20"/>
                <w:lang w:val="en-GB" w:eastAsia="zh-CN"/>
              </w:rPr>
              <w:t xml:space="preserve"> program - MASP - C. The funds for realization are planned from the EU IPA funds.</w:t>
            </w:r>
          </w:p>
          <w:p w14:paraId="554A2980" w14:textId="77777777" w:rsidR="003A338C" w:rsidRPr="00D30847" w:rsidRDefault="003A338C" w:rsidP="003A338C">
            <w:pPr>
              <w:spacing w:after="0" w:line="240" w:lineRule="auto"/>
              <w:jc w:val="both"/>
              <w:rPr>
                <w:rFonts w:eastAsia="MS PGothic" w:cs="Calibri"/>
                <w:sz w:val="20"/>
                <w:szCs w:val="20"/>
                <w:lang w:val="en-GB" w:eastAsia="zh-CN"/>
              </w:rPr>
            </w:pPr>
            <w:r w:rsidRPr="00D30847">
              <w:rPr>
                <w:rFonts w:eastAsia="MS PGothic" w:cs="Calibri"/>
                <w:sz w:val="20"/>
                <w:szCs w:val="20"/>
                <w:lang w:val="en-GB" w:eastAsia="zh-CN"/>
              </w:rPr>
              <w:t xml:space="preserve">The Customs Administration is working on preparation of the new legislative framework – Customs Law and respective implementing regulation to harmonise with the current Union Customs Law (UCC). The UCC main feature is digitalisation of all the processes related to the trade and customs. Hence, the programs, hardware, and software that are in use in the Customs Administration is necessary to be properly aligned with EU requirements. It is important to point that from the ICT perspective and e-customs, the Multi-Annual Strategic Plan for electronic Customs MASP – C1 of the EU is the ultimate goal to be achieved for the digitalisation in the customs area/union. The task of the Customs Administration in the following years is to prepare necessary infrastructure in </w:t>
            </w:r>
            <w:r w:rsidRPr="00D30847">
              <w:rPr>
                <w:rFonts w:eastAsia="MS PGothic" w:cs="Calibri"/>
                <w:sz w:val="20"/>
                <w:szCs w:val="20"/>
                <w:lang w:val="en-GB" w:eastAsia="zh-CN"/>
              </w:rPr>
              <w:lastRenderedPageBreak/>
              <w:t>hardware and most important in software for the upcoming reforms and upgrades of ICT systems.</w:t>
            </w:r>
          </w:p>
          <w:p w14:paraId="70DE346B" w14:textId="2BF7804F" w:rsidR="00961D64" w:rsidRPr="00D30847" w:rsidRDefault="003A338C" w:rsidP="00961D64">
            <w:pPr>
              <w:spacing w:after="0" w:line="240" w:lineRule="auto"/>
              <w:jc w:val="both"/>
              <w:rPr>
                <w:rFonts w:cs="Calibri"/>
                <w:sz w:val="20"/>
                <w:szCs w:val="20"/>
                <w:lang w:val="en-GB"/>
              </w:rPr>
            </w:pPr>
            <w:r w:rsidRPr="00D30847">
              <w:rPr>
                <w:rFonts w:cs="Calibri"/>
                <w:sz w:val="20"/>
                <w:szCs w:val="20"/>
                <w:lang w:val="en-GB"/>
              </w:rPr>
              <w:t xml:space="preserve"> ICT Customs systems</w:t>
            </w:r>
            <w:r w:rsidR="00961D64" w:rsidRPr="00D30847">
              <w:rPr>
                <w:rFonts w:cs="Calibri"/>
                <w:sz w:val="20"/>
                <w:szCs w:val="20"/>
                <w:lang w:val="en-GB"/>
              </w:rPr>
              <w:t xml:space="preserve"> which will be developed within the period 2024-2028 in accordance Reform and Growth Facility for the Western Balkan 2024-2027:</w:t>
            </w:r>
          </w:p>
          <w:p w14:paraId="178DEB5A" w14:textId="77777777" w:rsidR="00961D64" w:rsidRPr="00D30847" w:rsidRDefault="00961D64" w:rsidP="00961D64">
            <w:pPr>
              <w:spacing w:after="0" w:line="240" w:lineRule="auto"/>
              <w:jc w:val="both"/>
              <w:rPr>
                <w:rFonts w:cs="Calibri"/>
                <w:sz w:val="20"/>
                <w:szCs w:val="20"/>
                <w:lang w:val="en-GB"/>
              </w:rPr>
            </w:pPr>
            <w:r w:rsidRPr="00D30847">
              <w:rPr>
                <w:rFonts w:cs="Calibri"/>
                <w:sz w:val="20"/>
                <w:szCs w:val="20"/>
                <w:lang w:val="en-GB"/>
              </w:rPr>
              <w:t>- NCTS System phase 6</w:t>
            </w:r>
          </w:p>
          <w:p w14:paraId="3A8AA68D" w14:textId="77777777" w:rsidR="00961D64" w:rsidRPr="00D30847" w:rsidRDefault="00961D64" w:rsidP="00961D64">
            <w:pPr>
              <w:spacing w:after="0" w:line="240" w:lineRule="auto"/>
              <w:jc w:val="both"/>
              <w:rPr>
                <w:rFonts w:cs="Calibri"/>
                <w:sz w:val="20"/>
                <w:szCs w:val="20"/>
                <w:lang w:val="en-GB"/>
              </w:rPr>
            </w:pPr>
            <w:r w:rsidRPr="00D30847">
              <w:rPr>
                <w:rFonts w:cs="Calibri"/>
                <w:sz w:val="20"/>
                <w:szCs w:val="20"/>
                <w:lang w:val="en-GB"/>
              </w:rPr>
              <w:t>- Automatized Export System (AES),</w:t>
            </w:r>
          </w:p>
          <w:p w14:paraId="1926E998" w14:textId="23BC918C" w:rsidR="003A338C" w:rsidRPr="00D30847" w:rsidRDefault="00961D64" w:rsidP="00961D64">
            <w:pPr>
              <w:spacing w:after="0" w:line="240" w:lineRule="auto"/>
              <w:jc w:val="both"/>
              <w:rPr>
                <w:rFonts w:cs="Calibri"/>
                <w:sz w:val="20"/>
                <w:szCs w:val="20"/>
                <w:lang w:val="en-GB"/>
              </w:rPr>
            </w:pPr>
            <w:r w:rsidRPr="00D30847">
              <w:rPr>
                <w:rFonts w:cs="Calibri"/>
                <w:sz w:val="20"/>
                <w:szCs w:val="20"/>
                <w:lang w:val="en-GB"/>
              </w:rPr>
              <w:t>- Import Control System</w:t>
            </w:r>
          </w:p>
          <w:p w14:paraId="05900347" w14:textId="77777777" w:rsidR="003A338C" w:rsidRPr="00D30847" w:rsidRDefault="003A338C" w:rsidP="003A338C">
            <w:pPr>
              <w:spacing w:after="0" w:line="240" w:lineRule="auto"/>
              <w:jc w:val="both"/>
              <w:rPr>
                <w:rFonts w:cs="Calibri"/>
                <w:sz w:val="20"/>
                <w:szCs w:val="20"/>
                <w:lang w:val="en-GB"/>
              </w:rPr>
            </w:pPr>
          </w:p>
          <w:p w14:paraId="00DA813B" w14:textId="77777777" w:rsidR="003A338C" w:rsidRPr="00D30847" w:rsidRDefault="003A338C" w:rsidP="003A338C">
            <w:pPr>
              <w:spacing w:after="0" w:line="240" w:lineRule="auto"/>
              <w:jc w:val="both"/>
              <w:rPr>
                <w:rFonts w:eastAsia="MS PGothic" w:cs="Calibri"/>
                <w:sz w:val="20"/>
                <w:szCs w:val="20"/>
                <w:lang w:val="en-GB" w:eastAsia="zh-CN"/>
              </w:rPr>
            </w:pPr>
            <w:r w:rsidRPr="00D30847">
              <w:rPr>
                <w:rFonts w:eastAsia="MS PGothic" w:cs="Calibri"/>
                <w:sz w:val="20"/>
                <w:szCs w:val="20"/>
                <w:lang w:val="en-GB" w:eastAsia="zh-CN"/>
              </w:rPr>
              <w:t>ICT infrastructure:</w:t>
            </w:r>
          </w:p>
          <w:p w14:paraId="599C5E04" w14:textId="77777777" w:rsidR="003A338C" w:rsidRPr="00D30847" w:rsidRDefault="003A338C" w:rsidP="003A338C">
            <w:pPr>
              <w:spacing w:after="0" w:line="240" w:lineRule="auto"/>
              <w:jc w:val="both"/>
              <w:rPr>
                <w:rFonts w:eastAsia="MS PGothic" w:cs="Calibri"/>
                <w:sz w:val="20"/>
                <w:szCs w:val="20"/>
                <w:lang w:val="en-GB" w:eastAsia="zh-CN"/>
              </w:rPr>
            </w:pPr>
            <w:r w:rsidRPr="00D30847">
              <w:rPr>
                <w:rFonts w:eastAsia="MS PGothic" w:cs="Calibri"/>
                <w:sz w:val="20"/>
                <w:szCs w:val="20"/>
                <w:lang w:val="en-GB" w:eastAsia="zh-CN"/>
              </w:rPr>
              <w:t xml:space="preserve">The needs of Customs Administration in area of the ICT infrastructure are extensive due to the </w:t>
            </w:r>
          </w:p>
          <w:p w14:paraId="7D9A1F7B" w14:textId="5EA616F9" w:rsidR="003A338C" w:rsidRPr="00D30847" w:rsidRDefault="003A338C" w:rsidP="003A338C">
            <w:pPr>
              <w:spacing w:after="0" w:line="240" w:lineRule="auto"/>
              <w:jc w:val="both"/>
              <w:rPr>
                <w:rFonts w:eastAsia="MS PGothic" w:cs="Calibri"/>
                <w:sz w:val="20"/>
                <w:szCs w:val="20"/>
                <w:lang w:val="en-GB" w:eastAsia="zh-CN"/>
              </w:rPr>
            </w:pPr>
            <w:r w:rsidRPr="00D30847">
              <w:rPr>
                <w:rFonts w:eastAsia="MS PGothic" w:cs="Calibri"/>
                <w:sz w:val="20"/>
                <w:szCs w:val="20"/>
                <w:lang w:val="en-GB" w:eastAsia="zh-CN"/>
              </w:rPr>
              <w:t xml:space="preserve">scope of activities and procedures implemented in digital format. In the estimations of the CARNM the next procurement of the ICT infrastructure </w:t>
            </w:r>
            <w:r w:rsidR="008F391C" w:rsidRPr="00D30847">
              <w:rPr>
                <w:rFonts w:eastAsia="MS PGothic" w:cs="Calibri"/>
                <w:sz w:val="20"/>
                <w:szCs w:val="20"/>
                <w:lang w:val="en-GB" w:eastAsia="zh-CN"/>
              </w:rPr>
              <w:t>equipment that</w:t>
            </w:r>
            <w:r w:rsidRPr="00D30847">
              <w:rPr>
                <w:rFonts w:eastAsia="MS PGothic" w:cs="Calibri"/>
                <w:sz w:val="20"/>
                <w:szCs w:val="20"/>
                <w:lang w:val="en-GB" w:eastAsia="zh-CN"/>
              </w:rPr>
              <w:t xml:space="preserve"> needs to be procured is around 1mil EUR (within the period of three years). This equipment shall fill the gaps that will be generated by development of new Customs Systems; or due to the need to renew some of the existing equipment. Further, the Hardware infrastructure </w:t>
            </w:r>
            <w:r w:rsidR="00DA34C9" w:rsidRPr="00D30847">
              <w:rPr>
                <w:rFonts w:eastAsia="MS PGothic" w:cs="Calibri"/>
                <w:sz w:val="20"/>
                <w:szCs w:val="20"/>
                <w:lang w:val="en-GB" w:eastAsia="zh-CN"/>
              </w:rPr>
              <w:t xml:space="preserve">will be provided under the funds from the Reform Agenda, as well as IT </w:t>
            </w:r>
            <w:r w:rsidR="008F391C" w:rsidRPr="00D30847">
              <w:rPr>
                <w:rFonts w:eastAsia="MS PGothic" w:cs="Calibri"/>
                <w:sz w:val="20"/>
                <w:szCs w:val="20"/>
                <w:lang w:val="en-GB" w:eastAsia="zh-CN"/>
              </w:rPr>
              <w:t>equipment needed</w:t>
            </w:r>
            <w:r w:rsidR="00DA34C9" w:rsidRPr="00D30847">
              <w:rPr>
                <w:rFonts w:eastAsia="MS PGothic" w:cs="Calibri"/>
                <w:sz w:val="20"/>
                <w:szCs w:val="20"/>
                <w:lang w:val="en-GB" w:eastAsia="zh-CN"/>
              </w:rPr>
              <w:t xml:space="preserve"> for the development the systems under the same Agenda.</w:t>
            </w:r>
          </w:p>
          <w:p w14:paraId="1CB6B316" w14:textId="77777777" w:rsidR="003A338C" w:rsidRPr="00D30847" w:rsidRDefault="003A338C" w:rsidP="003A338C">
            <w:pPr>
              <w:spacing w:after="0" w:line="240" w:lineRule="auto"/>
              <w:jc w:val="both"/>
              <w:rPr>
                <w:rFonts w:cs="Calibri"/>
                <w:b/>
                <w:bCs/>
                <w:sz w:val="20"/>
                <w:szCs w:val="20"/>
                <w:lang w:val="en-GB"/>
              </w:rPr>
            </w:pPr>
            <w:r w:rsidRPr="00D30847">
              <w:rPr>
                <w:rFonts w:cs="Calibri"/>
                <w:b/>
                <w:bCs/>
                <w:sz w:val="20"/>
                <w:szCs w:val="20"/>
                <w:lang w:val="en-GB"/>
              </w:rPr>
              <w:t>Modernization and digitalization of E-Customs systems of Customs administration of the Republic of North Macedonia</w:t>
            </w:r>
          </w:p>
          <w:p w14:paraId="2CAC64A5" w14:textId="28012125" w:rsidR="004A38AA" w:rsidRPr="00D30847" w:rsidRDefault="003A338C" w:rsidP="003A338C">
            <w:pPr>
              <w:spacing w:after="0" w:line="240" w:lineRule="auto"/>
              <w:jc w:val="both"/>
              <w:rPr>
                <w:rFonts w:cs="Calibri"/>
                <w:sz w:val="20"/>
                <w:szCs w:val="20"/>
                <w:lang w:val="en-GB"/>
              </w:rPr>
            </w:pPr>
            <w:r w:rsidRPr="00D30847">
              <w:rPr>
                <w:rFonts w:eastAsia="MS PGothic" w:cs="Calibri"/>
                <w:sz w:val="20"/>
                <w:szCs w:val="20"/>
                <w:lang w:val="en-GB" w:eastAsia="zh-CN"/>
              </w:rPr>
              <w:t>The Customs Administration gets a 4.8 million US dollars grant from the Government of the Republic of Korea for development and implementation of a risk management system and data warehouse. The establishment of this system will enable better targeting of declarations with risk of paying duties in an amount lower than the real price of the goods, incorrect customs classification or incorrect origin of the goods declaration. Future policies based on this system will be aimed at developing the Customs Administration and improving risk management.</w:t>
            </w:r>
          </w:p>
        </w:tc>
      </w:tr>
    </w:tbl>
    <w:p w14:paraId="384BC651" w14:textId="77777777" w:rsidR="00DF185F" w:rsidRPr="00D30847" w:rsidRDefault="00DF185F" w:rsidP="00E84CD0">
      <w:pPr>
        <w:spacing w:line="240" w:lineRule="auto"/>
        <w:jc w:val="both"/>
        <w:rPr>
          <w:rFonts w:cs="Calibri"/>
          <w:lang w:val="en-GB"/>
        </w:rPr>
      </w:pPr>
    </w:p>
    <w:p w14:paraId="1A7B588D" w14:textId="77777777" w:rsidR="004A38AA" w:rsidRPr="00D30847" w:rsidRDefault="004A38AA" w:rsidP="00E84CD0">
      <w:pPr>
        <w:spacing w:line="240" w:lineRule="auto"/>
        <w:jc w:val="both"/>
        <w:rPr>
          <w:rFonts w:cs="Calibri"/>
          <w:b/>
          <w:bCs/>
          <w:i/>
          <w:iCs/>
          <w:color w:val="4F81BD"/>
          <w:lang w:val="en-GB"/>
        </w:rPr>
      </w:pPr>
      <w:r w:rsidRPr="00D30847">
        <w:rPr>
          <w:rFonts w:cs="Calibri"/>
          <w:b/>
          <w:bCs/>
          <w:i/>
          <w:iCs/>
          <w:color w:val="4F81BD"/>
          <w:lang w:val="en-GB"/>
        </w:rPr>
        <w:t>Context/Background</w:t>
      </w:r>
    </w:p>
    <w:p w14:paraId="3DD3389D" w14:textId="1F4D2929" w:rsidR="00D30E64" w:rsidRPr="00D30847" w:rsidRDefault="00D30E64" w:rsidP="00D30E64">
      <w:pPr>
        <w:spacing w:line="240" w:lineRule="auto"/>
        <w:jc w:val="both"/>
        <w:rPr>
          <w:rFonts w:cs="Calibri"/>
          <w:lang w:val="en-GB"/>
        </w:rPr>
      </w:pPr>
      <w:r w:rsidRPr="00D30847">
        <w:rPr>
          <w:rFonts w:cs="Calibri"/>
          <w:lang w:val="en-GB"/>
        </w:rPr>
        <w:t>An</w:t>
      </w:r>
      <w:r w:rsidR="00EA4DEC" w:rsidRPr="00D30847">
        <w:rPr>
          <w:rFonts w:cs="Calibri"/>
          <w:lang w:val="en-GB"/>
        </w:rPr>
        <w:t xml:space="preserve"> </w:t>
      </w:r>
      <w:r w:rsidRPr="00D30847">
        <w:rPr>
          <w:rFonts w:cs="Calibri"/>
          <w:lang w:val="en-GB"/>
        </w:rPr>
        <w:t>important strategic goal of the CA will be the establishment of interoperability and interconnection with European systems, but also integration with systems at the national level.</w:t>
      </w:r>
    </w:p>
    <w:p w14:paraId="6B2FC2FD" w14:textId="7C308FDC" w:rsidR="00D30E64" w:rsidRPr="00D30847" w:rsidRDefault="00D30E64" w:rsidP="00D30E64">
      <w:pPr>
        <w:spacing w:line="240" w:lineRule="auto"/>
        <w:jc w:val="both"/>
        <w:rPr>
          <w:rFonts w:cs="Calibri"/>
          <w:lang w:val="en-GB"/>
        </w:rPr>
      </w:pPr>
      <w:r w:rsidRPr="00D30847">
        <w:rPr>
          <w:rFonts w:cs="Calibri"/>
          <w:lang w:val="en-GB"/>
        </w:rPr>
        <w:t xml:space="preserve">In exploiting the opportunities, special emphasis will be placed on the constant consolidation of IT systems and their upgrading and maintenance according to technological development, which will provide better quality and greater availability of electronic public services as a benefit for service users who would </w:t>
      </w:r>
      <w:r w:rsidR="008F391C" w:rsidRPr="00D30847">
        <w:rPr>
          <w:rFonts w:cs="Calibri"/>
          <w:lang w:val="en-GB"/>
        </w:rPr>
        <w:t>fulfil</w:t>
      </w:r>
      <w:r w:rsidRPr="00D30847">
        <w:rPr>
          <w:rFonts w:cs="Calibri"/>
          <w:lang w:val="en-GB"/>
        </w:rPr>
        <w:t xml:space="preserve"> their obligations within of customs procedures without the obligation of physical presence.</w:t>
      </w:r>
    </w:p>
    <w:p w14:paraId="22584997" w14:textId="77777777" w:rsidR="00D30E64" w:rsidRPr="00D30847" w:rsidRDefault="00D30E64" w:rsidP="00D30E64">
      <w:pPr>
        <w:spacing w:line="240" w:lineRule="auto"/>
        <w:jc w:val="both"/>
        <w:rPr>
          <w:rFonts w:cs="Calibri"/>
          <w:lang w:val="en-GB"/>
        </w:rPr>
      </w:pPr>
      <w:r w:rsidRPr="00D30847">
        <w:rPr>
          <w:rFonts w:cs="Calibri"/>
          <w:lang w:val="en-GB"/>
        </w:rPr>
        <w:t>With the implementation of modern technologies, the knowledge of the customs officers will be improved, who would have the opportunity for more analysis and better supervision. The training system needs to be strengthened to be able to follow the vocational training needs imposed by digitalisation and modernization in general.</w:t>
      </w:r>
    </w:p>
    <w:p w14:paraId="300BEC11" w14:textId="77777777" w:rsidR="00D30E64" w:rsidRPr="00D30847" w:rsidRDefault="00D30E64" w:rsidP="00D30E64">
      <w:pPr>
        <w:spacing w:line="240" w:lineRule="auto"/>
        <w:jc w:val="both"/>
        <w:rPr>
          <w:rFonts w:cs="Calibri"/>
          <w:lang w:val="en-GB"/>
        </w:rPr>
      </w:pPr>
      <w:r w:rsidRPr="00D30847">
        <w:rPr>
          <w:rFonts w:cs="Calibri"/>
          <w:lang w:val="en-GB"/>
        </w:rPr>
        <w:t>The work processes will be subject to optimization, rationalization and further editing with acts.</w:t>
      </w:r>
    </w:p>
    <w:p w14:paraId="546C0338" w14:textId="77777777" w:rsidR="00D30E64" w:rsidRPr="00D30847" w:rsidRDefault="00D30E64" w:rsidP="00D30E64">
      <w:pPr>
        <w:spacing w:line="240" w:lineRule="auto"/>
        <w:jc w:val="both"/>
        <w:rPr>
          <w:rFonts w:cs="Calibri"/>
          <w:lang w:val="en-GB"/>
        </w:rPr>
      </w:pPr>
      <w:r w:rsidRPr="00D30847">
        <w:rPr>
          <w:rFonts w:cs="Calibri"/>
          <w:lang w:val="en-GB"/>
        </w:rPr>
        <w:t>The motivation of the employees and their interest in achieving higher professional standards will be nurtured. One of the goals will be to direct the activities towards providing more customs experts who will be especially important when starting the negotiations with the European Union.</w:t>
      </w:r>
    </w:p>
    <w:p w14:paraId="4EC45A47" w14:textId="77777777" w:rsidR="00D30E64" w:rsidRPr="00D30847" w:rsidRDefault="00D30E64" w:rsidP="00D30E64">
      <w:pPr>
        <w:spacing w:line="240" w:lineRule="auto"/>
        <w:jc w:val="both"/>
        <w:rPr>
          <w:rFonts w:cs="Calibri"/>
          <w:lang w:val="en-GB"/>
        </w:rPr>
      </w:pPr>
      <w:r w:rsidRPr="00D30847">
        <w:rPr>
          <w:rFonts w:cs="Calibri"/>
          <w:lang w:val="en-GB"/>
        </w:rPr>
        <w:t>The Customs Administration will also strive to improve the working conditions of its employees.</w:t>
      </w:r>
    </w:p>
    <w:p w14:paraId="0C91EB4F" w14:textId="44AF9485" w:rsidR="00D30E64" w:rsidRPr="00D30847" w:rsidRDefault="00D30E64" w:rsidP="00D30E64">
      <w:pPr>
        <w:spacing w:line="240" w:lineRule="auto"/>
        <w:jc w:val="both"/>
        <w:rPr>
          <w:rFonts w:cs="Calibri"/>
          <w:lang w:val="en-GB"/>
        </w:rPr>
      </w:pPr>
      <w:r w:rsidRPr="00D30847">
        <w:rPr>
          <w:rFonts w:cs="Calibri"/>
          <w:lang w:val="en-GB"/>
        </w:rPr>
        <w:t xml:space="preserve">The </w:t>
      </w:r>
      <w:r w:rsidR="0014432F" w:rsidRPr="00D30847">
        <w:rPr>
          <w:rFonts w:cs="Calibri"/>
          <w:lang w:val="en-GB"/>
        </w:rPr>
        <w:t>S</w:t>
      </w:r>
      <w:r w:rsidRPr="00D30847">
        <w:rPr>
          <w:rFonts w:cs="Calibri"/>
          <w:lang w:val="en-GB"/>
        </w:rPr>
        <w:t>trategic plan</w:t>
      </w:r>
      <w:r w:rsidR="0014432F" w:rsidRPr="00D30847">
        <w:rPr>
          <w:rFonts w:cs="Calibri"/>
          <w:lang w:val="en-GB"/>
        </w:rPr>
        <w:t xml:space="preserve"> 2024-2026</w:t>
      </w:r>
      <w:r w:rsidRPr="00D30847">
        <w:rPr>
          <w:rFonts w:cs="Calibri"/>
          <w:lang w:val="en-GB"/>
        </w:rPr>
        <w:t xml:space="preserve"> builds on the previously realized activities and is complementary to the strategic activities defined by the separate strategies of the Customs Administration that refer to specific domains of implementation of the missions of the service: Strategy for development of ICT of the Customs Administration 2021-2025; Customs Risk Management Strategy for Customs Issues 2023-</w:t>
      </w:r>
      <w:r w:rsidRPr="00D30847">
        <w:rPr>
          <w:rFonts w:cs="Calibri"/>
          <w:lang w:val="en-GB"/>
        </w:rPr>
        <w:lastRenderedPageBreak/>
        <w:t xml:space="preserve">2026; Integrity and Anti-Corruption Strategy in the Customs Administration of the Republic of North Macedonia 2019-2022; </w:t>
      </w:r>
    </w:p>
    <w:p w14:paraId="54FCF829" w14:textId="77777777" w:rsidR="00D30E64" w:rsidRPr="00D30847" w:rsidRDefault="00D30E64" w:rsidP="00D30E64">
      <w:pPr>
        <w:spacing w:line="240" w:lineRule="auto"/>
        <w:jc w:val="both"/>
        <w:rPr>
          <w:rFonts w:cs="Calibri"/>
          <w:lang w:val="en-GB"/>
        </w:rPr>
      </w:pPr>
      <w:r w:rsidRPr="00D30847">
        <w:rPr>
          <w:rFonts w:cs="Calibri"/>
          <w:lang w:val="en-GB"/>
        </w:rPr>
        <w:t>Digital Customs remains a driving factor in facilitating the exchange of information, the complexity of procedures and physical contacts with economic operators. The concrete benefits are recognized in reduced costs, lower efficiency risk and prevention of corrupt practices.</w:t>
      </w:r>
    </w:p>
    <w:p w14:paraId="72E98E50" w14:textId="6D0A59E0" w:rsidR="0037730E" w:rsidRPr="00D30847" w:rsidRDefault="00D30E64" w:rsidP="00361E94">
      <w:pPr>
        <w:spacing w:line="240" w:lineRule="auto"/>
        <w:jc w:val="both"/>
        <w:rPr>
          <w:rFonts w:cs="Calibri"/>
          <w:lang w:val="en-GB"/>
        </w:rPr>
      </w:pPr>
      <w:r w:rsidRPr="00D30847">
        <w:rPr>
          <w:rFonts w:cs="Calibri"/>
          <w:lang w:val="en-GB"/>
        </w:rPr>
        <w:t>One of the most important strategic goals of the CA will be the establishment of interoperability and interconnection with European systems, but also integration with systems at the national level.</w:t>
      </w:r>
    </w:p>
    <w:p w14:paraId="3CA9B39C" w14:textId="51CBE6F5" w:rsidR="00361E94" w:rsidRPr="00D30847" w:rsidRDefault="00361E94" w:rsidP="00361E94">
      <w:pPr>
        <w:spacing w:line="240" w:lineRule="auto"/>
        <w:jc w:val="both"/>
        <w:rPr>
          <w:rFonts w:cs="Calibri"/>
          <w:b/>
          <w:bCs/>
          <w:iCs/>
          <w:color w:val="0070C0"/>
          <w:lang w:val="en-GB"/>
        </w:rPr>
      </w:pPr>
      <w:r w:rsidRPr="00D30847">
        <w:rPr>
          <w:rFonts w:cs="Calibri"/>
          <w:b/>
          <w:bCs/>
          <w:iCs/>
          <w:color w:val="0070C0"/>
          <w:lang w:val="en-GB"/>
        </w:rPr>
        <w:t>Activity 1: Implementation of modern systems in order to comply with the Multiannual Strategic Plan of the EU (MASP), integration with European systems and procurement of appropriate hardware</w:t>
      </w:r>
    </w:p>
    <w:p w14:paraId="1BA875AE" w14:textId="77777777" w:rsidR="00361E94" w:rsidRPr="00D30847" w:rsidRDefault="00361E94" w:rsidP="00361E94">
      <w:pPr>
        <w:spacing w:line="240" w:lineRule="auto"/>
        <w:jc w:val="both"/>
        <w:rPr>
          <w:rFonts w:cs="Calibri"/>
          <w:lang w:val="en-GB"/>
        </w:rPr>
      </w:pPr>
      <w:r w:rsidRPr="00D30847">
        <w:rPr>
          <w:rFonts w:cs="Calibri"/>
          <w:lang w:val="en-GB"/>
        </w:rPr>
        <w:t>In order to be modern and efficient and ready to adapt to the inevitable changes, the CA will raise the level of quality and professionalism of the work performed by the customs officers, in accordance with the principles of simplification, fairness and efficiency. Customs strives to be “SMART” which is in line with the policy of the World Customs Organization, which means: secure borders, automation, traceability and measurability, improving risk management and above all monitoring and application of the latest technology.</w:t>
      </w:r>
    </w:p>
    <w:p w14:paraId="28B76416" w14:textId="77777777" w:rsidR="00361E94" w:rsidRPr="00D30847" w:rsidRDefault="00361E94" w:rsidP="00361E94">
      <w:pPr>
        <w:spacing w:line="240" w:lineRule="auto"/>
        <w:jc w:val="both"/>
        <w:rPr>
          <w:rFonts w:cs="Calibri"/>
          <w:lang w:val="en-GB"/>
        </w:rPr>
      </w:pPr>
      <w:r w:rsidRPr="00D30847">
        <w:rPr>
          <w:rFonts w:cs="Calibri"/>
          <w:lang w:val="en-GB"/>
        </w:rPr>
        <w:t>Modern working conditions, including equipment and IT support, is key to achieving this priority. Special attention will be paid to additional digitalization of processes and upgrading of existing equipment (hardware, software and licenses) for its implementation.</w:t>
      </w:r>
    </w:p>
    <w:p w14:paraId="1E876B99" w14:textId="77777777" w:rsidR="00361E94" w:rsidRPr="00D30847" w:rsidRDefault="00361E94" w:rsidP="00361E94">
      <w:pPr>
        <w:spacing w:line="240" w:lineRule="auto"/>
        <w:jc w:val="both"/>
        <w:rPr>
          <w:rFonts w:cs="Calibri"/>
          <w:lang w:val="en-GB"/>
        </w:rPr>
      </w:pPr>
      <w:r w:rsidRPr="00D30847">
        <w:rPr>
          <w:rFonts w:cs="Calibri"/>
          <w:lang w:val="en-GB"/>
        </w:rPr>
        <w:t>Implementation of interoperability standards in accordance with the National Interoperability Platform is an area covered by the CA in the stages of planning, defining needs and implementing projects for the development of new ICT systems, taking into account national regulations in the field of e-government and e-services electronic documents, electronic identification and confidential services and by appropriately applying the needs and standards for interconnection and interoperability with EU ICT systems.</w:t>
      </w:r>
    </w:p>
    <w:p w14:paraId="4C378A9F" w14:textId="77777777" w:rsidR="00361E94" w:rsidRPr="00D30847" w:rsidRDefault="00361E94" w:rsidP="00361E94">
      <w:pPr>
        <w:spacing w:line="240" w:lineRule="auto"/>
        <w:jc w:val="both"/>
        <w:rPr>
          <w:rFonts w:cs="Calibri"/>
          <w:lang w:val="en-GB"/>
        </w:rPr>
      </w:pPr>
      <w:r w:rsidRPr="00D30847">
        <w:rPr>
          <w:rFonts w:cs="Calibri"/>
          <w:lang w:val="en-GB"/>
        </w:rPr>
        <w:t>All activities that will be undertaken for the modernization of the customs service will be in accordance with the commitment of the modern European services to be proactive, to act homogeneously with all participants, with a commitment to innovation and sustainability. Establishing a data channel with trusted partners and effective data sharing mechanisms remains a challenge.</w:t>
      </w:r>
    </w:p>
    <w:p w14:paraId="09CDDEE4" w14:textId="77777777" w:rsidR="00361E94" w:rsidRPr="00D30847" w:rsidRDefault="00361E94" w:rsidP="00361E94">
      <w:pPr>
        <w:spacing w:line="240" w:lineRule="auto"/>
        <w:jc w:val="both"/>
        <w:rPr>
          <w:rFonts w:cs="Calibri"/>
          <w:lang w:val="en-GB"/>
        </w:rPr>
      </w:pPr>
      <w:r w:rsidRPr="00D30847">
        <w:rPr>
          <w:rFonts w:cs="Calibri"/>
          <w:lang w:val="en-GB"/>
        </w:rPr>
        <w:t>Strategic action activities for modernization and digitalization of customs services:</w:t>
      </w:r>
    </w:p>
    <w:p w14:paraId="39EC7E3C" w14:textId="76C66BF3" w:rsidR="00361E94" w:rsidRPr="00D30847" w:rsidRDefault="00DC5D75" w:rsidP="00361E94">
      <w:pPr>
        <w:spacing w:line="240" w:lineRule="auto"/>
        <w:jc w:val="both"/>
        <w:rPr>
          <w:rFonts w:cs="Calibri"/>
          <w:lang w:val="en-GB"/>
        </w:rPr>
      </w:pPr>
      <w:r w:rsidRPr="00D30847">
        <w:rPr>
          <w:rFonts w:cs="Calibri"/>
          <w:lang w:val="en-GB"/>
        </w:rPr>
        <w:t xml:space="preserve">- </w:t>
      </w:r>
      <w:r w:rsidR="00361E94" w:rsidRPr="00D30847">
        <w:rPr>
          <w:rFonts w:cs="Calibri"/>
          <w:lang w:val="en-GB"/>
        </w:rPr>
        <w:t>Introduction of a complete paperless environment in the customs procedure, through the implementation of electronic systems from the e-Customs program, i.e. the Multiannual Strategic Plan of the EU (MASP), which are compatible with the systems and procedures in the European Union.</w:t>
      </w:r>
    </w:p>
    <w:p w14:paraId="40B3A07C" w14:textId="09441BD5" w:rsidR="00361E94" w:rsidRPr="00D30847" w:rsidRDefault="00DC5D75" w:rsidP="00DC5D75">
      <w:pPr>
        <w:spacing w:line="240" w:lineRule="auto"/>
        <w:jc w:val="both"/>
        <w:rPr>
          <w:rFonts w:cs="Calibri"/>
          <w:lang w:val="en-GB"/>
        </w:rPr>
      </w:pPr>
      <w:r w:rsidRPr="00D30847">
        <w:rPr>
          <w:rFonts w:cs="Calibri"/>
          <w:lang w:val="en-GB"/>
        </w:rPr>
        <w:t xml:space="preserve">- </w:t>
      </w:r>
      <w:r w:rsidR="00361E94" w:rsidRPr="00D30847">
        <w:rPr>
          <w:rFonts w:cs="Calibri"/>
          <w:lang w:val="en-GB"/>
        </w:rPr>
        <w:t>The engagement for preparation for interconnection and interoperability with EU systems and implementation of systems harmonized with EU systems, which can be established before EU accession, continues. The activities from the first phase of implementation (until 2023) refer to the development of the NCTS transit system phase 5, as well as the national development of the other ICT systems, in accordance with the ICT Development Strategy of the Customs Administration 2021-2025. In parallel, further analysis will be carried out for full harmonization with the EU systems through the implementation of future projects from the second phase (2024-2025).</w:t>
      </w:r>
    </w:p>
    <w:p w14:paraId="684D60B3" w14:textId="3BA630C0" w:rsidR="00361E94" w:rsidRPr="00D30847" w:rsidRDefault="00DC5D75" w:rsidP="00DC5D75">
      <w:pPr>
        <w:spacing w:after="0" w:line="240" w:lineRule="auto"/>
        <w:jc w:val="both"/>
        <w:rPr>
          <w:rFonts w:cs="Calibri"/>
          <w:lang w:val="en-GB"/>
        </w:rPr>
      </w:pPr>
      <w:r w:rsidRPr="00D30847">
        <w:rPr>
          <w:rFonts w:cs="Calibri"/>
          <w:lang w:val="en-GB"/>
        </w:rPr>
        <w:t xml:space="preserve">- </w:t>
      </w:r>
      <w:r w:rsidR="00361E94" w:rsidRPr="00D30847">
        <w:rPr>
          <w:rFonts w:cs="Calibri"/>
          <w:lang w:val="en-GB"/>
        </w:rPr>
        <w:t>Application of modern standards and practices in defining and realizing the business requirements of CA, using appropriate project methodology for implementation of new concepts and IT solutions, proven in the IT market.</w:t>
      </w:r>
    </w:p>
    <w:p w14:paraId="7B838F7C" w14:textId="7B3B62E2" w:rsidR="00361E94" w:rsidRPr="00D30847" w:rsidRDefault="00DC5D75" w:rsidP="00DC5D75">
      <w:pPr>
        <w:spacing w:after="0" w:line="240" w:lineRule="auto"/>
        <w:jc w:val="both"/>
        <w:rPr>
          <w:rFonts w:cs="Calibri"/>
          <w:lang w:val="en-GB"/>
        </w:rPr>
      </w:pPr>
      <w:r w:rsidRPr="00D30847">
        <w:rPr>
          <w:rFonts w:cs="Calibri"/>
          <w:lang w:val="en-GB"/>
        </w:rPr>
        <w:t xml:space="preserve">- </w:t>
      </w:r>
      <w:r w:rsidR="00361E94" w:rsidRPr="00D30847">
        <w:rPr>
          <w:rFonts w:cs="Calibri"/>
          <w:lang w:val="en-GB"/>
        </w:rPr>
        <w:t>Improving the flow of information between all stakeholders in the activities related to the Customs Administration;</w:t>
      </w:r>
    </w:p>
    <w:p w14:paraId="01248DCC" w14:textId="23754378" w:rsidR="00361E94" w:rsidRPr="00D30847" w:rsidRDefault="00DC5D75" w:rsidP="00DC5D75">
      <w:pPr>
        <w:spacing w:after="0" w:line="240" w:lineRule="auto"/>
        <w:jc w:val="both"/>
        <w:rPr>
          <w:rFonts w:cs="Calibri"/>
          <w:lang w:val="en-GB"/>
        </w:rPr>
      </w:pPr>
      <w:r w:rsidRPr="00D30847">
        <w:rPr>
          <w:rFonts w:cs="Calibri"/>
          <w:lang w:val="en-GB"/>
        </w:rPr>
        <w:lastRenderedPageBreak/>
        <w:t xml:space="preserve">- </w:t>
      </w:r>
      <w:r w:rsidR="00361E94" w:rsidRPr="00D30847">
        <w:rPr>
          <w:rFonts w:cs="Calibri"/>
          <w:lang w:val="en-GB"/>
        </w:rPr>
        <w:t>Development of the external and governmental domain and increase of the transparency and timely information of all participants in the customs procedures, as well as of the users of the IT systems, through increased application of internet, intranet and modern social networks.</w:t>
      </w:r>
    </w:p>
    <w:p w14:paraId="7260876D" w14:textId="6CD9AE20" w:rsidR="00361E94" w:rsidRPr="00D30847" w:rsidRDefault="00DC5D75" w:rsidP="00DC5D75">
      <w:pPr>
        <w:spacing w:after="0" w:line="240" w:lineRule="auto"/>
        <w:jc w:val="both"/>
        <w:rPr>
          <w:rFonts w:cs="Calibri"/>
          <w:lang w:val="en-GB"/>
        </w:rPr>
      </w:pPr>
      <w:r w:rsidRPr="00D30847">
        <w:rPr>
          <w:rFonts w:cs="Calibri"/>
          <w:lang w:val="en-GB"/>
        </w:rPr>
        <w:t xml:space="preserve">- </w:t>
      </w:r>
      <w:r w:rsidR="00361E94" w:rsidRPr="00D30847">
        <w:rPr>
          <w:rFonts w:cs="Calibri"/>
          <w:lang w:val="en-GB"/>
        </w:rPr>
        <w:t>Interoperability and interconnection with EU systems, as well as integration with systems of the national government domain;</w:t>
      </w:r>
    </w:p>
    <w:p w14:paraId="7C3842E7" w14:textId="133ED287" w:rsidR="00361E94" w:rsidRPr="00D30847" w:rsidRDefault="00DC5D75" w:rsidP="00DC5D75">
      <w:pPr>
        <w:spacing w:after="0" w:line="240" w:lineRule="auto"/>
        <w:jc w:val="both"/>
        <w:rPr>
          <w:rFonts w:cs="Calibri"/>
          <w:lang w:val="en-GB"/>
        </w:rPr>
      </w:pPr>
      <w:r w:rsidRPr="00D30847">
        <w:rPr>
          <w:rFonts w:cs="Calibri"/>
          <w:lang w:val="en-GB"/>
        </w:rPr>
        <w:t xml:space="preserve">- </w:t>
      </w:r>
      <w:r w:rsidR="00361E94" w:rsidRPr="00D30847">
        <w:rPr>
          <w:rFonts w:cs="Calibri"/>
          <w:lang w:val="en-GB"/>
        </w:rPr>
        <w:t>Consolidation and modernization of the systems and hardware infrastructure for operation of the ICT systems of the Customs Administration;</w:t>
      </w:r>
    </w:p>
    <w:p w14:paraId="156B894A" w14:textId="04EA9671" w:rsidR="00361E94" w:rsidRPr="00D30847" w:rsidRDefault="00DC5D75" w:rsidP="00DC5D75">
      <w:pPr>
        <w:spacing w:after="0" w:line="240" w:lineRule="auto"/>
        <w:jc w:val="both"/>
        <w:rPr>
          <w:rFonts w:cs="Calibri"/>
          <w:lang w:val="en-GB"/>
        </w:rPr>
      </w:pPr>
      <w:r w:rsidRPr="00D30847">
        <w:rPr>
          <w:rFonts w:cs="Calibri"/>
          <w:lang w:val="en-GB"/>
        </w:rPr>
        <w:t xml:space="preserve">- </w:t>
      </w:r>
      <w:r w:rsidR="00361E94" w:rsidRPr="00D30847">
        <w:rPr>
          <w:rFonts w:cs="Calibri"/>
          <w:lang w:val="en-GB"/>
        </w:rPr>
        <w:t>Increasing the administrative capacity and improving the measures for ensuring continuity and stability in the use of ICT systems.</w:t>
      </w:r>
    </w:p>
    <w:p w14:paraId="597E889D" w14:textId="5029C05F" w:rsidR="00361E94" w:rsidRPr="00D30847" w:rsidRDefault="00DC5D75" w:rsidP="00DC5D75">
      <w:pPr>
        <w:spacing w:after="0" w:line="240" w:lineRule="auto"/>
        <w:jc w:val="both"/>
        <w:rPr>
          <w:rFonts w:cs="Calibri"/>
          <w:lang w:val="en-GB"/>
        </w:rPr>
      </w:pPr>
      <w:r w:rsidRPr="00D30847">
        <w:rPr>
          <w:rFonts w:cs="Calibri"/>
          <w:lang w:val="en-GB"/>
        </w:rPr>
        <w:t xml:space="preserve">- </w:t>
      </w:r>
      <w:r w:rsidR="00361E94" w:rsidRPr="00D30847">
        <w:rPr>
          <w:rFonts w:cs="Calibri"/>
          <w:lang w:val="en-GB"/>
        </w:rPr>
        <w:t>Planned development and implementation of a data warehouse (Data Warehouse) in order to provide conditions for integrity, unambiguity and maximum utilization of data and data models in the Customs Administration.</w:t>
      </w:r>
    </w:p>
    <w:p w14:paraId="664BD9BB" w14:textId="14D676E4" w:rsidR="00361E94" w:rsidRPr="00D30847" w:rsidRDefault="00DC5D75" w:rsidP="00DC5D75">
      <w:pPr>
        <w:spacing w:after="0" w:line="240" w:lineRule="auto"/>
        <w:jc w:val="both"/>
        <w:rPr>
          <w:rFonts w:cs="Calibri"/>
          <w:lang w:val="en-GB"/>
        </w:rPr>
      </w:pPr>
      <w:r w:rsidRPr="00D30847">
        <w:rPr>
          <w:rFonts w:cs="Calibri"/>
          <w:lang w:val="en-GB"/>
        </w:rPr>
        <w:t xml:space="preserve">- </w:t>
      </w:r>
      <w:r w:rsidR="00736721" w:rsidRPr="00D30847">
        <w:rPr>
          <w:rFonts w:cs="Calibri"/>
          <w:lang w:val="en-GB"/>
        </w:rPr>
        <w:t>- The activity to ensure continuity will continue, to provide the necessary requirements and standards for data protection, ensuring adequate protection of systems from disasters, as well as continuity of operation at the</w:t>
      </w:r>
      <w:r w:rsidR="00361E94" w:rsidRPr="00D30847">
        <w:rPr>
          <w:rFonts w:cs="Calibri"/>
          <w:lang w:val="en-GB"/>
        </w:rPr>
        <w:t xml:space="preserve"> remote location data </w:t>
      </w:r>
      <w:proofErr w:type="spellStart"/>
      <w:r w:rsidR="00361E94" w:rsidRPr="00D30847">
        <w:rPr>
          <w:rFonts w:cs="Calibri"/>
          <w:lang w:val="en-GB"/>
        </w:rPr>
        <w:t>center</w:t>
      </w:r>
      <w:proofErr w:type="spellEnd"/>
      <w:r w:rsidR="00361E94" w:rsidRPr="00D30847">
        <w:rPr>
          <w:rFonts w:cs="Calibri"/>
          <w:lang w:val="en-GB"/>
        </w:rPr>
        <w:t xml:space="preserve"> (Disaster Recovery)</w:t>
      </w:r>
      <w:r w:rsidR="00F241AB" w:rsidRPr="00D30847">
        <w:rPr>
          <w:rFonts w:cs="Calibri"/>
          <w:lang w:val="en-GB"/>
        </w:rPr>
        <w:t>.</w:t>
      </w:r>
    </w:p>
    <w:p w14:paraId="56DD96EA" w14:textId="77777777" w:rsidR="00436B95" w:rsidRPr="00D30847" w:rsidRDefault="00436B95" w:rsidP="00E84CD0">
      <w:pPr>
        <w:spacing w:line="240" w:lineRule="auto"/>
        <w:jc w:val="both"/>
        <w:rPr>
          <w:rFonts w:cs="Calibri"/>
          <w:b/>
          <w:bCs/>
          <w:i/>
          <w:iCs/>
          <w:color w:val="4F81BD"/>
          <w:sz w:val="10"/>
          <w:szCs w:val="10"/>
          <w:lang w:val="en-GB"/>
        </w:rPr>
      </w:pPr>
    </w:p>
    <w:p w14:paraId="44A0D91E" w14:textId="2A5CADAD" w:rsidR="004A38AA" w:rsidRPr="00D30847" w:rsidRDefault="004A38AA" w:rsidP="00E84CD0">
      <w:pPr>
        <w:spacing w:line="240" w:lineRule="auto"/>
        <w:jc w:val="both"/>
        <w:rPr>
          <w:rFonts w:cs="Calibri"/>
          <w:b/>
          <w:bCs/>
          <w:i/>
          <w:iCs/>
          <w:color w:val="4F81BD"/>
          <w:lang w:val="en-GB"/>
        </w:rPr>
      </w:pPr>
      <w:r w:rsidRPr="00D30847">
        <w:rPr>
          <w:rFonts w:cs="Calibri"/>
          <w:b/>
          <w:bCs/>
          <w:i/>
          <w:iCs/>
          <w:color w:val="4F81BD"/>
          <w:lang w:val="en-GB"/>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5E5647" w:rsidRPr="00D30847" w14:paraId="61E4C51B" w14:textId="77777777" w:rsidTr="00686BBE">
        <w:tc>
          <w:tcPr>
            <w:tcW w:w="2518" w:type="dxa"/>
            <w:tcBorders>
              <w:top w:val="nil"/>
              <w:bottom w:val="single" w:sz="4" w:space="0" w:color="FFFFFF"/>
            </w:tcBorders>
            <w:shd w:val="clear" w:color="auto" w:fill="002060"/>
          </w:tcPr>
          <w:p w14:paraId="69B626FE" w14:textId="719DE594" w:rsidR="005E5647" w:rsidRPr="00D30847" w:rsidRDefault="005E5647" w:rsidP="00E84CD0">
            <w:pPr>
              <w:spacing w:line="240" w:lineRule="auto"/>
              <w:jc w:val="both"/>
              <w:rPr>
                <w:rFonts w:cs="Calibri"/>
                <w:b/>
                <w:color w:val="FFFFFF"/>
                <w:sz w:val="20"/>
                <w:szCs w:val="20"/>
                <w:lang w:val="en-GB"/>
              </w:rPr>
            </w:pPr>
            <w:r w:rsidRPr="00D30847">
              <w:rPr>
                <w:rFonts w:cs="Calibri"/>
                <w:b/>
                <w:color w:val="FFFFFF"/>
                <w:sz w:val="20"/>
                <w:szCs w:val="20"/>
                <w:lang w:val="en-GB"/>
              </w:rPr>
              <w:t>Completed</w:t>
            </w:r>
            <w:r w:rsidR="00D4719C" w:rsidRPr="00D30847">
              <w:rPr>
                <w:rFonts w:cs="Calibri"/>
                <w:b/>
                <w:color w:val="FFFFFF"/>
                <w:sz w:val="20"/>
                <w:szCs w:val="20"/>
                <w:lang w:val="en-GB"/>
              </w:rPr>
              <w:t xml:space="preserve"> </w:t>
            </w:r>
            <w:r w:rsidRPr="00D30847">
              <w:rPr>
                <w:rFonts w:cs="Calibri"/>
                <w:b/>
                <w:color w:val="FFFFFF"/>
                <w:sz w:val="20"/>
                <w:szCs w:val="20"/>
                <w:lang w:val="en-GB"/>
              </w:rPr>
              <w:t>in</w:t>
            </w:r>
            <w:r w:rsidR="00D4719C" w:rsidRPr="00D30847">
              <w:rPr>
                <w:rFonts w:cs="Calibri"/>
                <w:b/>
                <w:color w:val="FFFFFF"/>
                <w:sz w:val="20"/>
                <w:szCs w:val="20"/>
                <w:lang w:val="en-GB"/>
              </w:rPr>
              <w:t xml:space="preserve"> </w:t>
            </w:r>
            <w:r w:rsidRPr="00D30847">
              <w:rPr>
                <w:rFonts w:cs="Calibri"/>
                <w:b/>
                <w:color w:val="FFFFFF"/>
                <w:sz w:val="20"/>
                <w:szCs w:val="20"/>
                <w:lang w:val="en-GB"/>
              </w:rPr>
              <w:t>year:</w:t>
            </w:r>
          </w:p>
        </w:tc>
        <w:tc>
          <w:tcPr>
            <w:tcW w:w="6246" w:type="dxa"/>
            <w:tcBorders>
              <w:top w:val="nil"/>
              <w:bottom w:val="single" w:sz="4" w:space="0" w:color="FFFFFF"/>
            </w:tcBorders>
            <w:shd w:val="clear" w:color="auto" w:fill="D9E2F3"/>
          </w:tcPr>
          <w:p w14:paraId="0C02C8FA" w14:textId="4CCC5C0E" w:rsidR="005E5647" w:rsidRPr="00D30847" w:rsidRDefault="005E5647" w:rsidP="00E84CD0">
            <w:pPr>
              <w:spacing w:line="240" w:lineRule="auto"/>
              <w:jc w:val="both"/>
              <w:rPr>
                <w:rFonts w:cs="Calibri"/>
                <w:sz w:val="20"/>
                <w:szCs w:val="20"/>
                <w:lang w:val="en-GB"/>
              </w:rPr>
            </w:pPr>
            <w:r w:rsidRPr="00D30847">
              <w:rPr>
                <w:rFonts w:cs="Calibri"/>
                <w:sz w:val="20"/>
                <w:szCs w:val="20"/>
                <w:lang w:val="en-GB"/>
              </w:rPr>
              <w:t>202</w:t>
            </w:r>
            <w:r w:rsidR="00F241AB" w:rsidRPr="00D30847">
              <w:rPr>
                <w:rFonts w:cs="Calibri"/>
                <w:sz w:val="20"/>
                <w:szCs w:val="20"/>
                <w:lang w:val="en-GB"/>
              </w:rPr>
              <w:t>8</w:t>
            </w:r>
          </w:p>
        </w:tc>
      </w:tr>
      <w:tr w:rsidR="005E5647" w:rsidRPr="00D30847" w14:paraId="241D9366" w14:textId="77777777" w:rsidTr="00686BBE">
        <w:tc>
          <w:tcPr>
            <w:tcW w:w="2518" w:type="dxa"/>
            <w:tcBorders>
              <w:top w:val="single" w:sz="4" w:space="0" w:color="FFFFFF"/>
              <w:bottom w:val="single" w:sz="4" w:space="0" w:color="FFFFFF"/>
            </w:tcBorders>
            <w:shd w:val="clear" w:color="auto" w:fill="002060"/>
          </w:tcPr>
          <w:p w14:paraId="206A960B" w14:textId="77777777" w:rsidR="005E5647" w:rsidRPr="00D30847" w:rsidRDefault="005E5647" w:rsidP="00E84CD0">
            <w:pPr>
              <w:spacing w:line="240" w:lineRule="auto"/>
              <w:jc w:val="both"/>
              <w:rPr>
                <w:rFonts w:cs="Calibri"/>
                <w:b/>
                <w:color w:val="FFFFFF"/>
                <w:sz w:val="20"/>
                <w:szCs w:val="20"/>
                <w:lang w:val="en-GB"/>
              </w:rPr>
            </w:pPr>
            <w:r w:rsidRPr="00D30847">
              <w:rPr>
                <w:rFonts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340AF9CA" w14:textId="42E63803" w:rsidR="005E5647" w:rsidRPr="00D30847" w:rsidRDefault="00DC5D75" w:rsidP="00E84CD0">
            <w:pPr>
              <w:spacing w:line="240" w:lineRule="auto"/>
              <w:jc w:val="both"/>
              <w:rPr>
                <w:rFonts w:cs="Calibri"/>
                <w:color w:val="000000"/>
                <w:sz w:val="20"/>
                <w:szCs w:val="20"/>
                <w:lang w:val="en-GB"/>
              </w:rPr>
            </w:pPr>
            <w:r w:rsidRPr="00D30847">
              <w:rPr>
                <w:rFonts w:cs="Calibri"/>
                <w:color w:val="000000"/>
                <w:sz w:val="20"/>
                <w:szCs w:val="20"/>
                <w:lang w:val="en-GB"/>
              </w:rPr>
              <w:t xml:space="preserve">- </w:t>
            </w:r>
            <w:r w:rsidR="005E5647" w:rsidRPr="00D30847">
              <w:rPr>
                <w:rFonts w:cs="Calibri"/>
                <w:color w:val="000000"/>
                <w:sz w:val="20"/>
                <w:szCs w:val="20"/>
                <w:lang w:val="en-GB"/>
              </w:rPr>
              <w:t>Introduction of a complete paperless environment in the customs procedure, through the implementation of electronic systems from the e-Customs program, i.e. the Multiannual Strategic Plan of the EU (MASP), compatible with the systems and procedures in the European Union; preparation for interconnection and interoperability with EU systems and implementation of systems compliant with EU systems (which may be established prior to EU accession) and equipping</w:t>
            </w:r>
            <w:r w:rsidR="00361E94" w:rsidRPr="00D30847">
              <w:rPr>
                <w:rFonts w:cs="Calibri"/>
                <w:color w:val="000000"/>
                <w:sz w:val="20"/>
                <w:szCs w:val="20"/>
                <w:lang w:val="en-GB"/>
              </w:rPr>
              <w:t xml:space="preserve"> </w:t>
            </w:r>
            <w:r w:rsidR="005E5647" w:rsidRPr="00D30847">
              <w:rPr>
                <w:rFonts w:cs="Calibri"/>
                <w:color w:val="000000"/>
                <w:sz w:val="20"/>
                <w:szCs w:val="20"/>
                <w:lang w:val="en-GB"/>
              </w:rPr>
              <w:t>with appropriate hardware for those systems.</w:t>
            </w:r>
          </w:p>
        </w:tc>
      </w:tr>
      <w:tr w:rsidR="005E5647" w:rsidRPr="00D30847" w14:paraId="5941367B" w14:textId="77777777" w:rsidTr="00686BBE">
        <w:tc>
          <w:tcPr>
            <w:tcW w:w="2518" w:type="dxa"/>
            <w:tcBorders>
              <w:top w:val="single" w:sz="4" w:space="0" w:color="FFFFFF"/>
              <w:bottom w:val="single" w:sz="4" w:space="0" w:color="FFFFFF"/>
            </w:tcBorders>
            <w:shd w:val="clear" w:color="auto" w:fill="002060"/>
          </w:tcPr>
          <w:p w14:paraId="1DAC81CE" w14:textId="7424B7CF" w:rsidR="005E5647" w:rsidRPr="00D30847" w:rsidRDefault="005E5647" w:rsidP="00E84CD0">
            <w:pPr>
              <w:spacing w:line="240" w:lineRule="auto"/>
              <w:jc w:val="both"/>
              <w:rPr>
                <w:rFonts w:cs="Calibri"/>
                <w:b/>
                <w:color w:val="FFFFFF"/>
                <w:sz w:val="20"/>
                <w:szCs w:val="20"/>
                <w:lang w:val="en-GB"/>
              </w:rPr>
            </w:pPr>
            <w:r w:rsidRPr="00D30847">
              <w:rPr>
                <w:rFonts w:cs="Calibri"/>
                <w:b/>
                <w:color w:val="FFFFFF"/>
                <w:sz w:val="20"/>
                <w:szCs w:val="20"/>
                <w:lang w:val="en-GB"/>
              </w:rPr>
              <w:t>Costs</w:t>
            </w:r>
            <w:r w:rsidR="00D4719C" w:rsidRPr="00D30847">
              <w:rPr>
                <w:rFonts w:cs="Calibri"/>
                <w:b/>
                <w:color w:val="FFFFFF"/>
                <w:sz w:val="20"/>
                <w:szCs w:val="20"/>
                <w:lang w:val="en-GB"/>
              </w:rPr>
              <w:t xml:space="preserve"> </w:t>
            </w:r>
            <w:r w:rsidRPr="00D30847">
              <w:rPr>
                <w:rFonts w:cs="Calibri"/>
                <w:b/>
                <w:color w:val="FFFFFF"/>
                <w:sz w:val="20"/>
                <w:szCs w:val="20"/>
                <w:lang w:val="en-GB"/>
              </w:rPr>
              <w:t>implications:</w:t>
            </w:r>
          </w:p>
        </w:tc>
        <w:tc>
          <w:tcPr>
            <w:tcW w:w="6246" w:type="dxa"/>
            <w:tcBorders>
              <w:top w:val="single" w:sz="4" w:space="0" w:color="FFFFFF"/>
              <w:bottom w:val="single" w:sz="4" w:space="0" w:color="FFFFFF"/>
            </w:tcBorders>
            <w:shd w:val="clear" w:color="auto" w:fill="D9E2F3"/>
          </w:tcPr>
          <w:p w14:paraId="3FA3B191" w14:textId="21C71AE2" w:rsidR="00F241AB" w:rsidRPr="00D30847" w:rsidRDefault="00F241AB" w:rsidP="00F241AB">
            <w:pPr>
              <w:spacing w:after="0" w:line="240" w:lineRule="auto"/>
              <w:jc w:val="both"/>
              <w:rPr>
                <w:rFonts w:cs="Calibri"/>
                <w:sz w:val="20"/>
                <w:szCs w:val="20"/>
                <w:lang w:val="en-GB"/>
              </w:rPr>
            </w:pPr>
            <w:r w:rsidRPr="00D30847">
              <w:rPr>
                <w:rFonts w:cs="Calibri"/>
                <w:sz w:val="20"/>
                <w:szCs w:val="20"/>
                <w:lang w:val="en-GB"/>
              </w:rPr>
              <w:t>EUR 23,000,000 (approximation)</w:t>
            </w:r>
          </w:p>
          <w:p w14:paraId="7DFC75D4" w14:textId="7E0EB076" w:rsidR="005E5647" w:rsidRPr="00D30847" w:rsidRDefault="009077B1" w:rsidP="00F241AB">
            <w:pPr>
              <w:spacing w:after="0" w:line="240" w:lineRule="auto"/>
              <w:jc w:val="both"/>
              <w:rPr>
                <w:rFonts w:cs="Calibri"/>
                <w:sz w:val="20"/>
                <w:szCs w:val="20"/>
                <w:lang w:val="en-GB"/>
              </w:rPr>
            </w:pPr>
            <w:r w:rsidRPr="00D30847">
              <w:rPr>
                <w:rFonts w:cs="Calibri"/>
                <w:sz w:val="20"/>
                <w:szCs w:val="20"/>
                <w:lang w:val="en-GB"/>
              </w:rPr>
              <w:t>*17.000.000 EUR</w:t>
            </w:r>
            <w:r w:rsidR="00F241AB" w:rsidRPr="00D30847">
              <w:rPr>
                <w:rFonts w:cs="Calibri"/>
                <w:sz w:val="20"/>
                <w:szCs w:val="20"/>
                <w:lang w:val="en-GB"/>
              </w:rPr>
              <w:t xml:space="preserve"> are from the Reform Agenda</w:t>
            </w:r>
            <w:r w:rsidR="00AC44B5" w:rsidRPr="00D30847">
              <w:rPr>
                <w:rFonts w:cs="Calibri"/>
                <w:sz w:val="20"/>
                <w:szCs w:val="20"/>
                <w:lang w:val="en-GB"/>
              </w:rPr>
              <w:t>+4.000.000 EUR Korea Government +2.000.000 EUR IPA3</w:t>
            </w:r>
          </w:p>
        </w:tc>
      </w:tr>
      <w:tr w:rsidR="005E5647" w:rsidRPr="00D30847" w14:paraId="4D23FA01" w14:textId="77777777" w:rsidTr="00686BBE">
        <w:tc>
          <w:tcPr>
            <w:tcW w:w="2518" w:type="dxa"/>
            <w:tcBorders>
              <w:top w:val="single" w:sz="4" w:space="0" w:color="FFFFFF"/>
              <w:bottom w:val="single" w:sz="4" w:space="0" w:color="FFFFFF"/>
            </w:tcBorders>
            <w:shd w:val="clear" w:color="auto" w:fill="002060"/>
          </w:tcPr>
          <w:p w14:paraId="35D3FF40" w14:textId="29912B0F" w:rsidR="005E5647" w:rsidRPr="00D30847" w:rsidRDefault="005E5647" w:rsidP="00E84CD0">
            <w:pPr>
              <w:spacing w:line="240" w:lineRule="auto"/>
              <w:jc w:val="both"/>
              <w:rPr>
                <w:rFonts w:cs="Calibri"/>
                <w:b/>
                <w:color w:val="FFFFFF"/>
                <w:sz w:val="20"/>
                <w:szCs w:val="20"/>
                <w:lang w:val="en-GB"/>
              </w:rPr>
            </w:pPr>
            <w:r w:rsidRPr="00D30847">
              <w:rPr>
                <w:rFonts w:cs="Calibri"/>
                <w:b/>
                <w:color w:val="FFFFFF"/>
                <w:sz w:val="20"/>
                <w:szCs w:val="20"/>
                <w:lang w:val="en-GB"/>
              </w:rPr>
              <w:t>Responsible</w:t>
            </w:r>
            <w:r w:rsidR="00D4719C" w:rsidRPr="00D30847">
              <w:rPr>
                <w:rFonts w:cs="Calibri"/>
                <w:b/>
                <w:color w:val="FFFFFF"/>
                <w:sz w:val="20"/>
                <w:szCs w:val="20"/>
                <w:lang w:val="en-GB"/>
              </w:rPr>
              <w:t xml:space="preserve"> </w:t>
            </w:r>
            <w:r w:rsidRPr="00D30847">
              <w:rPr>
                <w:rFonts w:cs="Calibri"/>
                <w:b/>
                <w:color w:val="FFFFFF"/>
                <w:sz w:val="20"/>
                <w:szCs w:val="20"/>
                <w:lang w:val="en-GB"/>
              </w:rPr>
              <w:t xml:space="preserve">entity: </w:t>
            </w:r>
          </w:p>
        </w:tc>
        <w:tc>
          <w:tcPr>
            <w:tcW w:w="6246" w:type="dxa"/>
            <w:tcBorders>
              <w:top w:val="single" w:sz="4" w:space="0" w:color="FFFFFF"/>
              <w:bottom w:val="single" w:sz="4" w:space="0" w:color="FFFFFF"/>
            </w:tcBorders>
            <w:shd w:val="clear" w:color="auto" w:fill="D9E2F3"/>
          </w:tcPr>
          <w:p w14:paraId="20F409AD" w14:textId="06ECCDF4" w:rsidR="005E5647" w:rsidRPr="00D30847" w:rsidRDefault="005E5647" w:rsidP="00E84CD0">
            <w:pPr>
              <w:spacing w:after="0" w:line="240" w:lineRule="auto"/>
              <w:jc w:val="both"/>
              <w:rPr>
                <w:rFonts w:cs="Calibri"/>
                <w:sz w:val="20"/>
                <w:szCs w:val="20"/>
                <w:lang w:val="en-GB"/>
              </w:rPr>
            </w:pPr>
            <w:r w:rsidRPr="00D30847">
              <w:rPr>
                <w:rFonts w:cs="Calibri"/>
                <w:sz w:val="20"/>
                <w:szCs w:val="20"/>
                <w:lang w:val="en-GB"/>
              </w:rPr>
              <w:t>Customs</w:t>
            </w:r>
            <w:r w:rsidR="00361E94" w:rsidRPr="00D30847">
              <w:rPr>
                <w:rFonts w:cs="Calibri"/>
                <w:sz w:val="20"/>
                <w:szCs w:val="20"/>
                <w:lang w:val="en-GB"/>
              </w:rPr>
              <w:t xml:space="preserve"> </w:t>
            </w:r>
            <w:r w:rsidRPr="00D30847">
              <w:rPr>
                <w:rFonts w:cs="Calibri"/>
                <w:sz w:val="20"/>
                <w:szCs w:val="20"/>
                <w:lang w:val="en-GB"/>
              </w:rPr>
              <w:t>Administration</w:t>
            </w:r>
          </w:p>
        </w:tc>
      </w:tr>
      <w:tr w:rsidR="005E5647" w:rsidRPr="00D30847" w14:paraId="58B90642" w14:textId="77777777" w:rsidTr="00686BBE">
        <w:tc>
          <w:tcPr>
            <w:tcW w:w="2518" w:type="dxa"/>
            <w:tcBorders>
              <w:top w:val="single" w:sz="4" w:space="0" w:color="FFFFFF"/>
              <w:bottom w:val="nil"/>
            </w:tcBorders>
            <w:shd w:val="clear" w:color="auto" w:fill="002060"/>
          </w:tcPr>
          <w:p w14:paraId="783ACF21" w14:textId="77777777" w:rsidR="005E5647" w:rsidRPr="00D30847" w:rsidRDefault="005E5647" w:rsidP="00E84CD0">
            <w:pPr>
              <w:spacing w:line="240" w:lineRule="auto"/>
              <w:jc w:val="both"/>
              <w:rPr>
                <w:rFonts w:cs="Calibri"/>
                <w:b/>
                <w:color w:val="FFFFFF"/>
                <w:sz w:val="20"/>
                <w:szCs w:val="20"/>
                <w:lang w:val="en-GB"/>
              </w:rPr>
            </w:pPr>
            <w:r w:rsidRPr="00D30847">
              <w:rPr>
                <w:rFonts w:cs="Calibri"/>
                <w:b/>
                <w:color w:val="FFFFFF"/>
                <w:sz w:val="20"/>
                <w:szCs w:val="20"/>
                <w:lang w:val="en-GB"/>
              </w:rPr>
              <w:t>Risk:</w:t>
            </w:r>
          </w:p>
        </w:tc>
        <w:tc>
          <w:tcPr>
            <w:tcW w:w="6246" w:type="dxa"/>
            <w:tcBorders>
              <w:top w:val="single" w:sz="4" w:space="0" w:color="FFFFFF"/>
              <w:bottom w:val="nil"/>
            </w:tcBorders>
            <w:shd w:val="clear" w:color="auto" w:fill="D9E2F3"/>
          </w:tcPr>
          <w:p w14:paraId="03290BDE" w14:textId="5B0EE3EF" w:rsidR="005E5647" w:rsidRPr="00D30847" w:rsidRDefault="00DC5D75" w:rsidP="00DC5D75">
            <w:pPr>
              <w:spacing w:after="0" w:line="240" w:lineRule="auto"/>
              <w:rPr>
                <w:rFonts w:cs="Calibri"/>
                <w:sz w:val="20"/>
                <w:szCs w:val="20"/>
                <w:lang w:val="en-GB"/>
              </w:rPr>
            </w:pPr>
            <w:r w:rsidRPr="00D30847">
              <w:rPr>
                <w:rFonts w:cs="Calibri"/>
                <w:sz w:val="20"/>
                <w:szCs w:val="20"/>
                <w:lang w:val="en-GB"/>
              </w:rPr>
              <w:t xml:space="preserve">- </w:t>
            </w:r>
            <w:r w:rsidR="00361E94" w:rsidRPr="00D30847">
              <w:rPr>
                <w:rFonts w:cs="Calibri"/>
                <w:sz w:val="20"/>
                <w:szCs w:val="20"/>
                <w:lang w:val="en-GB"/>
              </w:rPr>
              <w:t>Untimely implementation of all phases in the process of harmonization with EU systems.</w:t>
            </w:r>
          </w:p>
        </w:tc>
      </w:tr>
    </w:tbl>
    <w:p w14:paraId="421CAC2E" w14:textId="055F1CF1" w:rsidR="006C526B" w:rsidRPr="00D30847" w:rsidRDefault="006C526B" w:rsidP="00E84CD0">
      <w:pPr>
        <w:spacing w:line="240" w:lineRule="auto"/>
        <w:jc w:val="both"/>
        <w:rPr>
          <w:rFonts w:cs="Calibri"/>
          <w:lang w:val="en-GB"/>
        </w:rPr>
      </w:pPr>
    </w:p>
    <w:p w14:paraId="4F3F7A94" w14:textId="77777777" w:rsidR="00EA4DEC" w:rsidRPr="00D30847" w:rsidRDefault="00EA4DEC" w:rsidP="00EA4DEC">
      <w:pPr>
        <w:spacing w:before="240" w:line="240" w:lineRule="auto"/>
        <w:jc w:val="both"/>
        <w:rPr>
          <w:rFonts w:cs="Calibri"/>
          <w:b/>
          <w:color w:val="0070C0"/>
          <w:sz w:val="24"/>
          <w:szCs w:val="24"/>
          <w:lang w:val="en-GB"/>
        </w:rPr>
      </w:pPr>
      <w:r w:rsidRPr="00D30847">
        <w:rPr>
          <w:rFonts w:cs="Calibri"/>
          <w:b/>
          <w:color w:val="0070C0"/>
          <w:sz w:val="24"/>
          <w:szCs w:val="24"/>
          <w:lang w:val="en-GB"/>
        </w:rPr>
        <w:t>Measure 3: Adequate monitoring of excise goods and collection of excise duties</w:t>
      </w:r>
    </w:p>
    <w:p w14:paraId="514E6CEF" w14:textId="70B994D2" w:rsidR="00EA4DEC" w:rsidRPr="00D30847" w:rsidRDefault="00EA4DEC" w:rsidP="00EA4DEC">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Measure</w:t>
      </w:r>
      <w:r w:rsidR="00ED6567" w:rsidRPr="00D30847">
        <w:rPr>
          <w:rFonts w:eastAsia="MS PGothic" w:cs="Calibri"/>
          <w:b/>
          <w:bCs/>
          <w:i/>
          <w:iCs/>
          <w:color w:val="4F81BD"/>
          <w:lang w:val="en-GB" w:eastAsia="zh-CN"/>
        </w:rPr>
        <w:t xml:space="preserve"> </w:t>
      </w:r>
      <w:r w:rsidRPr="00D30847">
        <w:rPr>
          <w:rFonts w:eastAsia="MS PGothic" w:cs="Calibri"/>
          <w:b/>
          <w:bCs/>
          <w:i/>
          <w:iCs/>
          <w:color w:val="4F81BD"/>
          <w:lang w:val="en-GB" w:eastAsia="zh-CN"/>
        </w:rPr>
        <w:t>objective</w:t>
      </w:r>
    </w:p>
    <w:p w14:paraId="091C0E5E" w14:textId="4B3E616D" w:rsidR="00EA4DEC" w:rsidRPr="00D30847" w:rsidRDefault="00EA4DEC" w:rsidP="00686BBE">
      <w:pPr>
        <w:tabs>
          <w:tab w:val="left" w:pos="0"/>
        </w:tabs>
        <w:spacing w:line="240" w:lineRule="auto"/>
        <w:jc w:val="both"/>
        <w:rPr>
          <w:rFonts w:cs="Calibri"/>
          <w:color w:val="2C2825"/>
          <w:shd w:val="clear" w:color="auto" w:fill="FFFFFF"/>
          <w:lang w:val="en-GB"/>
        </w:rPr>
      </w:pPr>
      <w:r w:rsidRPr="00D30847">
        <w:rPr>
          <w:rFonts w:cs="Calibri"/>
          <w:color w:val="2C2825"/>
          <w:shd w:val="clear" w:color="auto" w:fill="FFFFFF"/>
          <w:lang w:val="en-GB"/>
        </w:rPr>
        <w:t>The goal of this measure is through introduction of procedures and instruments for appropr</w:t>
      </w:r>
      <w:r w:rsidR="00D30847">
        <w:rPr>
          <w:rFonts w:cs="Calibri"/>
          <w:color w:val="2C2825"/>
          <w:shd w:val="clear" w:color="auto" w:fill="FFFFFF"/>
          <w:lang w:val="en-GB"/>
        </w:rPr>
        <w:t>iate monitoring of excise goods</w:t>
      </w:r>
      <w:r w:rsidRPr="00D30847">
        <w:rPr>
          <w:rFonts w:cs="Calibri"/>
          <w:color w:val="2C2825"/>
          <w:shd w:val="clear" w:color="auto" w:fill="FFFFFF"/>
          <w:lang w:val="en-GB"/>
        </w:rPr>
        <w:t>,</w:t>
      </w:r>
      <w:r w:rsidR="00D30847">
        <w:rPr>
          <w:rFonts w:cs="Calibri"/>
          <w:color w:val="2C2825"/>
          <w:shd w:val="clear" w:color="auto" w:fill="FFFFFF"/>
          <w:lang w:val="en-GB"/>
        </w:rPr>
        <w:t xml:space="preserve"> </w:t>
      </w:r>
      <w:r w:rsidRPr="00D30847">
        <w:rPr>
          <w:rFonts w:cs="Calibri"/>
          <w:color w:val="2C2825"/>
          <w:shd w:val="clear" w:color="auto" w:fill="FFFFFF"/>
          <w:lang w:val="en-GB"/>
        </w:rPr>
        <w:t>to combat against illicit trade in tobacco products and to increase collection of excise duties. Adequate monitoring of excise goods is important due to the increased volume of trade in such goods, the harm to health (especially found in tobacco products), registered tax evasion, illicit trade in excise goods as a source of financing for organized crime.</w:t>
      </w:r>
    </w:p>
    <w:p w14:paraId="145FE7F2" w14:textId="77777777" w:rsidR="00EA4DEC" w:rsidRPr="00D30847" w:rsidRDefault="00EA4DEC" w:rsidP="00EA4DEC">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Context/Background</w:t>
      </w:r>
    </w:p>
    <w:p w14:paraId="3E51E071" w14:textId="358E0651" w:rsidR="00EA4DEC" w:rsidRPr="00D30847" w:rsidRDefault="00EA4DEC" w:rsidP="00EA4DEC">
      <w:pPr>
        <w:spacing w:line="240" w:lineRule="auto"/>
        <w:jc w:val="both"/>
        <w:rPr>
          <w:rFonts w:cs="Calibri"/>
          <w:lang w:val="en-GB"/>
        </w:rPr>
      </w:pPr>
      <w:r w:rsidRPr="00D30847">
        <w:rPr>
          <w:rFonts w:cs="Calibri"/>
          <w:lang w:val="en-GB"/>
        </w:rPr>
        <w:t>Introduction of procedures and instruments for appropriate monitoring of excise goods and collection of excise duties is a big</w:t>
      </w:r>
      <w:r w:rsidR="008F391C" w:rsidRPr="00D30847">
        <w:rPr>
          <w:rFonts w:cs="Calibri"/>
          <w:lang w:val="en-GB"/>
        </w:rPr>
        <w:t xml:space="preserve"> challenge </w:t>
      </w:r>
      <w:r w:rsidRPr="00D30847">
        <w:rPr>
          <w:rFonts w:cs="Calibri"/>
          <w:lang w:val="en-GB"/>
        </w:rPr>
        <w:t xml:space="preserve">for CA, taking into account the current EU Track &amp; Trace system. Adequate monitoring of excise goods is important due to the increased volume of trade in such goods, the harm to health (especially found in tobacco products), registered tax evasion, illicit trade in tobacco products as a source of financing for organized crime. With the measures taken for the </w:t>
      </w:r>
      <w:r w:rsidRPr="00D30847">
        <w:rPr>
          <w:rFonts w:cs="Calibri"/>
          <w:lang w:val="en-GB"/>
        </w:rPr>
        <w:lastRenderedPageBreak/>
        <w:t xml:space="preserve">appropriate collection of excise duties, special attention is paid to the reliability and the possibility that the competent authorities and citizens can check the authenticity of the products. </w:t>
      </w:r>
    </w:p>
    <w:p w14:paraId="661C2B5C" w14:textId="77777777" w:rsidR="00EA4DEC" w:rsidRPr="00D30847" w:rsidRDefault="00EA4DEC" w:rsidP="00EA4DEC">
      <w:pPr>
        <w:spacing w:line="240" w:lineRule="auto"/>
        <w:jc w:val="both"/>
        <w:rPr>
          <w:rFonts w:cs="Calibri"/>
          <w:lang w:val="en-GB"/>
        </w:rPr>
      </w:pPr>
      <w:r w:rsidRPr="00D30847">
        <w:rPr>
          <w:rFonts w:cs="Calibri"/>
          <w:lang w:val="en-GB"/>
        </w:rPr>
        <w:t>TRACK&amp;TRACE system is based on digital product identification by applying a unique identifier in the form of a digital code to the product packaging during the production process. The digital code contains security measures against forgery and enables subsequent tracking of the movement of the specific product from the manufacturer to the first retail outlet</w:t>
      </w:r>
    </w:p>
    <w:p w14:paraId="61B8603B" w14:textId="77777777" w:rsidR="00EA4DEC" w:rsidRPr="00D30847" w:rsidRDefault="00EA4DEC" w:rsidP="00EA4DEC">
      <w:pPr>
        <w:spacing w:line="240" w:lineRule="auto"/>
        <w:jc w:val="both"/>
        <w:rPr>
          <w:rFonts w:cs="Calibri"/>
          <w:lang w:val="en-GB"/>
        </w:rPr>
      </w:pPr>
      <w:r w:rsidRPr="00D30847">
        <w:rPr>
          <w:rFonts w:cs="Calibri"/>
          <w:lang w:val="en-GB"/>
        </w:rPr>
        <w:t>The complexity of data provided by the Track &amp; Trace system enables the detection of cigarettes that appear illegally on the market and avoid payment of excise duty.</w:t>
      </w:r>
    </w:p>
    <w:p w14:paraId="7950A247" w14:textId="77777777" w:rsidR="00EA4DEC" w:rsidRPr="00D30847" w:rsidRDefault="00EA4DEC" w:rsidP="00EA4DEC">
      <w:pPr>
        <w:spacing w:line="240" w:lineRule="auto"/>
        <w:jc w:val="both"/>
        <w:rPr>
          <w:rFonts w:cs="Calibri"/>
          <w:lang w:val="en-GB"/>
        </w:rPr>
      </w:pPr>
      <w:r w:rsidRPr="00D30847">
        <w:rPr>
          <w:rFonts w:cs="Calibri"/>
          <w:lang w:val="en-GB"/>
        </w:rPr>
        <w:t>Bearing in mind that the Track &amp; Trace system is part of the EU regulation, the Republic of North Macedonia will develop a system based on the example of the EU Track &amp; Trace system, compatible with it and with a technical possibility for intercommunication in a certain period. However, the fact that RSM is not yet an EU member state will inevitably require certain modifications during implementation, especially due to the impossibility of using the common depository, to which only EU member states have access.</w:t>
      </w:r>
    </w:p>
    <w:p w14:paraId="256E7EBF" w14:textId="77777777" w:rsidR="00EA4DEC" w:rsidRPr="00D30847" w:rsidRDefault="00EA4DEC" w:rsidP="00EA4DEC">
      <w:pPr>
        <w:spacing w:line="240" w:lineRule="auto"/>
        <w:jc w:val="both"/>
        <w:rPr>
          <w:rFonts w:cs="Calibri"/>
          <w:lang w:val="en-GB"/>
        </w:rPr>
      </w:pPr>
      <w:r w:rsidRPr="00D30847">
        <w:rPr>
          <w:rFonts w:cs="Calibri"/>
          <w:lang w:val="en-GB"/>
        </w:rPr>
        <w:t>In the process of implementing the Track &amp; Trace system as a complex and multidisciplinary one, several state institutions with different responsibilities will be involved, as well as economic operators as a key link in the process.</w:t>
      </w:r>
    </w:p>
    <w:p w14:paraId="7B64F2DD" w14:textId="112F7EC7" w:rsidR="00EA4DEC" w:rsidRPr="00D30847" w:rsidRDefault="00EA4DEC" w:rsidP="00EA4DEC">
      <w:pPr>
        <w:spacing w:line="240" w:lineRule="auto"/>
        <w:jc w:val="both"/>
        <w:rPr>
          <w:rFonts w:cs="Calibri"/>
          <w:lang w:val="en-GB"/>
        </w:rPr>
      </w:pPr>
      <w:r w:rsidRPr="00D30847">
        <w:rPr>
          <w:rFonts w:cs="Calibri"/>
          <w:lang w:val="en-GB"/>
        </w:rPr>
        <w:t xml:space="preserve">  The introduction of this system necessarily requires the provision of a test period for trial work before putting it into use.</w:t>
      </w:r>
    </w:p>
    <w:p w14:paraId="5AAD4A99" w14:textId="77777777" w:rsidR="00EA4DEC" w:rsidRPr="00D30847" w:rsidRDefault="00EA4DEC" w:rsidP="00EA4DEC">
      <w:pPr>
        <w:spacing w:line="240" w:lineRule="auto"/>
        <w:jc w:val="both"/>
        <w:rPr>
          <w:rFonts w:cs="Calibri"/>
          <w:b/>
          <w:bCs/>
          <w:iCs/>
          <w:color w:val="0070C0"/>
          <w:lang w:val="en-GB"/>
        </w:rPr>
      </w:pPr>
      <w:r w:rsidRPr="00D30847">
        <w:rPr>
          <w:rFonts w:cs="Calibri"/>
          <w:b/>
          <w:bCs/>
          <w:iCs/>
          <w:color w:val="0070C0"/>
          <w:lang w:val="en-GB"/>
        </w:rPr>
        <w:t>Activity 1: Establishing a system for marking and tracking tobacco products (cigarettes) through the TRACK&amp;TRACE system</w:t>
      </w:r>
    </w:p>
    <w:p w14:paraId="48BEAAC9" w14:textId="77777777" w:rsidR="00EA4DEC" w:rsidRPr="00D30847" w:rsidRDefault="00EA4DEC" w:rsidP="00EA4DEC">
      <w:pPr>
        <w:spacing w:line="240" w:lineRule="auto"/>
        <w:jc w:val="both"/>
        <w:rPr>
          <w:rFonts w:cs="Calibri"/>
          <w:lang w:val="en-GB"/>
        </w:rPr>
      </w:pPr>
      <w:r w:rsidRPr="00D30847">
        <w:rPr>
          <w:rFonts w:cs="Calibri"/>
          <w:lang w:val="en-GB"/>
        </w:rPr>
        <w:t>For the successful implementation of the Track &amp; Trace system, changes and adjustments to the legal and by-law regulations are necessary, which will be the subject of the work of a specially formed Working Group.</w:t>
      </w:r>
    </w:p>
    <w:p w14:paraId="55AAB6A9" w14:textId="77777777" w:rsidR="00EA4DEC" w:rsidRPr="00D30847" w:rsidRDefault="00EA4DEC" w:rsidP="00EA4DEC">
      <w:pPr>
        <w:spacing w:line="240" w:lineRule="auto"/>
        <w:jc w:val="both"/>
        <w:rPr>
          <w:rFonts w:cs="Calibri"/>
          <w:lang w:val="en-GB"/>
        </w:rPr>
      </w:pPr>
      <w:r w:rsidRPr="00D30847">
        <w:rPr>
          <w:rFonts w:cs="Calibri"/>
          <w:lang w:val="en-GB"/>
        </w:rPr>
        <w:t>The cooperation started with the economic operators affected by the Track &amp; Trace system will be intensified, which will have significant financial implications for its introduction.</w:t>
      </w:r>
    </w:p>
    <w:p w14:paraId="112E62D7" w14:textId="77777777" w:rsidR="00EA4DEC" w:rsidRPr="00D30847" w:rsidRDefault="00EA4DEC" w:rsidP="00EA4DEC">
      <w:pPr>
        <w:spacing w:line="240" w:lineRule="auto"/>
        <w:jc w:val="both"/>
        <w:rPr>
          <w:rFonts w:cs="Calibri"/>
          <w:lang w:val="en-GB"/>
        </w:rPr>
      </w:pPr>
      <w:r w:rsidRPr="00D30847">
        <w:rPr>
          <w:rFonts w:cs="Calibri"/>
          <w:lang w:val="en-GB"/>
        </w:rPr>
        <w:t>A significant part of the introduction of this system is the process of providing all the necessary resources for its application, which will mainly cause financial implications for the economic operators who will be part of the Track &amp; Trace system. This implies the purchase of expensive equipment for marking and tracking cigarettes in the entire supply chain, starting from production to the first retail outlet. Also, economic operators have an obligation to choose and finance a primary depository for storing the unique codes.</w:t>
      </w:r>
    </w:p>
    <w:p w14:paraId="3B9285BB" w14:textId="77777777" w:rsidR="00EA4DEC" w:rsidRPr="00D30847" w:rsidRDefault="00EA4DEC" w:rsidP="00EA4DEC">
      <w:pPr>
        <w:spacing w:line="240" w:lineRule="auto"/>
        <w:jc w:val="both"/>
        <w:rPr>
          <w:rFonts w:cs="Calibri"/>
          <w:lang w:val="en-GB"/>
        </w:rPr>
      </w:pPr>
      <w:r w:rsidRPr="00D30847">
        <w:rPr>
          <w:rFonts w:cs="Calibri"/>
          <w:lang w:val="en-GB"/>
        </w:rPr>
        <w:t>A particularly key step in the implementation process of the Track &amp; Trace system is the selection of an issuer of unique product identifiers - codes, as well as the selection of a secondary depository for storing all issued codes.</w:t>
      </w:r>
    </w:p>
    <w:p w14:paraId="7F21368A" w14:textId="77777777" w:rsidR="00EA4DEC" w:rsidRPr="00D30847" w:rsidRDefault="00EA4DEC" w:rsidP="00EA4DEC">
      <w:pPr>
        <w:spacing w:line="240" w:lineRule="auto"/>
        <w:jc w:val="both"/>
        <w:rPr>
          <w:rFonts w:cs="Calibri"/>
          <w:lang w:val="en-GB"/>
        </w:rPr>
      </w:pPr>
      <w:r w:rsidRPr="00D30847">
        <w:rPr>
          <w:rFonts w:cs="Calibri"/>
          <w:lang w:val="en-GB"/>
        </w:rPr>
        <w:t>Also, for the practical implementation of the Track &amp; Trace system, consulting assistance from the EU countries, which already have experience with the application of the system, will be needed.</w:t>
      </w:r>
    </w:p>
    <w:p w14:paraId="383643A5" w14:textId="77777777" w:rsidR="00EA4DEC" w:rsidRPr="00D30847" w:rsidRDefault="00EA4DEC" w:rsidP="00EA4DEC">
      <w:pPr>
        <w:spacing w:line="240" w:lineRule="auto"/>
        <w:jc w:val="both"/>
        <w:rPr>
          <w:rFonts w:cs="Calibri"/>
          <w:lang w:val="en-GB"/>
        </w:rPr>
      </w:pPr>
      <w:r w:rsidRPr="00D30847">
        <w:rPr>
          <w:rFonts w:cs="Calibri"/>
          <w:lang w:val="en-GB"/>
        </w:rPr>
        <w:t>Finally, it is of particular importance to mention the necessary alignment of the Track &amp; Trace system with the existing electronic system of the Customs Administration, which must be compatible.</w:t>
      </w:r>
    </w:p>
    <w:p w14:paraId="6776906D" w14:textId="77777777" w:rsidR="00AC5DE9" w:rsidRDefault="00AC5DE9" w:rsidP="00EA4DEC">
      <w:pPr>
        <w:spacing w:line="240" w:lineRule="auto"/>
        <w:jc w:val="both"/>
        <w:rPr>
          <w:rFonts w:cs="Calibri"/>
          <w:b/>
          <w:bCs/>
          <w:i/>
          <w:iCs/>
          <w:color w:val="4F81BD"/>
          <w:lang w:val="en-GB"/>
        </w:rPr>
      </w:pPr>
    </w:p>
    <w:p w14:paraId="7572D332" w14:textId="77777777" w:rsidR="00AC5DE9" w:rsidRDefault="00AC5DE9" w:rsidP="00EA4DEC">
      <w:pPr>
        <w:spacing w:line="240" w:lineRule="auto"/>
        <w:jc w:val="both"/>
        <w:rPr>
          <w:rFonts w:cs="Calibri"/>
          <w:b/>
          <w:bCs/>
          <w:i/>
          <w:iCs/>
          <w:color w:val="4F81BD"/>
          <w:lang w:val="en-GB"/>
        </w:rPr>
      </w:pPr>
    </w:p>
    <w:p w14:paraId="07286EA9" w14:textId="77777777" w:rsidR="00AC5DE9" w:rsidRDefault="00AC5DE9" w:rsidP="00EA4DEC">
      <w:pPr>
        <w:spacing w:line="240" w:lineRule="auto"/>
        <w:jc w:val="both"/>
        <w:rPr>
          <w:rFonts w:cs="Calibri"/>
          <w:b/>
          <w:bCs/>
          <w:i/>
          <w:iCs/>
          <w:color w:val="4F81BD"/>
          <w:lang w:val="en-GB"/>
        </w:rPr>
      </w:pPr>
    </w:p>
    <w:p w14:paraId="661F5283" w14:textId="17CF4F78" w:rsidR="00EA4DEC" w:rsidRPr="00D30847" w:rsidRDefault="00EA4DEC" w:rsidP="00EA4DEC">
      <w:pPr>
        <w:spacing w:line="240" w:lineRule="auto"/>
        <w:jc w:val="both"/>
        <w:rPr>
          <w:rFonts w:cs="Calibri"/>
          <w:b/>
          <w:bCs/>
          <w:i/>
          <w:iCs/>
          <w:color w:val="4F81BD"/>
          <w:lang w:val="en-GB"/>
        </w:rPr>
      </w:pPr>
      <w:r w:rsidRPr="00D30847">
        <w:rPr>
          <w:rFonts w:cs="Calibri"/>
          <w:b/>
          <w:bCs/>
          <w:i/>
          <w:iCs/>
          <w:color w:val="4F81BD"/>
          <w:lang w:val="en-GB"/>
        </w:rPr>
        <w:lastRenderedPageBreak/>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EA4DEC" w:rsidRPr="00D30847" w14:paraId="1482CAC1" w14:textId="77777777" w:rsidTr="00686BBE">
        <w:tc>
          <w:tcPr>
            <w:tcW w:w="2518" w:type="dxa"/>
            <w:tcBorders>
              <w:top w:val="nil"/>
              <w:bottom w:val="single" w:sz="4" w:space="0" w:color="FFFFFF"/>
            </w:tcBorders>
            <w:shd w:val="clear" w:color="auto" w:fill="002060"/>
          </w:tcPr>
          <w:p w14:paraId="01418656" w14:textId="77777777" w:rsidR="00EA4DEC" w:rsidRPr="00D30847" w:rsidRDefault="00EA4DEC" w:rsidP="00EA4DEC">
            <w:pPr>
              <w:spacing w:line="240" w:lineRule="auto"/>
              <w:jc w:val="both"/>
              <w:rPr>
                <w:rFonts w:cs="Calibri"/>
                <w:b/>
                <w:color w:val="FFFFFF"/>
                <w:sz w:val="20"/>
                <w:szCs w:val="20"/>
                <w:lang w:val="en-GB"/>
              </w:rPr>
            </w:pPr>
            <w:bookmarkStart w:id="32" w:name="_Hlk160537785"/>
            <w:r w:rsidRPr="00D30847">
              <w:rPr>
                <w:rFonts w:cs="Calibri"/>
                <w:b/>
                <w:color w:val="FFFFFF"/>
                <w:sz w:val="20"/>
                <w:szCs w:val="20"/>
                <w:lang w:val="en-GB"/>
              </w:rPr>
              <w:t>Completed in year:</w:t>
            </w:r>
          </w:p>
        </w:tc>
        <w:tc>
          <w:tcPr>
            <w:tcW w:w="6246" w:type="dxa"/>
            <w:tcBorders>
              <w:top w:val="nil"/>
              <w:bottom w:val="single" w:sz="4" w:space="0" w:color="FFFFFF"/>
            </w:tcBorders>
            <w:shd w:val="clear" w:color="auto" w:fill="D9E2F3"/>
          </w:tcPr>
          <w:p w14:paraId="49CB3A27" w14:textId="022E78CC" w:rsidR="00EA4DEC" w:rsidRPr="00D30847" w:rsidRDefault="00EA4DEC" w:rsidP="00EA4DEC">
            <w:pPr>
              <w:spacing w:line="240" w:lineRule="auto"/>
              <w:jc w:val="both"/>
              <w:rPr>
                <w:rFonts w:cs="Calibri"/>
                <w:sz w:val="20"/>
                <w:szCs w:val="20"/>
                <w:lang w:val="en-GB"/>
              </w:rPr>
            </w:pPr>
            <w:r w:rsidRPr="00D30847">
              <w:rPr>
                <w:rFonts w:cs="Calibri"/>
                <w:sz w:val="20"/>
                <w:szCs w:val="20"/>
                <w:lang w:val="en-GB"/>
              </w:rPr>
              <w:t>202</w:t>
            </w:r>
            <w:r w:rsidR="00F241AB" w:rsidRPr="00D30847">
              <w:rPr>
                <w:rFonts w:cs="Calibri"/>
                <w:sz w:val="20"/>
                <w:szCs w:val="20"/>
                <w:lang w:val="en-GB"/>
              </w:rPr>
              <w:t>8</w:t>
            </w:r>
          </w:p>
        </w:tc>
      </w:tr>
      <w:tr w:rsidR="00EA4DEC" w:rsidRPr="00D30847" w14:paraId="1C6C1B2A" w14:textId="77777777" w:rsidTr="00686BBE">
        <w:tc>
          <w:tcPr>
            <w:tcW w:w="2518" w:type="dxa"/>
            <w:tcBorders>
              <w:top w:val="single" w:sz="4" w:space="0" w:color="FFFFFF"/>
              <w:bottom w:val="single" w:sz="4" w:space="0" w:color="FFFFFF"/>
            </w:tcBorders>
            <w:shd w:val="clear" w:color="auto" w:fill="002060"/>
          </w:tcPr>
          <w:p w14:paraId="78A91238" w14:textId="77777777" w:rsidR="00EA4DEC" w:rsidRPr="00D30847" w:rsidRDefault="00EA4DEC" w:rsidP="00EA4DEC">
            <w:pPr>
              <w:spacing w:line="240" w:lineRule="auto"/>
              <w:jc w:val="both"/>
              <w:rPr>
                <w:rFonts w:cs="Calibri"/>
                <w:b/>
                <w:color w:val="FFFFFF"/>
                <w:sz w:val="20"/>
                <w:szCs w:val="20"/>
                <w:lang w:val="en-GB"/>
              </w:rPr>
            </w:pPr>
            <w:r w:rsidRPr="00D30847">
              <w:rPr>
                <w:rFonts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092CF2D2" w14:textId="77777777" w:rsidR="00EA4DEC" w:rsidRPr="00D30847" w:rsidRDefault="00EA4DEC" w:rsidP="00AD2AD5">
            <w:pPr>
              <w:pStyle w:val="ListParagraph"/>
              <w:numPr>
                <w:ilvl w:val="0"/>
                <w:numId w:val="34"/>
              </w:numPr>
              <w:spacing w:line="240" w:lineRule="auto"/>
              <w:ind w:left="250" w:hanging="180"/>
              <w:rPr>
                <w:rFonts w:cs="Calibri"/>
                <w:color w:val="000000"/>
                <w:sz w:val="20"/>
                <w:szCs w:val="20"/>
              </w:rPr>
            </w:pPr>
            <w:r w:rsidRPr="00D30847">
              <w:rPr>
                <w:rFonts w:cs="Calibri"/>
                <w:color w:val="000000"/>
                <w:sz w:val="20"/>
                <w:szCs w:val="20"/>
              </w:rPr>
              <w:t>Available track &amp; Trace system that provide adequate monitoring of excise goods (cigarettes).</w:t>
            </w:r>
            <w:r w:rsidRPr="00D30847">
              <w:rPr>
                <w:rFonts w:cs="Calibri"/>
                <w:color w:val="2C2825"/>
              </w:rPr>
              <w:t xml:space="preserve">decreases illicit trade and tax evasion  in tobacco products </w:t>
            </w:r>
          </w:p>
        </w:tc>
      </w:tr>
      <w:tr w:rsidR="00EA4DEC" w:rsidRPr="00D30847" w14:paraId="634D571A" w14:textId="77777777" w:rsidTr="00686BBE">
        <w:trPr>
          <w:trHeight w:val="391"/>
        </w:trPr>
        <w:tc>
          <w:tcPr>
            <w:tcW w:w="2518" w:type="dxa"/>
            <w:tcBorders>
              <w:top w:val="single" w:sz="4" w:space="0" w:color="FFFFFF"/>
              <w:bottom w:val="single" w:sz="4" w:space="0" w:color="FFFFFF"/>
            </w:tcBorders>
            <w:shd w:val="clear" w:color="auto" w:fill="002060"/>
          </w:tcPr>
          <w:p w14:paraId="7A5AC88F" w14:textId="6C004BD0" w:rsidR="00EA4DEC" w:rsidRPr="00D30847" w:rsidRDefault="00EA4DEC" w:rsidP="00EA4DEC">
            <w:pPr>
              <w:spacing w:line="240" w:lineRule="auto"/>
              <w:jc w:val="both"/>
              <w:rPr>
                <w:rFonts w:cs="Calibri"/>
                <w:b/>
                <w:color w:val="FFFFFF"/>
                <w:sz w:val="20"/>
                <w:szCs w:val="20"/>
                <w:lang w:val="en-GB"/>
              </w:rPr>
            </w:pPr>
            <w:r w:rsidRPr="00D30847">
              <w:rPr>
                <w:rFonts w:cs="Calibri"/>
                <w:b/>
                <w:color w:val="FFFFFF"/>
                <w:sz w:val="20"/>
                <w:szCs w:val="20"/>
                <w:lang w:val="en-GB"/>
              </w:rPr>
              <w:t>Costs</w:t>
            </w:r>
            <w:r w:rsidR="00995768" w:rsidRPr="00D30847">
              <w:rPr>
                <w:rFonts w:cs="Calibri"/>
                <w:b/>
                <w:color w:val="FFFFFF"/>
                <w:sz w:val="20"/>
                <w:szCs w:val="20"/>
                <w:lang w:val="en-GB"/>
              </w:rPr>
              <w:t xml:space="preserve"> </w:t>
            </w:r>
            <w:r w:rsidRPr="00D30847">
              <w:rPr>
                <w:rFonts w:cs="Calibri"/>
                <w:b/>
                <w:color w:val="FFFFFF"/>
                <w:sz w:val="20"/>
                <w:szCs w:val="20"/>
                <w:lang w:val="en-GB"/>
              </w:rPr>
              <w:t>implications:</w:t>
            </w:r>
          </w:p>
        </w:tc>
        <w:tc>
          <w:tcPr>
            <w:tcW w:w="6246" w:type="dxa"/>
            <w:tcBorders>
              <w:top w:val="single" w:sz="4" w:space="0" w:color="FFFFFF"/>
              <w:bottom w:val="single" w:sz="4" w:space="0" w:color="FFFFFF"/>
            </w:tcBorders>
            <w:shd w:val="clear" w:color="auto" w:fill="D9E2F3"/>
          </w:tcPr>
          <w:p w14:paraId="07CD1FE5" w14:textId="77777777" w:rsidR="00EA4DEC" w:rsidRPr="00D30847" w:rsidRDefault="00EA4DEC" w:rsidP="00AD2AD5">
            <w:pPr>
              <w:pStyle w:val="ListParagraph"/>
              <w:numPr>
                <w:ilvl w:val="0"/>
                <w:numId w:val="34"/>
              </w:numPr>
              <w:spacing w:line="240" w:lineRule="auto"/>
              <w:ind w:left="250" w:hanging="180"/>
              <w:rPr>
                <w:rFonts w:cs="Calibri"/>
                <w:sz w:val="20"/>
                <w:szCs w:val="20"/>
              </w:rPr>
            </w:pPr>
            <w:r w:rsidRPr="00D30847">
              <w:rPr>
                <w:rFonts w:cs="Calibri"/>
                <w:sz w:val="20"/>
                <w:szCs w:val="20"/>
              </w:rPr>
              <w:t>Funding cannot be planned at the moment</w:t>
            </w:r>
          </w:p>
        </w:tc>
      </w:tr>
      <w:tr w:rsidR="00EA4DEC" w:rsidRPr="00D30847" w14:paraId="6406C3B5" w14:textId="77777777" w:rsidTr="00686BBE">
        <w:trPr>
          <w:trHeight w:val="532"/>
        </w:trPr>
        <w:tc>
          <w:tcPr>
            <w:tcW w:w="2518" w:type="dxa"/>
            <w:tcBorders>
              <w:top w:val="single" w:sz="4" w:space="0" w:color="FFFFFF"/>
              <w:bottom w:val="single" w:sz="4" w:space="0" w:color="FFFFFF"/>
            </w:tcBorders>
            <w:shd w:val="clear" w:color="auto" w:fill="002060"/>
          </w:tcPr>
          <w:p w14:paraId="29136227" w14:textId="77777777" w:rsidR="00EA4DEC" w:rsidRPr="00D30847" w:rsidRDefault="00EA4DEC" w:rsidP="00EA4DEC">
            <w:pPr>
              <w:spacing w:line="240" w:lineRule="auto"/>
              <w:jc w:val="both"/>
              <w:rPr>
                <w:rFonts w:cs="Calibri"/>
                <w:b/>
                <w:color w:val="FFFFFF"/>
                <w:sz w:val="20"/>
                <w:szCs w:val="20"/>
                <w:lang w:val="en-GB"/>
              </w:rPr>
            </w:pPr>
            <w:r w:rsidRPr="00D30847">
              <w:rPr>
                <w:rFonts w:cs="Calibri"/>
                <w:b/>
                <w:color w:val="FFFFFF"/>
                <w:sz w:val="20"/>
                <w:szCs w:val="20"/>
                <w:lang w:val="en-GB"/>
              </w:rPr>
              <w:t xml:space="preserve">Responsible entity: </w:t>
            </w:r>
          </w:p>
        </w:tc>
        <w:tc>
          <w:tcPr>
            <w:tcW w:w="6246" w:type="dxa"/>
            <w:tcBorders>
              <w:top w:val="single" w:sz="4" w:space="0" w:color="FFFFFF"/>
              <w:bottom w:val="single" w:sz="4" w:space="0" w:color="FFFFFF"/>
            </w:tcBorders>
            <w:shd w:val="clear" w:color="auto" w:fill="D9E2F3"/>
          </w:tcPr>
          <w:p w14:paraId="67A9469C" w14:textId="77777777" w:rsidR="00EA4DEC" w:rsidRPr="00D30847" w:rsidRDefault="00EA4DEC" w:rsidP="00AD2AD5">
            <w:pPr>
              <w:pStyle w:val="ListParagraph"/>
              <w:numPr>
                <w:ilvl w:val="0"/>
                <w:numId w:val="34"/>
              </w:numPr>
              <w:spacing w:line="240" w:lineRule="auto"/>
              <w:ind w:left="250" w:hanging="180"/>
              <w:rPr>
                <w:rFonts w:cs="Calibri"/>
                <w:sz w:val="20"/>
                <w:szCs w:val="20"/>
              </w:rPr>
            </w:pPr>
            <w:r w:rsidRPr="00D30847">
              <w:rPr>
                <w:rFonts w:cs="Calibri"/>
                <w:sz w:val="20"/>
                <w:szCs w:val="20"/>
              </w:rPr>
              <w:t>Customs administration</w:t>
            </w:r>
          </w:p>
        </w:tc>
      </w:tr>
      <w:tr w:rsidR="00EA4DEC" w:rsidRPr="00D30847" w14:paraId="55DBCA92" w14:textId="77777777" w:rsidTr="00686BBE">
        <w:tc>
          <w:tcPr>
            <w:tcW w:w="2518" w:type="dxa"/>
            <w:tcBorders>
              <w:top w:val="single" w:sz="4" w:space="0" w:color="FFFFFF"/>
              <w:bottom w:val="nil"/>
            </w:tcBorders>
            <w:shd w:val="clear" w:color="auto" w:fill="002060"/>
          </w:tcPr>
          <w:p w14:paraId="728EEC50" w14:textId="77777777" w:rsidR="00EA4DEC" w:rsidRPr="00D30847" w:rsidRDefault="00EA4DEC" w:rsidP="00EA4DEC">
            <w:pPr>
              <w:tabs>
                <w:tab w:val="right" w:pos="2302"/>
              </w:tabs>
              <w:spacing w:line="240" w:lineRule="auto"/>
              <w:jc w:val="both"/>
              <w:rPr>
                <w:rFonts w:cs="Calibri"/>
                <w:b/>
                <w:color w:val="FFFFFF"/>
                <w:sz w:val="20"/>
                <w:szCs w:val="20"/>
                <w:lang w:val="en-GB"/>
              </w:rPr>
            </w:pPr>
            <w:r w:rsidRPr="00D30847">
              <w:rPr>
                <w:rFonts w:cs="Calibri"/>
                <w:b/>
                <w:color w:val="FFFFFF"/>
                <w:sz w:val="20"/>
                <w:szCs w:val="20"/>
                <w:lang w:val="en-GB"/>
              </w:rPr>
              <w:t>Risk:</w:t>
            </w:r>
            <w:r w:rsidRPr="00D30847">
              <w:rPr>
                <w:rFonts w:cs="Calibri"/>
                <w:b/>
                <w:color w:val="FFFFFF"/>
                <w:sz w:val="20"/>
                <w:szCs w:val="20"/>
                <w:lang w:val="en-GB"/>
              </w:rPr>
              <w:tab/>
            </w:r>
          </w:p>
        </w:tc>
        <w:tc>
          <w:tcPr>
            <w:tcW w:w="6246" w:type="dxa"/>
            <w:tcBorders>
              <w:top w:val="single" w:sz="4" w:space="0" w:color="FFFFFF"/>
              <w:bottom w:val="nil"/>
            </w:tcBorders>
            <w:shd w:val="clear" w:color="auto" w:fill="D9E2F3"/>
          </w:tcPr>
          <w:p w14:paraId="700CB90A" w14:textId="77777777" w:rsidR="00EA4DEC" w:rsidRPr="00D30847" w:rsidRDefault="00EA4DEC" w:rsidP="00AD2AD5">
            <w:pPr>
              <w:pStyle w:val="ListParagraph"/>
              <w:numPr>
                <w:ilvl w:val="0"/>
                <w:numId w:val="34"/>
              </w:numPr>
              <w:spacing w:after="0" w:line="240" w:lineRule="auto"/>
              <w:ind w:left="250" w:hanging="180"/>
              <w:rPr>
                <w:rFonts w:cs="Calibri"/>
                <w:sz w:val="20"/>
                <w:szCs w:val="20"/>
              </w:rPr>
            </w:pPr>
            <w:r w:rsidRPr="00D30847">
              <w:rPr>
                <w:rFonts w:cs="Calibri"/>
                <w:sz w:val="20"/>
                <w:szCs w:val="20"/>
              </w:rPr>
              <w:t>Resistance of economic operators due to large financial investments and request for a transitional period</w:t>
            </w:r>
          </w:p>
          <w:p w14:paraId="332397C4" w14:textId="77777777" w:rsidR="00EA4DEC" w:rsidRPr="00D30847" w:rsidRDefault="00EA4DEC" w:rsidP="00AD2AD5">
            <w:pPr>
              <w:pStyle w:val="ListParagraph"/>
              <w:numPr>
                <w:ilvl w:val="0"/>
                <w:numId w:val="34"/>
              </w:numPr>
              <w:spacing w:after="0" w:line="240" w:lineRule="auto"/>
              <w:ind w:left="250" w:hanging="200"/>
              <w:rPr>
                <w:rFonts w:cs="Calibri"/>
                <w:sz w:val="20"/>
                <w:szCs w:val="20"/>
              </w:rPr>
            </w:pPr>
            <w:r w:rsidRPr="00D30847">
              <w:rPr>
                <w:rFonts w:cs="Calibri"/>
                <w:sz w:val="20"/>
                <w:szCs w:val="20"/>
              </w:rPr>
              <w:t>Uncertainty of the duration of the process of providing necessary prerequisites for implementation (choice of code issuer, secondary depository)</w:t>
            </w:r>
          </w:p>
          <w:p w14:paraId="7781F9AA" w14:textId="77777777" w:rsidR="00EA4DEC" w:rsidRPr="00D30847" w:rsidRDefault="00EA4DEC" w:rsidP="00AD2AD5">
            <w:pPr>
              <w:pStyle w:val="ListParagraph"/>
              <w:numPr>
                <w:ilvl w:val="0"/>
                <w:numId w:val="34"/>
              </w:numPr>
              <w:spacing w:after="0" w:line="240" w:lineRule="auto"/>
              <w:ind w:left="250" w:hanging="200"/>
              <w:rPr>
                <w:rFonts w:cs="Calibri"/>
                <w:sz w:val="20"/>
                <w:szCs w:val="20"/>
              </w:rPr>
            </w:pPr>
            <w:r w:rsidRPr="00D30847">
              <w:rPr>
                <w:rFonts w:cs="Calibri"/>
                <w:sz w:val="20"/>
                <w:szCs w:val="20"/>
              </w:rPr>
              <w:t>Lack of organizational experience in the operation of such a system</w:t>
            </w:r>
          </w:p>
          <w:p w14:paraId="5053E931" w14:textId="77777777" w:rsidR="00EA4DEC" w:rsidRPr="00D30847" w:rsidRDefault="00EA4DEC" w:rsidP="00AD2AD5">
            <w:pPr>
              <w:pStyle w:val="ListParagraph"/>
              <w:numPr>
                <w:ilvl w:val="0"/>
                <w:numId w:val="34"/>
              </w:numPr>
              <w:spacing w:after="0" w:line="240" w:lineRule="auto"/>
              <w:ind w:left="250" w:hanging="180"/>
              <w:rPr>
                <w:rFonts w:cs="Calibri"/>
                <w:sz w:val="20"/>
                <w:szCs w:val="20"/>
              </w:rPr>
            </w:pPr>
            <w:r w:rsidRPr="00D30847">
              <w:rPr>
                <w:rFonts w:cs="Calibri"/>
                <w:sz w:val="20"/>
                <w:szCs w:val="20"/>
              </w:rPr>
              <w:t>Unpredictability of the system testing process</w:t>
            </w:r>
          </w:p>
          <w:p w14:paraId="3E25CF26" w14:textId="77777777" w:rsidR="00EA4DEC" w:rsidRPr="00D30847" w:rsidRDefault="00EA4DEC" w:rsidP="00EA4DEC">
            <w:pPr>
              <w:spacing w:after="0" w:line="240" w:lineRule="auto"/>
              <w:ind w:left="183" w:hanging="200"/>
              <w:jc w:val="both"/>
              <w:rPr>
                <w:rFonts w:cs="Calibri"/>
                <w:sz w:val="20"/>
                <w:szCs w:val="20"/>
                <w:lang w:val="en-GB"/>
              </w:rPr>
            </w:pPr>
            <w:r w:rsidRPr="00D30847">
              <w:rPr>
                <w:rFonts w:cs="Calibri"/>
                <w:sz w:val="20"/>
                <w:szCs w:val="20"/>
                <w:lang w:val="en-GB"/>
              </w:rPr>
              <w:t xml:space="preserve">      (mandatory trial period)</w:t>
            </w:r>
          </w:p>
          <w:p w14:paraId="4B88B02F" w14:textId="77777777" w:rsidR="00EA4DEC" w:rsidRPr="00D30847" w:rsidRDefault="00EA4DEC" w:rsidP="00AD2AD5">
            <w:pPr>
              <w:pStyle w:val="ListParagraph"/>
              <w:numPr>
                <w:ilvl w:val="0"/>
                <w:numId w:val="34"/>
              </w:numPr>
              <w:spacing w:after="0" w:line="240" w:lineRule="auto"/>
              <w:ind w:left="250" w:hanging="250"/>
              <w:rPr>
                <w:rFonts w:cs="Calibri"/>
                <w:sz w:val="20"/>
                <w:szCs w:val="20"/>
              </w:rPr>
            </w:pPr>
            <w:r w:rsidRPr="00D30847">
              <w:rPr>
                <w:rFonts w:cs="Calibri"/>
                <w:sz w:val="20"/>
                <w:szCs w:val="20"/>
              </w:rPr>
              <w:t>Risk of problems when harmonizing the Track &amp; Trace system with the existing customs electronic system</w:t>
            </w:r>
          </w:p>
        </w:tc>
      </w:tr>
      <w:bookmarkEnd w:id="32"/>
    </w:tbl>
    <w:p w14:paraId="78780D23" w14:textId="77777777" w:rsidR="00EA4DEC" w:rsidRPr="00D30847" w:rsidRDefault="00EA4DEC" w:rsidP="00EA4DEC">
      <w:pPr>
        <w:spacing w:line="240" w:lineRule="auto"/>
        <w:jc w:val="both"/>
        <w:rPr>
          <w:rFonts w:cs="Calibri"/>
          <w:lang w:val="en-GB"/>
        </w:rPr>
      </w:pPr>
    </w:p>
    <w:p w14:paraId="4F54AFA1" w14:textId="61064A0F" w:rsidR="00436B95" w:rsidRPr="00D30847" w:rsidRDefault="000874D8" w:rsidP="006C526B">
      <w:pPr>
        <w:pStyle w:val="Heading1"/>
        <w:spacing w:line="240" w:lineRule="auto"/>
        <w:jc w:val="both"/>
        <w:rPr>
          <w:rFonts w:ascii="Calibri" w:eastAsia="MS PGothic" w:hAnsi="Calibri" w:cs="Calibri"/>
          <w:color w:val="2F5496"/>
          <w:lang w:val="en-GB" w:eastAsia="zh-CN"/>
        </w:rPr>
      </w:pPr>
      <w:r w:rsidRPr="00D30847">
        <w:rPr>
          <w:rFonts w:ascii="Calibri" w:eastAsia="MS PGothic" w:hAnsi="Calibri" w:cs="Calibri"/>
          <w:color w:val="2F5496"/>
          <w:sz w:val="36"/>
          <w:szCs w:val="36"/>
          <w:lang w:val="en-GB" w:eastAsia="zh-CN"/>
        </w:rPr>
        <w:br w:type="page"/>
      </w:r>
      <w:bookmarkStart w:id="33" w:name="_Toc187841807"/>
      <w:r w:rsidR="00376718" w:rsidRPr="00D30847">
        <w:rPr>
          <w:rFonts w:ascii="Calibri" w:eastAsia="MS PGothic" w:hAnsi="Calibri" w:cs="Calibri"/>
          <w:color w:val="2F5496"/>
          <w:lang w:val="en-GB" w:eastAsia="zh-CN"/>
        </w:rPr>
        <w:lastRenderedPageBreak/>
        <w:t>PILLAR III: Planning and Budget</w:t>
      </w:r>
      <w:bookmarkEnd w:id="33"/>
    </w:p>
    <w:p w14:paraId="5FE4D07B" w14:textId="007FD980" w:rsidR="00D144DD" w:rsidRPr="00D30847" w:rsidRDefault="00D4719C" w:rsidP="00D144DD">
      <w:pPr>
        <w:spacing w:line="240" w:lineRule="auto"/>
        <w:jc w:val="both"/>
        <w:rPr>
          <w:rFonts w:eastAsia="MS PGothic"/>
          <w:color w:val="4F81BD"/>
          <w:lang w:val="en-GB" w:eastAsia="zh-CN"/>
        </w:rPr>
      </w:pPr>
      <w:r w:rsidRPr="00D30847">
        <w:rPr>
          <w:rFonts w:eastAsia="MS PGothic"/>
          <w:b/>
          <w:bCs/>
          <w:color w:val="4F81BD"/>
          <w:lang w:val="en-GB" w:eastAsia="zh-CN"/>
        </w:rPr>
        <w:t>Introduction</w:t>
      </w:r>
    </w:p>
    <w:p w14:paraId="16BE9269" w14:textId="77777777" w:rsidR="001725EB" w:rsidRPr="00D30847" w:rsidRDefault="001725EB" w:rsidP="001725EB">
      <w:pPr>
        <w:widowControl w:val="0"/>
        <w:suppressAutoHyphens/>
        <w:snapToGrid w:val="0"/>
        <w:spacing w:after="120" w:line="240" w:lineRule="auto"/>
        <w:jc w:val="both"/>
        <w:rPr>
          <w:rFonts w:cs="Calibri"/>
          <w:lang w:val="en-GB"/>
        </w:rPr>
      </w:pPr>
      <w:r w:rsidRPr="00D30847">
        <w:rPr>
          <w:rFonts w:cs="Calibri"/>
          <w:lang w:val="en-GB"/>
        </w:rPr>
        <w:t xml:space="preserve">The new Budget Law is an extremely important, systemic and reform law. </w:t>
      </w:r>
    </w:p>
    <w:p w14:paraId="167E1D30" w14:textId="77777777" w:rsidR="002E67EB" w:rsidRPr="00D30847" w:rsidRDefault="002E67EB" w:rsidP="002E67EB">
      <w:pPr>
        <w:widowControl w:val="0"/>
        <w:suppressAutoHyphens/>
        <w:snapToGrid w:val="0"/>
        <w:spacing w:after="120" w:line="240" w:lineRule="auto"/>
        <w:jc w:val="both"/>
        <w:rPr>
          <w:rFonts w:cs="Calibri"/>
          <w:lang w:val="en-GB"/>
        </w:rPr>
      </w:pPr>
      <w:r w:rsidRPr="00D30847">
        <w:rPr>
          <w:rFonts w:cs="Calibri"/>
          <w:lang w:val="en-GB"/>
        </w:rPr>
        <w:t xml:space="preserve">The budget is one of the most important instruments of economic policy for any Government and state, but on the other hand of equal importance is the systemic budget law that defines the procedures for preparation and adoption of the Budget. </w:t>
      </w:r>
    </w:p>
    <w:p w14:paraId="4DAC704C" w14:textId="77777777" w:rsidR="002E67EB" w:rsidRPr="00D30847" w:rsidRDefault="002E67EB" w:rsidP="002E67EB">
      <w:pPr>
        <w:widowControl w:val="0"/>
        <w:suppressAutoHyphens/>
        <w:snapToGrid w:val="0"/>
        <w:spacing w:after="120" w:line="240" w:lineRule="auto"/>
        <w:jc w:val="both"/>
        <w:rPr>
          <w:rFonts w:cs="Calibri"/>
          <w:lang w:val="en-GB"/>
        </w:rPr>
      </w:pPr>
      <w:r w:rsidRPr="00D30847">
        <w:rPr>
          <w:rFonts w:cs="Calibri"/>
          <w:lang w:val="en-GB"/>
        </w:rPr>
        <w:t>In the current Law on Budgets from 2005, with several additional amendments and clarifications, it regulates the procedures for preparation, adoption, execution of the Budget of the Republic of North Macedonia and the budgets of the local self-government units and the City of Skopje, as well as reporting on execution of the budget.</w:t>
      </w:r>
    </w:p>
    <w:p w14:paraId="08D00D25" w14:textId="77777777" w:rsidR="002E67EB" w:rsidRPr="00D30847" w:rsidRDefault="002E67EB" w:rsidP="002E67EB">
      <w:pPr>
        <w:widowControl w:val="0"/>
        <w:suppressAutoHyphens/>
        <w:snapToGrid w:val="0"/>
        <w:spacing w:after="120" w:line="240" w:lineRule="auto"/>
        <w:jc w:val="both"/>
        <w:rPr>
          <w:rFonts w:cs="Calibri"/>
          <w:lang w:val="en-GB"/>
        </w:rPr>
      </w:pPr>
      <w:r w:rsidRPr="00D30847">
        <w:rPr>
          <w:rFonts w:cs="Calibri"/>
          <w:lang w:val="en-GB"/>
        </w:rPr>
        <w:t xml:space="preserve">However, new trends, recommendations and directives require new solutions for public financial management in accordance with the recommendations of international institutions and European Union directives. For the above reasons, the Ministry of Finance saw the need to draft a completely new law. </w:t>
      </w:r>
    </w:p>
    <w:p w14:paraId="3094EE8D" w14:textId="7A57C95F" w:rsidR="002E67EB" w:rsidRPr="00D30847" w:rsidRDefault="002E67EB" w:rsidP="002E67EB">
      <w:pPr>
        <w:spacing w:after="160" w:line="259" w:lineRule="auto"/>
        <w:jc w:val="both"/>
        <w:rPr>
          <w:lang w:val="en-GB"/>
        </w:rPr>
      </w:pPr>
      <w:r w:rsidRPr="00D30847">
        <w:rPr>
          <w:lang w:val="en-GB"/>
        </w:rPr>
        <w:t xml:space="preserve">In direction of ensuring better financial reporting through the establishment of new accounting practices, also it is necessary to determine a strategic direction for the development of new accounting practices. </w:t>
      </w:r>
      <w:r w:rsidR="008F391C" w:rsidRPr="00D30847">
        <w:rPr>
          <w:lang w:val="en-GB"/>
        </w:rPr>
        <w:t>The</w:t>
      </w:r>
      <w:r w:rsidRPr="00D30847">
        <w:rPr>
          <w:lang w:val="en-GB"/>
        </w:rPr>
        <w:t xml:space="preserve"> development of new accounting practices also imposes the need to develop the capacity of the accounting profession in the public sector.</w:t>
      </w:r>
    </w:p>
    <w:p w14:paraId="10216243" w14:textId="4829B763" w:rsidR="002E67EB" w:rsidRPr="00D30847" w:rsidRDefault="00D30847" w:rsidP="002E67EB">
      <w:pPr>
        <w:widowControl w:val="0"/>
        <w:suppressAutoHyphens/>
        <w:snapToGrid w:val="0"/>
        <w:spacing w:after="120" w:line="240" w:lineRule="auto"/>
        <w:jc w:val="both"/>
        <w:rPr>
          <w:rFonts w:cs="Calibri"/>
          <w:lang w:val="en-GB"/>
        </w:rPr>
      </w:pPr>
      <w:r w:rsidRPr="00D30847">
        <w:rPr>
          <w:rFonts w:cs="Calibri"/>
          <w:lang w:val="en-GB"/>
        </w:rPr>
        <w:t>Three priorities</w:t>
      </w:r>
      <w:r w:rsidR="002E67EB" w:rsidRPr="00D30847">
        <w:rPr>
          <w:rFonts w:cs="Calibri"/>
          <w:lang w:val="en-GB"/>
        </w:rPr>
        <w:t xml:space="preserve"> are distinguished in this pillar:</w:t>
      </w:r>
    </w:p>
    <w:p w14:paraId="6BC35AF6" w14:textId="77777777" w:rsidR="002E67EB" w:rsidRPr="00AC5DE9" w:rsidRDefault="002E67EB" w:rsidP="00AD2AD5">
      <w:pPr>
        <w:widowControl w:val="0"/>
        <w:numPr>
          <w:ilvl w:val="0"/>
          <w:numId w:val="55"/>
        </w:numPr>
        <w:suppressAutoHyphens/>
        <w:snapToGrid w:val="0"/>
        <w:spacing w:after="120" w:line="240" w:lineRule="auto"/>
        <w:jc w:val="both"/>
        <w:rPr>
          <w:rFonts w:cs="Calibri"/>
          <w:b/>
          <w:lang w:val="en-GB"/>
        </w:rPr>
      </w:pPr>
      <w:r w:rsidRPr="00AC5DE9">
        <w:rPr>
          <w:rFonts w:cs="Calibri"/>
          <w:b/>
          <w:color w:val="2C2825"/>
          <w:shd w:val="clear" w:color="auto" w:fill="FFFFFF"/>
          <w:lang w:val="en-GB"/>
        </w:rPr>
        <w:t xml:space="preserve">Priority 1: </w:t>
      </w:r>
      <w:r w:rsidRPr="00AC5DE9">
        <w:rPr>
          <w:rFonts w:cs="Calibri"/>
          <w:b/>
          <w:lang w:val="en-GB"/>
        </w:rPr>
        <w:t xml:space="preserve">Budget Planning </w:t>
      </w:r>
    </w:p>
    <w:p w14:paraId="4085792B" w14:textId="77777777" w:rsidR="002E67EB" w:rsidRPr="00AC5DE9" w:rsidRDefault="002E67EB" w:rsidP="00AD2AD5">
      <w:pPr>
        <w:widowControl w:val="0"/>
        <w:numPr>
          <w:ilvl w:val="0"/>
          <w:numId w:val="55"/>
        </w:numPr>
        <w:suppressAutoHyphens/>
        <w:snapToGrid w:val="0"/>
        <w:spacing w:after="120" w:line="240" w:lineRule="auto"/>
        <w:jc w:val="both"/>
        <w:rPr>
          <w:rFonts w:cs="Calibri"/>
          <w:b/>
          <w:lang w:val="en-GB"/>
        </w:rPr>
      </w:pPr>
      <w:r w:rsidRPr="00AC5DE9">
        <w:rPr>
          <w:rFonts w:cs="Calibri"/>
          <w:b/>
          <w:shd w:val="clear" w:color="auto" w:fill="FFFFFF"/>
          <w:lang w:val="en-GB"/>
        </w:rPr>
        <w:t xml:space="preserve">Priority 2: </w:t>
      </w:r>
      <w:r w:rsidRPr="00AC5DE9">
        <w:rPr>
          <w:rFonts w:cs="Calibri"/>
          <w:b/>
          <w:lang w:val="en-GB"/>
        </w:rPr>
        <w:t xml:space="preserve">Strengthened Public Investment Management </w:t>
      </w:r>
    </w:p>
    <w:p w14:paraId="21EF084A" w14:textId="78AC2CEA" w:rsidR="00907ACD" w:rsidRPr="00AC5DE9" w:rsidRDefault="002E67EB" w:rsidP="00907ACD">
      <w:pPr>
        <w:numPr>
          <w:ilvl w:val="0"/>
          <w:numId w:val="55"/>
        </w:numPr>
        <w:rPr>
          <w:rFonts w:cs="Calibri"/>
          <w:b/>
          <w:lang w:val="en-GB"/>
        </w:rPr>
      </w:pPr>
      <w:r w:rsidRPr="00AC5DE9">
        <w:rPr>
          <w:rFonts w:cs="Calibri"/>
          <w:b/>
          <w:lang w:val="en-GB"/>
        </w:rPr>
        <w:t>Priority 3: Strengthen the accounting of budgets and budget users</w:t>
      </w:r>
    </w:p>
    <w:p w14:paraId="3AE61691" w14:textId="6A1DCE4E" w:rsidR="00907ACD" w:rsidRPr="00AC5DE9" w:rsidRDefault="00907ACD" w:rsidP="00907ACD">
      <w:pPr>
        <w:numPr>
          <w:ilvl w:val="0"/>
          <w:numId w:val="55"/>
        </w:numPr>
        <w:rPr>
          <w:rFonts w:cs="Calibri"/>
          <w:b/>
          <w:lang w:val="en-GB"/>
        </w:rPr>
      </w:pPr>
      <w:r w:rsidRPr="00AC5DE9">
        <w:rPr>
          <w:rFonts w:cs="Calibri"/>
          <w:b/>
          <w:lang w:val="en-GB"/>
        </w:rPr>
        <w:t>Priority 4: Public finance management at local level</w:t>
      </w:r>
    </w:p>
    <w:p w14:paraId="333338DA" w14:textId="45616333" w:rsidR="00D67B41" w:rsidRPr="00D30847" w:rsidRDefault="00D67B41" w:rsidP="00436B95">
      <w:pPr>
        <w:widowControl w:val="0"/>
        <w:suppressAutoHyphens/>
        <w:snapToGrid w:val="0"/>
        <w:spacing w:before="240" w:after="120" w:line="240" w:lineRule="auto"/>
        <w:jc w:val="both"/>
        <w:rPr>
          <w:rFonts w:cs="Calibri"/>
          <w:b/>
          <w:lang w:val="en-GB"/>
        </w:rPr>
      </w:pPr>
      <w:r w:rsidRPr="00D30847">
        <w:rPr>
          <w:rFonts w:cs="Calibri"/>
          <w:b/>
          <w:color w:val="2C2825"/>
          <w:shd w:val="clear" w:color="auto" w:fill="FFFFFF"/>
          <w:lang w:val="en-GB"/>
        </w:rPr>
        <w:t xml:space="preserve">Priority 1: </w:t>
      </w:r>
      <w:r w:rsidRPr="00D30847">
        <w:rPr>
          <w:rFonts w:cs="Calibri"/>
          <w:b/>
          <w:lang w:val="en-GB"/>
        </w:rPr>
        <w:t>Budget</w:t>
      </w:r>
      <w:r w:rsidR="002E67EB" w:rsidRPr="00D30847">
        <w:rPr>
          <w:rFonts w:cs="Calibri"/>
          <w:b/>
          <w:lang w:val="en-GB"/>
        </w:rPr>
        <w:t xml:space="preserve"> </w:t>
      </w:r>
      <w:r w:rsidRPr="00D30847">
        <w:rPr>
          <w:rFonts w:cs="Calibri"/>
          <w:b/>
          <w:lang w:val="en-GB"/>
        </w:rPr>
        <w:t>Planning</w:t>
      </w:r>
    </w:p>
    <w:p w14:paraId="1B518450" w14:textId="77777777" w:rsidR="00C45195" w:rsidRPr="00D30847" w:rsidRDefault="00C45195" w:rsidP="00436B95">
      <w:pPr>
        <w:widowControl w:val="0"/>
        <w:suppressAutoHyphens/>
        <w:snapToGrid w:val="0"/>
        <w:spacing w:before="240" w:after="120" w:line="240" w:lineRule="auto"/>
        <w:jc w:val="both"/>
        <w:rPr>
          <w:rFonts w:cs="Calibri"/>
          <w:lang w:val="en-GB"/>
        </w:rPr>
      </w:pPr>
      <w:r w:rsidRPr="00D30847">
        <w:rPr>
          <w:rFonts w:cs="Calibri"/>
          <w:lang w:val="en-GB"/>
        </w:rPr>
        <w:t xml:space="preserve">Improving public finance management and strengthening medium-term budgeting is one of the highest priorities. </w:t>
      </w:r>
    </w:p>
    <w:p w14:paraId="214DAE6E" w14:textId="77777777" w:rsidR="00C45195" w:rsidRPr="00D30847" w:rsidRDefault="00C45195" w:rsidP="00C45195">
      <w:pPr>
        <w:widowControl w:val="0"/>
        <w:suppressAutoHyphens/>
        <w:snapToGrid w:val="0"/>
        <w:spacing w:after="120" w:line="240" w:lineRule="auto"/>
        <w:jc w:val="both"/>
        <w:rPr>
          <w:rFonts w:cs="Calibri"/>
          <w:lang w:val="en-GB"/>
        </w:rPr>
      </w:pPr>
      <w:r w:rsidRPr="00D30847">
        <w:rPr>
          <w:rFonts w:cs="Calibri"/>
          <w:lang w:val="en-GB"/>
        </w:rPr>
        <w:t>The new Budget Law is extremely important, establishing fiscal rules and the formation of a Fiscal Council for greater control, medium-term budgeting and the establishment of an integrated information system for public finance management for the purpose of better planning and creating a registry of public entities and increasing transparency.</w:t>
      </w:r>
    </w:p>
    <w:p w14:paraId="3D6FB500" w14:textId="77777777" w:rsidR="002E67EB" w:rsidRPr="00D30847" w:rsidRDefault="002E67EB" w:rsidP="002E67EB">
      <w:pPr>
        <w:widowControl w:val="0"/>
        <w:suppressAutoHyphens/>
        <w:snapToGrid w:val="0"/>
        <w:spacing w:after="120" w:line="240" w:lineRule="auto"/>
        <w:jc w:val="both"/>
        <w:rPr>
          <w:rFonts w:cs="Calibri"/>
          <w:lang w:val="en-GB"/>
        </w:rPr>
      </w:pPr>
      <w:r w:rsidRPr="00D30847">
        <w:rPr>
          <w:rFonts w:cs="Calibri"/>
          <w:lang w:val="en-GB"/>
        </w:rPr>
        <w:t xml:space="preserve">The proposed law contains provisions regarding: </w:t>
      </w:r>
    </w:p>
    <w:p w14:paraId="719C4F49" w14:textId="0488C29B" w:rsidR="002E67EB" w:rsidRPr="00D30847" w:rsidRDefault="00465A9A" w:rsidP="00AD2AD5">
      <w:pPr>
        <w:widowControl w:val="0"/>
        <w:numPr>
          <w:ilvl w:val="0"/>
          <w:numId w:val="45"/>
        </w:numPr>
        <w:suppressAutoHyphens/>
        <w:snapToGrid w:val="0"/>
        <w:spacing w:after="0" w:line="240" w:lineRule="auto"/>
        <w:ind w:left="709"/>
        <w:jc w:val="both"/>
        <w:rPr>
          <w:rFonts w:cs="Calibri"/>
          <w:lang w:val="en-GB"/>
        </w:rPr>
      </w:pPr>
      <w:r w:rsidRPr="00D30847">
        <w:rPr>
          <w:rFonts w:cs="Calibri"/>
          <w:lang w:val="en-GB"/>
        </w:rPr>
        <w:t>p</w:t>
      </w:r>
      <w:r w:rsidR="002E67EB" w:rsidRPr="00D30847">
        <w:rPr>
          <w:rFonts w:cs="Calibri"/>
          <w:lang w:val="en-GB"/>
        </w:rPr>
        <w:t xml:space="preserve">ublishing a register of public entities, which will group the public entities of the country into: budget users, public enterprises and other public entities; </w:t>
      </w:r>
    </w:p>
    <w:p w14:paraId="149A951D" w14:textId="77777777" w:rsidR="002E67EB" w:rsidRPr="00D30847" w:rsidRDefault="002E67EB" w:rsidP="00AD2AD5">
      <w:pPr>
        <w:widowControl w:val="0"/>
        <w:numPr>
          <w:ilvl w:val="0"/>
          <w:numId w:val="45"/>
        </w:numPr>
        <w:suppressAutoHyphens/>
        <w:snapToGrid w:val="0"/>
        <w:spacing w:after="0" w:line="240" w:lineRule="auto"/>
        <w:ind w:left="709"/>
        <w:jc w:val="both"/>
        <w:rPr>
          <w:rFonts w:cs="Calibri"/>
          <w:lang w:val="en-GB"/>
        </w:rPr>
      </w:pPr>
      <w:r w:rsidRPr="00D30847">
        <w:rPr>
          <w:rFonts w:cs="Calibri"/>
          <w:lang w:val="en-GB"/>
        </w:rPr>
        <w:t xml:space="preserve">preparation of budget classifications; </w:t>
      </w:r>
    </w:p>
    <w:p w14:paraId="09573B1A" w14:textId="77777777" w:rsidR="002E67EB" w:rsidRPr="00D30847" w:rsidRDefault="002E67EB" w:rsidP="00AD2AD5">
      <w:pPr>
        <w:widowControl w:val="0"/>
        <w:numPr>
          <w:ilvl w:val="0"/>
          <w:numId w:val="45"/>
        </w:numPr>
        <w:suppressAutoHyphens/>
        <w:snapToGrid w:val="0"/>
        <w:spacing w:after="0" w:line="240" w:lineRule="auto"/>
        <w:ind w:left="709"/>
        <w:jc w:val="both"/>
        <w:rPr>
          <w:rFonts w:cs="Calibri"/>
          <w:lang w:val="en-GB"/>
        </w:rPr>
      </w:pPr>
      <w:r w:rsidRPr="00D30847">
        <w:rPr>
          <w:rFonts w:cs="Calibri"/>
          <w:lang w:val="en-GB"/>
        </w:rPr>
        <w:t xml:space="preserve">fiscal rules and fiscal principles; </w:t>
      </w:r>
    </w:p>
    <w:p w14:paraId="72830572" w14:textId="77777777" w:rsidR="002E67EB" w:rsidRPr="00D30847" w:rsidRDefault="002E67EB" w:rsidP="00AD2AD5">
      <w:pPr>
        <w:widowControl w:val="0"/>
        <w:numPr>
          <w:ilvl w:val="0"/>
          <w:numId w:val="45"/>
        </w:numPr>
        <w:suppressAutoHyphens/>
        <w:snapToGrid w:val="0"/>
        <w:spacing w:after="0" w:line="240" w:lineRule="auto"/>
        <w:ind w:left="709"/>
        <w:jc w:val="both"/>
        <w:rPr>
          <w:rFonts w:cs="Calibri"/>
          <w:lang w:val="en-GB"/>
        </w:rPr>
      </w:pPr>
      <w:r w:rsidRPr="00D30847">
        <w:rPr>
          <w:rFonts w:cs="Calibri"/>
          <w:lang w:val="en-GB"/>
        </w:rPr>
        <w:t>Establishment of the Fiscal Council, which should provide independent and professional analysis and opinions on macroeconomic and fiscal assumptions, fiscal strategy, budget, budget implementation reports, fiscal risks and the like;</w:t>
      </w:r>
    </w:p>
    <w:p w14:paraId="2774DEAD" w14:textId="77777777" w:rsidR="002E67EB" w:rsidRPr="00D30847" w:rsidRDefault="002E67EB" w:rsidP="00AD2AD5">
      <w:pPr>
        <w:widowControl w:val="0"/>
        <w:numPr>
          <w:ilvl w:val="0"/>
          <w:numId w:val="45"/>
        </w:numPr>
        <w:suppressAutoHyphens/>
        <w:snapToGrid w:val="0"/>
        <w:spacing w:after="0" w:line="240" w:lineRule="auto"/>
        <w:ind w:left="709"/>
        <w:jc w:val="both"/>
        <w:rPr>
          <w:rFonts w:cs="Calibri"/>
          <w:lang w:val="en-GB"/>
        </w:rPr>
      </w:pPr>
      <w:r w:rsidRPr="00D30847">
        <w:rPr>
          <w:rFonts w:cs="Calibri"/>
          <w:lang w:val="en-GB"/>
        </w:rPr>
        <w:t xml:space="preserve">fiscal policy statement, should contain the directions for the fiscal strategy during the mandate of the Government; </w:t>
      </w:r>
    </w:p>
    <w:p w14:paraId="498F5ADA" w14:textId="77777777" w:rsidR="002E67EB" w:rsidRPr="00D30847" w:rsidRDefault="002E67EB" w:rsidP="00AD2AD5">
      <w:pPr>
        <w:widowControl w:val="0"/>
        <w:numPr>
          <w:ilvl w:val="0"/>
          <w:numId w:val="45"/>
        </w:numPr>
        <w:suppressAutoHyphens/>
        <w:snapToGrid w:val="0"/>
        <w:spacing w:after="0" w:line="240" w:lineRule="auto"/>
        <w:ind w:left="709"/>
        <w:jc w:val="both"/>
        <w:rPr>
          <w:rFonts w:cs="Calibri"/>
          <w:lang w:val="en-GB"/>
        </w:rPr>
      </w:pPr>
      <w:r w:rsidRPr="00D30847">
        <w:rPr>
          <w:rFonts w:cs="Calibri"/>
          <w:lang w:val="en-GB"/>
        </w:rPr>
        <w:t xml:space="preserve">improved medium-term budget planning; </w:t>
      </w:r>
    </w:p>
    <w:p w14:paraId="1B9D4C64" w14:textId="77777777" w:rsidR="002E67EB" w:rsidRPr="00D30847" w:rsidRDefault="002E67EB" w:rsidP="00AD2AD5">
      <w:pPr>
        <w:widowControl w:val="0"/>
        <w:numPr>
          <w:ilvl w:val="0"/>
          <w:numId w:val="45"/>
        </w:numPr>
        <w:suppressAutoHyphens/>
        <w:snapToGrid w:val="0"/>
        <w:spacing w:after="0" w:line="240" w:lineRule="auto"/>
        <w:ind w:left="709"/>
        <w:jc w:val="both"/>
        <w:rPr>
          <w:rFonts w:cs="Calibri"/>
          <w:lang w:val="en-GB"/>
        </w:rPr>
      </w:pPr>
      <w:r w:rsidRPr="00D30847">
        <w:rPr>
          <w:rFonts w:cs="Calibri"/>
          <w:lang w:val="en-GB"/>
        </w:rPr>
        <w:t>five-year fiscal strategy;</w:t>
      </w:r>
    </w:p>
    <w:p w14:paraId="7C886115" w14:textId="77777777" w:rsidR="002E67EB" w:rsidRPr="00D30847" w:rsidRDefault="002E67EB" w:rsidP="00AD2AD5">
      <w:pPr>
        <w:widowControl w:val="0"/>
        <w:numPr>
          <w:ilvl w:val="0"/>
          <w:numId w:val="45"/>
        </w:numPr>
        <w:suppressAutoHyphens/>
        <w:snapToGrid w:val="0"/>
        <w:spacing w:after="0" w:line="240" w:lineRule="auto"/>
        <w:ind w:left="709"/>
        <w:jc w:val="both"/>
        <w:rPr>
          <w:rFonts w:cs="Calibri"/>
          <w:lang w:val="en-GB"/>
        </w:rPr>
      </w:pPr>
      <w:r w:rsidRPr="00D30847">
        <w:rPr>
          <w:rFonts w:cs="Calibri"/>
          <w:lang w:val="en-GB"/>
        </w:rPr>
        <w:lastRenderedPageBreak/>
        <w:t xml:space="preserve">improved structure and content of the budget; </w:t>
      </w:r>
    </w:p>
    <w:p w14:paraId="17014AC8" w14:textId="77777777" w:rsidR="002E67EB" w:rsidRPr="00D30847" w:rsidRDefault="002E67EB" w:rsidP="00AD2AD5">
      <w:pPr>
        <w:widowControl w:val="0"/>
        <w:numPr>
          <w:ilvl w:val="0"/>
          <w:numId w:val="45"/>
        </w:numPr>
        <w:suppressAutoHyphens/>
        <w:snapToGrid w:val="0"/>
        <w:spacing w:after="0" w:line="240" w:lineRule="auto"/>
        <w:ind w:left="709"/>
        <w:jc w:val="both"/>
        <w:rPr>
          <w:rFonts w:cs="Calibri"/>
          <w:lang w:val="en-GB"/>
        </w:rPr>
      </w:pPr>
      <w:r w:rsidRPr="00D30847">
        <w:rPr>
          <w:rFonts w:cs="Calibri"/>
          <w:lang w:val="en-GB"/>
        </w:rPr>
        <w:t xml:space="preserve">temporary suspension of execution and rebalance of the budget; </w:t>
      </w:r>
    </w:p>
    <w:p w14:paraId="279EA0B7" w14:textId="77777777" w:rsidR="002E67EB" w:rsidRPr="00D30847" w:rsidRDefault="002E67EB" w:rsidP="00AD2AD5">
      <w:pPr>
        <w:widowControl w:val="0"/>
        <w:numPr>
          <w:ilvl w:val="0"/>
          <w:numId w:val="45"/>
        </w:numPr>
        <w:suppressAutoHyphens/>
        <w:snapToGrid w:val="0"/>
        <w:spacing w:after="0" w:line="240" w:lineRule="auto"/>
        <w:ind w:left="709"/>
        <w:jc w:val="both"/>
        <w:rPr>
          <w:rFonts w:cs="Calibri"/>
          <w:lang w:val="en-GB"/>
        </w:rPr>
      </w:pPr>
      <w:r w:rsidRPr="00D30847">
        <w:rPr>
          <w:rFonts w:cs="Calibri"/>
          <w:lang w:val="en-GB"/>
        </w:rPr>
        <w:t xml:space="preserve">improved management of public financial and non-financial assets; </w:t>
      </w:r>
    </w:p>
    <w:p w14:paraId="0B885FF4" w14:textId="77777777" w:rsidR="002E67EB" w:rsidRPr="00D30847" w:rsidRDefault="002E67EB" w:rsidP="00AD2AD5">
      <w:pPr>
        <w:widowControl w:val="0"/>
        <w:numPr>
          <w:ilvl w:val="0"/>
          <w:numId w:val="45"/>
        </w:numPr>
        <w:suppressAutoHyphens/>
        <w:snapToGrid w:val="0"/>
        <w:spacing w:after="0" w:line="240" w:lineRule="auto"/>
        <w:ind w:left="709"/>
        <w:jc w:val="both"/>
        <w:rPr>
          <w:rFonts w:cs="Calibri"/>
          <w:lang w:val="en-GB"/>
        </w:rPr>
      </w:pPr>
      <w:r w:rsidRPr="00D30847">
        <w:rPr>
          <w:rFonts w:cs="Calibri"/>
          <w:lang w:val="en-GB"/>
        </w:rPr>
        <w:t>borrowing and issuing guarantees;</w:t>
      </w:r>
    </w:p>
    <w:p w14:paraId="09D5D475" w14:textId="77777777" w:rsidR="002E67EB" w:rsidRPr="00D30847" w:rsidRDefault="002E67EB" w:rsidP="00AD2AD5">
      <w:pPr>
        <w:widowControl w:val="0"/>
        <w:numPr>
          <w:ilvl w:val="0"/>
          <w:numId w:val="45"/>
        </w:numPr>
        <w:suppressAutoHyphens/>
        <w:snapToGrid w:val="0"/>
        <w:spacing w:after="0" w:line="240" w:lineRule="auto"/>
        <w:ind w:left="709"/>
        <w:jc w:val="both"/>
        <w:rPr>
          <w:rFonts w:cs="Calibri"/>
          <w:lang w:val="en-GB"/>
        </w:rPr>
      </w:pPr>
      <w:r w:rsidRPr="00D30847">
        <w:rPr>
          <w:rFonts w:cs="Calibri"/>
          <w:lang w:val="en-GB"/>
        </w:rPr>
        <w:t xml:space="preserve">improved transparency by improving the quality and quantity of reports; as well as </w:t>
      </w:r>
    </w:p>
    <w:p w14:paraId="46254608" w14:textId="10AD4817" w:rsidR="00D67B41" w:rsidRDefault="002E67EB" w:rsidP="00AC5DE9">
      <w:pPr>
        <w:widowControl w:val="0"/>
        <w:numPr>
          <w:ilvl w:val="0"/>
          <w:numId w:val="45"/>
        </w:numPr>
        <w:suppressAutoHyphens/>
        <w:snapToGrid w:val="0"/>
        <w:spacing w:after="0" w:line="240" w:lineRule="auto"/>
        <w:ind w:left="709"/>
        <w:jc w:val="both"/>
        <w:rPr>
          <w:rFonts w:cs="Calibri"/>
          <w:lang w:val="en-GB"/>
        </w:rPr>
      </w:pPr>
      <w:r w:rsidRPr="00D30847">
        <w:rPr>
          <w:rFonts w:cs="Calibri"/>
          <w:lang w:val="en-GB"/>
        </w:rPr>
        <w:t>Integrated information system for public financial management - IFMIS.</w:t>
      </w:r>
    </w:p>
    <w:p w14:paraId="62B35F5D" w14:textId="77777777" w:rsidR="00AC5DE9" w:rsidRPr="00AC5DE9" w:rsidRDefault="00AC5DE9" w:rsidP="00AC5DE9">
      <w:pPr>
        <w:widowControl w:val="0"/>
        <w:suppressAutoHyphens/>
        <w:snapToGrid w:val="0"/>
        <w:spacing w:after="0" w:line="240" w:lineRule="auto"/>
        <w:ind w:left="709"/>
        <w:jc w:val="both"/>
        <w:rPr>
          <w:rFonts w:cs="Calibri"/>
          <w:sz w:val="10"/>
          <w:szCs w:val="10"/>
          <w:lang w:val="en-GB"/>
        </w:rPr>
      </w:pPr>
    </w:p>
    <w:p w14:paraId="1EFC76ED" w14:textId="09918FBF" w:rsidR="00D67B41" w:rsidRPr="00D30847" w:rsidRDefault="00D67B41" w:rsidP="00436B95">
      <w:pPr>
        <w:widowControl w:val="0"/>
        <w:suppressAutoHyphens/>
        <w:snapToGrid w:val="0"/>
        <w:spacing w:before="240" w:after="120" w:line="240" w:lineRule="auto"/>
        <w:jc w:val="both"/>
        <w:rPr>
          <w:rFonts w:cs="Calibri"/>
          <w:b/>
          <w:lang w:val="en-GB"/>
        </w:rPr>
      </w:pPr>
      <w:r w:rsidRPr="00D30847">
        <w:rPr>
          <w:rFonts w:cs="Calibri"/>
          <w:b/>
          <w:shd w:val="clear" w:color="auto" w:fill="FFFFFF"/>
          <w:lang w:val="en-GB"/>
        </w:rPr>
        <w:t xml:space="preserve">Priority 2: </w:t>
      </w:r>
      <w:r w:rsidRPr="00D30847">
        <w:rPr>
          <w:rFonts w:cs="Calibri"/>
          <w:b/>
          <w:lang w:val="en-GB"/>
        </w:rPr>
        <w:t>Strengthened</w:t>
      </w:r>
      <w:r w:rsidR="002E67EB" w:rsidRPr="00D30847">
        <w:rPr>
          <w:rFonts w:cs="Calibri"/>
          <w:b/>
          <w:lang w:val="en-GB"/>
        </w:rPr>
        <w:t xml:space="preserve"> </w:t>
      </w:r>
      <w:r w:rsidRPr="00D30847">
        <w:rPr>
          <w:rFonts w:cs="Calibri"/>
          <w:b/>
          <w:lang w:val="en-GB"/>
        </w:rPr>
        <w:t>Public</w:t>
      </w:r>
      <w:r w:rsidR="002E67EB" w:rsidRPr="00D30847">
        <w:rPr>
          <w:rFonts w:cs="Calibri"/>
          <w:b/>
          <w:lang w:val="en-GB"/>
        </w:rPr>
        <w:t xml:space="preserve"> </w:t>
      </w:r>
      <w:r w:rsidRPr="00D30847">
        <w:rPr>
          <w:rFonts w:cs="Calibri"/>
          <w:b/>
          <w:lang w:val="en-GB"/>
        </w:rPr>
        <w:t>Investment</w:t>
      </w:r>
      <w:r w:rsidR="002E67EB" w:rsidRPr="00D30847">
        <w:rPr>
          <w:rFonts w:cs="Calibri"/>
          <w:b/>
          <w:lang w:val="en-GB"/>
        </w:rPr>
        <w:t xml:space="preserve"> </w:t>
      </w:r>
      <w:r w:rsidRPr="00D30847">
        <w:rPr>
          <w:rFonts w:cs="Calibri"/>
          <w:b/>
          <w:lang w:val="en-GB"/>
        </w:rPr>
        <w:t>Management</w:t>
      </w:r>
    </w:p>
    <w:p w14:paraId="566B29A7" w14:textId="790E2DED" w:rsidR="00D67B41" w:rsidRPr="00D30847" w:rsidRDefault="00D67B41" w:rsidP="00436B95">
      <w:pPr>
        <w:spacing w:before="240" w:after="160" w:line="240" w:lineRule="auto"/>
        <w:jc w:val="both"/>
        <w:rPr>
          <w:rFonts w:cs="Calibri"/>
          <w:lang w:val="en-GB"/>
        </w:rPr>
      </w:pPr>
      <w:r w:rsidRPr="00D30847">
        <w:rPr>
          <w:rFonts w:cs="Calibri"/>
          <w:lang w:val="en-GB"/>
        </w:rPr>
        <w:t>For the purpose of</w:t>
      </w:r>
      <w:r w:rsidR="00D4719C" w:rsidRPr="00D30847">
        <w:rPr>
          <w:rFonts w:cs="Calibri"/>
          <w:lang w:val="en-GB"/>
        </w:rPr>
        <w:t xml:space="preserve"> </w:t>
      </w:r>
      <w:r w:rsidRPr="00D30847">
        <w:rPr>
          <w:rFonts w:cs="Calibri"/>
          <w:lang w:val="en-GB"/>
        </w:rPr>
        <w:t>improving the planning, the allocation and the implementation of public infrastructure projects, reforms would be gradually introduced for increasing the efficiency of the public investment management practices, which will:</w:t>
      </w:r>
    </w:p>
    <w:p w14:paraId="6829D76A" w14:textId="77777777" w:rsidR="00D67B41" w:rsidRPr="00D30847" w:rsidRDefault="00D67B41" w:rsidP="00AD2AD5">
      <w:pPr>
        <w:numPr>
          <w:ilvl w:val="0"/>
          <w:numId w:val="6"/>
        </w:numPr>
        <w:spacing w:after="160" w:line="240" w:lineRule="auto"/>
        <w:ind w:left="426" w:hanging="142"/>
        <w:contextualSpacing/>
        <w:jc w:val="both"/>
        <w:rPr>
          <w:rFonts w:eastAsia="MS PGothic" w:cs="Calibri"/>
          <w:lang w:val="en-GB" w:eastAsia="zh-CN"/>
        </w:rPr>
      </w:pPr>
      <w:r w:rsidRPr="00D30847">
        <w:rPr>
          <w:rFonts w:eastAsia="MS PGothic" w:cs="Calibri"/>
          <w:lang w:val="en-GB" w:eastAsia="zh-CN"/>
        </w:rPr>
        <w:t>contribute to greater harmonization of budget allocations with the Government’s investment priorities;</w:t>
      </w:r>
    </w:p>
    <w:p w14:paraId="2839DEFE" w14:textId="50C31AFD" w:rsidR="00D67B41" w:rsidRPr="00D30847" w:rsidRDefault="00D67B41" w:rsidP="00AD2AD5">
      <w:pPr>
        <w:numPr>
          <w:ilvl w:val="0"/>
          <w:numId w:val="6"/>
        </w:numPr>
        <w:spacing w:after="160" w:line="240" w:lineRule="auto"/>
        <w:ind w:left="426" w:hanging="142"/>
        <w:contextualSpacing/>
        <w:jc w:val="both"/>
        <w:rPr>
          <w:rFonts w:eastAsia="MS PGothic" w:cs="Calibri"/>
          <w:lang w:val="en-GB" w:eastAsia="zh-CN"/>
        </w:rPr>
      </w:pPr>
      <w:r w:rsidRPr="00D30847">
        <w:rPr>
          <w:rFonts w:eastAsia="MS PGothic" w:cs="Calibri"/>
          <w:lang w:val="en-GB" w:eastAsia="zh-CN"/>
        </w:rPr>
        <w:t>improve the comprehensiveness of the budget documentation so as to include all public expenditures for capital investments and information on the financial needs of ongoing and new projects;</w:t>
      </w:r>
      <w:r w:rsidR="00D4719C" w:rsidRPr="00D30847">
        <w:rPr>
          <w:rFonts w:eastAsia="MS PGothic" w:cs="Calibri"/>
          <w:lang w:val="en-GB" w:eastAsia="zh-CN"/>
        </w:rPr>
        <w:t xml:space="preserve"> </w:t>
      </w:r>
      <w:r w:rsidRPr="00D30847">
        <w:rPr>
          <w:rFonts w:eastAsia="MS PGothic" w:cs="Calibri"/>
          <w:lang w:val="en-GB" w:eastAsia="zh-CN"/>
        </w:rPr>
        <w:t>and</w:t>
      </w:r>
    </w:p>
    <w:p w14:paraId="4F2C75D0" w14:textId="77777777" w:rsidR="00D67B41" w:rsidRPr="00D30847" w:rsidRDefault="00D67B41" w:rsidP="00436B95">
      <w:pPr>
        <w:numPr>
          <w:ilvl w:val="0"/>
          <w:numId w:val="6"/>
        </w:numPr>
        <w:spacing w:before="240" w:after="160" w:line="240" w:lineRule="auto"/>
        <w:ind w:left="426" w:hanging="142"/>
        <w:jc w:val="both"/>
        <w:rPr>
          <w:rFonts w:eastAsia="MS PGothic" w:cs="Calibri"/>
          <w:lang w:val="en-GB" w:eastAsia="zh-CN"/>
        </w:rPr>
      </w:pPr>
      <w:r w:rsidRPr="00D30847">
        <w:rPr>
          <w:rFonts w:eastAsia="MS PGothic" w:cs="Calibri"/>
          <w:lang w:val="en-GB" w:eastAsia="zh-CN"/>
        </w:rPr>
        <w:t xml:space="preserve">strengthen central oversight of the national public investments portfolio as a whole, including monitoring and management of the overall delivery risks.  </w:t>
      </w:r>
    </w:p>
    <w:p w14:paraId="1FD1B373" w14:textId="77777777" w:rsidR="002E67EB" w:rsidRPr="00D30847" w:rsidRDefault="002E67EB" w:rsidP="00436B95">
      <w:pPr>
        <w:widowControl w:val="0"/>
        <w:suppressAutoHyphens/>
        <w:snapToGrid w:val="0"/>
        <w:spacing w:before="240" w:after="120" w:line="240" w:lineRule="auto"/>
        <w:jc w:val="both"/>
        <w:rPr>
          <w:rFonts w:cs="Calibri"/>
          <w:b/>
          <w:color w:val="2C2825"/>
          <w:shd w:val="clear" w:color="auto" w:fill="FFFFFF"/>
          <w:lang w:val="en-GB"/>
        </w:rPr>
      </w:pPr>
      <w:r w:rsidRPr="00D30847">
        <w:rPr>
          <w:rFonts w:cs="Calibri"/>
          <w:b/>
          <w:color w:val="2C2825"/>
          <w:shd w:val="clear" w:color="auto" w:fill="FFFFFF"/>
          <w:lang w:val="en-GB"/>
        </w:rPr>
        <w:t xml:space="preserve">Priority 3: Strengthen the accounting of budgets and budget users </w:t>
      </w:r>
    </w:p>
    <w:p w14:paraId="3AC81F6B" w14:textId="5BAC4E57" w:rsidR="00BB649C" w:rsidRPr="00D30847" w:rsidRDefault="00BB649C" w:rsidP="00436B95">
      <w:pPr>
        <w:spacing w:before="240" w:line="240" w:lineRule="auto"/>
        <w:jc w:val="both"/>
        <w:rPr>
          <w:rFonts w:cs="Calibri"/>
          <w:lang w:val="en-GB"/>
        </w:rPr>
      </w:pPr>
      <w:r w:rsidRPr="00D30847">
        <w:rPr>
          <w:rFonts w:cs="Calibri"/>
          <w:lang w:val="en-GB"/>
        </w:rPr>
        <w:t>The aim of this Priority is Improving the financial reporting of budgets and budget users through implementation of the regulatory framework for ​​ accounting of budgets and budget users</w:t>
      </w:r>
    </w:p>
    <w:p w14:paraId="53C315B6" w14:textId="77777777" w:rsidR="00907ACD" w:rsidRPr="00D30847" w:rsidRDefault="00907ACD" w:rsidP="00436B95">
      <w:pPr>
        <w:widowControl w:val="0"/>
        <w:suppressAutoHyphens/>
        <w:snapToGrid w:val="0"/>
        <w:spacing w:before="240" w:after="120" w:line="240" w:lineRule="auto"/>
        <w:jc w:val="both"/>
        <w:rPr>
          <w:rFonts w:cs="Calibri"/>
          <w:b/>
          <w:color w:val="2C2825"/>
          <w:shd w:val="clear" w:color="auto" w:fill="FFFFFF"/>
          <w:lang w:val="en-GB"/>
        </w:rPr>
      </w:pPr>
      <w:r w:rsidRPr="00D30847">
        <w:rPr>
          <w:rFonts w:cs="Calibri"/>
          <w:b/>
          <w:color w:val="2C2825"/>
          <w:shd w:val="clear" w:color="auto" w:fill="FFFFFF"/>
          <w:lang w:val="en-GB"/>
        </w:rPr>
        <w:t xml:space="preserve">Priority 4: Public Finance Management at Local Level </w:t>
      </w:r>
    </w:p>
    <w:p w14:paraId="7E24BBA2" w14:textId="77777777" w:rsidR="00907ACD" w:rsidRPr="00D30847" w:rsidRDefault="00907ACD" w:rsidP="00436B95">
      <w:pPr>
        <w:widowControl w:val="0"/>
        <w:suppressAutoHyphens/>
        <w:snapToGrid w:val="0"/>
        <w:spacing w:before="240" w:after="120" w:line="240" w:lineRule="auto"/>
        <w:jc w:val="both"/>
        <w:rPr>
          <w:rFonts w:cs="Calibri"/>
          <w:lang w:val="en-GB"/>
        </w:rPr>
      </w:pPr>
      <w:r w:rsidRPr="00D30847">
        <w:rPr>
          <w:rStyle w:val="rynqvb"/>
          <w:lang w:val="en-GB"/>
        </w:rPr>
        <w:t>The objective of this priority is to strengthen, stabilize and responsibly manage the financial performance of municipalities and strengthen financial discipline, improve transparency and accountability at local level.</w:t>
      </w:r>
      <w:r w:rsidRPr="00D30847">
        <w:rPr>
          <w:rStyle w:val="hwtze"/>
          <w:lang w:val="en-GB"/>
        </w:rPr>
        <w:t xml:space="preserve"> </w:t>
      </w:r>
      <w:r w:rsidRPr="00D30847">
        <w:rPr>
          <w:rStyle w:val="rynqvb"/>
          <w:lang w:val="en-GB"/>
        </w:rPr>
        <w:t>This objective will be achieved by improving the planning of local government budgets, monitoring the transparency of municipalities, and preparing procedures for financial instability of municipalities.</w:t>
      </w:r>
    </w:p>
    <w:p w14:paraId="50E7BD25" w14:textId="77777777" w:rsidR="003C20E4" w:rsidRPr="00D30847" w:rsidRDefault="003C20E4" w:rsidP="00CE2DF4">
      <w:pPr>
        <w:spacing w:before="240" w:after="160" w:line="240" w:lineRule="auto"/>
        <w:ind w:left="720"/>
        <w:jc w:val="both"/>
        <w:rPr>
          <w:rFonts w:cs="Calibri"/>
          <w:color w:val="0070C0"/>
          <w:lang w:val="en-GB"/>
        </w:rPr>
      </w:pPr>
    </w:p>
    <w:p w14:paraId="5C7AD544" w14:textId="77777777" w:rsidR="00376718" w:rsidRPr="00D30847" w:rsidRDefault="00376718" w:rsidP="00E6324F">
      <w:pPr>
        <w:pStyle w:val="Heading1"/>
        <w:rPr>
          <w:rFonts w:ascii="Calibri" w:hAnsi="Calibri" w:cs="Calibri"/>
          <w:color w:val="0070C0"/>
          <w:sz w:val="28"/>
          <w:szCs w:val="28"/>
          <w:lang w:val="en-GB"/>
        </w:rPr>
      </w:pPr>
      <w:bookmarkStart w:id="34" w:name="_Toc98756261"/>
      <w:r w:rsidRPr="00D30847">
        <w:rPr>
          <w:highlight w:val="yellow"/>
          <w:lang w:val="en-GB"/>
        </w:rPr>
        <w:br w:type="page"/>
      </w:r>
      <w:bookmarkStart w:id="35" w:name="_Toc187841808"/>
      <w:r w:rsidRPr="00D30847">
        <w:rPr>
          <w:rFonts w:ascii="Calibri" w:hAnsi="Calibri" w:cs="Calibri"/>
          <w:color w:val="0070C0"/>
          <w:sz w:val="28"/>
          <w:szCs w:val="28"/>
          <w:lang w:val="en-GB"/>
        </w:rPr>
        <w:lastRenderedPageBreak/>
        <w:t>Priority 1: Budget Planning</w:t>
      </w:r>
      <w:bookmarkEnd w:id="34"/>
      <w:bookmarkEnd w:id="35"/>
    </w:p>
    <w:p w14:paraId="6F548983" w14:textId="77777777" w:rsidR="00376718" w:rsidRPr="00D30847" w:rsidRDefault="00376718" w:rsidP="00E84CD0">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Objective</w:t>
      </w:r>
    </w:p>
    <w:p w14:paraId="192C5171" w14:textId="77777777" w:rsidR="009610EC" w:rsidRPr="00D30847" w:rsidRDefault="009610EC" w:rsidP="009610EC">
      <w:pPr>
        <w:spacing w:before="80" w:after="80" w:line="240" w:lineRule="auto"/>
        <w:jc w:val="both"/>
        <w:rPr>
          <w:rFonts w:eastAsia="MS PGothic" w:cs="Calibri"/>
          <w:lang w:val="en-GB" w:eastAsia="zh-CN"/>
        </w:rPr>
      </w:pPr>
      <w:r w:rsidRPr="00D30847">
        <w:rPr>
          <w:rFonts w:eastAsia="MS PGothic" w:cs="Calibri"/>
          <w:lang w:val="en-GB" w:eastAsia="zh-CN"/>
        </w:rPr>
        <w:t>In the medium-term, improve public expenditures structure, enhance the performance-based budget planning process, as well as gradually consolidate public finances by reducing the budget deficit as a percentage of GDP.</w:t>
      </w:r>
    </w:p>
    <w:p w14:paraId="45ABFE2A" w14:textId="77777777" w:rsidR="00376718" w:rsidRPr="00D30847" w:rsidRDefault="00376718" w:rsidP="00176BE9">
      <w:pPr>
        <w:spacing w:before="240" w:after="80" w:line="240" w:lineRule="auto"/>
        <w:jc w:val="both"/>
        <w:rPr>
          <w:rFonts w:eastAsia="MS PGothic" w:cs="Calibri"/>
          <w:lang w:val="en-GB" w:eastAsia="zh-CN"/>
        </w:rPr>
      </w:pPr>
      <w:r w:rsidRPr="00D30847">
        <w:rPr>
          <w:rFonts w:eastAsia="MS PGothic" w:cs="Calibri"/>
          <w:lang w:val="en-GB" w:eastAsia="zh-CN"/>
        </w:rPr>
        <w:t>Objective of this priority will be achieved through the following measures and activities:</w:t>
      </w:r>
      <w:r w:rsidRPr="00D30847">
        <w:rPr>
          <w:rFonts w:eastAsia="MS PGothic" w:cs="Calibri"/>
          <w:lang w:val="en-GB" w:eastAsia="zh-CN"/>
        </w:rPr>
        <w:tab/>
      </w:r>
    </w:p>
    <w:tbl>
      <w:tblPr>
        <w:tblW w:w="9386" w:type="dxa"/>
        <w:tblLook w:val="01E0" w:firstRow="1" w:lastRow="1" w:firstColumn="1" w:lastColumn="1" w:noHBand="0" w:noVBand="0"/>
      </w:tblPr>
      <w:tblGrid>
        <w:gridCol w:w="1310"/>
        <w:gridCol w:w="8076"/>
      </w:tblGrid>
      <w:tr w:rsidR="00376718" w:rsidRPr="00D30847" w14:paraId="23576558" w14:textId="77777777" w:rsidTr="00E91268">
        <w:trPr>
          <w:trHeight w:val="475"/>
        </w:trPr>
        <w:tc>
          <w:tcPr>
            <w:tcW w:w="1310" w:type="dxa"/>
            <w:shd w:val="clear" w:color="auto" w:fill="auto"/>
          </w:tcPr>
          <w:p w14:paraId="72425F8E" w14:textId="419C4223" w:rsidR="00376718" w:rsidRPr="00D30847" w:rsidRDefault="00376718" w:rsidP="00176BE9">
            <w:pPr>
              <w:spacing w:line="240" w:lineRule="auto"/>
              <w:ind w:right="-48"/>
              <w:rPr>
                <w:rFonts w:cs="Calibri"/>
                <w:b/>
                <w:lang w:val="en-GB"/>
              </w:rPr>
            </w:pPr>
            <w:r w:rsidRPr="00D30847">
              <w:rPr>
                <w:rFonts w:cs="Calibri"/>
                <w:b/>
                <w:lang w:val="en-GB"/>
              </w:rPr>
              <w:t>Measure</w:t>
            </w:r>
            <w:r w:rsidR="000F5BF4" w:rsidRPr="00D30847">
              <w:rPr>
                <w:rFonts w:cs="Calibri"/>
                <w:b/>
                <w:lang w:val="en-GB"/>
              </w:rPr>
              <w:t xml:space="preserve"> </w:t>
            </w:r>
            <w:r w:rsidRPr="00D30847">
              <w:rPr>
                <w:rFonts w:cs="Calibri"/>
                <w:b/>
                <w:lang w:val="en-GB"/>
              </w:rPr>
              <w:t>1:</w:t>
            </w:r>
          </w:p>
        </w:tc>
        <w:tc>
          <w:tcPr>
            <w:tcW w:w="8076" w:type="dxa"/>
            <w:shd w:val="clear" w:color="auto" w:fill="auto"/>
          </w:tcPr>
          <w:p w14:paraId="7758C3AB" w14:textId="7BB4EBB3" w:rsidR="00176BE9" w:rsidRPr="00D30847" w:rsidRDefault="00376718" w:rsidP="00176BE9">
            <w:pPr>
              <w:tabs>
                <w:tab w:val="left" w:pos="1250"/>
              </w:tabs>
              <w:spacing w:line="240" w:lineRule="auto"/>
              <w:ind w:left="34" w:right="-48"/>
              <w:rPr>
                <w:rFonts w:cs="Calibri"/>
                <w:b/>
                <w:lang w:val="en-GB"/>
              </w:rPr>
            </w:pPr>
            <w:r w:rsidRPr="00D30847">
              <w:rPr>
                <w:rFonts w:cs="Calibri"/>
                <w:b/>
                <w:lang w:val="en-GB"/>
              </w:rPr>
              <w:t>Improving medium-term planning</w:t>
            </w:r>
          </w:p>
        </w:tc>
      </w:tr>
      <w:tr w:rsidR="00376718" w:rsidRPr="00D30847" w14:paraId="703FA198" w14:textId="77777777" w:rsidTr="00E91268">
        <w:trPr>
          <w:trHeight w:val="743"/>
        </w:trPr>
        <w:tc>
          <w:tcPr>
            <w:tcW w:w="1310" w:type="dxa"/>
            <w:shd w:val="clear" w:color="auto" w:fill="auto"/>
          </w:tcPr>
          <w:p w14:paraId="6AD79BEF" w14:textId="77777777" w:rsidR="00376718" w:rsidRPr="00D30847" w:rsidRDefault="00376718" w:rsidP="00176BE9">
            <w:pPr>
              <w:spacing w:line="240" w:lineRule="auto"/>
              <w:ind w:right="-48"/>
              <w:rPr>
                <w:rFonts w:cs="Calibri"/>
                <w:bCs/>
                <w:lang w:val="en-GB"/>
              </w:rPr>
            </w:pPr>
            <w:r w:rsidRPr="00D30847">
              <w:rPr>
                <w:rFonts w:cs="Calibri"/>
                <w:bCs/>
                <w:lang w:val="en-GB"/>
              </w:rPr>
              <w:t>Activity 1:</w:t>
            </w:r>
          </w:p>
        </w:tc>
        <w:tc>
          <w:tcPr>
            <w:tcW w:w="8076" w:type="dxa"/>
            <w:shd w:val="clear" w:color="auto" w:fill="auto"/>
          </w:tcPr>
          <w:p w14:paraId="6C861E27" w14:textId="3D1EE237" w:rsidR="00376718" w:rsidRPr="00D30847" w:rsidRDefault="00C45195" w:rsidP="00176BE9">
            <w:pPr>
              <w:spacing w:line="240" w:lineRule="auto"/>
              <w:ind w:left="34" w:right="-48"/>
              <w:rPr>
                <w:rFonts w:cs="Calibri"/>
                <w:bCs/>
                <w:lang w:val="en-GB"/>
              </w:rPr>
            </w:pPr>
            <w:r w:rsidRPr="00D30847">
              <w:rPr>
                <w:rFonts w:cs="Calibri"/>
                <w:bCs/>
                <w:lang w:val="en-GB"/>
              </w:rPr>
              <w:t>Medium-Term Fiscal Strategy based on a sectoral approach and determination of medium term expenditures ceilings;</w:t>
            </w:r>
          </w:p>
        </w:tc>
      </w:tr>
      <w:tr w:rsidR="00376718" w:rsidRPr="00D30847" w14:paraId="1BB9F8FF" w14:textId="77777777" w:rsidTr="00E91268">
        <w:trPr>
          <w:trHeight w:val="762"/>
        </w:trPr>
        <w:tc>
          <w:tcPr>
            <w:tcW w:w="1310" w:type="dxa"/>
            <w:shd w:val="clear" w:color="auto" w:fill="auto"/>
          </w:tcPr>
          <w:p w14:paraId="2E188F22" w14:textId="714E2EE5" w:rsidR="00376718" w:rsidRPr="00D30847" w:rsidRDefault="00376718" w:rsidP="00176BE9">
            <w:pPr>
              <w:spacing w:line="240" w:lineRule="auto"/>
              <w:ind w:right="-48"/>
              <w:rPr>
                <w:rFonts w:cs="Calibri"/>
                <w:b/>
                <w:lang w:val="en-GB"/>
              </w:rPr>
            </w:pPr>
            <w:r w:rsidRPr="00D30847">
              <w:rPr>
                <w:rFonts w:cs="Calibri"/>
                <w:b/>
                <w:lang w:val="en-GB"/>
              </w:rPr>
              <w:t>Measure</w:t>
            </w:r>
            <w:r w:rsidR="000F5BF4" w:rsidRPr="00D30847">
              <w:rPr>
                <w:rFonts w:cs="Calibri"/>
                <w:b/>
                <w:lang w:val="en-GB"/>
              </w:rPr>
              <w:t xml:space="preserve"> </w:t>
            </w:r>
            <w:r w:rsidRPr="00D30847">
              <w:rPr>
                <w:rFonts w:cs="Calibri"/>
                <w:b/>
                <w:lang w:val="en-GB"/>
              </w:rPr>
              <w:t>2:</w:t>
            </w:r>
          </w:p>
        </w:tc>
        <w:tc>
          <w:tcPr>
            <w:tcW w:w="8076" w:type="dxa"/>
            <w:shd w:val="clear" w:color="auto" w:fill="auto"/>
          </w:tcPr>
          <w:p w14:paraId="7F37D381" w14:textId="3AD15CAB" w:rsidR="00376718" w:rsidRPr="00D30847" w:rsidRDefault="000F5BF4" w:rsidP="00176BE9">
            <w:pPr>
              <w:tabs>
                <w:tab w:val="left" w:pos="1250"/>
              </w:tabs>
              <w:spacing w:line="240" w:lineRule="auto"/>
              <w:ind w:left="34" w:right="-48"/>
              <w:rPr>
                <w:rFonts w:cs="Calibri"/>
                <w:b/>
                <w:lang w:val="en-GB"/>
              </w:rPr>
            </w:pPr>
            <w:r w:rsidRPr="00D30847">
              <w:rPr>
                <w:rFonts w:cs="Calibri"/>
                <w:b/>
                <w:lang w:val="en-GB"/>
              </w:rPr>
              <w:t>Improving sectoral approach of budget planning and development and implementation of bylaws</w:t>
            </w:r>
            <w:r w:rsidR="00376718" w:rsidRPr="00D30847">
              <w:rPr>
                <w:rFonts w:cs="Calibri"/>
                <w:b/>
                <w:lang w:val="en-GB"/>
              </w:rPr>
              <w:tab/>
            </w:r>
          </w:p>
        </w:tc>
      </w:tr>
      <w:tr w:rsidR="00376718" w:rsidRPr="00D30847" w14:paraId="310C11DB" w14:textId="77777777" w:rsidTr="00E91268">
        <w:trPr>
          <w:trHeight w:val="475"/>
        </w:trPr>
        <w:tc>
          <w:tcPr>
            <w:tcW w:w="1310" w:type="dxa"/>
            <w:shd w:val="clear" w:color="auto" w:fill="auto"/>
          </w:tcPr>
          <w:p w14:paraId="48920F4D" w14:textId="77777777" w:rsidR="00376718" w:rsidRPr="00D30847" w:rsidRDefault="00376718" w:rsidP="00176BE9">
            <w:pPr>
              <w:spacing w:line="240" w:lineRule="auto"/>
              <w:ind w:right="-48"/>
              <w:rPr>
                <w:rFonts w:cs="Calibri"/>
                <w:bCs/>
                <w:lang w:val="en-GB"/>
              </w:rPr>
            </w:pPr>
            <w:r w:rsidRPr="00D30847">
              <w:rPr>
                <w:rFonts w:cs="Calibri"/>
                <w:bCs/>
                <w:lang w:val="en-GB"/>
              </w:rPr>
              <w:t>Activity 1:</w:t>
            </w:r>
          </w:p>
        </w:tc>
        <w:tc>
          <w:tcPr>
            <w:tcW w:w="8076" w:type="dxa"/>
            <w:shd w:val="clear" w:color="auto" w:fill="auto"/>
          </w:tcPr>
          <w:p w14:paraId="11136B67" w14:textId="3D8A7B40" w:rsidR="00DF185F" w:rsidRPr="00D30847" w:rsidRDefault="009610EC" w:rsidP="00176BE9">
            <w:pPr>
              <w:spacing w:line="240" w:lineRule="auto"/>
              <w:ind w:left="34" w:right="-48"/>
              <w:rPr>
                <w:rFonts w:cs="Calibri"/>
                <w:bCs/>
                <w:lang w:val="en-GB"/>
              </w:rPr>
            </w:pPr>
            <w:r w:rsidRPr="00D30847">
              <w:rPr>
                <w:rFonts w:cs="Calibri"/>
                <w:bCs/>
                <w:lang w:val="en-GB"/>
              </w:rPr>
              <w:t xml:space="preserve">Preparing and implementing OBL bylaws </w:t>
            </w:r>
          </w:p>
        </w:tc>
      </w:tr>
      <w:tr w:rsidR="00376718" w:rsidRPr="00D30847" w14:paraId="2AD82F41" w14:textId="77777777" w:rsidTr="00E91268">
        <w:trPr>
          <w:trHeight w:val="1030"/>
        </w:trPr>
        <w:tc>
          <w:tcPr>
            <w:tcW w:w="1310" w:type="dxa"/>
            <w:shd w:val="clear" w:color="auto" w:fill="auto"/>
          </w:tcPr>
          <w:p w14:paraId="3715C451" w14:textId="77777777" w:rsidR="00376718" w:rsidRPr="00D30847" w:rsidRDefault="00376718" w:rsidP="00176BE9">
            <w:pPr>
              <w:spacing w:line="240" w:lineRule="auto"/>
              <w:ind w:right="-48"/>
              <w:rPr>
                <w:rFonts w:cs="Calibri"/>
                <w:bCs/>
                <w:lang w:val="en-GB"/>
              </w:rPr>
            </w:pPr>
            <w:r w:rsidRPr="00D30847">
              <w:rPr>
                <w:rFonts w:cs="Calibri"/>
                <w:bCs/>
                <w:lang w:val="en-GB"/>
              </w:rPr>
              <w:t>Activity 2:</w:t>
            </w:r>
          </w:p>
        </w:tc>
        <w:tc>
          <w:tcPr>
            <w:tcW w:w="8076" w:type="dxa"/>
            <w:shd w:val="clear" w:color="auto" w:fill="auto"/>
          </w:tcPr>
          <w:p w14:paraId="3721E843" w14:textId="04A70FE9" w:rsidR="00376718" w:rsidRPr="00D30847" w:rsidRDefault="009610EC" w:rsidP="00176BE9">
            <w:pPr>
              <w:spacing w:line="240" w:lineRule="auto"/>
              <w:ind w:left="34" w:right="-48"/>
              <w:rPr>
                <w:rFonts w:cs="Calibri"/>
                <w:bCs/>
                <w:lang w:val="en-GB"/>
              </w:rPr>
            </w:pPr>
            <w:r w:rsidRPr="00D30847">
              <w:rPr>
                <w:rFonts w:cs="Calibri"/>
                <w:bCs/>
                <w:lang w:val="en-GB"/>
              </w:rPr>
              <w:t>Preparing and implementing several types of classifications - administrative/organizational, economic, program, functional classifications, as well as classification of sources of financing;</w:t>
            </w:r>
          </w:p>
        </w:tc>
      </w:tr>
      <w:tr w:rsidR="00376718" w:rsidRPr="00D30847" w14:paraId="15935AC2" w14:textId="77777777" w:rsidTr="00E91268">
        <w:trPr>
          <w:trHeight w:val="523"/>
        </w:trPr>
        <w:tc>
          <w:tcPr>
            <w:tcW w:w="1310" w:type="dxa"/>
            <w:shd w:val="clear" w:color="auto" w:fill="auto"/>
          </w:tcPr>
          <w:p w14:paraId="17C62883" w14:textId="3D34CEC7" w:rsidR="00376718" w:rsidRPr="00D30847" w:rsidRDefault="00376718" w:rsidP="00176BE9">
            <w:pPr>
              <w:spacing w:line="240" w:lineRule="auto"/>
              <w:ind w:right="-48"/>
              <w:rPr>
                <w:rFonts w:cs="Calibri"/>
                <w:bCs/>
                <w:lang w:val="en-GB"/>
              </w:rPr>
            </w:pPr>
            <w:r w:rsidRPr="00D30847">
              <w:rPr>
                <w:rFonts w:cs="Calibri"/>
                <w:bCs/>
                <w:lang w:val="en-GB"/>
              </w:rPr>
              <w:t>Activity 3:</w:t>
            </w:r>
          </w:p>
        </w:tc>
        <w:tc>
          <w:tcPr>
            <w:tcW w:w="8076" w:type="dxa"/>
            <w:shd w:val="clear" w:color="auto" w:fill="auto"/>
          </w:tcPr>
          <w:p w14:paraId="11196062" w14:textId="1713DD2F" w:rsidR="00C17F2F" w:rsidRPr="00D30847" w:rsidRDefault="009610EC" w:rsidP="00176BE9">
            <w:pPr>
              <w:spacing w:line="240" w:lineRule="auto"/>
              <w:ind w:left="34" w:right="-48"/>
              <w:rPr>
                <w:rFonts w:cs="Calibri"/>
                <w:bCs/>
                <w:lang w:val="en-GB"/>
              </w:rPr>
            </w:pPr>
            <w:r w:rsidRPr="00D30847">
              <w:rPr>
                <w:rFonts w:cs="Calibri"/>
                <w:bCs/>
                <w:lang w:val="en-GB"/>
              </w:rPr>
              <w:t>Strengthening of capacities, training of employees of the MoF and budget beneficiaries</w:t>
            </w:r>
            <w:r w:rsidR="00C45195" w:rsidRPr="00D30847">
              <w:rPr>
                <w:rFonts w:cs="Calibri"/>
                <w:bCs/>
                <w:lang w:val="en-GB"/>
              </w:rPr>
              <w:t>/ municipalities</w:t>
            </w:r>
          </w:p>
        </w:tc>
      </w:tr>
      <w:tr w:rsidR="00376718" w:rsidRPr="00D30847" w14:paraId="7894F6A0" w14:textId="77777777" w:rsidTr="00E91268">
        <w:trPr>
          <w:trHeight w:val="475"/>
        </w:trPr>
        <w:tc>
          <w:tcPr>
            <w:tcW w:w="1310" w:type="dxa"/>
            <w:shd w:val="clear" w:color="auto" w:fill="auto"/>
          </w:tcPr>
          <w:p w14:paraId="0DD0B108" w14:textId="25440306" w:rsidR="00376718" w:rsidRPr="00D30847" w:rsidRDefault="00376718" w:rsidP="00176BE9">
            <w:pPr>
              <w:spacing w:line="240" w:lineRule="auto"/>
              <w:ind w:right="-48"/>
              <w:rPr>
                <w:rFonts w:cs="Calibri"/>
                <w:b/>
                <w:lang w:val="en-GB"/>
              </w:rPr>
            </w:pPr>
            <w:r w:rsidRPr="00D30847">
              <w:rPr>
                <w:rFonts w:cs="Calibri"/>
                <w:b/>
                <w:lang w:val="en-GB"/>
              </w:rPr>
              <w:t>Measure 3:</w:t>
            </w:r>
          </w:p>
        </w:tc>
        <w:tc>
          <w:tcPr>
            <w:tcW w:w="8076" w:type="dxa"/>
            <w:shd w:val="clear" w:color="auto" w:fill="auto"/>
          </w:tcPr>
          <w:p w14:paraId="1A242B11" w14:textId="00B22E0D" w:rsidR="00376718" w:rsidRPr="00D30847" w:rsidRDefault="00E85148" w:rsidP="00176BE9">
            <w:pPr>
              <w:tabs>
                <w:tab w:val="left" w:pos="1250"/>
              </w:tabs>
              <w:spacing w:line="240" w:lineRule="auto"/>
              <w:ind w:left="34" w:right="-48"/>
              <w:rPr>
                <w:rFonts w:cs="Calibri"/>
                <w:b/>
                <w:lang w:val="en-GB"/>
              </w:rPr>
            </w:pPr>
            <w:r w:rsidRPr="00D30847">
              <w:rPr>
                <w:rFonts w:cs="Calibri"/>
                <w:b/>
                <w:lang w:val="en-GB"/>
              </w:rPr>
              <w:t>Improved performance based budget</w:t>
            </w:r>
            <w:r w:rsidRPr="00D30847" w:rsidDel="00E85148">
              <w:rPr>
                <w:rFonts w:cs="Calibri"/>
                <w:b/>
                <w:lang w:val="en-GB"/>
              </w:rPr>
              <w:t xml:space="preserve"> </w:t>
            </w:r>
          </w:p>
        </w:tc>
      </w:tr>
      <w:tr w:rsidR="00376718" w:rsidRPr="00D30847" w14:paraId="159EFC28" w14:textId="77777777" w:rsidTr="00E91268">
        <w:trPr>
          <w:trHeight w:val="762"/>
        </w:trPr>
        <w:tc>
          <w:tcPr>
            <w:tcW w:w="1310" w:type="dxa"/>
            <w:shd w:val="clear" w:color="auto" w:fill="auto"/>
          </w:tcPr>
          <w:p w14:paraId="24B60629" w14:textId="4181CF18" w:rsidR="00376718" w:rsidRPr="00D30847" w:rsidRDefault="00376718" w:rsidP="00176BE9">
            <w:pPr>
              <w:spacing w:line="240" w:lineRule="auto"/>
              <w:ind w:right="-48"/>
              <w:rPr>
                <w:rFonts w:cs="Calibri"/>
                <w:bCs/>
                <w:lang w:val="en-GB"/>
              </w:rPr>
            </w:pPr>
            <w:r w:rsidRPr="00D30847">
              <w:rPr>
                <w:rFonts w:cs="Calibri"/>
                <w:bCs/>
                <w:lang w:val="en-GB"/>
              </w:rPr>
              <w:t>Activity 1:</w:t>
            </w:r>
          </w:p>
        </w:tc>
        <w:tc>
          <w:tcPr>
            <w:tcW w:w="8076" w:type="dxa"/>
            <w:shd w:val="clear" w:color="auto" w:fill="auto"/>
          </w:tcPr>
          <w:p w14:paraId="6D6D4FE5" w14:textId="482DEF59" w:rsidR="00376718" w:rsidRPr="00D30847" w:rsidRDefault="009610EC" w:rsidP="00176BE9">
            <w:pPr>
              <w:spacing w:line="240" w:lineRule="auto"/>
              <w:ind w:right="-48"/>
              <w:rPr>
                <w:rFonts w:cs="Calibri"/>
                <w:bCs/>
                <w:lang w:val="en-GB"/>
              </w:rPr>
            </w:pPr>
            <w:r w:rsidRPr="00D30847">
              <w:rPr>
                <w:rFonts w:cs="Calibri"/>
                <w:bCs/>
                <w:lang w:val="en-GB"/>
              </w:rPr>
              <w:t xml:space="preserve">Developing multi-year indicators for measuring the success in the implementation of budget </w:t>
            </w:r>
            <w:r w:rsidR="00176BE9" w:rsidRPr="00D30847">
              <w:rPr>
                <w:rFonts w:cs="Calibri"/>
                <w:bCs/>
                <w:lang w:val="en-GB"/>
              </w:rPr>
              <w:t>p</w:t>
            </w:r>
            <w:r w:rsidRPr="00D30847">
              <w:rPr>
                <w:rFonts w:cs="Calibri"/>
                <w:bCs/>
                <w:lang w:val="en-GB"/>
              </w:rPr>
              <w:t>olicies;</w:t>
            </w:r>
          </w:p>
        </w:tc>
      </w:tr>
      <w:tr w:rsidR="00C45195" w:rsidRPr="00D30847" w14:paraId="496045D9" w14:textId="77777777" w:rsidTr="00E91268">
        <w:trPr>
          <w:trHeight w:val="743"/>
        </w:trPr>
        <w:tc>
          <w:tcPr>
            <w:tcW w:w="1310" w:type="dxa"/>
            <w:shd w:val="clear" w:color="auto" w:fill="auto"/>
          </w:tcPr>
          <w:p w14:paraId="39922600" w14:textId="77871F81" w:rsidR="00C45195" w:rsidRPr="00D30847" w:rsidRDefault="00C45195" w:rsidP="00176BE9">
            <w:pPr>
              <w:spacing w:line="240" w:lineRule="auto"/>
              <w:ind w:right="-48"/>
              <w:rPr>
                <w:rFonts w:cs="Calibri"/>
                <w:bCs/>
                <w:lang w:val="en-GB"/>
              </w:rPr>
            </w:pPr>
            <w:r w:rsidRPr="00D30847">
              <w:rPr>
                <w:rFonts w:cs="Calibri"/>
                <w:bCs/>
                <w:lang w:val="en-GB"/>
              </w:rPr>
              <w:t>Activity 2:</w:t>
            </w:r>
          </w:p>
        </w:tc>
        <w:tc>
          <w:tcPr>
            <w:tcW w:w="8076" w:type="dxa"/>
            <w:shd w:val="clear" w:color="auto" w:fill="auto"/>
          </w:tcPr>
          <w:p w14:paraId="36C89DF3" w14:textId="15D0A2DC" w:rsidR="00C45195" w:rsidRPr="00D30847" w:rsidRDefault="00C45195" w:rsidP="00176BE9">
            <w:pPr>
              <w:spacing w:line="240" w:lineRule="auto"/>
              <w:ind w:left="34" w:right="-48"/>
              <w:rPr>
                <w:rFonts w:cs="Calibri"/>
                <w:bCs/>
                <w:lang w:val="en-GB"/>
              </w:rPr>
            </w:pPr>
            <w:r w:rsidRPr="00D30847">
              <w:rPr>
                <w:rFonts w:cs="Calibri"/>
                <w:bCs/>
                <w:lang w:val="en-GB"/>
              </w:rPr>
              <w:t>Preparing procedures for monitoring the impact of sectoral policies</w:t>
            </w:r>
            <w:r w:rsidR="00995768" w:rsidRPr="00D30847">
              <w:rPr>
                <w:rFonts w:cs="Calibri"/>
                <w:bCs/>
                <w:lang w:val="en-GB"/>
              </w:rPr>
              <w:t xml:space="preserve"> </w:t>
            </w:r>
            <w:r w:rsidRPr="00D30847">
              <w:rPr>
                <w:rFonts w:cs="Calibri"/>
                <w:bCs/>
                <w:lang w:val="en-GB"/>
              </w:rPr>
              <w:t>on performance indicators.</w:t>
            </w:r>
          </w:p>
        </w:tc>
      </w:tr>
      <w:tr w:rsidR="00C45195" w:rsidRPr="00D30847" w14:paraId="0560BD9D" w14:textId="77777777" w:rsidTr="00E91268">
        <w:trPr>
          <w:trHeight w:val="475"/>
        </w:trPr>
        <w:tc>
          <w:tcPr>
            <w:tcW w:w="1310" w:type="dxa"/>
            <w:shd w:val="clear" w:color="auto" w:fill="auto"/>
          </w:tcPr>
          <w:p w14:paraId="4D1DBE29" w14:textId="5B4EDFAA" w:rsidR="00C45195" w:rsidRPr="00D30847" w:rsidRDefault="00C45195" w:rsidP="00176BE9">
            <w:pPr>
              <w:spacing w:line="240" w:lineRule="auto"/>
              <w:ind w:right="-48"/>
              <w:rPr>
                <w:rFonts w:cs="Calibri"/>
                <w:b/>
                <w:lang w:val="en-GB"/>
              </w:rPr>
            </w:pPr>
            <w:r w:rsidRPr="00D30847">
              <w:rPr>
                <w:rFonts w:cs="Calibri"/>
                <w:b/>
                <w:lang w:val="en-GB"/>
              </w:rPr>
              <w:t>Measure 4:</w:t>
            </w:r>
          </w:p>
        </w:tc>
        <w:tc>
          <w:tcPr>
            <w:tcW w:w="8076" w:type="dxa"/>
            <w:shd w:val="clear" w:color="auto" w:fill="auto"/>
          </w:tcPr>
          <w:p w14:paraId="0914FDFE" w14:textId="7BE767D4" w:rsidR="00C45195" w:rsidRPr="00D30847" w:rsidRDefault="00C45195" w:rsidP="00176BE9">
            <w:pPr>
              <w:spacing w:line="240" w:lineRule="auto"/>
              <w:ind w:right="-48"/>
              <w:rPr>
                <w:rFonts w:cs="Calibri"/>
                <w:b/>
                <w:lang w:val="en-GB"/>
              </w:rPr>
            </w:pPr>
            <w:r w:rsidRPr="00D30847">
              <w:rPr>
                <w:rFonts w:cs="Calibri"/>
                <w:b/>
                <w:lang w:val="en-GB"/>
              </w:rPr>
              <w:t>Spending review</w:t>
            </w:r>
          </w:p>
        </w:tc>
      </w:tr>
      <w:tr w:rsidR="00C45195" w:rsidRPr="00D30847" w14:paraId="22059F2F" w14:textId="77777777" w:rsidTr="00E91268">
        <w:trPr>
          <w:trHeight w:val="743"/>
        </w:trPr>
        <w:tc>
          <w:tcPr>
            <w:tcW w:w="1310" w:type="dxa"/>
            <w:shd w:val="clear" w:color="auto" w:fill="auto"/>
          </w:tcPr>
          <w:p w14:paraId="3F526476" w14:textId="7309D575" w:rsidR="00C45195" w:rsidRPr="00D30847" w:rsidRDefault="00C45195" w:rsidP="00176BE9">
            <w:pPr>
              <w:spacing w:line="240" w:lineRule="auto"/>
              <w:ind w:right="-48"/>
              <w:rPr>
                <w:rFonts w:cs="Calibri"/>
                <w:bCs/>
                <w:lang w:val="en-GB"/>
              </w:rPr>
            </w:pPr>
            <w:r w:rsidRPr="00D30847">
              <w:rPr>
                <w:rFonts w:cs="Calibri"/>
                <w:bCs/>
                <w:lang w:val="en-GB"/>
              </w:rPr>
              <w:t>Activity 1:</w:t>
            </w:r>
          </w:p>
        </w:tc>
        <w:tc>
          <w:tcPr>
            <w:tcW w:w="8076" w:type="dxa"/>
            <w:shd w:val="clear" w:color="auto" w:fill="auto"/>
          </w:tcPr>
          <w:p w14:paraId="56E4C926" w14:textId="700E35E1" w:rsidR="00C45195" w:rsidRPr="00D30847" w:rsidRDefault="00C45195" w:rsidP="00176BE9">
            <w:pPr>
              <w:spacing w:line="240" w:lineRule="auto"/>
              <w:ind w:left="34" w:right="-48"/>
              <w:rPr>
                <w:rFonts w:cs="Calibri"/>
                <w:bCs/>
                <w:lang w:val="en-GB"/>
              </w:rPr>
            </w:pPr>
            <w:r w:rsidRPr="00D30847">
              <w:rPr>
                <w:rFonts w:cs="Calibri"/>
                <w:bCs/>
                <w:lang w:val="en-GB"/>
              </w:rPr>
              <w:t>Build capacity at the MoF and line ministries</w:t>
            </w:r>
            <w:r w:rsidRPr="00D30847" w:rsidDel="002B0820">
              <w:rPr>
                <w:rFonts w:cs="Calibri"/>
                <w:bCs/>
                <w:lang w:val="en-GB"/>
              </w:rPr>
              <w:t xml:space="preserve"> </w:t>
            </w:r>
            <w:r w:rsidRPr="00D30847">
              <w:rPr>
                <w:rFonts w:cs="Calibri"/>
                <w:bCs/>
                <w:lang w:val="en-GB"/>
              </w:rPr>
              <w:t>for conducting Spending Reviews  on a regular base</w:t>
            </w:r>
          </w:p>
        </w:tc>
      </w:tr>
      <w:tr w:rsidR="00C45195" w:rsidRPr="00D30847" w14:paraId="6A18D45C" w14:textId="77777777" w:rsidTr="00E91268">
        <w:trPr>
          <w:trHeight w:val="762"/>
        </w:trPr>
        <w:tc>
          <w:tcPr>
            <w:tcW w:w="1310" w:type="dxa"/>
            <w:shd w:val="clear" w:color="auto" w:fill="auto"/>
          </w:tcPr>
          <w:p w14:paraId="5AA6731F" w14:textId="5EFB8AD4" w:rsidR="00C45195" w:rsidRPr="00D30847" w:rsidRDefault="00C45195" w:rsidP="00176BE9">
            <w:pPr>
              <w:spacing w:line="240" w:lineRule="auto"/>
              <w:ind w:right="-48"/>
              <w:rPr>
                <w:rFonts w:cs="Calibri"/>
                <w:bCs/>
                <w:lang w:val="en-GB"/>
              </w:rPr>
            </w:pPr>
            <w:r w:rsidRPr="00D30847">
              <w:rPr>
                <w:rFonts w:cs="Calibri"/>
                <w:bCs/>
                <w:lang w:val="en-GB"/>
              </w:rPr>
              <w:t>Activity 2:</w:t>
            </w:r>
          </w:p>
        </w:tc>
        <w:tc>
          <w:tcPr>
            <w:tcW w:w="8076" w:type="dxa"/>
            <w:shd w:val="clear" w:color="auto" w:fill="auto"/>
          </w:tcPr>
          <w:p w14:paraId="3E9B6259" w14:textId="6C35F8A3" w:rsidR="00C45195" w:rsidRPr="00D30847" w:rsidRDefault="00C45195" w:rsidP="00176BE9">
            <w:pPr>
              <w:spacing w:line="240" w:lineRule="auto"/>
              <w:ind w:left="34" w:right="-48"/>
              <w:rPr>
                <w:rFonts w:cs="Calibri"/>
                <w:bCs/>
                <w:lang w:val="en-GB"/>
              </w:rPr>
            </w:pPr>
            <w:r w:rsidRPr="00D30847">
              <w:rPr>
                <w:rFonts w:cs="Calibri"/>
                <w:bCs/>
                <w:lang w:val="en-GB"/>
              </w:rPr>
              <w:t>Prepare and adopt methodology with defining criteria and procedures for conducting Spending review</w:t>
            </w:r>
          </w:p>
        </w:tc>
      </w:tr>
      <w:tr w:rsidR="00C45195" w:rsidRPr="00D30847" w14:paraId="70D13895" w14:textId="77777777" w:rsidTr="00E91268">
        <w:trPr>
          <w:trHeight w:val="635"/>
        </w:trPr>
        <w:tc>
          <w:tcPr>
            <w:tcW w:w="1310" w:type="dxa"/>
            <w:shd w:val="clear" w:color="auto" w:fill="auto"/>
          </w:tcPr>
          <w:p w14:paraId="73ADA710" w14:textId="77777777" w:rsidR="00C45195" w:rsidRPr="00D30847" w:rsidRDefault="00C45195" w:rsidP="00176BE9">
            <w:pPr>
              <w:spacing w:line="240" w:lineRule="auto"/>
              <w:ind w:right="-48"/>
              <w:rPr>
                <w:rFonts w:cs="Calibri"/>
                <w:bCs/>
                <w:lang w:val="en-GB"/>
              </w:rPr>
            </w:pPr>
            <w:r w:rsidRPr="00D30847">
              <w:rPr>
                <w:rFonts w:cs="Calibri"/>
                <w:bCs/>
                <w:lang w:val="en-GB"/>
              </w:rPr>
              <w:t>Activity 3:</w:t>
            </w:r>
          </w:p>
          <w:p w14:paraId="7D43D77A" w14:textId="77777777" w:rsidR="00C45195" w:rsidRPr="00D30847" w:rsidRDefault="00C45195" w:rsidP="00176BE9">
            <w:pPr>
              <w:spacing w:line="240" w:lineRule="auto"/>
              <w:ind w:right="-48"/>
              <w:rPr>
                <w:rFonts w:cs="Calibri"/>
                <w:bCs/>
                <w:lang w:val="en-GB"/>
              </w:rPr>
            </w:pPr>
          </w:p>
        </w:tc>
        <w:tc>
          <w:tcPr>
            <w:tcW w:w="8076" w:type="dxa"/>
            <w:shd w:val="clear" w:color="auto" w:fill="auto"/>
          </w:tcPr>
          <w:p w14:paraId="2EAE53CA" w14:textId="5C1D7FDE" w:rsidR="00C45195" w:rsidRPr="00D30847" w:rsidRDefault="00C45195" w:rsidP="00A03D34">
            <w:pPr>
              <w:spacing w:line="240" w:lineRule="auto"/>
              <w:ind w:left="34" w:right="-48"/>
              <w:rPr>
                <w:rFonts w:cs="Calibri"/>
                <w:bCs/>
                <w:lang w:val="en-GB"/>
              </w:rPr>
            </w:pPr>
            <w:r w:rsidRPr="00D30847">
              <w:rPr>
                <w:rFonts w:cs="Calibri"/>
                <w:bCs/>
                <w:lang w:val="en-GB"/>
              </w:rPr>
              <w:t>Spending review as a basis for appropriate budgeting for the next mid-term period</w:t>
            </w:r>
          </w:p>
        </w:tc>
      </w:tr>
    </w:tbl>
    <w:p w14:paraId="6324E549" w14:textId="77777777" w:rsidR="00376718" w:rsidRPr="00D30847" w:rsidRDefault="00376718" w:rsidP="00686BBE">
      <w:pPr>
        <w:spacing w:before="240" w:line="240" w:lineRule="auto"/>
        <w:jc w:val="both"/>
        <w:rPr>
          <w:rFonts w:cs="Calibri"/>
          <w:b/>
          <w:i/>
          <w:color w:val="2E74B5"/>
          <w:lang w:val="en-GB"/>
        </w:rPr>
      </w:pPr>
      <w:r w:rsidRPr="00D30847">
        <w:rPr>
          <w:rFonts w:cs="Calibri"/>
          <w:b/>
          <w:i/>
          <w:color w:val="2E74B5"/>
          <w:lang w:val="en-GB"/>
        </w:rPr>
        <w:t>Outcome</w:t>
      </w:r>
    </w:p>
    <w:p w14:paraId="3AC728C2" w14:textId="243127EA" w:rsidR="000F5BF4" w:rsidRPr="00D30847" w:rsidRDefault="000F5BF4" w:rsidP="003C6564">
      <w:pPr>
        <w:spacing w:after="0" w:line="240" w:lineRule="auto"/>
        <w:jc w:val="both"/>
        <w:rPr>
          <w:rFonts w:eastAsia="MS PGothic" w:cs="Calibri"/>
          <w:color w:val="FF0000"/>
          <w:lang w:val="en-GB" w:eastAsia="zh-CN"/>
        </w:rPr>
      </w:pPr>
      <w:r w:rsidRPr="00D30847">
        <w:rPr>
          <w:rFonts w:eastAsia="MS PGothic" w:cs="Calibri"/>
          <w:lang w:val="en-GB" w:eastAsia="zh-CN"/>
        </w:rPr>
        <w:t>P</w:t>
      </w:r>
      <w:r w:rsidRPr="00D30847">
        <w:rPr>
          <w:rFonts w:cs="Calibri"/>
          <w:lang w:val="en-GB"/>
        </w:rPr>
        <w:t>redictable and reliable budget allocations for budget organisations</w:t>
      </w:r>
      <w:r w:rsidRPr="00D30847">
        <w:rPr>
          <w:rFonts w:eastAsia="MS PGothic" w:cs="Calibri"/>
          <w:lang w:val="en-GB" w:eastAsia="zh-CN"/>
        </w:rPr>
        <w:t xml:space="preserve"> considering </w:t>
      </w:r>
      <w:r w:rsidR="00D4719C" w:rsidRPr="00D30847">
        <w:rPr>
          <w:rFonts w:eastAsia="MS PGothic" w:cs="Calibri"/>
          <w:lang w:val="en-GB" w:eastAsia="zh-CN"/>
        </w:rPr>
        <w:t>consolidation</w:t>
      </w:r>
      <w:r w:rsidRPr="00D30847">
        <w:rPr>
          <w:rFonts w:eastAsia="MS PGothic" w:cs="Calibri"/>
          <w:lang w:val="en-GB" w:eastAsia="zh-CN"/>
        </w:rPr>
        <w:t xml:space="preserve"> in public spending and reducing the budget deficit. </w:t>
      </w:r>
    </w:p>
    <w:p w14:paraId="6E336284" w14:textId="77777777" w:rsidR="00376718" w:rsidRPr="00D30847" w:rsidRDefault="00376718" w:rsidP="00E84CD0">
      <w:pPr>
        <w:tabs>
          <w:tab w:val="left" w:pos="851"/>
        </w:tabs>
        <w:spacing w:after="0" w:line="240" w:lineRule="auto"/>
        <w:ind w:left="1843" w:hanging="992"/>
        <w:jc w:val="both"/>
        <w:rPr>
          <w:rFonts w:eastAsia="MS PGothic" w:cs="Calibri"/>
          <w:color w:val="FF0000"/>
          <w:lang w:val="en-GB" w:eastAsia="zh-CN"/>
        </w:rPr>
      </w:pPr>
    </w:p>
    <w:p w14:paraId="445766A7" w14:textId="77777777" w:rsidR="00376718" w:rsidRPr="00D30847" w:rsidRDefault="00376718"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 xml:space="preserve">Outcome indicator </w:t>
      </w:r>
    </w:p>
    <w:p w14:paraId="1E9B3AC2" w14:textId="1BC3C9F1" w:rsidR="009527AF" w:rsidRPr="003C6564" w:rsidRDefault="009527AF" w:rsidP="009527AF">
      <w:pPr>
        <w:pStyle w:val="ListParagraph"/>
        <w:numPr>
          <w:ilvl w:val="0"/>
          <w:numId w:val="71"/>
        </w:numPr>
        <w:spacing w:after="0" w:line="240" w:lineRule="auto"/>
        <w:rPr>
          <w:rFonts w:cs="Calibri"/>
          <w:lang w:val="en-US"/>
        </w:rPr>
      </w:pPr>
      <w:r>
        <w:rPr>
          <w:rFonts w:cs="Calibri"/>
          <w:lang w:val="en-US"/>
        </w:rPr>
        <w:t>R</w:t>
      </w:r>
      <w:r w:rsidRPr="00851001">
        <w:rPr>
          <w:rFonts w:cs="Calibri"/>
          <w:lang w:val="mk-MK"/>
        </w:rPr>
        <w:t>eduction in the budget deficit as a % compared to the previous year</w:t>
      </w:r>
    </w:p>
    <w:p w14:paraId="6809E284" w14:textId="1740737D" w:rsidR="00A13E9D" w:rsidRPr="00D30847" w:rsidRDefault="00A13E9D" w:rsidP="00686BBE">
      <w:pPr>
        <w:spacing w:after="0" w:line="240" w:lineRule="auto"/>
        <w:rPr>
          <w:rFonts w:cs="Calibri"/>
          <w:lang w:val="en-GB"/>
        </w:rPr>
      </w:pPr>
    </w:p>
    <w:p w14:paraId="5E43D797" w14:textId="77777777" w:rsidR="007541EA" w:rsidRPr="00D30847" w:rsidRDefault="007541EA" w:rsidP="007541EA">
      <w:pPr>
        <w:spacing w:after="0" w:line="240" w:lineRule="auto"/>
        <w:ind w:left="1256"/>
        <w:jc w:val="both"/>
        <w:rPr>
          <w:rFonts w:eastAsia="MS PGothic" w:cs="Calibri"/>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7541EA" w:rsidRPr="00D30847" w14:paraId="2C1FB9CB" w14:textId="77777777" w:rsidTr="002B77A4">
        <w:trPr>
          <w:trHeight w:val="395"/>
        </w:trPr>
        <w:tc>
          <w:tcPr>
            <w:tcW w:w="4608" w:type="dxa"/>
            <w:shd w:val="clear" w:color="auto" w:fill="E8E8E8"/>
          </w:tcPr>
          <w:p w14:paraId="6BB29C70" w14:textId="4F3B0862" w:rsidR="007541EA" w:rsidRPr="00D30847" w:rsidRDefault="007541EA"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lastRenderedPageBreak/>
              <w:t>Baseline 202</w:t>
            </w:r>
            <w:r w:rsidR="00281547" w:rsidRPr="00D30847">
              <w:rPr>
                <w:rFonts w:eastAsia="Times New Roman" w:cs="Calibri"/>
                <w:b/>
                <w:bCs/>
                <w:i/>
                <w:iCs/>
                <w:color w:val="202124"/>
                <w:sz w:val="20"/>
                <w:szCs w:val="20"/>
                <w:lang w:val="en-GB"/>
              </w:rPr>
              <w:t>3</w:t>
            </w:r>
          </w:p>
        </w:tc>
        <w:tc>
          <w:tcPr>
            <w:tcW w:w="4608" w:type="dxa"/>
            <w:shd w:val="clear" w:color="auto" w:fill="E8E8E8"/>
          </w:tcPr>
          <w:p w14:paraId="3E2853B2" w14:textId="26BD6980" w:rsidR="007541EA" w:rsidRPr="00D30847" w:rsidRDefault="007541EA"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281547" w:rsidRPr="00D30847">
              <w:rPr>
                <w:rFonts w:eastAsia="Times New Roman" w:cs="Calibri"/>
                <w:b/>
                <w:bCs/>
                <w:i/>
                <w:iCs/>
                <w:color w:val="202124"/>
                <w:sz w:val="20"/>
                <w:szCs w:val="20"/>
                <w:lang w:val="en-GB"/>
              </w:rPr>
              <w:t>8</w:t>
            </w:r>
          </w:p>
        </w:tc>
      </w:tr>
      <w:tr w:rsidR="007541EA" w:rsidRPr="00D30847" w14:paraId="1C8EC860" w14:textId="77777777" w:rsidTr="002B77A4">
        <w:trPr>
          <w:trHeight w:val="278"/>
        </w:trPr>
        <w:tc>
          <w:tcPr>
            <w:tcW w:w="4608" w:type="dxa"/>
            <w:shd w:val="clear" w:color="auto" w:fill="E8E8E8"/>
          </w:tcPr>
          <w:p w14:paraId="58276A53" w14:textId="070A8551" w:rsidR="007541EA" w:rsidRPr="00D30847" w:rsidRDefault="00281547" w:rsidP="00D4719C">
            <w:pPr>
              <w:tabs>
                <w:tab w:val="left" w:pos="1565"/>
              </w:tabs>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-4,9 % of GDP</w:t>
            </w:r>
          </w:p>
        </w:tc>
        <w:tc>
          <w:tcPr>
            <w:tcW w:w="4608" w:type="dxa"/>
            <w:shd w:val="clear" w:color="auto" w:fill="E8E8E8"/>
          </w:tcPr>
          <w:p w14:paraId="7B26DA39" w14:textId="659C5BE8" w:rsidR="007541EA" w:rsidRPr="00D30847" w:rsidRDefault="00281547"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-3% of GDP</w:t>
            </w:r>
          </w:p>
        </w:tc>
      </w:tr>
    </w:tbl>
    <w:p w14:paraId="1774C1C3" w14:textId="77777777" w:rsidR="00E91268" w:rsidRPr="00E91268" w:rsidRDefault="00E91268" w:rsidP="00E84CD0">
      <w:pPr>
        <w:spacing w:line="240" w:lineRule="auto"/>
        <w:jc w:val="both"/>
        <w:rPr>
          <w:b/>
          <w:color w:val="0070C0"/>
          <w:sz w:val="10"/>
          <w:szCs w:val="10"/>
          <w:lang w:val="en-GB"/>
        </w:rPr>
      </w:pPr>
    </w:p>
    <w:p w14:paraId="4FB4AE18" w14:textId="1A465698" w:rsidR="00376718" w:rsidRPr="00D30847" w:rsidRDefault="00376718" w:rsidP="00E84CD0">
      <w:pPr>
        <w:spacing w:line="240" w:lineRule="auto"/>
        <w:jc w:val="both"/>
        <w:rPr>
          <w:b/>
          <w:color w:val="0070C0"/>
          <w:sz w:val="24"/>
          <w:szCs w:val="24"/>
          <w:lang w:val="en-GB"/>
        </w:rPr>
      </w:pPr>
      <w:r w:rsidRPr="00D30847">
        <w:rPr>
          <w:b/>
          <w:color w:val="0070C0"/>
          <w:sz w:val="24"/>
          <w:szCs w:val="24"/>
          <w:lang w:val="en-GB"/>
        </w:rPr>
        <w:t>Measure 1:</w:t>
      </w:r>
      <w:r w:rsidR="003C6564" w:rsidRPr="00D30847">
        <w:rPr>
          <w:b/>
          <w:color w:val="0070C0"/>
          <w:sz w:val="24"/>
          <w:szCs w:val="24"/>
          <w:lang w:val="en-GB"/>
        </w:rPr>
        <w:t xml:space="preserve"> </w:t>
      </w:r>
      <w:r w:rsidRPr="00D30847">
        <w:rPr>
          <w:b/>
          <w:color w:val="0070C0"/>
          <w:sz w:val="24"/>
          <w:szCs w:val="24"/>
          <w:lang w:val="en-GB"/>
        </w:rPr>
        <w:t>Improving Medium-Term Planning</w:t>
      </w:r>
    </w:p>
    <w:p w14:paraId="6187B90A" w14:textId="77777777" w:rsidR="00376718" w:rsidRPr="00D30847" w:rsidRDefault="00376718"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2ED2AB2C" w14:textId="77777777" w:rsidR="00376718" w:rsidRPr="00D30847" w:rsidRDefault="00376718" w:rsidP="00E84CD0">
      <w:pPr>
        <w:tabs>
          <w:tab w:val="left" w:pos="851"/>
        </w:tabs>
        <w:spacing w:before="120" w:line="240" w:lineRule="auto"/>
        <w:jc w:val="both"/>
        <w:rPr>
          <w:rFonts w:cs="Calibri"/>
          <w:lang w:val="en-GB" w:eastAsia="en-GB"/>
        </w:rPr>
      </w:pPr>
      <w:r w:rsidRPr="00D30847">
        <w:rPr>
          <w:rFonts w:cs="Calibri"/>
          <w:lang w:val="en-GB" w:eastAsia="en-GB"/>
        </w:rPr>
        <w:t>Fiscal Strategy reflects the medium-term fiscal goals and strategic priorities of the Government of North Macedonia.</w:t>
      </w:r>
    </w:p>
    <w:p w14:paraId="62FD7818" w14:textId="77777777" w:rsidR="00376718" w:rsidRPr="00D30847" w:rsidRDefault="00376718" w:rsidP="00E84CD0">
      <w:pPr>
        <w:tabs>
          <w:tab w:val="left" w:pos="851"/>
        </w:tabs>
        <w:spacing w:before="120" w:line="240" w:lineRule="auto"/>
        <w:jc w:val="both"/>
        <w:rPr>
          <w:rFonts w:cs="Calibri"/>
          <w:lang w:val="en-GB" w:eastAsia="en-GB"/>
        </w:rPr>
      </w:pPr>
      <w:r w:rsidRPr="00D30847">
        <w:rPr>
          <w:rFonts w:cs="Calibri"/>
          <w:lang w:val="en-GB"/>
        </w:rPr>
        <w:t>Fiscal Strategy s</w:t>
      </w:r>
      <w:r w:rsidRPr="00D30847">
        <w:rPr>
          <w:rFonts w:eastAsia="Times New Roman" w:cs="Calibri"/>
          <w:color w:val="000000"/>
          <w:lang w:val="en-GB" w:eastAsia="en-GB"/>
        </w:rPr>
        <w:t>hould have a strategic role in the planning process, which will reflect government priorities at the level of key sectors / areas, as well as provide information and analyses on new measures. </w:t>
      </w:r>
    </w:p>
    <w:p w14:paraId="30F52B01" w14:textId="77777777" w:rsidR="00376718" w:rsidRPr="00D30847" w:rsidRDefault="00376718"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Reference to the external assessments findings: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701"/>
        <w:gridCol w:w="7371"/>
      </w:tblGrid>
      <w:tr w:rsidR="00376718" w:rsidRPr="00D30847" w14:paraId="670DBD38" w14:textId="77777777" w:rsidTr="00C17F2F">
        <w:tc>
          <w:tcPr>
            <w:tcW w:w="1701" w:type="dxa"/>
            <w:shd w:val="clear" w:color="auto" w:fill="DDDDDD"/>
          </w:tcPr>
          <w:p w14:paraId="487F899F" w14:textId="550C1CAE" w:rsidR="00376718" w:rsidRPr="00D30847" w:rsidRDefault="00376718" w:rsidP="00E84CD0">
            <w:pPr>
              <w:spacing w:after="0" w:line="240" w:lineRule="auto"/>
              <w:jc w:val="both"/>
              <w:rPr>
                <w:rFonts w:cs="Calibri"/>
                <w:b/>
                <w:sz w:val="20"/>
                <w:szCs w:val="20"/>
                <w:lang w:val="en-GB"/>
              </w:rPr>
            </w:pPr>
            <w:r w:rsidRPr="00D30847">
              <w:rPr>
                <w:rFonts w:cs="Calibri"/>
                <w:b/>
                <w:sz w:val="20"/>
                <w:szCs w:val="20"/>
                <w:lang w:val="en-GB"/>
              </w:rPr>
              <w:t>PEFA 2021</w:t>
            </w:r>
          </w:p>
        </w:tc>
        <w:tc>
          <w:tcPr>
            <w:tcW w:w="7371" w:type="dxa"/>
            <w:shd w:val="clear" w:color="auto" w:fill="DDDDDD"/>
          </w:tcPr>
          <w:p w14:paraId="5FCF84CF" w14:textId="4A35D32D" w:rsidR="00376718" w:rsidRPr="00D30847" w:rsidRDefault="00376718" w:rsidP="00E84CD0">
            <w:pPr>
              <w:tabs>
                <w:tab w:val="left" w:pos="851"/>
              </w:tabs>
              <w:spacing w:after="0" w:line="240" w:lineRule="auto"/>
              <w:jc w:val="both"/>
              <w:rPr>
                <w:rFonts w:cs="Calibri"/>
                <w:sz w:val="20"/>
                <w:szCs w:val="20"/>
                <w:lang w:val="en-GB"/>
              </w:rPr>
            </w:pPr>
            <w:r w:rsidRPr="00D30847">
              <w:rPr>
                <w:rFonts w:eastAsia="Times New Roman" w:cs="Calibri"/>
                <w:color w:val="000000"/>
                <w:sz w:val="20"/>
                <w:szCs w:val="20"/>
                <w:lang w:val="en-GB" w:eastAsia="en-GB"/>
              </w:rPr>
              <w:t>Strengthened medium-term planning, by presenting new policies and explaining the circumstances in which they deviate from the initial projections,</w:t>
            </w:r>
          </w:p>
          <w:p w14:paraId="3726D031" w14:textId="4A1C0B78" w:rsidR="00376718" w:rsidRPr="00D30847" w:rsidRDefault="00376718" w:rsidP="00E84CD0">
            <w:pPr>
              <w:tabs>
                <w:tab w:val="left" w:pos="851"/>
              </w:tabs>
              <w:spacing w:after="0" w:line="240" w:lineRule="auto"/>
              <w:jc w:val="both"/>
              <w:rPr>
                <w:rFonts w:cs="Calibri"/>
                <w:sz w:val="20"/>
                <w:szCs w:val="20"/>
                <w:lang w:val="en-GB"/>
              </w:rPr>
            </w:pPr>
            <w:r w:rsidRPr="00D30847">
              <w:rPr>
                <w:rFonts w:cs="Calibri"/>
                <w:sz w:val="20"/>
                <w:szCs w:val="20"/>
                <w:lang w:val="en-GB"/>
              </w:rPr>
              <w:t>Consolidated data coverage, pertaining to public enterprises and state-owned companies at central level, as part of the budget documentation.</w:t>
            </w:r>
          </w:p>
        </w:tc>
      </w:tr>
      <w:tr w:rsidR="00376718" w:rsidRPr="00D30847" w14:paraId="2AE6BED2" w14:textId="77777777" w:rsidTr="00C17F2F">
        <w:tc>
          <w:tcPr>
            <w:tcW w:w="1701" w:type="dxa"/>
            <w:shd w:val="clear" w:color="auto" w:fill="DDDDDD"/>
          </w:tcPr>
          <w:p w14:paraId="1520E9E2" w14:textId="4CB51F32" w:rsidR="00376718" w:rsidRPr="00D30847" w:rsidRDefault="00376718" w:rsidP="00E84CD0">
            <w:pPr>
              <w:spacing w:after="0" w:line="240" w:lineRule="auto"/>
              <w:jc w:val="both"/>
              <w:rPr>
                <w:rFonts w:cs="Calibri"/>
                <w:b/>
                <w:sz w:val="20"/>
                <w:szCs w:val="20"/>
                <w:lang w:val="en-GB"/>
              </w:rPr>
            </w:pPr>
            <w:r w:rsidRPr="00D30847">
              <w:rPr>
                <w:rFonts w:cs="Calibri"/>
                <w:b/>
                <w:sz w:val="20"/>
                <w:szCs w:val="20"/>
                <w:lang w:val="en-GB"/>
              </w:rPr>
              <w:t>SIGMA 2021</w:t>
            </w:r>
          </w:p>
        </w:tc>
        <w:tc>
          <w:tcPr>
            <w:tcW w:w="7371" w:type="dxa"/>
            <w:shd w:val="clear" w:color="auto" w:fill="DDDDDD"/>
          </w:tcPr>
          <w:p w14:paraId="2AB94318" w14:textId="2143814F" w:rsidR="00A13E9D" w:rsidRPr="00D30847" w:rsidRDefault="00A13E9D" w:rsidP="00A13E9D">
            <w:pPr>
              <w:tabs>
                <w:tab w:val="left" w:pos="851"/>
              </w:tabs>
              <w:spacing w:after="0" w:line="240" w:lineRule="auto"/>
              <w:jc w:val="both"/>
              <w:rPr>
                <w:rFonts w:cs="Calibri"/>
                <w:sz w:val="20"/>
                <w:szCs w:val="20"/>
                <w:lang w:val="en-GB"/>
              </w:rPr>
            </w:pPr>
            <w:r w:rsidRPr="00D30847">
              <w:rPr>
                <w:rFonts w:cs="Calibri"/>
                <w:sz w:val="20"/>
                <w:szCs w:val="20"/>
                <w:lang w:val="en-GB"/>
              </w:rPr>
              <w:t>Fiscal Strategy should be transformed, thus playing a strategic role in the policy planning, which will reflect government priorities at the level of key sectors/areas, as well as provide information and analyses about new measures,</w:t>
            </w:r>
          </w:p>
          <w:p w14:paraId="204FA7D8" w14:textId="4EDE8B2B" w:rsidR="00376718" w:rsidRPr="00D30847" w:rsidRDefault="00A13E9D" w:rsidP="00A13E9D">
            <w:pPr>
              <w:tabs>
                <w:tab w:val="left" w:pos="851"/>
              </w:tabs>
              <w:spacing w:after="0" w:line="240" w:lineRule="auto"/>
              <w:jc w:val="both"/>
              <w:rPr>
                <w:rFonts w:cs="Calibri"/>
                <w:sz w:val="20"/>
                <w:szCs w:val="20"/>
                <w:lang w:val="en-GB"/>
              </w:rPr>
            </w:pPr>
            <w:r w:rsidRPr="00D30847">
              <w:rPr>
                <w:rFonts w:cs="Calibri"/>
                <w:sz w:val="20"/>
                <w:szCs w:val="20"/>
                <w:lang w:val="en-GB"/>
              </w:rPr>
              <w:t>Improving the credibility of projections (1-year and multi-year).</w:t>
            </w:r>
          </w:p>
        </w:tc>
      </w:tr>
      <w:tr w:rsidR="00376718" w:rsidRPr="00D30847" w14:paraId="5635D18B" w14:textId="77777777" w:rsidTr="00C17F2F">
        <w:tc>
          <w:tcPr>
            <w:tcW w:w="1701" w:type="dxa"/>
            <w:shd w:val="clear" w:color="auto" w:fill="DDDDDD"/>
          </w:tcPr>
          <w:p w14:paraId="71333E5A" w14:textId="5B7A8ECA" w:rsidR="00376718" w:rsidRPr="00D30847" w:rsidRDefault="00376718" w:rsidP="00E84CD0">
            <w:pPr>
              <w:spacing w:before="80" w:after="0" w:line="240" w:lineRule="auto"/>
              <w:jc w:val="both"/>
              <w:rPr>
                <w:rFonts w:cs="Calibri"/>
                <w:b/>
                <w:sz w:val="20"/>
                <w:szCs w:val="20"/>
                <w:lang w:val="en-GB"/>
              </w:rPr>
            </w:pPr>
            <w:r w:rsidRPr="00D30847">
              <w:rPr>
                <w:rFonts w:cs="Calibri"/>
                <w:b/>
                <w:sz w:val="20"/>
                <w:szCs w:val="20"/>
                <w:lang w:val="en-GB"/>
              </w:rPr>
              <w:t>EU  2021</w:t>
            </w:r>
          </w:p>
        </w:tc>
        <w:tc>
          <w:tcPr>
            <w:tcW w:w="7371" w:type="dxa"/>
            <w:shd w:val="clear" w:color="auto" w:fill="DDDDDD"/>
          </w:tcPr>
          <w:p w14:paraId="55EBE826" w14:textId="3349FFCB" w:rsidR="00376718" w:rsidRPr="00D30847" w:rsidRDefault="003C3927" w:rsidP="00E84CD0">
            <w:pPr>
              <w:spacing w:after="0" w:line="240" w:lineRule="auto"/>
              <w:jc w:val="both"/>
              <w:rPr>
                <w:rFonts w:cs="Calibri"/>
                <w:sz w:val="20"/>
                <w:szCs w:val="20"/>
                <w:lang w:val="en-GB"/>
              </w:rPr>
            </w:pPr>
            <w:r w:rsidRPr="00D30847">
              <w:rPr>
                <w:rFonts w:eastAsia="StobiSerif Regular" w:cs="Calibri"/>
                <w:sz w:val="20"/>
                <w:szCs w:val="20"/>
                <w:lang w:val="en-GB"/>
              </w:rPr>
              <w:t xml:space="preserve">On 15th </w:t>
            </w:r>
            <w:r w:rsidR="00D4719C" w:rsidRPr="00D30847">
              <w:rPr>
                <w:rFonts w:eastAsia="StobiSerif Regular" w:cs="Calibri"/>
                <w:sz w:val="20"/>
                <w:szCs w:val="20"/>
                <w:lang w:val="en-GB"/>
              </w:rPr>
              <w:t>of September</w:t>
            </w:r>
            <w:r w:rsidRPr="00D30847">
              <w:rPr>
                <w:rFonts w:eastAsia="StobiSerif Regular" w:cs="Calibri"/>
                <w:sz w:val="20"/>
                <w:szCs w:val="20"/>
                <w:lang w:val="en-GB"/>
              </w:rPr>
              <w:t xml:space="preserve"> 2022, Parliament</w:t>
            </w:r>
            <w:r w:rsidR="00D4719C" w:rsidRPr="00D30847">
              <w:rPr>
                <w:rFonts w:eastAsia="StobiSerif Regular" w:cs="Calibri"/>
                <w:sz w:val="20"/>
                <w:szCs w:val="20"/>
                <w:lang w:val="en-GB"/>
              </w:rPr>
              <w:t xml:space="preserve"> </w:t>
            </w:r>
            <w:r w:rsidRPr="00D30847">
              <w:rPr>
                <w:rFonts w:eastAsia="StobiSerif Regular" w:cs="Calibri"/>
                <w:sz w:val="20"/>
                <w:szCs w:val="20"/>
                <w:lang w:val="en-GB"/>
              </w:rPr>
              <w:t>of</w:t>
            </w:r>
            <w:r w:rsidR="00D4719C" w:rsidRPr="00D30847">
              <w:rPr>
                <w:rFonts w:eastAsia="StobiSerif Regular" w:cs="Calibri"/>
                <w:sz w:val="20"/>
                <w:szCs w:val="20"/>
                <w:lang w:val="en-GB"/>
              </w:rPr>
              <w:t xml:space="preserve"> </w:t>
            </w:r>
            <w:r w:rsidRPr="00D30847">
              <w:rPr>
                <w:rFonts w:eastAsia="StobiSerif Regular" w:cs="Calibri"/>
                <w:sz w:val="20"/>
                <w:szCs w:val="20"/>
                <w:lang w:val="en-GB"/>
              </w:rPr>
              <w:t>the</w:t>
            </w:r>
            <w:r w:rsidR="00D4719C" w:rsidRPr="00D30847">
              <w:rPr>
                <w:rFonts w:eastAsia="StobiSerif Regular" w:cs="Calibri"/>
                <w:sz w:val="20"/>
                <w:szCs w:val="20"/>
                <w:lang w:val="en-GB"/>
              </w:rPr>
              <w:t xml:space="preserve"> </w:t>
            </w:r>
            <w:r w:rsidRPr="00D30847">
              <w:rPr>
                <w:rFonts w:eastAsia="StobiSerif Regular" w:cs="Calibri"/>
                <w:sz w:val="20"/>
                <w:szCs w:val="20"/>
                <w:lang w:val="en-GB"/>
              </w:rPr>
              <w:t>Republic</w:t>
            </w:r>
            <w:r w:rsidR="00D4719C" w:rsidRPr="00D30847">
              <w:rPr>
                <w:rFonts w:eastAsia="StobiSerif Regular" w:cs="Calibri"/>
                <w:sz w:val="20"/>
                <w:szCs w:val="20"/>
                <w:lang w:val="en-GB"/>
              </w:rPr>
              <w:t xml:space="preserve"> </w:t>
            </w:r>
            <w:r w:rsidRPr="00D30847">
              <w:rPr>
                <w:rFonts w:eastAsia="StobiSerif Regular" w:cs="Calibri"/>
                <w:sz w:val="20"/>
                <w:szCs w:val="20"/>
                <w:lang w:val="en-GB"/>
              </w:rPr>
              <w:t>of</w:t>
            </w:r>
            <w:r w:rsidR="00D4719C" w:rsidRPr="00D30847">
              <w:rPr>
                <w:rFonts w:eastAsia="StobiSerif Regular" w:cs="Calibri"/>
                <w:sz w:val="20"/>
                <w:szCs w:val="20"/>
                <w:lang w:val="en-GB"/>
              </w:rPr>
              <w:t xml:space="preserve"> </w:t>
            </w:r>
            <w:r w:rsidRPr="00D30847">
              <w:rPr>
                <w:rFonts w:eastAsia="StobiSerif Regular" w:cs="Calibri"/>
                <w:sz w:val="20"/>
                <w:szCs w:val="20"/>
                <w:lang w:val="en-GB"/>
              </w:rPr>
              <w:t>North</w:t>
            </w:r>
            <w:r w:rsidR="00D4719C" w:rsidRPr="00D30847">
              <w:rPr>
                <w:rFonts w:eastAsia="StobiSerif Regular" w:cs="Calibri"/>
                <w:sz w:val="20"/>
                <w:szCs w:val="20"/>
                <w:lang w:val="en-GB"/>
              </w:rPr>
              <w:t xml:space="preserve"> </w:t>
            </w:r>
            <w:r w:rsidRPr="00D30847">
              <w:rPr>
                <w:rFonts w:eastAsia="StobiSerif Regular" w:cs="Calibri"/>
                <w:sz w:val="20"/>
                <w:szCs w:val="20"/>
                <w:lang w:val="en-GB"/>
              </w:rPr>
              <w:t>Macedonia, adopted</w:t>
            </w:r>
            <w:r w:rsidR="00D4719C" w:rsidRPr="00D30847">
              <w:rPr>
                <w:rFonts w:eastAsia="StobiSerif Regular" w:cs="Calibri"/>
                <w:sz w:val="20"/>
                <w:szCs w:val="20"/>
                <w:lang w:val="en-GB"/>
              </w:rPr>
              <w:t xml:space="preserve"> </w:t>
            </w:r>
            <w:r w:rsidRPr="00D30847">
              <w:rPr>
                <w:rFonts w:eastAsia="StobiSerif Regular" w:cs="Calibri"/>
                <w:sz w:val="20"/>
                <w:szCs w:val="20"/>
                <w:lang w:val="en-GB"/>
              </w:rPr>
              <w:t>new</w:t>
            </w:r>
            <w:r w:rsidR="00D4719C" w:rsidRPr="00D30847">
              <w:rPr>
                <w:rFonts w:eastAsia="StobiSerif Regular" w:cs="Calibri"/>
                <w:sz w:val="20"/>
                <w:szCs w:val="20"/>
                <w:lang w:val="en-GB"/>
              </w:rPr>
              <w:t xml:space="preserve"> </w:t>
            </w:r>
            <w:r w:rsidRPr="00D30847">
              <w:rPr>
                <w:rFonts w:eastAsia="StobiSerif Regular" w:cs="Calibri"/>
                <w:sz w:val="20"/>
                <w:szCs w:val="20"/>
                <w:lang w:val="en-GB"/>
              </w:rPr>
              <w:t>Budget</w:t>
            </w:r>
            <w:r w:rsidR="00D4719C" w:rsidRPr="00D30847">
              <w:rPr>
                <w:rFonts w:eastAsia="StobiSerif Regular" w:cs="Calibri"/>
                <w:sz w:val="20"/>
                <w:szCs w:val="20"/>
                <w:lang w:val="en-GB"/>
              </w:rPr>
              <w:t xml:space="preserve"> </w:t>
            </w:r>
            <w:r w:rsidRPr="00D30847">
              <w:rPr>
                <w:rFonts w:eastAsia="StobiSerif Regular" w:cs="Calibri"/>
                <w:sz w:val="20"/>
                <w:szCs w:val="20"/>
                <w:lang w:val="en-GB"/>
              </w:rPr>
              <w:t>Law.</w:t>
            </w:r>
            <w:r w:rsidR="00D4719C" w:rsidRPr="00D30847">
              <w:rPr>
                <w:rFonts w:eastAsia="StobiSerif Regular" w:cs="Calibri"/>
                <w:sz w:val="20"/>
                <w:szCs w:val="20"/>
                <w:lang w:val="en-GB"/>
              </w:rPr>
              <w:t xml:space="preserve"> </w:t>
            </w:r>
            <w:r w:rsidR="00D4719C" w:rsidRPr="00D30847">
              <w:rPr>
                <w:rFonts w:cs="Calibri"/>
                <w:sz w:val="20"/>
                <w:szCs w:val="20"/>
                <w:lang w:val="en-GB"/>
              </w:rPr>
              <w:t>The</w:t>
            </w:r>
            <w:r w:rsidRPr="00D30847">
              <w:rPr>
                <w:rFonts w:cs="Calibri"/>
                <w:sz w:val="20"/>
                <w:szCs w:val="20"/>
                <w:lang w:val="en-GB"/>
              </w:rPr>
              <w:t xml:space="preserve"> Organic Budget Law </w:t>
            </w:r>
            <w:r w:rsidRPr="00D30847">
              <w:rPr>
                <w:rFonts w:eastAsia="Times New Roman" w:cs="Calibri"/>
                <w:color w:val="000000"/>
                <w:sz w:val="20"/>
                <w:szCs w:val="20"/>
                <w:lang w:val="en-GB" w:eastAsia="en-GB"/>
              </w:rPr>
              <w:t>foresees the establishment of fiscal rules, an independent fiscal oversight body</w:t>
            </w:r>
            <w:r w:rsidR="00D4719C" w:rsidRPr="00D30847">
              <w:rPr>
                <w:rFonts w:eastAsia="Times New Roman" w:cs="Calibri"/>
                <w:color w:val="000000"/>
                <w:sz w:val="20"/>
                <w:szCs w:val="20"/>
                <w:lang w:val="en-GB" w:eastAsia="en-GB"/>
              </w:rPr>
              <w:t xml:space="preserve"> </w:t>
            </w:r>
            <w:r w:rsidRPr="00D30847">
              <w:rPr>
                <w:rFonts w:eastAsia="Times New Roman" w:cs="Calibri"/>
                <w:color w:val="000000"/>
                <w:sz w:val="20"/>
                <w:szCs w:val="20"/>
                <w:lang w:val="en-GB" w:eastAsia="en-GB"/>
              </w:rPr>
              <w:t xml:space="preserve">and a medium-term budgetary framework. </w:t>
            </w:r>
            <w:r w:rsidRPr="00D30847">
              <w:rPr>
                <w:rFonts w:cs="Calibri"/>
                <w:sz w:val="20"/>
                <w:szCs w:val="20"/>
                <w:lang w:val="en-GB"/>
              </w:rPr>
              <w:t>The i</w:t>
            </w:r>
            <w:r w:rsidRPr="00D30847">
              <w:rPr>
                <w:rFonts w:eastAsia="Times New Roman" w:cs="Calibri"/>
                <w:color w:val="000000"/>
                <w:sz w:val="20"/>
                <w:szCs w:val="20"/>
                <w:lang w:val="en-GB" w:eastAsia="en-GB"/>
              </w:rPr>
              <w:t>nitial outcome of the fiscal policy response to mitigate socio-economic consequences of the COVID-19 pandemic is satisfactory.</w:t>
            </w:r>
          </w:p>
        </w:tc>
      </w:tr>
    </w:tbl>
    <w:p w14:paraId="69B4B63B" w14:textId="77777777" w:rsidR="00376718" w:rsidRPr="00D30847" w:rsidRDefault="00376718" w:rsidP="00E84CD0">
      <w:pPr>
        <w:keepNext/>
        <w:keepLines/>
        <w:spacing w:before="24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Context/Background</w:t>
      </w:r>
    </w:p>
    <w:p w14:paraId="66254CC9" w14:textId="77777777" w:rsidR="00281547" w:rsidRPr="00D30847" w:rsidRDefault="00281547" w:rsidP="00281547">
      <w:pPr>
        <w:suppressAutoHyphens/>
        <w:spacing w:after="0" w:line="240" w:lineRule="auto"/>
        <w:jc w:val="both"/>
        <w:rPr>
          <w:rFonts w:eastAsia="Times New Roman" w:cs="Calibri"/>
          <w:lang w:val="en-GB" w:eastAsia="en-GB"/>
        </w:rPr>
      </w:pPr>
      <w:r w:rsidRPr="00D30847">
        <w:rPr>
          <w:rFonts w:eastAsia="Times New Roman" w:cs="Calibri"/>
          <w:lang w:val="en-GB" w:eastAsia="en-GB"/>
        </w:rPr>
        <w:t>Fiscal Strategy comprises medium-term guidelines and goals of the fiscal policy, main macroeconomic projections, amounts of the main categories of projected revenues and expenditures, budget deficit and debt projections, limits by budget users, as well as medium-term projections for local self-government and public enterprises and state-owned joint-stock companies. The Fiscal Strategy reflects the medium-term fiscal objectives, strategic priorities of the Government of the Republic of North Macedonia and the guidelines of the Fiscal Policy Statement of the Government of the Republic of North Macedonia.</w:t>
      </w:r>
    </w:p>
    <w:p w14:paraId="3FFFA86A" w14:textId="77777777" w:rsidR="00281547" w:rsidRPr="00D30847" w:rsidRDefault="00281547" w:rsidP="00281547">
      <w:pPr>
        <w:suppressAutoHyphens/>
        <w:spacing w:after="0" w:line="240" w:lineRule="auto"/>
        <w:jc w:val="both"/>
        <w:rPr>
          <w:rFonts w:eastAsia="Times New Roman" w:cs="Calibri"/>
          <w:lang w:val="en-GB" w:eastAsia="en-GB"/>
        </w:rPr>
      </w:pPr>
      <w:r w:rsidRPr="00D30847">
        <w:rPr>
          <w:rFonts w:eastAsia="Times New Roman" w:cs="Calibri"/>
          <w:lang w:val="en-GB" w:eastAsia="en-GB"/>
        </w:rPr>
        <w:t>The fiscal strategy in accordance with the time frame determined by the provisions of the new Law on Budgets includes more information with qualitative and quantitative data, through sector analysis of expenditures and tax expenditures. In order to make the fiscal policy sustainable in the medium term, the fiscal projections provide a framework for achieving the numerical fiscal rules, which are designed to be harmonized and consistent with the EU fiscal rules.</w:t>
      </w:r>
    </w:p>
    <w:p w14:paraId="4139AED3" w14:textId="2D4B4803" w:rsidR="00C17F2F" w:rsidRPr="00D30847" w:rsidRDefault="00281547" w:rsidP="00015266">
      <w:pPr>
        <w:spacing w:before="120" w:after="0" w:line="240" w:lineRule="auto"/>
        <w:jc w:val="both"/>
        <w:rPr>
          <w:rFonts w:eastAsia="Arial Narrow" w:cs="Calibri"/>
          <w:lang w:val="en-GB" w:eastAsia="mk-MK"/>
        </w:rPr>
      </w:pPr>
      <w:r w:rsidRPr="00D30847">
        <w:rPr>
          <w:rFonts w:eastAsia="Arial Narrow" w:cs="Calibri"/>
          <w:lang w:val="en-GB" w:eastAsia="mk-MK"/>
        </w:rPr>
        <w:t xml:space="preserve">Fiscal policy in the period 2025-2029 will focus on improving macroeconomic stability and supporting economic activity through gradual fiscal consolidation, improving public finance management and maintaining a high level of capital expenditure. Fiscal consolidation measures will be taken in order to achieve a moderate level of indebtedness, as well as reduced budget deficit as a percentage share of GDP, as follows: 4.9% in 2024, 4.0% in 2025, 3.5% in 2026, 3% in 2027, 3% in 2028 and 2.8% in 2029. </w:t>
      </w:r>
    </w:p>
    <w:p w14:paraId="3C165682" w14:textId="77777777" w:rsidR="00015266" w:rsidRPr="00D30847" w:rsidRDefault="00015266" w:rsidP="00015266">
      <w:pPr>
        <w:spacing w:before="120" w:after="0" w:line="240" w:lineRule="auto"/>
        <w:jc w:val="both"/>
        <w:rPr>
          <w:rFonts w:eastAsia="Arial Narrow" w:cs="Calibri"/>
          <w:lang w:val="en-GB" w:eastAsia="mk-MK"/>
        </w:rPr>
      </w:pPr>
    </w:p>
    <w:p w14:paraId="79006C98" w14:textId="77777777" w:rsidR="00E91268" w:rsidRDefault="00E91268" w:rsidP="00281547">
      <w:pPr>
        <w:spacing w:after="0" w:line="240" w:lineRule="auto"/>
        <w:jc w:val="both"/>
        <w:rPr>
          <w:rFonts w:cs="Calibri"/>
          <w:b/>
          <w:bCs/>
          <w:iCs/>
          <w:color w:val="0070C0"/>
          <w:lang w:val="en-GB"/>
        </w:rPr>
      </w:pPr>
    </w:p>
    <w:p w14:paraId="0F078D59" w14:textId="77777777" w:rsidR="00E91268" w:rsidRDefault="00E91268" w:rsidP="00281547">
      <w:pPr>
        <w:spacing w:after="0" w:line="240" w:lineRule="auto"/>
        <w:jc w:val="both"/>
        <w:rPr>
          <w:rFonts w:cs="Calibri"/>
          <w:b/>
          <w:bCs/>
          <w:iCs/>
          <w:color w:val="0070C0"/>
          <w:lang w:val="en-GB"/>
        </w:rPr>
      </w:pPr>
    </w:p>
    <w:p w14:paraId="467CF946" w14:textId="77777777" w:rsidR="00E91268" w:rsidRDefault="00E91268" w:rsidP="00281547">
      <w:pPr>
        <w:spacing w:after="0" w:line="240" w:lineRule="auto"/>
        <w:jc w:val="both"/>
        <w:rPr>
          <w:rFonts w:cs="Calibri"/>
          <w:b/>
          <w:bCs/>
          <w:iCs/>
          <w:color w:val="0070C0"/>
          <w:lang w:val="en-GB"/>
        </w:rPr>
      </w:pPr>
    </w:p>
    <w:p w14:paraId="6C4C2558" w14:textId="0D426081" w:rsidR="00281547" w:rsidRPr="00D30847" w:rsidRDefault="00376718" w:rsidP="00281547">
      <w:pPr>
        <w:spacing w:after="0" w:line="240" w:lineRule="auto"/>
        <w:jc w:val="both"/>
        <w:rPr>
          <w:rFonts w:cs="Calibri"/>
          <w:b/>
          <w:bCs/>
          <w:iCs/>
          <w:color w:val="0070C0"/>
          <w:lang w:val="en-GB"/>
        </w:rPr>
      </w:pPr>
      <w:r w:rsidRPr="00D30847">
        <w:rPr>
          <w:rFonts w:cs="Calibri"/>
          <w:b/>
          <w:bCs/>
          <w:iCs/>
          <w:color w:val="0070C0"/>
          <w:lang w:val="en-GB"/>
        </w:rPr>
        <w:lastRenderedPageBreak/>
        <w:t>Activity 1:</w:t>
      </w:r>
      <w:r w:rsidR="00C17F2F" w:rsidRPr="00D30847">
        <w:rPr>
          <w:rFonts w:cs="Calibri"/>
          <w:b/>
          <w:bCs/>
          <w:iCs/>
          <w:color w:val="0070C0"/>
          <w:lang w:val="en-GB"/>
        </w:rPr>
        <w:t xml:space="preserve"> </w:t>
      </w:r>
      <w:r w:rsidR="00281547" w:rsidRPr="00D30847">
        <w:rPr>
          <w:rFonts w:cs="Calibri"/>
          <w:b/>
          <w:bCs/>
          <w:iCs/>
          <w:color w:val="0070C0"/>
          <w:lang w:val="en-GB"/>
        </w:rPr>
        <w:t>Medium-Term Fiscal Strategy based on a sectoral approach and determination of medium term expenditures cei</w:t>
      </w:r>
      <w:r w:rsidR="00C1177C" w:rsidRPr="00D30847">
        <w:rPr>
          <w:rFonts w:cs="Calibri"/>
          <w:b/>
          <w:bCs/>
          <w:iCs/>
          <w:color w:val="0070C0"/>
          <w:lang w:val="en-GB"/>
        </w:rPr>
        <w:t>li</w:t>
      </w:r>
      <w:r w:rsidR="00281547" w:rsidRPr="00D30847">
        <w:rPr>
          <w:rFonts w:cs="Calibri"/>
          <w:b/>
          <w:bCs/>
          <w:iCs/>
          <w:color w:val="0070C0"/>
          <w:lang w:val="en-GB"/>
        </w:rPr>
        <w:t>ngs</w:t>
      </w:r>
    </w:p>
    <w:p w14:paraId="75ABF4DA" w14:textId="01610C77" w:rsidR="00376718" w:rsidRPr="00D30847" w:rsidRDefault="00376718" w:rsidP="00E84CD0">
      <w:pPr>
        <w:spacing w:after="0" w:line="240" w:lineRule="auto"/>
        <w:jc w:val="both"/>
        <w:rPr>
          <w:rFonts w:cs="Calibri"/>
          <w:b/>
          <w:color w:val="0070C0"/>
          <w:lang w:val="en-GB"/>
        </w:rPr>
      </w:pPr>
    </w:p>
    <w:p w14:paraId="0F65D8F1" w14:textId="77777777" w:rsidR="00281547" w:rsidRPr="00D30847" w:rsidRDefault="00281547" w:rsidP="00281547">
      <w:pPr>
        <w:tabs>
          <w:tab w:val="left" w:pos="851"/>
        </w:tabs>
        <w:spacing w:before="120" w:line="240" w:lineRule="auto"/>
        <w:jc w:val="both"/>
        <w:rPr>
          <w:rFonts w:eastAsia="Times New Roman" w:cs="Calibri"/>
          <w:color w:val="000000"/>
          <w:lang w:val="en-GB" w:eastAsia="en-GB"/>
        </w:rPr>
      </w:pPr>
      <w:r w:rsidRPr="00D30847">
        <w:rPr>
          <w:rFonts w:eastAsia="Times New Roman" w:cs="Calibri"/>
          <w:color w:val="000000"/>
          <w:lang w:val="en-GB" w:eastAsia="en-GB"/>
        </w:rPr>
        <w:t xml:space="preserve">When creating the medium-term fiscal framework, a high-quality medium-term budget planning is of great significance therefor. Medium-term fiscal projections should be based upon medium-term baseline scenario and new initiatives that should be the basis for pursuing a predictable and sustainable fiscal policy, in order to increase budget discipline and accountability. </w:t>
      </w:r>
    </w:p>
    <w:p w14:paraId="51405145" w14:textId="77777777" w:rsidR="00281547" w:rsidRPr="00D30847" w:rsidRDefault="00281547" w:rsidP="00281547">
      <w:pPr>
        <w:tabs>
          <w:tab w:val="left" w:pos="851"/>
        </w:tabs>
        <w:spacing w:before="120" w:line="240" w:lineRule="auto"/>
        <w:jc w:val="both"/>
        <w:rPr>
          <w:rFonts w:cs="Calibri"/>
          <w:lang w:val="en-GB"/>
        </w:rPr>
      </w:pPr>
      <w:r w:rsidRPr="00D30847">
        <w:rPr>
          <w:rFonts w:eastAsia="Times New Roman" w:cs="Calibri"/>
          <w:color w:val="000000"/>
          <w:lang w:val="en-GB" w:eastAsia="en-GB"/>
        </w:rPr>
        <w:t>By having pre-defined procedures in place, the medium-term document needs to contain a wide range of data including all levels of government, projections, which will be aligned with the determined strategic priorities and macroeconomic parameters. </w:t>
      </w:r>
    </w:p>
    <w:p w14:paraId="2B7A94FE" w14:textId="77777777" w:rsidR="00281547" w:rsidRPr="00D30847" w:rsidRDefault="00281547" w:rsidP="00281547">
      <w:pPr>
        <w:tabs>
          <w:tab w:val="left" w:pos="851"/>
        </w:tabs>
        <w:spacing w:before="120" w:line="240" w:lineRule="auto"/>
        <w:jc w:val="both"/>
        <w:rPr>
          <w:rFonts w:cs="Calibri"/>
          <w:lang w:val="en-GB"/>
        </w:rPr>
      </w:pPr>
      <w:r w:rsidRPr="00D30847">
        <w:rPr>
          <w:rFonts w:eastAsia="Times New Roman" w:cs="Calibri"/>
          <w:color w:val="000000"/>
          <w:lang w:val="en-GB" w:eastAsia="en-GB"/>
        </w:rPr>
        <w:t>Significant elements that contribute to the improving the medium-term planning are:</w:t>
      </w:r>
    </w:p>
    <w:p w14:paraId="18B28E58" w14:textId="77777777" w:rsidR="00281547" w:rsidRPr="00D30847" w:rsidRDefault="00281547" w:rsidP="00281547">
      <w:pPr>
        <w:spacing w:after="0" w:line="240" w:lineRule="auto"/>
        <w:ind w:firstLine="360"/>
        <w:jc w:val="both"/>
        <w:rPr>
          <w:rFonts w:cs="Calibri"/>
          <w:lang w:val="en-GB"/>
        </w:rPr>
      </w:pPr>
      <w:r w:rsidRPr="00D30847">
        <w:rPr>
          <w:rFonts w:cs="Calibri"/>
          <w:lang w:val="en-GB"/>
        </w:rPr>
        <w:t xml:space="preserve">- credible medium-term budget planning resulting from the performance of the "usual competencies" of budget users defined in the existing legislation, existing obligations and tasks, which are the result of already approved multi-annual obligations, contracts and ongoing projects and new initiatives relating to new projects and new financial obligations, significant changes in the time and financial framework of projects, as well as changes in legislation that cause fiscal implications for the budget; </w:t>
      </w:r>
    </w:p>
    <w:p w14:paraId="150B970B" w14:textId="77777777" w:rsidR="00281547" w:rsidRPr="00D30847" w:rsidRDefault="00281547" w:rsidP="00281547">
      <w:pPr>
        <w:spacing w:after="0" w:line="240" w:lineRule="auto"/>
        <w:ind w:firstLine="360"/>
        <w:jc w:val="both"/>
        <w:rPr>
          <w:rFonts w:cs="Calibri"/>
          <w:lang w:val="en-GB"/>
        </w:rPr>
      </w:pPr>
      <w:r w:rsidRPr="00D30847">
        <w:rPr>
          <w:rFonts w:cs="Calibri"/>
          <w:lang w:val="en-GB"/>
        </w:rPr>
        <w:t xml:space="preserve">- sectoral approach to budget planning with additional quality data and analyses towards improved and more credible planning; </w:t>
      </w:r>
    </w:p>
    <w:p w14:paraId="78AE4900" w14:textId="77777777" w:rsidR="00281547" w:rsidRPr="00D30847" w:rsidRDefault="00281547" w:rsidP="00281547">
      <w:pPr>
        <w:spacing w:after="0" w:line="240" w:lineRule="auto"/>
        <w:ind w:firstLine="360"/>
        <w:jc w:val="both"/>
        <w:rPr>
          <w:rFonts w:cs="Calibri"/>
          <w:lang w:val="en-GB"/>
        </w:rPr>
      </w:pPr>
      <w:r w:rsidRPr="00D30847">
        <w:rPr>
          <w:rFonts w:cs="Calibri"/>
          <w:lang w:val="en-GB"/>
        </w:rPr>
        <w:t xml:space="preserve">- a wider range of data in the narrative part, based on a sectoral approach with new tables and graphs for the central budget and the local government budget, as well as data for projects financed with IPA funds; </w:t>
      </w:r>
    </w:p>
    <w:p w14:paraId="51337431" w14:textId="77777777" w:rsidR="00281547" w:rsidRPr="00D30847" w:rsidRDefault="00281547" w:rsidP="00281547">
      <w:pPr>
        <w:spacing w:after="0" w:line="240" w:lineRule="auto"/>
        <w:ind w:firstLine="360"/>
        <w:jc w:val="both"/>
        <w:rPr>
          <w:rFonts w:cs="Calibri"/>
          <w:lang w:val="en-GB"/>
        </w:rPr>
      </w:pPr>
      <w:r w:rsidRPr="00D30847">
        <w:rPr>
          <w:rFonts w:cs="Calibri"/>
          <w:lang w:val="en-GB"/>
        </w:rPr>
        <w:t>- comparative analysis of projections with data from the previous fiscal strategy, as well as comparison with projections of other domestic and international institutions.</w:t>
      </w:r>
    </w:p>
    <w:p w14:paraId="3DFD6AEB" w14:textId="77777777" w:rsidR="00281547" w:rsidRPr="00D30847" w:rsidRDefault="00281547" w:rsidP="00281547">
      <w:pPr>
        <w:spacing w:after="0" w:line="240" w:lineRule="auto"/>
        <w:ind w:firstLine="360"/>
        <w:jc w:val="both"/>
        <w:rPr>
          <w:rFonts w:cs="Calibri"/>
          <w:lang w:val="en-GB"/>
        </w:rPr>
      </w:pPr>
      <w:r w:rsidRPr="00D30847">
        <w:rPr>
          <w:rFonts w:cs="Calibri"/>
          <w:lang w:val="en-GB"/>
        </w:rPr>
        <w:t>In accordance with the latest Fiscal Strategy 2025-2029, the key elements of the medium-term fiscal policy are: disciplined fiscal policy, reduction of the grey economy, and increased collection of funds for the state budget and fiscal consolidation.</w:t>
      </w:r>
    </w:p>
    <w:p w14:paraId="6A8B2262" w14:textId="77777777" w:rsidR="00281547" w:rsidRPr="00D30847" w:rsidRDefault="00281547" w:rsidP="00281547">
      <w:pPr>
        <w:keepNext/>
        <w:keepLines/>
        <w:spacing w:before="240" w:after="12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281547" w:rsidRPr="00D30847" w14:paraId="64842164" w14:textId="77777777" w:rsidTr="00E91268">
        <w:trPr>
          <w:trHeight w:val="192"/>
        </w:trPr>
        <w:tc>
          <w:tcPr>
            <w:tcW w:w="2518" w:type="dxa"/>
            <w:tcBorders>
              <w:top w:val="nil"/>
              <w:bottom w:val="single" w:sz="4" w:space="0" w:color="FFFFFF"/>
            </w:tcBorders>
            <w:shd w:val="clear" w:color="auto" w:fill="2F5496"/>
          </w:tcPr>
          <w:p w14:paraId="7C95FBFF" w14:textId="77777777" w:rsidR="00281547" w:rsidRPr="00D30847" w:rsidRDefault="00281547" w:rsidP="00B2659B">
            <w:pPr>
              <w:tabs>
                <w:tab w:val="left" w:pos="1526"/>
              </w:tabs>
              <w:spacing w:line="240" w:lineRule="auto"/>
              <w:jc w:val="both"/>
              <w:rPr>
                <w:rFonts w:cs="Calibri"/>
                <w:color w:val="FFFFFF"/>
                <w:sz w:val="20"/>
                <w:szCs w:val="20"/>
                <w:lang w:val="en-GB"/>
              </w:rPr>
            </w:pPr>
            <w:r w:rsidRPr="00D30847">
              <w:rPr>
                <w:rFonts w:cs="Calibri"/>
                <w:b/>
                <w:color w:val="FFFFFF"/>
                <w:sz w:val="20"/>
                <w:szCs w:val="20"/>
                <w:lang w:val="en-GB"/>
              </w:rPr>
              <w:t>Completed in year:</w:t>
            </w:r>
            <w:r w:rsidRPr="00D30847">
              <w:rPr>
                <w:rFonts w:cs="Calibri"/>
                <w:color w:val="FFFFFF"/>
                <w:sz w:val="20"/>
                <w:szCs w:val="20"/>
                <w:lang w:val="en-GB"/>
              </w:rPr>
              <w:tab/>
            </w:r>
          </w:p>
        </w:tc>
        <w:tc>
          <w:tcPr>
            <w:tcW w:w="6246" w:type="dxa"/>
            <w:tcBorders>
              <w:top w:val="nil"/>
              <w:bottom w:val="single" w:sz="4" w:space="0" w:color="FFFFFF"/>
            </w:tcBorders>
            <w:shd w:val="clear" w:color="auto" w:fill="D9E2F3"/>
          </w:tcPr>
          <w:p w14:paraId="20F14F83" w14:textId="77777777" w:rsidR="00281547" w:rsidRPr="00D30847" w:rsidRDefault="00281547" w:rsidP="00B2659B">
            <w:pPr>
              <w:tabs>
                <w:tab w:val="left" w:pos="1526"/>
              </w:tabs>
              <w:spacing w:after="120" w:line="240" w:lineRule="auto"/>
              <w:jc w:val="both"/>
              <w:rPr>
                <w:rFonts w:cs="Calibri"/>
                <w:sz w:val="20"/>
                <w:szCs w:val="20"/>
                <w:lang w:val="en-GB"/>
              </w:rPr>
            </w:pPr>
            <w:r w:rsidRPr="00D30847">
              <w:rPr>
                <w:rFonts w:cs="Calibri"/>
                <w:sz w:val="20"/>
                <w:szCs w:val="20"/>
                <w:lang w:val="en-GB"/>
              </w:rPr>
              <w:t>2028</w:t>
            </w:r>
          </w:p>
        </w:tc>
      </w:tr>
      <w:tr w:rsidR="00281547" w:rsidRPr="00D30847" w14:paraId="3FD39078" w14:textId="77777777" w:rsidTr="00E91268">
        <w:trPr>
          <w:trHeight w:val="302"/>
        </w:trPr>
        <w:tc>
          <w:tcPr>
            <w:tcW w:w="2518" w:type="dxa"/>
            <w:tcBorders>
              <w:top w:val="single" w:sz="4" w:space="0" w:color="FFFFFF"/>
              <w:bottom w:val="single" w:sz="4" w:space="0" w:color="FFFFFF"/>
            </w:tcBorders>
            <w:shd w:val="clear" w:color="auto" w:fill="2F5496"/>
          </w:tcPr>
          <w:p w14:paraId="3C01DA23" w14:textId="77777777" w:rsidR="00281547" w:rsidRPr="00D30847" w:rsidRDefault="00281547" w:rsidP="00B2659B">
            <w:pPr>
              <w:tabs>
                <w:tab w:val="left" w:pos="4219"/>
              </w:tabs>
              <w:spacing w:line="240" w:lineRule="auto"/>
              <w:jc w:val="both"/>
              <w:rPr>
                <w:rFonts w:cs="Calibri"/>
                <w:color w:val="FFFFFF"/>
                <w:sz w:val="20"/>
                <w:szCs w:val="20"/>
                <w:lang w:val="en-GB"/>
              </w:rPr>
            </w:pPr>
            <w:r w:rsidRPr="00D30847">
              <w:rPr>
                <w:rFonts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2E1A3E44" w14:textId="77777777" w:rsidR="00281547" w:rsidRPr="00D30847" w:rsidRDefault="00281547" w:rsidP="00281547">
            <w:pPr>
              <w:numPr>
                <w:ilvl w:val="0"/>
                <w:numId w:val="41"/>
              </w:numPr>
              <w:spacing w:line="240" w:lineRule="auto"/>
              <w:ind w:left="183" w:hanging="180"/>
              <w:jc w:val="both"/>
              <w:rPr>
                <w:rFonts w:cs="Calibri"/>
                <w:sz w:val="20"/>
                <w:szCs w:val="20"/>
                <w:lang w:val="en-GB"/>
              </w:rPr>
            </w:pPr>
            <w:r w:rsidRPr="00D30847">
              <w:rPr>
                <w:rFonts w:cs="Calibri"/>
                <w:sz w:val="20"/>
                <w:szCs w:val="20"/>
                <w:lang w:val="en-GB"/>
              </w:rPr>
              <w:t>Improved Fiscal Strategy.</w:t>
            </w:r>
          </w:p>
        </w:tc>
      </w:tr>
      <w:tr w:rsidR="00281547" w:rsidRPr="00D30847" w14:paraId="0180561E" w14:textId="77777777" w:rsidTr="00E91268">
        <w:trPr>
          <w:trHeight w:val="280"/>
        </w:trPr>
        <w:tc>
          <w:tcPr>
            <w:tcW w:w="2518" w:type="dxa"/>
            <w:tcBorders>
              <w:top w:val="single" w:sz="4" w:space="0" w:color="FFFFFF"/>
              <w:bottom w:val="single" w:sz="4" w:space="0" w:color="FFFFFF"/>
            </w:tcBorders>
            <w:shd w:val="clear" w:color="auto" w:fill="2F5496"/>
          </w:tcPr>
          <w:p w14:paraId="325A164C" w14:textId="7DC314C6" w:rsidR="00281547" w:rsidRPr="00D30847" w:rsidRDefault="00281547" w:rsidP="00B2659B">
            <w:pPr>
              <w:tabs>
                <w:tab w:val="left" w:pos="4219"/>
              </w:tabs>
              <w:spacing w:line="240" w:lineRule="auto"/>
              <w:jc w:val="both"/>
              <w:rPr>
                <w:rFonts w:cs="Calibri"/>
                <w:b/>
                <w:color w:val="FFFFFF"/>
                <w:sz w:val="20"/>
                <w:szCs w:val="20"/>
                <w:lang w:val="en-GB"/>
              </w:rPr>
            </w:pPr>
            <w:r w:rsidRPr="00D30847">
              <w:rPr>
                <w:rFonts w:cs="Calibri"/>
                <w:b/>
                <w:color w:val="FFFFFF"/>
                <w:sz w:val="20"/>
                <w:szCs w:val="20"/>
                <w:lang w:val="en-GB"/>
              </w:rPr>
              <w:t>Cost implications:</w:t>
            </w:r>
          </w:p>
        </w:tc>
        <w:tc>
          <w:tcPr>
            <w:tcW w:w="6246" w:type="dxa"/>
            <w:tcBorders>
              <w:top w:val="single" w:sz="4" w:space="0" w:color="FFFFFF"/>
              <w:bottom w:val="single" w:sz="4" w:space="0" w:color="FFFFFF"/>
            </w:tcBorders>
            <w:shd w:val="clear" w:color="auto" w:fill="D9E2F3"/>
          </w:tcPr>
          <w:p w14:paraId="45163F1F" w14:textId="77777777" w:rsidR="00281547" w:rsidRPr="00D30847" w:rsidRDefault="00281547" w:rsidP="00B2659B">
            <w:pPr>
              <w:tabs>
                <w:tab w:val="left" w:pos="1526"/>
              </w:tabs>
              <w:spacing w:after="120" w:line="240" w:lineRule="auto"/>
              <w:jc w:val="both"/>
              <w:rPr>
                <w:rFonts w:cs="Calibri"/>
                <w:sz w:val="20"/>
                <w:szCs w:val="20"/>
                <w:lang w:val="en-GB"/>
              </w:rPr>
            </w:pPr>
            <w:r w:rsidRPr="00D30847">
              <w:rPr>
                <w:rFonts w:cs="Calibri"/>
                <w:sz w:val="20"/>
                <w:szCs w:val="20"/>
                <w:lang w:val="en-GB"/>
              </w:rPr>
              <w:t>/</w:t>
            </w:r>
          </w:p>
        </w:tc>
      </w:tr>
      <w:tr w:rsidR="00281547" w:rsidRPr="00D30847" w14:paraId="2E0F612B" w14:textId="77777777" w:rsidTr="00B2659B">
        <w:tc>
          <w:tcPr>
            <w:tcW w:w="2518" w:type="dxa"/>
            <w:tcBorders>
              <w:top w:val="single" w:sz="4" w:space="0" w:color="FFFFFF"/>
              <w:bottom w:val="single" w:sz="4" w:space="0" w:color="FFFFFF"/>
            </w:tcBorders>
            <w:shd w:val="clear" w:color="auto" w:fill="2F5496"/>
          </w:tcPr>
          <w:p w14:paraId="337465CF" w14:textId="77777777" w:rsidR="00281547" w:rsidRPr="00D30847" w:rsidRDefault="00281547" w:rsidP="00B2659B">
            <w:pPr>
              <w:tabs>
                <w:tab w:val="left" w:pos="4219"/>
              </w:tabs>
              <w:spacing w:line="240" w:lineRule="auto"/>
              <w:jc w:val="both"/>
              <w:rPr>
                <w:rFonts w:cs="Calibri"/>
                <w:b/>
                <w:color w:val="FFFFFF"/>
                <w:sz w:val="20"/>
                <w:szCs w:val="20"/>
                <w:lang w:val="en-GB"/>
              </w:rPr>
            </w:pPr>
            <w:r w:rsidRPr="00D30847">
              <w:rPr>
                <w:rFonts w:cs="Calibri"/>
                <w:b/>
                <w:color w:val="FFFFFF"/>
                <w:sz w:val="20"/>
                <w:szCs w:val="20"/>
                <w:lang w:val="en-GB"/>
              </w:rPr>
              <w:t>Responsible entity:</w:t>
            </w:r>
          </w:p>
        </w:tc>
        <w:tc>
          <w:tcPr>
            <w:tcW w:w="6246" w:type="dxa"/>
            <w:tcBorders>
              <w:top w:val="single" w:sz="4" w:space="0" w:color="FFFFFF"/>
              <w:bottom w:val="single" w:sz="4" w:space="0" w:color="FFFFFF"/>
            </w:tcBorders>
            <w:shd w:val="clear" w:color="auto" w:fill="D9E2F3"/>
          </w:tcPr>
          <w:p w14:paraId="137296C9" w14:textId="77777777" w:rsidR="00281547" w:rsidRPr="00D30847" w:rsidRDefault="00281547" w:rsidP="00B2659B">
            <w:pPr>
              <w:tabs>
                <w:tab w:val="left" w:pos="4219"/>
              </w:tabs>
              <w:spacing w:after="120" w:line="240" w:lineRule="auto"/>
              <w:jc w:val="both"/>
              <w:rPr>
                <w:rFonts w:cs="Calibri"/>
                <w:sz w:val="20"/>
                <w:szCs w:val="20"/>
                <w:lang w:val="en-GB"/>
              </w:rPr>
            </w:pPr>
            <w:r w:rsidRPr="00D30847">
              <w:rPr>
                <w:rFonts w:cs="Calibri"/>
                <w:sz w:val="20"/>
                <w:szCs w:val="20"/>
                <w:lang w:val="en-GB"/>
              </w:rPr>
              <w:t>Ministry of Finance, Budget and Funds Department</w:t>
            </w:r>
          </w:p>
        </w:tc>
      </w:tr>
      <w:tr w:rsidR="00281547" w:rsidRPr="00D30847" w14:paraId="1DDDBB33" w14:textId="77777777" w:rsidTr="00E91268">
        <w:trPr>
          <w:trHeight w:val="207"/>
        </w:trPr>
        <w:tc>
          <w:tcPr>
            <w:tcW w:w="2518" w:type="dxa"/>
            <w:tcBorders>
              <w:top w:val="single" w:sz="4" w:space="0" w:color="FFFFFF"/>
              <w:bottom w:val="nil"/>
            </w:tcBorders>
            <w:shd w:val="clear" w:color="auto" w:fill="2F5496"/>
          </w:tcPr>
          <w:p w14:paraId="1F0F7D09" w14:textId="77777777" w:rsidR="00281547" w:rsidRPr="00D30847" w:rsidRDefault="00281547" w:rsidP="00B2659B">
            <w:pPr>
              <w:tabs>
                <w:tab w:val="left" w:pos="4219"/>
              </w:tabs>
              <w:spacing w:line="240" w:lineRule="auto"/>
              <w:jc w:val="both"/>
              <w:rPr>
                <w:rFonts w:cs="Calibri"/>
                <w:b/>
                <w:color w:val="FFFFFF"/>
                <w:sz w:val="20"/>
                <w:szCs w:val="20"/>
                <w:lang w:val="en-GB"/>
              </w:rPr>
            </w:pPr>
            <w:r w:rsidRPr="00D30847">
              <w:rPr>
                <w:rFonts w:cs="Calibri"/>
                <w:b/>
                <w:color w:val="FFFFFF"/>
                <w:sz w:val="20"/>
                <w:szCs w:val="20"/>
                <w:lang w:val="en-GB"/>
              </w:rPr>
              <w:t>Risk:</w:t>
            </w:r>
          </w:p>
        </w:tc>
        <w:tc>
          <w:tcPr>
            <w:tcW w:w="6246" w:type="dxa"/>
            <w:tcBorders>
              <w:top w:val="single" w:sz="4" w:space="0" w:color="FFFFFF"/>
              <w:bottom w:val="nil"/>
            </w:tcBorders>
            <w:shd w:val="clear" w:color="auto" w:fill="D9E2F3"/>
          </w:tcPr>
          <w:p w14:paraId="303C8C43" w14:textId="77777777" w:rsidR="00281547" w:rsidRPr="00D30847" w:rsidRDefault="00281547" w:rsidP="00281547">
            <w:pPr>
              <w:numPr>
                <w:ilvl w:val="0"/>
                <w:numId w:val="41"/>
              </w:numPr>
              <w:spacing w:line="240" w:lineRule="auto"/>
              <w:ind w:left="183" w:hanging="180"/>
              <w:jc w:val="both"/>
              <w:rPr>
                <w:rFonts w:cs="Calibri"/>
                <w:sz w:val="20"/>
                <w:szCs w:val="20"/>
                <w:lang w:val="en-GB"/>
              </w:rPr>
            </w:pPr>
            <w:r w:rsidRPr="00D30847">
              <w:rPr>
                <w:rFonts w:cs="Calibri"/>
                <w:sz w:val="20"/>
                <w:szCs w:val="20"/>
                <w:lang w:val="en-GB"/>
              </w:rPr>
              <w:t>Human potential for implementation.</w:t>
            </w:r>
          </w:p>
        </w:tc>
      </w:tr>
    </w:tbl>
    <w:p w14:paraId="65DD0163" w14:textId="77777777" w:rsidR="00281547" w:rsidRPr="00D30847" w:rsidRDefault="00281547" w:rsidP="00464BF7">
      <w:pPr>
        <w:spacing w:after="0" w:line="240" w:lineRule="auto"/>
        <w:jc w:val="both"/>
        <w:rPr>
          <w:rFonts w:cs="Calibri"/>
          <w:lang w:val="en-GB"/>
        </w:rPr>
      </w:pPr>
    </w:p>
    <w:p w14:paraId="74D656C5" w14:textId="77777777" w:rsidR="00376718" w:rsidRPr="00D30847" w:rsidRDefault="00376718" w:rsidP="00E84CD0">
      <w:pPr>
        <w:spacing w:after="0" w:line="240" w:lineRule="auto"/>
        <w:ind w:left="360"/>
        <w:jc w:val="both"/>
        <w:rPr>
          <w:rFonts w:cs="Calibri"/>
          <w:lang w:val="en-GB"/>
        </w:rPr>
      </w:pPr>
    </w:p>
    <w:p w14:paraId="151A6CF0" w14:textId="77777777" w:rsidR="00E91268" w:rsidRDefault="003C3927" w:rsidP="00E91268">
      <w:pPr>
        <w:spacing w:after="0" w:line="240" w:lineRule="auto"/>
        <w:jc w:val="both"/>
        <w:rPr>
          <w:b/>
          <w:color w:val="0070C0"/>
          <w:sz w:val="24"/>
          <w:szCs w:val="24"/>
          <w:lang w:val="en-GB"/>
        </w:rPr>
      </w:pPr>
      <w:r w:rsidRPr="00D30847">
        <w:rPr>
          <w:b/>
          <w:color w:val="0070C0"/>
          <w:sz w:val="24"/>
          <w:szCs w:val="24"/>
          <w:lang w:val="en-GB"/>
        </w:rPr>
        <w:t>Measure 2: Improving sectoral approach of budget planning and development by implementation of bylaws</w:t>
      </w:r>
      <w:bookmarkStart w:id="36" w:name="_Hlk161407777"/>
    </w:p>
    <w:p w14:paraId="34B7682D" w14:textId="77777777" w:rsidR="00E91268" w:rsidRDefault="00E91268" w:rsidP="00E91268">
      <w:pPr>
        <w:spacing w:after="0" w:line="240" w:lineRule="auto"/>
        <w:jc w:val="both"/>
        <w:rPr>
          <w:b/>
          <w:color w:val="0070C0"/>
          <w:sz w:val="24"/>
          <w:szCs w:val="24"/>
          <w:lang w:val="en-GB"/>
        </w:rPr>
      </w:pPr>
    </w:p>
    <w:p w14:paraId="06F3030C" w14:textId="77777777" w:rsidR="00E91268" w:rsidRDefault="00E91268" w:rsidP="00E91268">
      <w:pPr>
        <w:spacing w:after="0" w:line="240" w:lineRule="auto"/>
        <w:jc w:val="both"/>
        <w:rPr>
          <w:rFonts w:eastAsia="MS PGothic" w:cs="Calibri"/>
          <w:b/>
          <w:bCs/>
          <w:i/>
          <w:iCs/>
          <w:color w:val="4F81BD"/>
          <w:lang w:val="en-GB" w:eastAsia="zh-CN"/>
        </w:rPr>
      </w:pPr>
    </w:p>
    <w:p w14:paraId="211467F7" w14:textId="77777777" w:rsidR="00E91268" w:rsidRDefault="00E91268" w:rsidP="00E91268">
      <w:pPr>
        <w:spacing w:after="0" w:line="240" w:lineRule="auto"/>
        <w:jc w:val="both"/>
        <w:rPr>
          <w:rFonts w:eastAsia="MS PGothic" w:cs="Calibri"/>
          <w:b/>
          <w:bCs/>
          <w:i/>
          <w:iCs/>
          <w:color w:val="4F81BD"/>
          <w:lang w:val="en-GB" w:eastAsia="zh-CN"/>
        </w:rPr>
      </w:pPr>
    </w:p>
    <w:p w14:paraId="04F4702A" w14:textId="77777777" w:rsidR="00E91268" w:rsidRDefault="00E91268" w:rsidP="00E91268">
      <w:pPr>
        <w:spacing w:after="0" w:line="240" w:lineRule="auto"/>
        <w:jc w:val="both"/>
        <w:rPr>
          <w:rFonts w:eastAsia="MS PGothic" w:cs="Calibri"/>
          <w:b/>
          <w:bCs/>
          <w:i/>
          <w:iCs/>
          <w:color w:val="4F81BD"/>
          <w:lang w:val="en-GB" w:eastAsia="zh-CN"/>
        </w:rPr>
      </w:pPr>
    </w:p>
    <w:p w14:paraId="6C625033" w14:textId="77777777" w:rsidR="00E91268" w:rsidRDefault="00E91268" w:rsidP="00E91268">
      <w:pPr>
        <w:spacing w:after="0" w:line="240" w:lineRule="auto"/>
        <w:jc w:val="both"/>
        <w:rPr>
          <w:rFonts w:eastAsia="MS PGothic" w:cs="Calibri"/>
          <w:b/>
          <w:bCs/>
          <w:i/>
          <w:iCs/>
          <w:color w:val="4F81BD"/>
          <w:lang w:val="en-GB" w:eastAsia="zh-CN"/>
        </w:rPr>
      </w:pPr>
    </w:p>
    <w:p w14:paraId="64A998BA" w14:textId="77777777" w:rsidR="00E91268" w:rsidRDefault="00E91268" w:rsidP="00E91268">
      <w:pPr>
        <w:spacing w:after="0" w:line="240" w:lineRule="auto"/>
        <w:jc w:val="both"/>
        <w:rPr>
          <w:rFonts w:eastAsia="MS PGothic" w:cs="Calibri"/>
          <w:b/>
          <w:bCs/>
          <w:i/>
          <w:iCs/>
          <w:color w:val="4F81BD"/>
          <w:lang w:val="en-GB" w:eastAsia="zh-CN"/>
        </w:rPr>
      </w:pPr>
    </w:p>
    <w:p w14:paraId="759CE3B7" w14:textId="77777777" w:rsidR="00E91268" w:rsidRDefault="00E91268" w:rsidP="00E91268">
      <w:pPr>
        <w:spacing w:after="0" w:line="240" w:lineRule="auto"/>
        <w:jc w:val="both"/>
        <w:rPr>
          <w:rFonts w:eastAsia="MS PGothic" w:cs="Calibri"/>
          <w:b/>
          <w:bCs/>
          <w:i/>
          <w:iCs/>
          <w:color w:val="4F81BD"/>
          <w:lang w:val="en-GB" w:eastAsia="zh-CN"/>
        </w:rPr>
      </w:pPr>
    </w:p>
    <w:p w14:paraId="07F5A5E7" w14:textId="77777777" w:rsidR="00E91268" w:rsidRDefault="00E91268" w:rsidP="00E91268">
      <w:pPr>
        <w:spacing w:after="0" w:line="240" w:lineRule="auto"/>
        <w:jc w:val="both"/>
        <w:rPr>
          <w:rFonts w:eastAsia="MS PGothic" w:cs="Calibri"/>
          <w:b/>
          <w:bCs/>
          <w:i/>
          <w:iCs/>
          <w:color w:val="4F81BD"/>
          <w:lang w:val="en-GB" w:eastAsia="zh-CN"/>
        </w:rPr>
      </w:pPr>
    </w:p>
    <w:p w14:paraId="333251DE" w14:textId="52A11028" w:rsidR="00376718" w:rsidRPr="00E91268" w:rsidRDefault="00376718" w:rsidP="00E91268">
      <w:pPr>
        <w:spacing w:after="0" w:line="240" w:lineRule="auto"/>
        <w:jc w:val="both"/>
        <w:rPr>
          <w:b/>
          <w:color w:val="0070C0"/>
          <w:sz w:val="24"/>
          <w:szCs w:val="24"/>
          <w:lang w:val="en-GB"/>
        </w:rPr>
      </w:pPr>
      <w:r w:rsidRPr="00D30847">
        <w:rPr>
          <w:rFonts w:eastAsia="MS PGothic" w:cs="Calibri"/>
          <w:b/>
          <w:bCs/>
          <w:i/>
          <w:iCs/>
          <w:color w:val="4F81BD"/>
          <w:lang w:val="en-GB" w:eastAsia="zh-CN"/>
        </w:rPr>
        <w:lastRenderedPageBreak/>
        <w:t>Measure objective</w:t>
      </w:r>
    </w:p>
    <w:bookmarkEnd w:id="36"/>
    <w:p w14:paraId="244F113A" w14:textId="30DC6B12" w:rsidR="00E91268" w:rsidRPr="00E91268" w:rsidRDefault="00281547" w:rsidP="00E84CD0">
      <w:pPr>
        <w:keepNext/>
        <w:keepLines/>
        <w:spacing w:before="160" w:after="60" w:line="240" w:lineRule="auto"/>
        <w:jc w:val="both"/>
        <w:outlineLvl w:val="3"/>
        <w:rPr>
          <w:rFonts w:cs="Calibri"/>
          <w:lang w:val="en-GB"/>
        </w:rPr>
      </w:pPr>
      <w:r w:rsidRPr="00D30847">
        <w:rPr>
          <w:rFonts w:cs="Calibri"/>
          <w:lang w:val="en-GB"/>
        </w:rPr>
        <w:t>Improving budget planning processes and performance indicators, in order to provide a framework for conducting a predictable and sustainable budget policy, as well as increasing budget discipline and accountability, in accordance with the established legal regulations with the new Budget Law.</w:t>
      </w:r>
    </w:p>
    <w:p w14:paraId="3F2BEB54" w14:textId="13CC6BC5" w:rsidR="00376718" w:rsidRPr="00D30847" w:rsidRDefault="00376718"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Reference to the external assessments findings:</w:t>
      </w:r>
    </w:p>
    <w:tbl>
      <w:tblPr>
        <w:tblW w:w="86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ayout w:type="fixed"/>
        <w:tblLook w:val="01E0" w:firstRow="1" w:lastRow="1" w:firstColumn="1" w:lastColumn="1" w:noHBand="0" w:noVBand="0"/>
      </w:tblPr>
      <w:tblGrid>
        <w:gridCol w:w="1933"/>
        <w:gridCol w:w="6737"/>
      </w:tblGrid>
      <w:tr w:rsidR="00376718" w:rsidRPr="00D30847" w14:paraId="0D21F495" w14:textId="77777777" w:rsidTr="00C17F2F">
        <w:tc>
          <w:tcPr>
            <w:tcW w:w="1933" w:type="dxa"/>
            <w:shd w:val="clear" w:color="auto" w:fill="DDDDDD"/>
          </w:tcPr>
          <w:p w14:paraId="12EFCDA2" w14:textId="240D3FBA" w:rsidR="00376718" w:rsidRPr="00D30847" w:rsidRDefault="00376718" w:rsidP="00E84CD0">
            <w:pPr>
              <w:spacing w:before="80" w:after="0" w:line="240" w:lineRule="auto"/>
              <w:jc w:val="both"/>
              <w:rPr>
                <w:rFonts w:cs="Calibri"/>
                <w:b/>
                <w:sz w:val="18"/>
                <w:szCs w:val="18"/>
                <w:lang w:val="en-GB"/>
              </w:rPr>
            </w:pPr>
            <w:r w:rsidRPr="00D30847">
              <w:rPr>
                <w:rFonts w:cs="Calibri"/>
                <w:b/>
                <w:sz w:val="18"/>
                <w:szCs w:val="18"/>
                <w:lang w:val="en-GB"/>
              </w:rPr>
              <w:t>PEFA 2021</w:t>
            </w:r>
          </w:p>
        </w:tc>
        <w:tc>
          <w:tcPr>
            <w:tcW w:w="6737" w:type="dxa"/>
            <w:shd w:val="clear" w:color="auto" w:fill="DDDDDD"/>
          </w:tcPr>
          <w:p w14:paraId="14B08AB5" w14:textId="77777777" w:rsidR="003C3927" w:rsidRPr="00D30847" w:rsidRDefault="003C3927" w:rsidP="00464BF7">
            <w:pPr>
              <w:tabs>
                <w:tab w:val="left" w:pos="180"/>
              </w:tabs>
              <w:spacing w:after="0" w:line="240" w:lineRule="auto"/>
              <w:contextualSpacing/>
              <w:jc w:val="both"/>
              <w:rPr>
                <w:rFonts w:eastAsia="MS PGothic" w:cs="Calibri"/>
                <w:sz w:val="20"/>
                <w:szCs w:val="20"/>
                <w:lang w:val="en-GB" w:eastAsia="zh-CN"/>
              </w:rPr>
            </w:pPr>
            <w:r w:rsidRPr="00D30847">
              <w:rPr>
                <w:rFonts w:eastAsia="MS PGothic" w:cs="Calibri"/>
                <w:sz w:val="20"/>
                <w:szCs w:val="20"/>
                <w:lang w:val="en-GB" w:eastAsia="zh-CN"/>
              </w:rPr>
              <w:t xml:space="preserve">Budget preparation process, as well as </w:t>
            </w:r>
            <w:r w:rsidRPr="00D30847">
              <w:rPr>
                <w:rFonts w:eastAsia="Times New Roman" w:cs="Calibri"/>
                <w:sz w:val="20"/>
                <w:szCs w:val="20"/>
                <w:lang w:val="en-GB" w:eastAsia="en-GB"/>
              </w:rPr>
              <w:t xml:space="preserve">its structure to reflect the reforms envisaged in the Organic Budget Law, </w:t>
            </w:r>
          </w:p>
          <w:p w14:paraId="53C606D6" w14:textId="77777777" w:rsidR="003C3927" w:rsidRPr="00D30847" w:rsidRDefault="003C3927" w:rsidP="00464BF7">
            <w:pPr>
              <w:tabs>
                <w:tab w:val="left" w:pos="180"/>
              </w:tabs>
              <w:spacing w:after="0" w:line="240" w:lineRule="auto"/>
              <w:contextualSpacing/>
              <w:jc w:val="both"/>
              <w:rPr>
                <w:rFonts w:eastAsia="MS PGothic" w:cs="Calibri"/>
                <w:sz w:val="20"/>
                <w:szCs w:val="20"/>
                <w:lang w:val="en-GB" w:eastAsia="zh-CN"/>
              </w:rPr>
            </w:pPr>
            <w:r w:rsidRPr="00D30847">
              <w:rPr>
                <w:rFonts w:eastAsia="Times New Roman" w:cs="Calibri"/>
                <w:sz w:val="20"/>
                <w:szCs w:val="20"/>
                <w:lang w:val="en-GB" w:eastAsia="en-GB"/>
              </w:rPr>
              <w:t>Establishing and prescribing the classifications necessary for the Budget preparation (Organizational, Functional, Program classifications, as well as classification of sources of financing) and other bylaws for implementation of the planned reforms in the field of public finance, </w:t>
            </w:r>
          </w:p>
          <w:p w14:paraId="0B4FBD68" w14:textId="30F6C5DF" w:rsidR="00376718" w:rsidRPr="00D30847" w:rsidRDefault="003C3927" w:rsidP="00464BF7">
            <w:pPr>
              <w:tabs>
                <w:tab w:val="left" w:pos="180"/>
              </w:tabs>
              <w:spacing w:after="0" w:line="240" w:lineRule="auto"/>
              <w:contextualSpacing/>
              <w:jc w:val="both"/>
              <w:rPr>
                <w:rFonts w:eastAsia="MS PGothic" w:cs="Calibri"/>
                <w:sz w:val="20"/>
                <w:szCs w:val="20"/>
                <w:lang w:val="en-GB" w:eastAsia="zh-CN"/>
              </w:rPr>
            </w:pPr>
            <w:r w:rsidRPr="00D30847">
              <w:rPr>
                <w:rFonts w:eastAsia="MS PGothic" w:cs="Calibri"/>
                <w:sz w:val="20"/>
                <w:szCs w:val="20"/>
                <w:lang w:val="en-GB" w:eastAsia="zh-CN"/>
              </w:rPr>
              <w:t>Developing and monitoring program goals and indicators.</w:t>
            </w:r>
          </w:p>
        </w:tc>
      </w:tr>
      <w:tr w:rsidR="00376718" w:rsidRPr="00D30847" w14:paraId="683DB904" w14:textId="77777777" w:rsidTr="00C17F2F">
        <w:tc>
          <w:tcPr>
            <w:tcW w:w="1933" w:type="dxa"/>
            <w:shd w:val="clear" w:color="auto" w:fill="DDDDDD"/>
          </w:tcPr>
          <w:p w14:paraId="6AB0BBA3" w14:textId="2B5278F8" w:rsidR="00376718" w:rsidRPr="00D30847" w:rsidRDefault="00376718" w:rsidP="00E84CD0">
            <w:pPr>
              <w:spacing w:before="80" w:after="0" w:line="240" w:lineRule="auto"/>
              <w:jc w:val="both"/>
              <w:rPr>
                <w:rFonts w:cs="Calibri"/>
                <w:b/>
                <w:sz w:val="18"/>
                <w:szCs w:val="18"/>
                <w:lang w:val="en-GB"/>
              </w:rPr>
            </w:pPr>
            <w:r w:rsidRPr="00D30847">
              <w:rPr>
                <w:rFonts w:cs="Calibri"/>
                <w:b/>
                <w:sz w:val="18"/>
                <w:szCs w:val="18"/>
                <w:lang w:val="en-GB"/>
              </w:rPr>
              <w:t>SIGMA 2021</w:t>
            </w:r>
          </w:p>
        </w:tc>
        <w:tc>
          <w:tcPr>
            <w:tcW w:w="6737" w:type="dxa"/>
            <w:shd w:val="clear" w:color="auto" w:fill="DDDDDD"/>
          </w:tcPr>
          <w:p w14:paraId="191B4F4F" w14:textId="77777777" w:rsidR="00376718" w:rsidRPr="00D30847" w:rsidRDefault="00376718" w:rsidP="00464BF7">
            <w:pPr>
              <w:tabs>
                <w:tab w:val="left" w:pos="180"/>
              </w:tabs>
              <w:spacing w:after="0" w:line="240" w:lineRule="auto"/>
              <w:contextualSpacing/>
              <w:jc w:val="both"/>
              <w:rPr>
                <w:rFonts w:eastAsia="MS PGothic" w:cs="Calibri"/>
                <w:sz w:val="20"/>
                <w:szCs w:val="20"/>
                <w:lang w:val="en-GB" w:eastAsia="zh-CN"/>
              </w:rPr>
            </w:pPr>
            <w:r w:rsidRPr="00D30847">
              <w:rPr>
                <w:rFonts w:eastAsia="MS PGothic" w:cs="Calibri"/>
                <w:sz w:val="20"/>
                <w:szCs w:val="20"/>
                <w:lang w:val="en-GB" w:eastAsia="zh-CN"/>
              </w:rPr>
              <w:t>Improving the credibility of projections (1-year and multi-year),</w:t>
            </w:r>
          </w:p>
          <w:p w14:paraId="47BE3D2D" w14:textId="77777777" w:rsidR="00376718" w:rsidRPr="00D30847" w:rsidRDefault="00376718" w:rsidP="00464BF7">
            <w:pPr>
              <w:tabs>
                <w:tab w:val="left" w:pos="180"/>
              </w:tabs>
              <w:spacing w:after="0" w:line="240" w:lineRule="auto"/>
              <w:contextualSpacing/>
              <w:jc w:val="both"/>
              <w:rPr>
                <w:rFonts w:eastAsia="MS PGothic" w:cs="Calibri"/>
                <w:sz w:val="20"/>
                <w:szCs w:val="20"/>
                <w:lang w:val="en-GB" w:eastAsia="zh-CN"/>
              </w:rPr>
            </w:pPr>
            <w:r w:rsidRPr="00D30847">
              <w:rPr>
                <w:rFonts w:eastAsia="MS PGothic" w:cs="Calibri"/>
                <w:sz w:val="20"/>
                <w:szCs w:val="20"/>
                <w:lang w:val="en-GB" w:eastAsia="zh-CN"/>
              </w:rPr>
              <w:t xml:space="preserve">Creating conditions for having a functional role of the budget user (sectoral) in place and its competence as per the new legal framework. </w:t>
            </w:r>
          </w:p>
        </w:tc>
      </w:tr>
    </w:tbl>
    <w:p w14:paraId="22EFCE35" w14:textId="77777777" w:rsidR="00376718" w:rsidRPr="00D30847" w:rsidRDefault="00376718"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Context/Background</w:t>
      </w:r>
    </w:p>
    <w:p w14:paraId="27FF84C0" w14:textId="77777777" w:rsidR="00281547" w:rsidRPr="00D30847" w:rsidRDefault="00281547" w:rsidP="00281547">
      <w:pPr>
        <w:spacing w:after="0" w:line="240" w:lineRule="auto"/>
        <w:jc w:val="both"/>
        <w:rPr>
          <w:rFonts w:cs="Calibri"/>
          <w:lang w:val="en-GB"/>
        </w:rPr>
      </w:pPr>
      <w:r w:rsidRPr="00D30847">
        <w:rPr>
          <w:rFonts w:cs="Calibri"/>
          <w:lang w:val="en-GB"/>
        </w:rPr>
        <w:t xml:space="preserve">The budget is one of the most important instruments of economic policy. Therefore, the Law on Budgets, which defines the procedures for the preparation and adoption of this document, is of equal importance. The existing Law on Budgets dates from 2005 and, with several additional amendments and clarifications, regulates the procedures for the preparation, adoption and execution of the Budget of the Republic of North Macedonia, as well as the budgets of the local self-government units and the city of Skopje, as well as reporting on the execution of the budget. </w:t>
      </w:r>
    </w:p>
    <w:p w14:paraId="1094874E" w14:textId="77777777" w:rsidR="00281547" w:rsidRPr="00D30847" w:rsidRDefault="00281547" w:rsidP="00281547">
      <w:pPr>
        <w:spacing w:after="0" w:line="240" w:lineRule="auto"/>
        <w:jc w:val="both"/>
        <w:rPr>
          <w:rFonts w:cs="Calibri"/>
          <w:lang w:val="en-GB"/>
        </w:rPr>
      </w:pPr>
    </w:p>
    <w:p w14:paraId="2D176EBD" w14:textId="77777777" w:rsidR="00281547" w:rsidRPr="00D30847" w:rsidRDefault="00281547" w:rsidP="00281547">
      <w:pPr>
        <w:spacing w:after="0" w:line="240" w:lineRule="auto"/>
        <w:jc w:val="both"/>
        <w:rPr>
          <w:rFonts w:cs="Calibri"/>
          <w:lang w:val="en-GB"/>
        </w:rPr>
      </w:pPr>
      <w:r w:rsidRPr="00D30847">
        <w:rPr>
          <w:rFonts w:cs="Calibri"/>
          <w:lang w:val="en-GB"/>
        </w:rPr>
        <w:t xml:space="preserve">However, new trends, recommendations and directives require new solutions for the management of public finances, in accordance with the good practices of international financial institutions and the directives of the European Union. </w:t>
      </w:r>
    </w:p>
    <w:p w14:paraId="7700135C" w14:textId="77777777" w:rsidR="00281547" w:rsidRPr="00D30847" w:rsidRDefault="00281547" w:rsidP="00281547">
      <w:pPr>
        <w:spacing w:after="0" w:line="240" w:lineRule="auto"/>
        <w:jc w:val="both"/>
        <w:rPr>
          <w:rFonts w:cs="Calibri"/>
          <w:lang w:val="en-GB"/>
        </w:rPr>
      </w:pPr>
    </w:p>
    <w:p w14:paraId="58F3B44B" w14:textId="77777777" w:rsidR="00281547" w:rsidRPr="00D30847" w:rsidRDefault="00281547" w:rsidP="00281547">
      <w:pPr>
        <w:spacing w:after="0" w:line="240" w:lineRule="auto"/>
        <w:jc w:val="both"/>
        <w:rPr>
          <w:rFonts w:cs="Calibri"/>
          <w:lang w:val="en-GB"/>
        </w:rPr>
      </w:pPr>
      <w:r w:rsidRPr="00D30847">
        <w:rPr>
          <w:rFonts w:cs="Calibri"/>
          <w:lang w:val="en-GB"/>
        </w:rPr>
        <w:t xml:space="preserve">For the above reasons, the Ministry of Finance has recognized the need to draft a completely new law, in order to provide a framework for conducting a sound, predictable and sustainable fiscal policy, as well as increasing budgetary discipline and responsibility. </w:t>
      </w:r>
    </w:p>
    <w:p w14:paraId="18589576" w14:textId="77777777" w:rsidR="00281547" w:rsidRPr="00D30847" w:rsidRDefault="00281547" w:rsidP="00281547">
      <w:pPr>
        <w:spacing w:after="0" w:line="240" w:lineRule="auto"/>
        <w:jc w:val="both"/>
        <w:rPr>
          <w:rFonts w:cs="Calibri"/>
          <w:lang w:val="en-GB"/>
        </w:rPr>
      </w:pPr>
    </w:p>
    <w:p w14:paraId="196A9F25" w14:textId="77777777" w:rsidR="00281547" w:rsidRPr="00D30847" w:rsidRDefault="00281547" w:rsidP="00281547">
      <w:pPr>
        <w:spacing w:after="0" w:line="240" w:lineRule="auto"/>
        <w:jc w:val="both"/>
        <w:rPr>
          <w:rFonts w:cs="Calibri"/>
          <w:lang w:val="en-GB"/>
        </w:rPr>
      </w:pPr>
      <w:r w:rsidRPr="00D30847">
        <w:rPr>
          <w:rFonts w:cs="Calibri"/>
          <w:lang w:val="en-GB"/>
        </w:rPr>
        <w:t xml:space="preserve">Development of multi-year indicators for measuring the success of implementing budget policies - in order to measure the effects of budget expenditures in relation to the results in the provision of public goods and services by budget users, which are part of the Fiscal Strategy, the Budget of the Republic of North Macedonia and the Final Account of the Budget of the Republic of North Macedonia. </w:t>
      </w:r>
    </w:p>
    <w:p w14:paraId="2A6808AA" w14:textId="77777777" w:rsidR="00281547" w:rsidRPr="00D30847" w:rsidRDefault="00281547" w:rsidP="00281547">
      <w:pPr>
        <w:spacing w:after="0" w:line="240" w:lineRule="auto"/>
        <w:jc w:val="both"/>
        <w:rPr>
          <w:rFonts w:cs="Calibri"/>
          <w:lang w:val="en-GB"/>
        </w:rPr>
      </w:pPr>
    </w:p>
    <w:p w14:paraId="74211A67" w14:textId="4000F826" w:rsidR="00281547" w:rsidRPr="00D30847" w:rsidRDefault="00281547" w:rsidP="00281547">
      <w:pPr>
        <w:spacing w:after="0" w:line="240" w:lineRule="auto"/>
        <w:jc w:val="both"/>
        <w:rPr>
          <w:rFonts w:cs="Calibri"/>
          <w:lang w:val="en-GB"/>
        </w:rPr>
      </w:pPr>
      <w:r w:rsidRPr="00D30847">
        <w:rPr>
          <w:rFonts w:cs="Calibri"/>
          <w:lang w:val="en-GB"/>
        </w:rPr>
        <w:t>With the new legal solution, we expect fiscal policy to be directed towards the consolidation of public expenditures, through a gradual reduction in the level of the deficit, as well as the redesign of public expenditures through increased investments in infrastructure.</w:t>
      </w:r>
    </w:p>
    <w:p w14:paraId="003CAC57" w14:textId="77777777" w:rsidR="00015266" w:rsidRPr="00D30847" w:rsidRDefault="00015266" w:rsidP="00281547">
      <w:pPr>
        <w:spacing w:after="0" w:line="240" w:lineRule="auto"/>
        <w:jc w:val="both"/>
        <w:rPr>
          <w:rFonts w:cs="Calibri"/>
          <w:lang w:val="en-GB"/>
        </w:rPr>
      </w:pPr>
    </w:p>
    <w:p w14:paraId="4A4301E2" w14:textId="0EF1379B" w:rsidR="00376718" w:rsidRPr="00D30847" w:rsidRDefault="00376718" w:rsidP="00E84CD0">
      <w:pPr>
        <w:spacing w:after="0" w:line="240" w:lineRule="auto"/>
        <w:jc w:val="both"/>
        <w:rPr>
          <w:rFonts w:cs="Calibri"/>
          <w:b/>
          <w:bCs/>
          <w:iCs/>
          <w:color w:val="0070C0"/>
          <w:lang w:val="en-GB"/>
        </w:rPr>
      </w:pPr>
      <w:r w:rsidRPr="00D30847">
        <w:rPr>
          <w:rFonts w:cs="Calibri"/>
          <w:b/>
          <w:bCs/>
          <w:iCs/>
          <w:color w:val="0070C0"/>
          <w:lang w:val="en-GB"/>
        </w:rPr>
        <w:t>Activity 1:</w:t>
      </w:r>
      <w:r w:rsidR="00C17F2F" w:rsidRPr="00D30847">
        <w:rPr>
          <w:rFonts w:cs="Calibri"/>
          <w:b/>
          <w:bCs/>
          <w:iCs/>
          <w:color w:val="0070C0"/>
          <w:lang w:val="en-GB"/>
        </w:rPr>
        <w:t xml:space="preserve"> </w:t>
      </w:r>
      <w:r w:rsidR="003C3927" w:rsidRPr="00D30847">
        <w:rPr>
          <w:rFonts w:cs="Calibri"/>
          <w:b/>
          <w:bCs/>
          <w:iCs/>
          <w:color w:val="0070C0"/>
          <w:lang w:val="en-GB"/>
        </w:rPr>
        <w:t>Preparing</w:t>
      </w:r>
      <w:r w:rsidR="006F5904" w:rsidRPr="00D30847">
        <w:rPr>
          <w:rFonts w:cs="Calibri"/>
          <w:b/>
          <w:bCs/>
          <w:iCs/>
          <w:color w:val="0070C0"/>
          <w:lang w:val="en-GB"/>
        </w:rPr>
        <w:t xml:space="preserve"> </w:t>
      </w:r>
      <w:r w:rsidR="003C3927" w:rsidRPr="00D30847">
        <w:rPr>
          <w:rFonts w:cs="Calibri"/>
          <w:b/>
          <w:bCs/>
          <w:iCs/>
          <w:color w:val="0070C0"/>
          <w:lang w:val="en-GB"/>
        </w:rPr>
        <w:t>and</w:t>
      </w:r>
      <w:r w:rsidR="006F5904" w:rsidRPr="00D30847">
        <w:rPr>
          <w:rFonts w:cs="Calibri"/>
          <w:b/>
          <w:bCs/>
          <w:iCs/>
          <w:color w:val="0070C0"/>
          <w:lang w:val="en-GB"/>
        </w:rPr>
        <w:t xml:space="preserve"> </w:t>
      </w:r>
      <w:r w:rsidR="003C3927" w:rsidRPr="00D30847">
        <w:rPr>
          <w:rFonts w:cs="Calibri"/>
          <w:b/>
          <w:bCs/>
          <w:iCs/>
          <w:color w:val="0070C0"/>
          <w:lang w:val="en-GB"/>
        </w:rPr>
        <w:t>implementing</w:t>
      </w:r>
      <w:r w:rsidR="006F5904" w:rsidRPr="00D30847">
        <w:rPr>
          <w:rFonts w:cs="Calibri"/>
          <w:b/>
          <w:bCs/>
          <w:iCs/>
          <w:color w:val="0070C0"/>
          <w:lang w:val="en-GB"/>
        </w:rPr>
        <w:t xml:space="preserve"> </w:t>
      </w:r>
      <w:r w:rsidR="003C3927" w:rsidRPr="00D30847">
        <w:rPr>
          <w:rFonts w:cs="Calibri"/>
          <w:b/>
          <w:bCs/>
          <w:iCs/>
          <w:color w:val="0070C0"/>
          <w:lang w:val="en-GB"/>
        </w:rPr>
        <w:t>OBL bylaws</w:t>
      </w:r>
    </w:p>
    <w:p w14:paraId="6307454C" w14:textId="77777777" w:rsidR="00281547" w:rsidRPr="00D30847" w:rsidRDefault="00281547" w:rsidP="00281547">
      <w:pPr>
        <w:tabs>
          <w:tab w:val="left" w:pos="851"/>
        </w:tabs>
        <w:spacing w:before="120" w:line="240" w:lineRule="auto"/>
        <w:jc w:val="both"/>
        <w:rPr>
          <w:rFonts w:cs="Calibri"/>
          <w:lang w:val="en-GB"/>
        </w:rPr>
      </w:pPr>
      <w:r w:rsidRPr="00D30847">
        <w:rPr>
          <w:rFonts w:cs="Calibri"/>
          <w:lang w:val="en-GB"/>
        </w:rPr>
        <w:t>The new Budget Law is related to the preparation and adoption of bylaws, which will contribute to creating conditions for its full implementation.</w:t>
      </w:r>
    </w:p>
    <w:p w14:paraId="28FA647B" w14:textId="77777777" w:rsidR="00281547" w:rsidRPr="00D30847" w:rsidRDefault="00281547" w:rsidP="00281547">
      <w:pPr>
        <w:tabs>
          <w:tab w:val="left" w:pos="851"/>
        </w:tabs>
        <w:spacing w:before="120" w:line="240" w:lineRule="auto"/>
        <w:jc w:val="both"/>
        <w:rPr>
          <w:rFonts w:cs="Calibri"/>
          <w:lang w:val="en-GB"/>
        </w:rPr>
      </w:pPr>
      <w:r w:rsidRPr="00D30847">
        <w:rPr>
          <w:rFonts w:cs="Calibri"/>
          <w:lang w:val="en-GB"/>
        </w:rPr>
        <w:t xml:space="preserve">Ministry of Finance, in cooperation with the World Bank, as well as through the </w:t>
      </w:r>
      <w:r w:rsidRPr="00D30847">
        <w:rPr>
          <w:rFonts w:eastAsia="Times New Roman" w:cs="Calibri"/>
          <w:lang w:val="en-GB" w:eastAsia="ar-SA"/>
        </w:rPr>
        <w:t>U.S. Department of the Treasury</w:t>
      </w:r>
      <w:r w:rsidRPr="00D30847">
        <w:rPr>
          <w:rFonts w:cs="Calibri"/>
          <w:lang w:val="en-GB"/>
        </w:rPr>
        <w:t>, works on preparing by-laws, guidelines, manuals, etc., aimed at enforcing the new Organic Budget Law, further improvements of the public financial management system, as well as developing a detailed plan for all working process.</w:t>
      </w:r>
    </w:p>
    <w:p w14:paraId="28ED7D6E" w14:textId="77777777" w:rsidR="00281547" w:rsidRPr="00D30847" w:rsidRDefault="00281547" w:rsidP="00281547">
      <w:pPr>
        <w:tabs>
          <w:tab w:val="left" w:pos="851"/>
        </w:tabs>
        <w:spacing w:before="120" w:line="240" w:lineRule="auto"/>
        <w:jc w:val="both"/>
        <w:rPr>
          <w:rFonts w:cs="Calibri"/>
          <w:lang w:val="en-GB"/>
        </w:rPr>
      </w:pPr>
      <w:r w:rsidRPr="00D30847">
        <w:rPr>
          <w:rFonts w:cs="Calibri"/>
          <w:lang w:val="en-GB"/>
        </w:rPr>
        <w:t xml:space="preserve">New Organic Budget Law covers all reform activities and processes, </w:t>
      </w:r>
      <w:r w:rsidRPr="00D30847">
        <w:rPr>
          <w:rFonts w:eastAsia="Times New Roman" w:cs="Calibri"/>
          <w:color w:val="000000"/>
          <w:lang w:val="en-GB" w:eastAsia="en-GB"/>
        </w:rPr>
        <w:t xml:space="preserve">which would significantly improve the budget planning and the Fiscal Strategy through comprehensive data and programmatic approach, </w:t>
      </w:r>
      <w:r w:rsidRPr="00D30847">
        <w:rPr>
          <w:rFonts w:eastAsia="Times New Roman" w:cs="Calibri"/>
          <w:color w:val="000000"/>
          <w:lang w:val="en-GB" w:eastAsia="en-GB"/>
        </w:rPr>
        <w:lastRenderedPageBreak/>
        <w:t>increased quality in scope and contents, harmonization of definitions with international methodologies and new classifications, in order to develop and monitor the measurable indicators.</w:t>
      </w:r>
    </w:p>
    <w:p w14:paraId="39F1A806" w14:textId="77777777" w:rsidR="00281547" w:rsidRPr="00D30847" w:rsidRDefault="00281547" w:rsidP="00281547">
      <w:pPr>
        <w:tabs>
          <w:tab w:val="left" w:pos="851"/>
        </w:tabs>
        <w:spacing w:before="120" w:line="240" w:lineRule="auto"/>
        <w:jc w:val="both"/>
        <w:rPr>
          <w:rFonts w:cs="Calibri"/>
          <w:lang w:val="en-GB"/>
        </w:rPr>
      </w:pPr>
      <w:r w:rsidRPr="00D30847">
        <w:rPr>
          <w:rFonts w:eastAsia="Times New Roman" w:cs="Calibri"/>
          <w:color w:val="000000"/>
          <w:lang w:val="en-GB" w:eastAsia="en-GB"/>
        </w:rPr>
        <w:t>This legal solution extends the commitment to strategic planning and medium-term public finance framework, through:</w:t>
      </w:r>
    </w:p>
    <w:p w14:paraId="06C7B777" w14:textId="77777777" w:rsidR="00281547" w:rsidRPr="00D30847" w:rsidRDefault="00281547" w:rsidP="00281547">
      <w:pPr>
        <w:tabs>
          <w:tab w:val="left" w:pos="851"/>
        </w:tabs>
        <w:spacing w:before="120" w:after="120" w:line="240" w:lineRule="auto"/>
        <w:jc w:val="both"/>
        <w:rPr>
          <w:rFonts w:cs="Calibri"/>
          <w:lang w:val="en-GB"/>
        </w:rPr>
      </w:pPr>
      <w:r w:rsidRPr="00D30847">
        <w:rPr>
          <w:rFonts w:cs="Calibri"/>
          <w:lang w:val="en-GB"/>
        </w:rPr>
        <w:t>-introducing fiscal policy statement, covering the Government’s terms of office and including the fiscal strategy guidelines, which should be submitted to the Parliament and</w:t>
      </w:r>
    </w:p>
    <w:p w14:paraId="36D5F612" w14:textId="77777777" w:rsidR="00281547" w:rsidRPr="00D30847" w:rsidRDefault="00281547" w:rsidP="00281547">
      <w:pPr>
        <w:tabs>
          <w:tab w:val="left" w:pos="851"/>
        </w:tabs>
        <w:spacing w:before="120" w:after="120" w:line="240" w:lineRule="auto"/>
        <w:jc w:val="both"/>
        <w:rPr>
          <w:rFonts w:cs="Calibri"/>
          <w:lang w:val="en-GB"/>
        </w:rPr>
      </w:pPr>
      <w:r w:rsidRPr="00D30847">
        <w:rPr>
          <w:rFonts w:cs="Calibri"/>
          <w:lang w:val="en-GB"/>
        </w:rPr>
        <w:t>- Fiscal Strategy with a wide range of data including all levels of government, projections, which will be aligned with the determined strategic priorities and macroeconomic parameters.</w:t>
      </w:r>
    </w:p>
    <w:p w14:paraId="2F5CBD48" w14:textId="77777777" w:rsidR="00A03D34" w:rsidRPr="00D30847" w:rsidRDefault="00A03D34" w:rsidP="00281547">
      <w:pPr>
        <w:tabs>
          <w:tab w:val="left" w:pos="851"/>
        </w:tabs>
        <w:spacing w:before="120" w:after="120" w:line="240" w:lineRule="auto"/>
        <w:jc w:val="both"/>
        <w:rPr>
          <w:rFonts w:cs="Calibri"/>
          <w:lang w:val="en-GB"/>
        </w:rPr>
      </w:pPr>
    </w:p>
    <w:p w14:paraId="231A5112" w14:textId="32AC339D" w:rsidR="006F5904" w:rsidRPr="00D30847" w:rsidRDefault="006F5904" w:rsidP="006F5904">
      <w:pPr>
        <w:spacing w:after="0" w:line="240" w:lineRule="auto"/>
        <w:jc w:val="both"/>
        <w:rPr>
          <w:rFonts w:cs="Calibri"/>
          <w:b/>
          <w:bCs/>
          <w:iCs/>
          <w:color w:val="0070C0"/>
          <w:lang w:val="en-GB"/>
        </w:rPr>
      </w:pPr>
      <w:r w:rsidRPr="00D30847">
        <w:rPr>
          <w:rFonts w:cs="Calibri"/>
          <w:b/>
          <w:bCs/>
          <w:iCs/>
          <w:color w:val="0070C0"/>
          <w:lang w:val="en-GB"/>
        </w:rPr>
        <w:t>Activity</w:t>
      </w:r>
      <w:r w:rsidR="00C17F2F" w:rsidRPr="00D30847">
        <w:rPr>
          <w:rFonts w:cs="Calibri"/>
          <w:b/>
          <w:bCs/>
          <w:iCs/>
          <w:color w:val="0070C0"/>
          <w:lang w:val="en-GB"/>
        </w:rPr>
        <w:t xml:space="preserve"> </w:t>
      </w:r>
      <w:r w:rsidRPr="00D30847">
        <w:rPr>
          <w:rFonts w:cs="Calibri"/>
          <w:b/>
          <w:bCs/>
          <w:iCs/>
          <w:color w:val="0070C0"/>
          <w:lang w:val="en-GB"/>
        </w:rPr>
        <w:t>2:</w:t>
      </w:r>
      <w:r w:rsidR="00824E44" w:rsidRPr="00D30847">
        <w:rPr>
          <w:rFonts w:cs="Calibri"/>
          <w:b/>
          <w:bCs/>
          <w:iCs/>
          <w:color w:val="0070C0"/>
          <w:lang w:val="en-GB"/>
        </w:rPr>
        <w:t xml:space="preserve"> </w:t>
      </w:r>
      <w:r w:rsidRPr="00D30847">
        <w:rPr>
          <w:rFonts w:cs="Calibri"/>
          <w:b/>
          <w:bCs/>
          <w:iCs/>
          <w:color w:val="0070C0"/>
          <w:lang w:val="en-GB"/>
        </w:rPr>
        <w:t xml:space="preserve">Preparing and implementing several types of classifications </w:t>
      </w:r>
      <w:r w:rsidR="00C17F2F" w:rsidRPr="00D30847">
        <w:rPr>
          <w:rFonts w:cs="Calibri"/>
          <w:b/>
          <w:bCs/>
          <w:iCs/>
          <w:color w:val="0070C0"/>
          <w:lang w:val="en-GB"/>
        </w:rPr>
        <w:t>–</w:t>
      </w:r>
      <w:r w:rsidRPr="00D30847">
        <w:rPr>
          <w:rFonts w:cs="Calibri"/>
          <w:b/>
          <w:bCs/>
          <w:iCs/>
          <w:color w:val="0070C0"/>
          <w:lang w:val="en-GB"/>
        </w:rPr>
        <w:t xml:space="preserve"> administrative/</w:t>
      </w:r>
      <w:r w:rsidR="00C17F2F" w:rsidRPr="00D30847">
        <w:rPr>
          <w:rFonts w:cs="Calibri"/>
          <w:b/>
          <w:bCs/>
          <w:iCs/>
          <w:color w:val="0070C0"/>
          <w:lang w:val="en-GB"/>
        </w:rPr>
        <w:t xml:space="preserve"> </w:t>
      </w:r>
      <w:r w:rsidRPr="00D30847">
        <w:rPr>
          <w:rFonts w:cs="Calibri"/>
          <w:b/>
          <w:bCs/>
          <w:iCs/>
          <w:color w:val="0070C0"/>
          <w:lang w:val="en-GB"/>
        </w:rPr>
        <w:t>organizational, economic, program, functional classifications, as well as classif</w:t>
      </w:r>
      <w:r w:rsidR="00DF185F" w:rsidRPr="00D30847">
        <w:rPr>
          <w:rFonts w:cs="Calibri"/>
          <w:b/>
          <w:bCs/>
          <w:iCs/>
          <w:color w:val="0070C0"/>
          <w:lang w:val="en-GB"/>
        </w:rPr>
        <w:t>ication of sources of financing</w:t>
      </w:r>
    </w:p>
    <w:p w14:paraId="2C1E633D" w14:textId="77777777" w:rsidR="00DF185F" w:rsidRPr="00D30847" w:rsidRDefault="00DF185F" w:rsidP="006F5904">
      <w:pPr>
        <w:spacing w:after="0" w:line="240" w:lineRule="auto"/>
        <w:jc w:val="both"/>
        <w:rPr>
          <w:rFonts w:cs="Calibri"/>
          <w:b/>
          <w:bCs/>
          <w:iCs/>
          <w:color w:val="4F81BD"/>
          <w:lang w:val="en-GB"/>
        </w:rPr>
      </w:pPr>
    </w:p>
    <w:p w14:paraId="50A608CC" w14:textId="77777777" w:rsidR="00E85148" w:rsidRPr="00D30847" w:rsidRDefault="00E85148" w:rsidP="00E85148">
      <w:pPr>
        <w:spacing w:line="240" w:lineRule="auto"/>
        <w:jc w:val="both"/>
        <w:rPr>
          <w:rFonts w:cs="Calibri"/>
          <w:lang w:val="en-GB"/>
        </w:rPr>
      </w:pPr>
      <w:r w:rsidRPr="00D30847">
        <w:rPr>
          <w:rFonts w:eastAsia="Times New Roman" w:cs="Calibri"/>
          <w:lang w:val="en-GB" w:eastAsia="ar-SA"/>
        </w:rPr>
        <w:t xml:space="preserve">In the coming period as a major reform implemented by the Ministry of Finance in cooperation with the U.S. Department of the Treasury, is preparation of a new budget classifications (administrative/organizational, economic, program, functional classifications, as well as classification of sources of financing), of which the administrative classification is particularly significant. At the same time, training for employees and budget users as well as capacity building are planned. </w:t>
      </w:r>
      <w:r w:rsidRPr="00D30847">
        <w:rPr>
          <w:rFonts w:cs="Calibri"/>
          <w:lang w:val="en-GB"/>
        </w:rPr>
        <w:t>Budget will be presented more clearly through plenty of well-structured information, and it will be divided into general, special and development parts</w:t>
      </w:r>
      <w:r w:rsidRPr="00D30847">
        <w:rPr>
          <w:rFonts w:eastAsia="Times New Roman" w:cs="Calibri"/>
          <w:lang w:val="en-GB" w:eastAsia="ar-SA"/>
        </w:rPr>
        <w:t xml:space="preserve">. </w:t>
      </w:r>
      <w:r w:rsidRPr="00D30847">
        <w:rPr>
          <w:rFonts w:cs="Calibri"/>
          <w:lang w:val="en-GB"/>
        </w:rPr>
        <w:t>Such designed Budget implies application of several bylaws, which are used to identify specific purposes, as well as for systematic monitoring.</w:t>
      </w:r>
    </w:p>
    <w:p w14:paraId="0CAC5A3F" w14:textId="77777777" w:rsidR="00E85148" w:rsidRPr="00D30847" w:rsidRDefault="00E85148" w:rsidP="00E85148">
      <w:pPr>
        <w:spacing w:line="240" w:lineRule="auto"/>
        <w:jc w:val="both"/>
        <w:rPr>
          <w:rFonts w:cs="Calibri"/>
          <w:lang w:val="en-GB"/>
        </w:rPr>
      </w:pPr>
      <w:r w:rsidRPr="00D30847">
        <w:rPr>
          <w:rFonts w:cs="Calibri"/>
          <w:lang w:val="en-GB"/>
        </w:rPr>
        <w:t>Budget is based on the application of the following classifications, as follows:</w:t>
      </w:r>
    </w:p>
    <w:p w14:paraId="4B0ED816" w14:textId="77777777" w:rsidR="00E85148" w:rsidRPr="00D30847" w:rsidRDefault="00E85148" w:rsidP="00E85148">
      <w:pPr>
        <w:spacing w:before="120" w:after="120" w:line="240" w:lineRule="auto"/>
        <w:jc w:val="both"/>
        <w:rPr>
          <w:rFonts w:cs="Calibri"/>
          <w:lang w:val="en-GB"/>
        </w:rPr>
      </w:pPr>
      <w:r w:rsidRPr="00D30847">
        <w:rPr>
          <w:rFonts w:cs="Calibri"/>
          <w:lang w:val="en-GB"/>
        </w:rPr>
        <w:t>-</w:t>
      </w:r>
      <w:r w:rsidRPr="00D30847">
        <w:rPr>
          <w:rFonts w:eastAsia="Times New Roman" w:cs="Calibri"/>
          <w:color w:val="000000"/>
          <w:lang w:val="en-GB" w:eastAsia="en-GB"/>
        </w:rPr>
        <w:t>organizational (administrative) classification-structure of codes for classification of budget users, primarily defining the role of the parent budget users;</w:t>
      </w:r>
    </w:p>
    <w:p w14:paraId="13849C7C" w14:textId="77777777" w:rsidR="00E85148" w:rsidRPr="00D30847" w:rsidRDefault="00E85148" w:rsidP="00E85148">
      <w:pPr>
        <w:spacing w:before="120" w:after="120" w:line="240" w:lineRule="auto"/>
        <w:jc w:val="both"/>
        <w:rPr>
          <w:rFonts w:cs="Calibri"/>
          <w:lang w:val="en-GB"/>
        </w:rPr>
      </w:pPr>
      <w:r w:rsidRPr="00D30847">
        <w:rPr>
          <w:rFonts w:cs="Calibri"/>
          <w:lang w:val="en-GB"/>
        </w:rPr>
        <w:t>-</w:t>
      </w:r>
      <w:r w:rsidRPr="00D30847">
        <w:rPr>
          <w:rFonts w:eastAsia="Times New Roman" w:cs="Calibri"/>
          <w:color w:val="000000"/>
          <w:lang w:val="en-GB" w:eastAsia="en-GB"/>
        </w:rPr>
        <w:t>economic classification-structure of codes for classification of revenues and inflows, expenditures and outflows;</w:t>
      </w:r>
    </w:p>
    <w:p w14:paraId="61740860" w14:textId="77777777" w:rsidR="00E85148" w:rsidRPr="00D30847" w:rsidRDefault="00E85148" w:rsidP="00E85148">
      <w:pPr>
        <w:spacing w:before="120" w:after="120" w:line="240" w:lineRule="auto"/>
        <w:jc w:val="both"/>
        <w:rPr>
          <w:rFonts w:cs="Calibri"/>
          <w:lang w:val="en-GB"/>
        </w:rPr>
      </w:pPr>
      <w:r w:rsidRPr="00D30847">
        <w:rPr>
          <w:rFonts w:cs="Calibri"/>
          <w:lang w:val="en-GB"/>
        </w:rPr>
        <w:t>-</w:t>
      </w:r>
      <w:r w:rsidRPr="00D30847">
        <w:rPr>
          <w:rFonts w:eastAsia="Times New Roman" w:cs="Calibri"/>
          <w:color w:val="000000"/>
          <w:lang w:val="en-GB" w:eastAsia="en-GB"/>
        </w:rPr>
        <w:t>functional classification-structure of codes for classification of the functions of the central government according to the International Classification of the United Nations;</w:t>
      </w:r>
    </w:p>
    <w:p w14:paraId="3B724815" w14:textId="77777777" w:rsidR="00E85148" w:rsidRPr="00D30847" w:rsidRDefault="00E85148" w:rsidP="00E85148">
      <w:pPr>
        <w:spacing w:before="120" w:after="120" w:line="240" w:lineRule="auto"/>
        <w:jc w:val="both"/>
        <w:rPr>
          <w:rFonts w:cs="Calibri"/>
          <w:lang w:val="en-GB"/>
        </w:rPr>
      </w:pPr>
      <w:r w:rsidRPr="00D30847">
        <w:rPr>
          <w:rFonts w:cs="Calibri"/>
          <w:lang w:val="en-GB"/>
        </w:rPr>
        <w:t>-</w:t>
      </w:r>
      <w:r w:rsidRPr="00D30847">
        <w:rPr>
          <w:rFonts w:eastAsia="Times New Roman" w:cs="Calibri"/>
          <w:color w:val="000000"/>
          <w:lang w:val="en-GB" w:eastAsia="en-GB"/>
        </w:rPr>
        <w:t>program classification-structure of codes for classification of Programs and sub-Programs, and</w:t>
      </w:r>
    </w:p>
    <w:p w14:paraId="2A44151D" w14:textId="77777777" w:rsidR="00E85148" w:rsidRPr="00D30847" w:rsidRDefault="00E85148" w:rsidP="00E85148">
      <w:pPr>
        <w:spacing w:before="120" w:after="120" w:line="240" w:lineRule="auto"/>
        <w:jc w:val="both"/>
        <w:rPr>
          <w:rFonts w:cs="Calibri"/>
          <w:lang w:val="en-GB"/>
        </w:rPr>
      </w:pPr>
      <w:r w:rsidRPr="00D30847">
        <w:rPr>
          <w:rFonts w:cs="Calibri"/>
          <w:lang w:val="en-GB"/>
        </w:rPr>
        <w:t xml:space="preserve">-classification of sources of financing. </w:t>
      </w:r>
    </w:p>
    <w:p w14:paraId="185D6855" w14:textId="2CC6C51C" w:rsidR="006F5904" w:rsidRPr="00D30847" w:rsidRDefault="006F5904" w:rsidP="00DF185F">
      <w:pPr>
        <w:spacing w:after="0" w:line="240" w:lineRule="auto"/>
        <w:jc w:val="both"/>
        <w:rPr>
          <w:rFonts w:cs="Calibri"/>
          <w:b/>
          <w:bCs/>
          <w:iCs/>
          <w:color w:val="0070C0"/>
          <w:lang w:val="en-GB"/>
        </w:rPr>
      </w:pPr>
      <w:r w:rsidRPr="00D30847">
        <w:rPr>
          <w:rFonts w:cs="Calibri"/>
          <w:b/>
          <w:bCs/>
          <w:iCs/>
          <w:color w:val="0070C0"/>
          <w:lang w:val="en-GB"/>
        </w:rPr>
        <w:t>Activity 3: Strengthening of capacities, training of employees and budget beneficiaries</w:t>
      </w:r>
    </w:p>
    <w:p w14:paraId="7404EA6D" w14:textId="77777777" w:rsidR="00E85148" w:rsidRPr="00D30847" w:rsidRDefault="00E85148" w:rsidP="00E85148">
      <w:pPr>
        <w:spacing w:before="120" w:after="120" w:line="240" w:lineRule="auto"/>
        <w:jc w:val="both"/>
        <w:rPr>
          <w:rFonts w:cs="Calibri"/>
          <w:lang w:val="en-GB"/>
        </w:rPr>
      </w:pPr>
      <w:r w:rsidRPr="00D30847">
        <w:rPr>
          <w:rFonts w:cs="Calibri"/>
          <w:lang w:val="en-GB"/>
        </w:rPr>
        <w:t>In order to strengthen the budget process, the Ministry of Finance, independently and through cooperation with international financial institutions, plans to organize trainings on program budgeting and preparation for the implementation of the new Budget Law.</w:t>
      </w:r>
    </w:p>
    <w:p w14:paraId="4DAA9342" w14:textId="485EE7B5" w:rsidR="00790347" w:rsidRPr="00D30847" w:rsidRDefault="00D83DFC" w:rsidP="00DF185F">
      <w:pPr>
        <w:spacing w:before="120" w:after="120" w:line="240" w:lineRule="auto"/>
        <w:jc w:val="both"/>
        <w:rPr>
          <w:rFonts w:cs="Calibri"/>
          <w:b/>
          <w:bCs/>
          <w:iCs/>
          <w:color w:val="4F81BD"/>
          <w:lang w:val="en-GB"/>
        </w:rPr>
      </w:pPr>
      <w:r w:rsidRPr="00D30847">
        <w:rPr>
          <w:rFonts w:cs="Calibri"/>
          <w:b/>
          <w:bCs/>
          <w:iCs/>
          <w:color w:val="4F81BD"/>
          <w:lang w:val="en-GB"/>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D83DFC" w:rsidRPr="00D30847" w14:paraId="647873A8" w14:textId="77777777" w:rsidTr="00375394">
        <w:tc>
          <w:tcPr>
            <w:tcW w:w="2518" w:type="dxa"/>
            <w:tcBorders>
              <w:top w:val="nil"/>
              <w:bottom w:val="single" w:sz="4" w:space="0" w:color="FFFFFF"/>
            </w:tcBorders>
            <w:shd w:val="clear" w:color="auto" w:fill="002060"/>
          </w:tcPr>
          <w:p w14:paraId="32CE5B82" w14:textId="77777777" w:rsidR="00D83DFC" w:rsidRPr="00D30847" w:rsidRDefault="00D83DFC" w:rsidP="00DE7154">
            <w:pPr>
              <w:tabs>
                <w:tab w:val="left" w:pos="1526"/>
              </w:tabs>
              <w:spacing w:line="240" w:lineRule="auto"/>
              <w:jc w:val="both"/>
              <w:rPr>
                <w:rFonts w:cs="Calibri"/>
                <w:color w:val="FFFFFF"/>
                <w:sz w:val="20"/>
                <w:szCs w:val="20"/>
                <w:lang w:val="en-GB"/>
              </w:rPr>
            </w:pPr>
            <w:r w:rsidRPr="00D30847">
              <w:rPr>
                <w:rFonts w:cs="Calibri"/>
                <w:b/>
                <w:color w:val="FFFFFF"/>
                <w:sz w:val="20"/>
                <w:szCs w:val="20"/>
                <w:lang w:val="en-GB"/>
              </w:rPr>
              <w:t>Completed in year:</w:t>
            </w:r>
            <w:r w:rsidRPr="00D30847">
              <w:rPr>
                <w:rFonts w:cs="Calibri"/>
                <w:color w:val="FFFFFF"/>
                <w:sz w:val="20"/>
                <w:szCs w:val="20"/>
                <w:lang w:val="en-GB"/>
              </w:rPr>
              <w:tab/>
            </w:r>
          </w:p>
        </w:tc>
        <w:tc>
          <w:tcPr>
            <w:tcW w:w="6246" w:type="dxa"/>
            <w:tcBorders>
              <w:top w:val="nil"/>
              <w:bottom w:val="single" w:sz="4" w:space="0" w:color="FFFFFF"/>
            </w:tcBorders>
            <w:shd w:val="clear" w:color="auto" w:fill="D9E2F3"/>
          </w:tcPr>
          <w:p w14:paraId="31996305" w14:textId="73A0FD16" w:rsidR="00D83DFC" w:rsidRPr="00D30847" w:rsidRDefault="00D83DFC" w:rsidP="00DE7154">
            <w:pPr>
              <w:tabs>
                <w:tab w:val="left" w:pos="1526"/>
              </w:tabs>
              <w:spacing w:after="120" w:line="240" w:lineRule="auto"/>
              <w:jc w:val="both"/>
              <w:rPr>
                <w:rFonts w:cs="Calibri"/>
                <w:sz w:val="20"/>
                <w:szCs w:val="20"/>
                <w:lang w:val="en-GB"/>
              </w:rPr>
            </w:pPr>
            <w:r w:rsidRPr="00D30847">
              <w:rPr>
                <w:rFonts w:cs="Calibri"/>
                <w:sz w:val="20"/>
                <w:szCs w:val="20"/>
                <w:lang w:val="en-GB"/>
              </w:rPr>
              <w:t>202</w:t>
            </w:r>
            <w:r w:rsidR="00E85148" w:rsidRPr="00D30847">
              <w:rPr>
                <w:rFonts w:cs="Calibri"/>
                <w:sz w:val="20"/>
                <w:szCs w:val="20"/>
                <w:lang w:val="en-GB"/>
              </w:rPr>
              <w:t>8</w:t>
            </w:r>
          </w:p>
        </w:tc>
      </w:tr>
      <w:tr w:rsidR="00D83DFC" w:rsidRPr="00D30847" w14:paraId="4CD62BCB" w14:textId="77777777" w:rsidTr="00375394">
        <w:tc>
          <w:tcPr>
            <w:tcW w:w="2518" w:type="dxa"/>
            <w:tcBorders>
              <w:top w:val="single" w:sz="4" w:space="0" w:color="FFFFFF"/>
              <w:bottom w:val="single" w:sz="4" w:space="0" w:color="FFFFFF"/>
            </w:tcBorders>
            <w:shd w:val="clear" w:color="auto" w:fill="002060"/>
          </w:tcPr>
          <w:p w14:paraId="7BF9E0C0" w14:textId="77777777" w:rsidR="00D83DFC" w:rsidRPr="00D30847" w:rsidRDefault="00D83DFC" w:rsidP="00DE7154">
            <w:pPr>
              <w:tabs>
                <w:tab w:val="left" w:pos="4219"/>
              </w:tabs>
              <w:spacing w:line="240" w:lineRule="auto"/>
              <w:jc w:val="both"/>
              <w:rPr>
                <w:rFonts w:cs="Calibri"/>
                <w:color w:val="FFFFFF"/>
                <w:sz w:val="20"/>
                <w:szCs w:val="20"/>
                <w:lang w:val="en-GB"/>
              </w:rPr>
            </w:pPr>
            <w:r w:rsidRPr="00D30847">
              <w:rPr>
                <w:rFonts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1BA61090" w14:textId="4DBC3119" w:rsidR="00D83DFC" w:rsidRPr="00D30847" w:rsidRDefault="00D83DFC" w:rsidP="00AD2AD5">
            <w:pPr>
              <w:numPr>
                <w:ilvl w:val="0"/>
                <w:numId w:val="41"/>
              </w:numPr>
              <w:spacing w:line="240" w:lineRule="auto"/>
              <w:ind w:left="183" w:hanging="180"/>
              <w:jc w:val="both"/>
              <w:rPr>
                <w:rFonts w:cs="Calibri"/>
                <w:sz w:val="20"/>
                <w:szCs w:val="20"/>
                <w:lang w:val="en-GB"/>
              </w:rPr>
            </w:pPr>
            <w:r w:rsidRPr="00D30847">
              <w:rPr>
                <w:rFonts w:cs="Calibri"/>
                <w:sz w:val="20"/>
                <w:szCs w:val="20"/>
                <w:lang w:val="en-GB"/>
              </w:rPr>
              <w:t xml:space="preserve">By-laws and types of classifications </w:t>
            </w:r>
          </w:p>
        </w:tc>
      </w:tr>
      <w:tr w:rsidR="00D83DFC" w:rsidRPr="00D30847" w14:paraId="1D0728B0" w14:textId="77777777" w:rsidTr="00375394">
        <w:tc>
          <w:tcPr>
            <w:tcW w:w="2518" w:type="dxa"/>
            <w:tcBorders>
              <w:top w:val="single" w:sz="4" w:space="0" w:color="FFFFFF"/>
              <w:bottom w:val="single" w:sz="4" w:space="0" w:color="FFFFFF"/>
            </w:tcBorders>
            <w:shd w:val="clear" w:color="auto" w:fill="002060"/>
          </w:tcPr>
          <w:p w14:paraId="4F5AEF86" w14:textId="77777777" w:rsidR="00D83DFC" w:rsidRPr="00D30847" w:rsidRDefault="00D83DFC" w:rsidP="00DE7154">
            <w:pPr>
              <w:tabs>
                <w:tab w:val="left" w:pos="4219"/>
              </w:tabs>
              <w:spacing w:line="240" w:lineRule="auto"/>
              <w:jc w:val="both"/>
              <w:rPr>
                <w:rFonts w:cs="Calibri"/>
                <w:b/>
                <w:color w:val="FFFFFF"/>
                <w:sz w:val="20"/>
                <w:szCs w:val="20"/>
                <w:lang w:val="en-GB"/>
              </w:rPr>
            </w:pPr>
            <w:r w:rsidRPr="00D30847">
              <w:rPr>
                <w:rFonts w:cs="Calibri"/>
                <w:b/>
                <w:color w:val="FFFFFF"/>
                <w:sz w:val="20"/>
                <w:szCs w:val="20"/>
                <w:lang w:val="en-GB"/>
              </w:rPr>
              <w:t>Cost implications:</w:t>
            </w:r>
            <w:r w:rsidRPr="00D30847">
              <w:rPr>
                <w:rFonts w:cs="Calibri"/>
                <w:color w:val="FFFFFF"/>
                <w:sz w:val="20"/>
                <w:szCs w:val="20"/>
                <w:lang w:val="en-GB"/>
              </w:rPr>
              <w:tab/>
            </w:r>
          </w:p>
        </w:tc>
        <w:tc>
          <w:tcPr>
            <w:tcW w:w="6246" w:type="dxa"/>
            <w:tcBorders>
              <w:top w:val="single" w:sz="4" w:space="0" w:color="FFFFFF"/>
              <w:bottom w:val="single" w:sz="4" w:space="0" w:color="FFFFFF"/>
            </w:tcBorders>
            <w:shd w:val="clear" w:color="auto" w:fill="D9E2F3"/>
          </w:tcPr>
          <w:p w14:paraId="6EA3CD48" w14:textId="021A22D7" w:rsidR="00D83DFC" w:rsidRPr="00D30847" w:rsidRDefault="00E85148" w:rsidP="00DE7154">
            <w:pPr>
              <w:tabs>
                <w:tab w:val="left" w:pos="1526"/>
              </w:tabs>
              <w:spacing w:after="120" w:line="240" w:lineRule="auto"/>
              <w:jc w:val="both"/>
              <w:rPr>
                <w:rFonts w:cs="Calibri"/>
                <w:sz w:val="20"/>
                <w:szCs w:val="20"/>
                <w:lang w:val="en-GB"/>
              </w:rPr>
            </w:pPr>
            <w:r w:rsidRPr="00D30847">
              <w:rPr>
                <w:rFonts w:cs="Calibri"/>
                <w:sz w:val="20"/>
                <w:szCs w:val="20"/>
                <w:lang w:val="en-GB"/>
              </w:rPr>
              <w:t>EUR 1,94</w:t>
            </w:r>
            <w:r w:rsidR="009A19EA" w:rsidRPr="00D30847">
              <w:rPr>
                <w:rFonts w:cs="Calibri"/>
                <w:sz w:val="20"/>
                <w:szCs w:val="20"/>
                <w:lang w:val="en-GB"/>
              </w:rPr>
              <w:t>4</w:t>
            </w:r>
            <w:r w:rsidRPr="00D30847">
              <w:rPr>
                <w:rFonts w:cs="Calibri"/>
                <w:sz w:val="20"/>
                <w:szCs w:val="20"/>
                <w:lang w:val="en-GB"/>
              </w:rPr>
              <w:t>,000</w:t>
            </w:r>
          </w:p>
        </w:tc>
      </w:tr>
      <w:tr w:rsidR="00D83DFC" w:rsidRPr="00D30847" w14:paraId="40EC4E1A" w14:textId="77777777" w:rsidTr="00375394">
        <w:tc>
          <w:tcPr>
            <w:tcW w:w="2518" w:type="dxa"/>
            <w:tcBorders>
              <w:top w:val="single" w:sz="4" w:space="0" w:color="FFFFFF"/>
              <w:bottom w:val="single" w:sz="4" w:space="0" w:color="FFFFFF"/>
            </w:tcBorders>
            <w:shd w:val="clear" w:color="auto" w:fill="002060"/>
          </w:tcPr>
          <w:p w14:paraId="36B0A036" w14:textId="77777777" w:rsidR="00D83DFC" w:rsidRPr="00D30847" w:rsidRDefault="00D83DFC" w:rsidP="00DE7154">
            <w:pPr>
              <w:tabs>
                <w:tab w:val="left" w:pos="4219"/>
              </w:tabs>
              <w:spacing w:line="240" w:lineRule="auto"/>
              <w:jc w:val="both"/>
              <w:rPr>
                <w:rFonts w:cs="Calibri"/>
                <w:b/>
                <w:color w:val="FFFFFF"/>
                <w:sz w:val="20"/>
                <w:szCs w:val="20"/>
                <w:lang w:val="en-GB"/>
              </w:rPr>
            </w:pPr>
            <w:r w:rsidRPr="00D30847">
              <w:rPr>
                <w:rFonts w:cs="Calibri"/>
                <w:b/>
                <w:color w:val="FFFFFF"/>
                <w:sz w:val="20"/>
                <w:szCs w:val="20"/>
                <w:lang w:val="en-GB"/>
              </w:rPr>
              <w:t>Responsible entity:</w:t>
            </w:r>
          </w:p>
        </w:tc>
        <w:tc>
          <w:tcPr>
            <w:tcW w:w="6246" w:type="dxa"/>
            <w:tcBorders>
              <w:top w:val="single" w:sz="4" w:space="0" w:color="FFFFFF"/>
              <w:bottom w:val="single" w:sz="4" w:space="0" w:color="FFFFFF"/>
            </w:tcBorders>
            <w:shd w:val="clear" w:color="auto" w:fill="D9E2F3"/>
          </w:tcPr>
          <w:p w14:paraId="30FEFAE7" w14:textId="77777777" w:rsidR="00D83DFC" w:rsidRPr="00D30847" w:rsidRDefault="00D83DFC" w:rsidP="00DE7154">
            <w:pPr>
              <w:tabs>
                <w:tab w:val="left" w:pos="4219"/>
              </w:tabs>
              <w:spacing w:after="120" w:line="240" w:lineRule="auto"/>
              <w:jc w:val="both"/>
              <w:rPr>
                <w:rFonts w:cs="Calibri"/>
                <w:sz w:val="20"/>
                <w:szCs w:val="20"/>
                <w:lang w:val="en-GB"/>
              </w:rPr>
            </w:pPr>
            <w:r w:rsidRPr="00D30847">
              <w:rPr>
                <w:rFonts w:cs="Calibri"/>
                <w:sz w:val="20"/>
                <w:szCs w:val="20"/>
                <w:lang w:val="en-GB"/>
              </w:rPr>
              <w:t>Ministry of Finance, Budget and Funds Department</w:t>
            </w:r>
          </w:p>
        </w:tc>
      </w:tr>
      <w:tr w:rsidR="00D83DFC" w:rsidRPr="00D30847" w14:paraId="569A6826" w14:textId="77777777" w:rsidTr="00375394">
        <w:trPr>
          <w:trHeight w:val="70"/>
        </w:trPr>
        <w:tc>
          <w:tcPr>
            <w:tcW w:w="2518" w:type="dxa"/>
            <w:tcBorders>
              <w:top w:val="single" w:sz="4" w:space="0" w:color="FFFFFF"/>
              <w:bottom w:val="nil"/>
            </w:tcBorders>
            <w:shd w:val="clear" w:color="auto" w:fill="002060"/>
          </w:tcPr>
          <w:p w14:paraId="447D21A6" w14:textId="77777777" w:rsidR="00D83DFC" w:rsidRPr="00D30847" w:rsidRDefault="00D83DFC" w:rsidP="00DE7154">
            <w:pPr>
              <w:tabs>
                <w:tab w:val="left" w:pos="4219"/>
              </w:tabs>
              <w:spacing w:line="240" w:lineRule="auto"/>
              <w:jc w:val="both"/>
              <w:rPr>
                <w:rFonts w:cs="Calibri"/>
                <w:b/>
                <w:color w:val="FFFFFF"/>
                <w:sz w:val="20"/>
                <w:szCs w:val="20"/>
                <w:lang w:val="en-GB"/>
              </w:rPr>
            </w:pPr>
            <w:r w:rsidRPr="00D30847">
              <w:rPr>
                <w:rFonts w:cs="Calibri"/>
                <w:b/>
                <w:color w:val="FFFFFF"/>
                <w:sz w:val="20"/>
                <w:szCs w:val="20"/>
                <w:lang w:val="en-GB"/>
              </w:rPr>
              <w:t>Risk:</w:t>
            </w:r>
          </w:p>
        </w:tc>
        <w:tc>
          <w:tcPr>
            <w:tcW w:w="6246" w:type="dxa"/>
            <w:tcBorders>
              <w:top w:val="single" w:sz="4" w:space="0" w:color="FFFFFF"/>
              <w:bottom w:val="nil"/>
            </w:tcBorders>
            <w:shd w:val="clear" w:color="auto" w:fill="D9E2F3"/>
          </w:tcPr>
          <w:p w14:paraId="0F80ADDB" w14:textId="77777777" w:rsidR="00D83DFC" w:rsidRPr="00D30847" w:rsidRDefault="00D83DFC" w:rsidP="00AD2AD5">
            <w:pPr>
              <w:numPr>
                <w:ilvl w:val="0"/>
                <w:numId w:val="41"/>
              </w:numPr>
              <w:spacing w:line="240" w:lineRule="auto"/>
              <w:ind w:left="183" w:hanging="183"/>
              <w:jc w:val="both"/>
              <w:rPr>
                <w:rFonts w:cs="Calibri"/>
                <w:sz w:val="20"/>
                <w:szCs w:val="20"/>
                <w:lang w:val="en-GB"/>
              </w:rPr>
            </w:pPr>
            <w:r w:rsidRPr="00D30847">
              <w:rPr>
                <w:rFonts w:cs="Calibri"/>
                <w:sz w:val="20"/>
                <w:szCs w:val="20"/>
                <w:lang w:val="en-GB"/>
              </w:rPr>
              <w:t>Human potential for implementation.</w:t>
            </w:r>
          </w:p>
        </w:tc>
      </w:tr>
    </w:tbl>
    <w:p w14:paraId="6952F333" w14:textId="3EF97EAF" w:rsidR="00790347" w:rsidRPr="00D30847" w:rsidRDefault="008A5C87" w:rsidP="00E84CD0">
      <w:pPr>
        <w:spacing w:before="240" w:after="0" w:line="240" w:lineRule="auto"/>
        <w:jc w:val="both"/>
        <w:rPr>
          <w:rFonts w:cs="Calibri"/>
          <w:b/>
          <w:bCs/>
          <w:iCs/>
          <w:color w:val="0070C0"/>
          <w:sz w:val="24"/>
          <w:szCs w:val="24"/>
          <w:lang w:val="en-GB"/>
        </w:rPr>
      </w:pPr>
      <w:r w:rsidRPr="00D30847">
        <w:rPr>
          <w:rFonts w:cs="Calibri"/>
          <w:b/>
          <w:bCs/>
          <w:iCs/>
          <w:color w:val="0070C0"/>
          <w:sz w:val="24"/>
          <w:szCs w:val="24"/>
          <w:lang w:val="en-GB"/>
        </w:rPr>
        <w:lastRenderedPageBreak/>
        <w:t>Measure 3</w:t>
      </w:r>
      <w:r w:rsidR="00790347" w:rsidRPr="00D30847">
        <w:rPr>
          <w:rFonts w:cs="Calibri"/>
          <w:b/>
          <w:bCs/>
          <w:iCs/>
          <w:color w:val="0070C0"/>
          <w:sz w:val="24"/>
          <w:szCs w:val="24"/>
          <w:lang w:val="en-GB"/>
        </w:rPr>
        <w:t xml:space="preserve">: </w:t>
      </w:r>
      <w:r w:rsidR="00E85148" w:rsidRPr="00D30847">
        <w:rPr>
          <w:rFonts w:cs="Calibri"/>
          <w:b/>
          <w:bCs/>
          <w:iCs/>
          <w:color w:val="0070C0"/>
          <w:sz w:val="24"/>
          <w:szCs w:val="24"/>
          <w:lang w:val="en-GB"/>
        </w:rPr>
        <w:t>Improved performance based budget</w:t>
      </w:r>
    </w:p>
    <w:p w14:paraId="6BF75720" w14:textId="59E8E7BF" w:rsidR="00017732" w:rsidRPr="00D30847" w:rsidRDefault="00017732" w:rsidP="00015266">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05C7B775" w14:textId="3E6B3455" w:rsidR="00E85148" w:rsidRPr="00D30847" w:rsidRDefault="00E85148" w:rsidP="00E85148">
      <w:pPr>
        <w:spacing w:before="240" w:after="0" w:line="240" w:lineRule="auto"/>
        <w:jc w:val="both"/>
        <w:rPr>
          <w:rFonts w:cs="Calibri"/>
          <w:lang w:val="en-GB"/>
        </w:rPr>
      </w:pPr>
      <w:r w:rsidRPr="00D30847">
        <w:rPr>
          <w:rFonts w:cs="Calibri"/>
          <w:lang w:val="en-GB"/>
        </w:rPr>
        <w:t xml:space="preserve">Results-based budgeting, i.e. performance - based budgeting, </w:t>
      </w:r>
      <w:r w:rsidR="008F391C" w:rsidRPr="00D30847">
        <w:rPr>
          <w:rFonts w:cs="Calibri"/>
          <w:lang w:val="en-GB"/>
        </w:rPr>
        <w:t>aims</w:t>
      </w:r>
      <w:r w:rsidRPr="00D30847">
        <w:rPr>
          <w:rFonts w:cs="Calibri"/>
          <w:lang w:val="en-GB"/>
        </w:rPr>
        <w:t xml:space="preserve"> to improve the efficiency and effectiveness of public expenditures by linking public sector expenditures to the results achieved. Budgeting should not be viewed as an isolated initiative, but rather as part of a set of broader reforms aimed at achieving the results.</w:t>
      </w:r>
    </w:p>
    <w:p w14:paraId="59D5BA80" w14:textId="79D6C960" w:rsidR="00E85148" w:rsidRPr="00D30847" w:rsidRDefault="00E85148" w:rsidP="00E85148">
      <w:pPr>
        <w:spacing w:before="120" w:after="120" w:line="240" w:lineRule="auto"/>
        <w:jc w:val="both"/>
        <w:rPr>
          <w:rFonts w:eastAsia="MS PGothic" w:cs="Calibri"/>
          <w:lang w:val="en-GB" w:eastAsia="zh-CN"/>
        </w:rPr>
      </w:pPr>
      <w:r w:rsidRPr="00D30847">
        <w:rPr>
          <w:rFonts w:eastAsia="MS PGothic" w:cs="Calibri"/>
          <w:lang w:val="en-GB" w:eastAsia="zh-CN"/>
        </w:rPr>
        <w:t>In its most basic form, results-based budgeting aims to ensure that the key decision and policy makers systematically take into account the results to be achieved by spending.</w:t>
      </w:r>
    </w:p>
    <w:p w14:paraId="0DB55D29" w14:textId="77777777" w:rsidR="006F5904" w:rsidRPr="00D30847" w:rsidRDefault="006F5904" w:rsidP="006F5904">
      <w:pPr>
        <w:spacing w:after="0" w:line="240" w:lineRule="auto"/>
        <w:jc w:val="both"/>
        <w:rPr>
          <w:rFonts w:cs="Calibri"/>
          <w:color w:val="0070C0"/>
          <w:lang w:val="en-GB"/>
        </w:rPr>
      </w:pPr>
      <w:r w:rsidRPr="00D30847">
        <w:rPr>
          <w:rFonts w:cs="Calibri"/>
          <w:b/>
          <w:bCs/>
          <w:iCs/>
          <w:color w:val="0070C0"/>
          <w:lang w:val="en-GB"/>
        </w:rPr>
        <w:t>Activity 1: Developing of multi-year indicators for measuring the success in the implementation of budget policies</w:t>
      </w:r>
    </w:p>
    <w:p w14:paraId="638A694F" w14:textId="19C06F46" w:rsidR="00376718" w:rsidRPr="00D30847" w:rsidRDefault="00376718" w:rsidP="00E84CD0">
      <w:pPr>
        <w:spacing w:before="120" w:after="120" w:line="240" w:lineRule="auto"/>
        <w:jc w:val="both"/>
        <w:rPr>
          <w:rFonts w:eastAsia="MS PGothic" w:cs="Calibri"/>
          <w:lang w:val="en-GB" w:eastAsia="zh-CN"/>
        </w:rPr>
      </w:pPr>
      <w:r w:rsidRPr="00D30847">
        <w:rPr>
          <w:rFonts w:eastAsia="MS PGothic" w:cs="Calibri"/>
          <w:lang w:val="en-GB" w:eastAsia="zh-CN"/>
        </w:rPr>
        <w:t>Results-based budgeting fits within the medium-term budget framework.</w:t>
      </w:r>
      <w:r w:rsidR="008A5C87" w:rsidRPr="00D30847">
        <w:rPr>
          <w:rFonts w:eastAsia="MS PGothic" w:cs="Calibri"/>
          <w:lang w:val="en-GB" w:eastAsia="zh-CN"/>
        </w:rPr>
        <w:t xml:space="preserve"> </w:t>
      </w:r>
      <w:r w:rsidRPr="00D30847">
        <w:rPr>
          <w:rFonts w:eastAsia="MS PGothic" w:cs="Calibri"/>
          <w:lang w:val="en-GB" w:eastAsia="zh-CN"/>
        </w:rPr>
        <w:t>The best way to improve the spending policy is to make use of the performance information. To achieve this, a concept should be applied, including clearly defined:</w:t>
      </w:r>
    </w:p>
    <w:p w14:paraId="4FF6F5E8" w14:textId="77777777" w:rsidR="00376718" w:rsidRPr="00D30847" w:rsidRDefault="00376718" w:rsidP="00AD2AD5">
      <w:pPr>
        <w:numPr>
          <w:ilvl w:val="0"/>
          <w:numId w:val="42"/>
        </w:numPr>
        <w:spacing w:before="120" w:after="0" w:line="240" w:lineRule="auto"/>
        <w:jc w:val="both"/>
        <w:rPr>
          <w:rFonts w:eastAsia="MS PGothic" w:cs="Calibri"/>
          <w:lang w:val="en-GB" w:eastAsia="zh-CN"/>
        </w:rPr>
      </w:pPr>
      <w:r w:rsidRPr="00D30847">
        <w:rPr>
          <w:rFonts w:eastAsia="MS PGothic" w:cs="Calibri"/>
          <w:lang w:val="en-GB" w:eastAsia="zh-CN"/>
        </w:rPr>
        <w:t>General objectives (linked with the policies);</w:t>
      </w:r>
    </w:p>
    <w:p w14:paraId="5044A8EF" w14:textId="77777777" w:rsidR="00376718" w:rsidRPr="00D30847" w:rsidRDefault="00376718" w:rsidP="00AD2AD5">
      <w:pPr>
        <w:numPr>
          <w:ilvl w:val="0"/>
          <w:numId w:val="42"/>
        </w:numPr>
        <w:spacing w:before="120" w:after="0" w:line="240" w:lineRule="auto"/>
        <w:jc w:val="both"/>
        <w:rPr>
          <w:rFonts w:eastAsia="MS PGothic" w:cs="Calibri"/>
          <w:lang w:val="en-GB" w:eastAsia="zh-CN"/>
        </w:rPr>
      </w:pPr>
      <w:r w:rsidRPr="00D30847">
        <w:rPr>
          <w:rFonts w:eastAsia="MS PGothic" w:cs="Calibri"/>
          <w:lang w:val="en-GB" w:eastAsia="zh-CN"/>
        </w:rPr>
        <w:t>Specific objectives (linked with programmes);</w:t>
      </w:r>
    </w:p>
    <w:p w14:paraId="7511C8FD" w14:textId="76A88A95" w:rsidR="00376718" w:rsidRPr="00D30847" w:rsidRDefault="008F391C" w:rsidP="00AD2AD5">
      <w:pPr>
        <w:numPr>
          <w:ilvl w:val="0"/>
          <w:numId w:val="42"/>
        </w:numPr>
        <w:spacing w:before="120" w:after="0" w:line="240" w:lineRule="auto"/>
        <w:jc w:val="both"/>
        <w:rPr>
          <w:rFonts w:eastAsia="MS PGothic" w:cs="Calibri"/>
          <w:lang w:val="en-GB" w:eastAsia="zh-CN"/>
        </w:rPr>
      </w:pPr>
      <w:r w:rsidRPr="00D30847">
        <w:rPr>
          <w:rFonts w:eastAsia="MS PGothic" w:cs="Calibri"/>
          <w:lang w:val="en-GB" w:eastAsia="zh-CN"/>
        </w:rPr>
        <w:t>Output</w:t>
      </w:r>
      <w:r w:rsidR="00376718" w:rsidRPr="00D30847">
        <w:rPr>
          <w:rFonts w:eastAsia="MS PGothic" w:cs="Calibri"/>
          <w:lang w:val="en-GB" w:eastAsia="zh-CN"/>
        </w:rPr>
        <w:t>, i.e. indicators (linked with sub-programmes).</w:t>
      </w:r>
    </w:p>
    <w:p w14:paraId="46588EE4" w14:textId="77777777" w:rsidR="00376718" w:rsidRPr="00D30847" w:rsidRDefault="00376718" w:rsidP="00E84CD0">
      <w:pPr>
        <w:spacing w:before="120" w:after="0" w:line="240" w:lineRule="auto"/>
        <w:jc w:val="both"/>
        <w:rPr>
          <w:rFonts w:cs="Calibri"/>
          <w:lang w:val="en-GB"/>
        </w:rPr>
      </w:pPr>
      <w:r w:rsidRPr="00D30847">
        <w:rPr>
          <w:rFonts w:eastAsia="Times New Roman" w:cs="Calibri"/>
          <w:color w:val="000000"/>
          <w:lang w:val="en-GB" w:eastAsia="en-GB"/>
        </w:rPr>
        <w:t>The general objective defines the final state to be achieved.</w:t>
      </w:r>
    </w:p>
    <w:p w14:paraId="4E6E99C4" w14:textId="172A2218" w:rsidR="00376718" w:rsidRPr="00D30847" w:rsidRDefault="00376718" w:rsidP="00E84CD0">
      <w:pPr>
        <w:spacing w:before="120" w:after="0" w:line="240" w:lineRule="auto"/>
        <w:jc w:val="both"/>
        <w:rPr>
          <w:rFonts w:cs="Calibri"/>
          <w:lang w:val="en-GB"/>
        </w:rPr>
      </w:pPr>
      <w:r w:rsidRPr="00D30847">
        <w:rPr>
          <w:rFonts w:cs="Calibri"/>
          <w:lang w:val="en-GB"/>
        </w:rPr>
        <w:t xml:space="preserve">The general objective is measured through </w:t>
      </w:r>
      <w:r w:rsidRPr="00D30847">
        <w:rPr>
          <w:rFonts w:cs="Calibri"/>
          <w:b/>
          <w:lang w:val="en-GB"/>
        </w:rPr>
        <w:t>impact indicators</w:t>
      </w:r>
      <w:r w:rsidR="00DF185F" w:rsidRPr="00D30847">
        <w:rPr>
          <w:rFonts w:cs="Calibri"/>
          <w:b/>
          <w:lang w:val="en-GB"/>
        </w:rPr>
        <w:t xml:space="preserve"> </w:t>
      </w:r>
      <w:r w:rsidRPr="00D30847">
        <w:rPr>
          <w:rFonts w:cs="Calibri"/>
          <w:b/>
          <w:lang w:val="en-GB"/>
        </w:rPr>
        <w:t>(policy level)</w:t>
      </w:r>
      <w:r w:rsidRPr="00D30847">
        <w:rPr>
          <w:rFonts w:cs="Calibri"/>
          <w:lang w:val="en-GB"/>
        </w:rPr>
        <w:t xml:space="preserve"> – </w:t>
      </w:r>
      <w:r w:rsidR="008A5C87" w:rsidRPr="00D30847">
        <w:rPr>
          <w:rFonts w:cs="Calibri"/>
          <w:lang w:val="en-GB"/>
        </w:rPr>
        <w:t>indicators</w:t>
      </w:r>
      <w:r w:rsidRPr="00D30847">
        <w:rPr>
          <w:rFonts w:cs="Calibri"/>
          <w:lang w:val="en-GB"/>
        </w:rPr>
        <w:t xml:space="preserve"> for measuring long-term effects, and they generally measure the impact of a set of measures.</w:t>
      </w:r>
      <w:r w:rsidR="008A5C87" w:rsidRPr="00D30847">
        <w:rPr>
          <w:rFonts w:cs="Calibri"/>
          <w:lang w:val="en-GB"/>
        </w:rPr>
        <w:t xml:space="preserve"> </w:t>
      </w:r>
      <w:r w:rsidRPr="00D30847">
        <w:rPr>
          <w:rFonts w:cs="Calibri"/>
          <w:lang w:val="en-GB"/>
        </w:rPr>
        <w:t>Target value of these indicators are determined yearly or for the period covered by the medium-term strategies.</w:t>
      </w:r>
    </w:p>
    <w:p w14:paraId="040DE559" w14:textId="388350A8" w:rsidR="00376718" w:rsidRPr="00D30847" w:rsidRDefault="00376718" w:rsidP="00E84CD0">
      <w:pPr>
        <w:spacing w:before="120" w:after="0" w:line="240" w:lineRule="auto"/>
        <w:jc w:val="both"/>
        <w:rPr>
          <w:rFonts w:cs="Calibri"/>
          <w:lang w:val="en-GB"/>
        </w:rPr>
      </w:pPr>
      <w:r w:rsidRPr="00D30847">
        <w:rPr>
          <w:rFonts w:cs="Calibri"/>
          <w:lang w:val="en-GB"/>
        </w:rPr>
        <w:t xml:space="preserve">Specific </w:t>
      </w:r>
      <w:r w:rsidR="008A5C87" w:rsidRPr="00D30847">
        <w:rPr>
          <w:rFonts w:cs="Calibri"/>
          <w:lang w:val="en-GB"/>
        </w:rPr>
        <w:t>objectives</w:t>
      </w:r>
      <w:r w:rsidRPr="00D30847">
        <w:rPr>
          <w:rFonts w:cs="Calibri"/>
          <w:lang w:val="en-GB"/>
        </w:rPr>
        <w:t xml:space="preserve"> of the programmes support the general objectives of the respective policy.</w:t>
      </w:r>
      <w:r w:rsidR="008A5C87" w:rsidRPr="00D30847">
        <w:rPr>
          <w:rFonts w:cs="Calibri"/>
          <w:lang w:val="en-GB"/>
        </w:rPr>
        <w:t xml:space="preserve"> </w:t>
      </w:r>
      <w:r w:rsidRPr="00D30847">
        <w:rPr>
          <w:rFonts w:cs="Calibri"/>
          <w:lang w:val="en-GB"/>
        </w:rPr>
        <w:t>With respect to each programme, it is necessary to define 1-3 specific objectives.</w:t>
      </w:r>
      <w:r w:rsidR="008A5C87" w:rsidRPr="00D30847">
        <w:rPr>
          <w:rFonts w:cs="Calibri"/>
          <w:lang w:val="en-GB"/>
        </w:rPr>
        <w:t xml:space="preserve"> </w:t>
      </w:r>
      <w:r w:rsidRPr="00D30847">
        <w:rPr>
          <w:rFonts w:cs="Calibri"/>
          <w:b/>
          <w:lang w:val="en-GB"/>
        </w:rPr>
        <w:t xml:space="preserve">Outcome indicators (program level) </w:t>
      </w:r>
      <w:r w:rsidRPr="00D30847">
        <w:rPr>
          <w:rFonts w:cs="Calibri"/>
          <w:lang w:val="en-GB"/>
        </w:rPr>
        <w:t xml:space="preserve">– indicators for measuring medium-term or long-term effects of specific government measures and projects, which are presented as broader socio-economic consequences at programme </w:t>
      </w:r>
      <w:r w:rsidR="008A5C87" w:rsidRPr="00D30847">
        <w:rPr>
          <w:rFonts w:cs="Calibri"/>
          <w:lang w:val="en-GB"/>
        </w:rPr>
        <w:t>level. Target</w:t>
      </w:r>
      <w:r w:rsidRPr="00D30847">
        <w:rPr>
          <w:rFonts w:cs="Calibri"/>
          <w:lang w:val="en-GB"/>
        </w:rPr>
        <w:t xml:space="preserve"> value of these indicators are determined yearly or for the period covered by the medium-term strategies.</w:t>
      </w:r>
    </w:p>
    <w:p w14:paraId="24244573" w14:textId="324DA644" w:rsidR="00376718" w:rsidRPr="00D30847" w:rsidRDefault="00376718" w:rsidP="00E84CD0">
      <w:pPr>
        <w:spacing w:before="120" w:after="120" w:line="240" w:lineRule="auto"/>
        <w:jc w:val="both"/>
        <w:rPr>
          <w:rFonts w:eastAsia="MS PGothic" w:cs="Calibri"/>
          <w:lang w:val="en-GB" w:eastAsia="zh-CN"/>
        </w:rPr>
      </w:pPr>
      <w:r w:rsidRPr="00D30847">
        <w:rPr>
          <w:rFonts w:eastAsia="MS PGothic" w:cs="Calibri"/>
          <w:lang w:val="en-GB" w:eastAsia="zh-CN"/>
        </w:rPr>
        <w:t xml:space="preserve">There should be 1-3 objectives as expected results (indicators) under each sub-programme. The indicator gives thorough description of what we want to achieve over a certain time period, displaying the expected results as values. They are the basis for measuring and monitoring the SMART objectives. While setting them, </w:t>
      </w:r>
      <w:r w:rsidR="008A5C87" w:rsidRPr="00D30847">
        <w:rPr>
          <w:rFonts w:eastAsia="MS PGothic" w:cs="Calibri"/>
          <w:lang w:val="en-GB" w:eastAsia="zh-CN"/>
        </w:rPr>
        <w:t>different</w:t>
      </w:r>
      <w:r w:rsidRPr="00D30847">
        <w:rPr>
          <w:rFonts w:eastAsia="MS PGothic" w:cs="Calibri"/>
          <w:lang w:val="en-GB" w:eastAsia="zh-CN"/>
        </w:rPr>
        <w:t xml:space="preserve"> types of indicators may be used, depending on the level of detail of the objective. Objectives should have at least one indicators so as to be measured and monitored by:</w:t>
      </w:r>
    </w:p>
    <w:p w14:paraId="1E891682" w14:textId="0778D4BC" w:rsidR="00376718" w:rsidRPr="00D30847" w:rsidRDefault="00017732" w:rsidP="00E84CD0">
      <w:pPr>
        <w:spacing w:after="0" w:line="240" w:lineRule="auto"/>
        <w:jc w:val="both"/>
        <w:rPr>
          <w:rFonts w:cs="Calibri"/>
          <w:lang w:val="en-GB"/>
        </w:rPr>
      </w:pPr>
      <w:r w:rsidRPr="00D30847">
        <w:rPr>
          <w:rFonts w:cs="Calibri"/>
          <w:lang w:val="en-GB"/>
        </w:rPr>
        <w:t xml:space="preserve">- </w:t>
      </w:r>
      <w:r w:rsidR="00376718" w:rsidRPr="00D30847">
        <w:rPr>
          <w:rFonts w:cs="Calibri"/>
          <w:b/>
          <w:lang w:val="en-GB"/>
        </w:rPr>
        <w:t>Input indicator</w:t>
      </w:r>
      <w:r w:rsidR="00376718" w:rsidRPr="00D30847">
        <w:rPr>
          <w:rFonts w:cs="Calibri"/>
          <w:lang w:val="en-GB"/>
        </w:rPr>
        <w:t xml:space="preserve"> is the total sum of budget spent for a </w:t>
      </w:r>
      <w:r w:rsidR="008A5C87" w:rsidRPr="00D30847">
        <w:rPr>
          <w:rFonts w:cs="Calibri"/>
          <w:lang w:val="en-GB"/>
        </w:rPr>
        <w:t>specific</w:t>
      </w:r>
      <w:r w:rsidR="00C640AE" w:rsidRPr="00D30847">
        <w:rPr>
          <w:rFonts w:cs="Calibri"/>
          <w:lang w:val="en-GB"/>
        </w:rPr>
        <w:t xml:space="preserve"> </w:t>
      </w:r>
      <w:r w:rsidR="00376718" w:rsidRPr="00D30847">
        <w:rPr>
          <w:rFonts w:cs="Calibri"/>
          <w:lang w:val="en-GB"/>
        </w:rPr>
        <w:t>objective;</w:t>
      </w:r>
    </w:p>
    <w:p w14:paraId="15BAE774" w14:textId="77777777" w:rsidR="00E85148" w:rsidRPr="00D30847" w:rsidRDefault="00017732" w:rsidP="00E84CD0">
      <w:pPr>
        <w:spacing w:after="0" w:line="240" w:lineRule="auto"/>
        <w:jc w:val="both"/>
        <w:rPr>
          <w:rFonts w:cs="Calibri"/>
          <w:lang w:val="en-GB"/>
        </w:rPr>
      </w:pPr>
      <w:r w:rsidRPr="00D30847">
        <w:rPr>
          <w:rFonts w:cs="Calibri"/>
          <w:lang w:val="en-GB"/>
        </w:rPr>
        <w:t xml:space="preserve">- </w:t>
      </w:r>
      <w:r w:rsidR="008A5C87" w:rsidRPr="00D30847">
        <w:rPr>
          <w:rFonts w:cs="Calibri"/>
          <w:b/>
          <w:lang w:val="en-GB"/>
        </w:rPr>
        <w:t>Output indicator</w:t>
      </w:r>
      <w:r w:rsidR="00376718" w:rsidRPr="00D30847">
        <w:rPr>
          <w:rFonts w:cs="Calibri"/>
          <w:lang w:val="en-GB"/>
        </w:rPr>
        <w:t xml:space="preserve"> (sub-programme level) - indicator that measures specific results - outputs (direct effects of measures or projects), supporting the realisation of the specific </w:t>
      </w:r>
      <w:r w:rsidR="008A5C87" w:rsidRPr="00D30847">
        <w:rPr>
          <w:rFonts w:cs="Calibri"/>
          <w:lang w:val="en-GB"/>
        </w:rPr>
        <w:t xml:space="preserve">objectives. </w:t>
      </w:r>
    </w:p>
    <w:p w14:paraId="0C3148E1" w14:textId="51E693A4" w:rsidR="00376718" w:rsidRPr="00D30847" w:rsidRDefault="008A5C87" w:rsidP="00E84CD0">
      <w:pPr>
        <w:spacing w:after="0" w:line="240" w:lineRule="auto"/>
        <w:jc w:val="both"/>
        <w:rPr>
          <w:rFonts w:cs="Calibri"/>
          <w:lang w:val="en-GB"/>
        </w:rPr>
      </w:pPr>
      <w:r w:rsidRPr="00D30847">
        <w:rPr>
          <w:rFonts w:cs="Calibri"/>
          <w:lang w:val="en-GB"/>
        </w:rPr>
        <w:t>Target</w:t>
      </w:r>
      <w:r w:rsidR="00376718" w:rsidRPr="00D30847">
        <w:rPr>
          <w:rFonts w:cs="Calibri"/>
          <w:lang w:val="en-GB"/>
        </w:rPr>
        <w:t xml:space="preserve"> value of these indicators are determined yearly or for the period covered by the medium-term strategies.</w:t>
      </w:r>
    </w:p>
    <w:p w14:paraId="59C5966F" w14:textId="77777777" w:rsidR="00376718" w:rsidRPr="00D30847" w:rsidRDefault="00376718" w:rsidP="00E84CD0">
      <w:pPr>
        <w:spacing w:after="0" w:line="240" w:lineRule="auto"/>
        <w:ind w:left="360"/>
        <w:jc w:val="both"/>
        <w:rPr>
          <w:rFonts w:cs="Calibri"/>
          <w:sz w:val="20"/>
          <w:szCs w:val="20"/>
          <w:lang w:val="en-GB"/>
        </w:rPr>
      </w:pPr>
    </w:p>
    <w:p w14:paraId="48F00CBC" w14:textId="77777777" w:rsidR="006F5904" w:rsidRPr="00D30847" w:rsidRDefault="006F5904" w:rsidP="006F5904">
      <w:pPr>
        <w:spacing w:after="0" w:line="240" w:lineRule="auto"/>
        <w:jc w:val="both"/>
        <w:rPr>
          <w:rFonts w:cs="Calibri"/>
          <w:b/>
          <w:bCs/>
          <w:iCs/>
          <w:color w:val="0070C0"/>
          <w:lang w:val="en-GB"/>
        </w:rPr>
      </w:pPr>
      <w:r w:rsidRPr="00D30847">
        <w:rPr>
          <w:rFonts w:cs="Calibri"/>
          <w:b/>
          <w:bCs/>
          <w:iCs/>
          <w:color w:val="0070C0"/>
          <w:lang w:val="en-GB"/>
        </w:rPr>
        <w:t>Activity 2: Preparing procedures for monitoring the impact of sectoral policies on performance indicators</w:t>
      </w:r>
    </w:p>
    <w:p w14:paraId="6A328C64" w14:textId="77777777" w:rsidR="00376718" w:rsidRPr="00D30847" w:rsidRDefault="00376718" w:rsidP="008D5030">
      <w:pPr>
        <w:spacing w:after="0" w:line="240" w:lineRule="auto"/>
        <w:jc w:val="both"/>
        <w:rPr>
          <w:rFonts w:cs="Calibri"/>
          <w:b/>
          <w:bCs/>
          <w:iCs/>
          <w:color w:val="0070C0"/>
          <w:lang w:val="en-GB"/>
        </w:rPr>
      </w:pPr>
      <w:r w:rsidRPr="00D30847">
        <w:rPr>
          <w:rFonts w:cs="Calibri"/>
          <w:b/>
          <w:bCs/>
          <w:iCs/>
          <w:color w:val="0070C0"/>
          <w:lang w:val="en-GB"/>
        </w:rPr>
        <w:t> </w:t>
      </w:r>
    </w:p>
    <w:p w14:paraId="40F0DFE6" w14:textId="28E54B2A" w:rsidR="00790347" w:rsidRPr="00D30847" w:rsidRDefault="00790347" w:rsidP="008D5030">
      <w:pPr>
        <w:spacing w:after="0" w:line="240" w:lineRule="auto"/>
        <w:jc w:val="both"/>
        <w:rPr>
          <w:rFonts w:eastAsia="Times New Roman" w:cs="Calibri"/>
          <w:color w:val="000000"/>
          <w:lang w:val="en-GB" w:eastAsia="en-GB"/>
        </w:rPr>
      </w:pPr>
      <w:r w:rsidRPr="00D30847">
        <w:rPr>
          <w:rFonts w:cs="Calibri"/>
          <w:iCs/>
          <w:lang w:val="en-GB"/>
        </w:rPr>
        <w:t>Through performance-based budgeting, key decision-makers and policy-makers are expected to systematically take into</w:t>
      </w:r>
      <w:r w:rsidRPr="00D30847">
        <w:rPr>
          <w:rFonts w:eastAsia="Times New Roman" w:cs="Calibri"/>
          <w:lang w:val="en-GB" w:eastAsia="en-GB"/>
        </w:rPr>
        <w:t xml:space="preserve"> </w:t>
      </w:r>
      <w:r w:rsidRPr="00D30847">
        <w:rPr>
          <w:rFonts w:eastAsia="Times New Roman" w:cs="Calibri"/>
          <w:color w:val="000000"/>
          <w:lang w:val="en-GB" w:eastAsia="en-GB"/>
        </w:rPr>
        <w:t>account the results to be achieved when making expenditures. The best way to improve expenditure policy making is by using sustainability data.</w:t>
      </w:r>
    </w:p>
    <w:p w14:paraId="35B5459D" w14:textId="50F5098F" w:rsidR="00790347" w:rsidRPr="00D30847" w:rsidRDefault="00790347" w:rsidP="00790347">
      <w:pPr>
        <w:suppressAutoHyphens/>
        <w:spacing w:after="0" w:line="240" w:lineRule="auto"/>
        <w:jc w:val="both"/>
        <w:rPr>
          <w:rFonts w:eastAsia="Times New Roman" w:cs="Calibri"/>
          <w:color w:val="000000"/>
          <w:lang w:val="en-GB" w:eastAsia="en-GB"/>
        </w:rPr>
      </w:pPr>
      <w:r w:rsidRPr="00D30847">
        <w:rPr>
          <w:rFonts w:eastAsia="Times New Roman" w:cs="Calibri"/>
          <w:color w:val="000000"/>
          <w:lang w:val="en-GB" w:eastAsia="en-GB"/>
        </w:rPr>
        <w:t xml:space="preserve">The development of procedures in the direction of monitoring multi-year indicators for measuring the success in the implementation of policies in the budget is aimed at measuring the effects of budget expenditures in relation to the results of the provision of public goods and services by budget users. In this direction, a predictable and sustainable fiscal policy is expected, as well as increased budget </w:t>
      </w:r>
      <w:r w:rsidRPr="00D30847">
        <w:rPr>
          <w:rFonts w:eastAsia="Times New Roman" w:cs="Calibri"/>
          <w:color w:val="000000"/>
          <w:lang w:val="en-GB" w:eastAsia="en-GB"/>
        </w:rPr>
        <w:lastRenderedPageBreak/>
        <w:t>discipline and responsibility. Fiscal policy focused on the consolidation of public expenditures through a gradual reduction of the deficit level, as well as the redesign of public expenditures through extensive investments in the area of infrastructure, is the ultimate goal of the entire process.</w:t>
      </w:r>
    </w:p>
    <w:p w14:paraId="637C9973" w14:textId="3E17BD33" w:rsidR="00015266" w:rsidRPr="00D30847" w:rsidRDefault="00015266" w:rsidP="00790347">
      <w:pPr>
        <w:suppressAutoHyphens/>
        <w:spacing w:after="0" w:line="240" w:lineRule="auto"/>
        <w:jc w:val="both"/>
        <w:rPr>
          <w:rFonts w:eastAsia="Times New Roman" w:cs="Calibri"/>
          <w:lang w:val="en-GB" w:eastAsia="ar-SA"/>
        </w:rPr>
      </w:pPr>
    </w:p>
    <w:p w14:paraId="063C5B66" w14:textId="77777777" w:rsidR="00376718" w:rsidRPr="00D30847" w:rsidRDefault="00376718" w:rsidP="00E84CD0">
      <w:pPr>
        <w:spacing w:before="160" w:after="60" w:line="240" w:lineRule="auto"/>
        <w:jc w:val="both"/>
        <w:outlineLvl w:val="3"/>
        <w:rPr>
          <w:rFonts w:eastAsia="Times New Roman" w:cs="Calibri"/>
          <w:b/>
          <w:bCs/>
          <w:color w:val="000000"/>
          <w:sz w:val="20"/>
          <w:szCs w:val="20"/>
          <w:lang w:val="en-GB" w:eastAsia="en-GB"/>
        </w:rPr>
      </w:pPr>
      <w:r w:rsidRPr="00D30847">
        <w:rPr>
          <w:rFonts w:eastAsia="Times New Roman" w:cs="Calibri"/>
          <w:b/>
          <w:bCs/>
          <w:i/>
          <w:iCs/>
          <w:color w:val="4F81BD"/>
          <w:sz w:val="20"/>
          <w:szCs w:val="20"/>
          <w:lang w:val="en-GB" w:eastAsia="en-GB"/>
        </w:rPr>
        <w:t>Implementation</w:t>
      </w:r>
    </w:p>
    <w:tbl>
      <w:tblPr>
        <w:tblW w:w="0" w:type="auto"/>
        <w:tblCellMar>
          <w:left w:w="0" w:type="dxa"/>
          <w:right w:w="0" w:type="dxa"/>
        </w:tblCellMar>
        <w:tblLook w:val="04A0" w:firstRow="1" w:lastRow="0" w:firstColumn="1" w:lastColumn="0" w:noHBand="0" w:noVBand="1"/>
      </w:tblPr>
      <w:tblGrid>
        <w:gridCol w:w="2302"/>
        <w:gridCol w:w="6030"/>
      </w:tblGrid>
      <w:tr w:rsidR="00376718" w:rsidRPr="00D30847" w14:paraId="2C847826" w14:textId="77777777" w:rsidTr="00375394">
        <w:tc>
          <w:tcPr>
            <w:tcW w:w="2302" w:type="dxa"/>
            <w:tcBorders>
              <w:bottom w:val="single" w:sz="6" w:space="0" w:color="FFFFFF"/>
            </w:tcBorders>
            <w:shd w:val="clear" w:color="auto" w:fill="002060"/>
            <w:tcMar>
              <w:top w:w="0" w:type="dxa"/>
              <w:left w:w="108" w:type="dxa"/>
              <w:bottom w:w="0" w:type="dxa"/>
              <w:right w:w="108" w:type="dxa"/>
            </w:tcMar>
            <w:hideMark/>
          </w:tcPr>
          <w:p w14:paraId="548B16D8" w14:textId="4FEC9B83" w:rsidR="00376718" w:rsidRPr="00D30847" w:rsidRDefault="00376718" w:rsidP="00E84CD0">
            <w:pPr>
              <w:spacing w:line="240" w:lineRule="auto"/>
              <w:jc w:val="both"/>
              <w:rPr>
                <w:b/>
                <w:color w:val="FFFFFF"/>
                <w:sz w:val="20"/>
                <w:szCs w:val="20"/>
                <w:lang w:val="en-GB"/>
              </w:rPr>
            </w:pPr>
            <w:r w:rsidRPr="00D30847">
              <w:rPr>
                <w:b/>
                <w:color w:val="FFFFFF"/>
                <w:sz w:val="20"/>
                <w:szCs w:val="20"/>
                <w:lang w:val="en-GB"/>
              </w:rPr>
              <w:t>Completed</w:t>
            </w:r>
            <w:r w:rsidR="008A5C87" w:rsidRPr="00D30847">
              <w:rPr>
                <w:b/>
                <w:color w:val="FFFFFF"/>
                <w:sz w:val="20"/>
                <w:szCs w:val="20"/>
                <w:lang w:val="en-GB"/>
              </w:rPr>
              <w:t xml:space="preserve"> </w:t>
            </w:r>
            <w:r w:rsidRPr="00D30847">
              <w:rPr>
                <w:b/>
                <w:color w:val="FFFFFF"/>
                <w:sz w:val="20"/>
                <w:szCs w:val="20"/>
                <w:lang w:val="en-GB"/>
              </w:rPr>
              <w:t>in</w:t>
            </w:r>
            <w:r w:rsidR="008A5C87" w:rsidRPr="00D30847">
              <w:rPr>
                <w:b/>
                <w:color w:val="FFFFFF"/>
                <w:sz w:val="20"/>
                <w:szCs w:val="20"/>
                <w:lang w:val="en-GB"/>
              </w:rPr>
              <w:t xml:space="preserve"> </w:t>
            </w:r>
            <w:r w:rsidRPr="00D30847">
              <w:rPr>
                <w:b/>
                <w:color w:val="FFFFFF"/>
                <w:sz w:val="20"/>
                <w:szCs w:val="20"/>
                <w:lang w:val="en-GB"/>
              </w:rPr>
              <w:t>year:</w:t>
            </w:r>
          </w:p>
        </w:tc>
        <w:tc>
          <w:tcPr>
            <w:tcW w:w="6030" w:type="dxa"/>
            <w:tcBorders>
              <w:bottom w:val="single" w:sz="6" w:space="0" w:color="FFFFFF"/>
            </w:tcBorders>
            <w:shd w:val="clear" w:color="auto" w:fill="D9E2F3"/>
            <w:tcMar>
              <w:top w:w="0" w:type="dxa"/>
              <w:left w:w="108" w:type="dxa"/>
              <w:bottom w:w="0" w:type="dxa"/>
              <w:right w:w="108" w:type="dxa"/>
            </w:tcMar>
            <w:hideMark/>
          </w:tcPr>
          <w:p w14:paraId="76F83E8C" w14:textId="34F15C2F" w:rsidR="00376718" w:rsidRPr="00D30847" w:rsidRDefault="00936202" w:rsidP="00E84CD0">
            <w:pPr>
              <w:spacing w:after="0" w:line="240" w:lineRule="auto"/>
              <w:jc w:val="both"/>
              <w:rPr>
                <w:rFonts w:eastAsia="Times New Roman" w:cs="Calibri"/>
                <w:sz w:val="20"/>
                <w:szCs w:val="20"/>
                <w:lang w:val="en-GB" w:eastAsia="en-GB"/>
              </w:rPr>
            </w:pPr>
            <w:r w:rsidRPr="00D30847">
              <w:rPr>
                <w:rFonts w:eastAsia="Times New Roman" w:cs="Calibri"/>
                <w:sz w:val="20"/>
                <w:szCs w:val="20"/>
                <w:lang w:val="en-GB" w:eastAsia="en-GB"/>
              </w:rPr>
              <w:t>202</w:t>
            </w:r>
            <w:r w:rsidR="00E85148" w:rsidRPr="00D30847">
              <w:rPr>
                <w:rFonts w:eastAsia="Times New Roman" w:cs="Calibri"/>
                <w:sz w:val="20"/>
                <w:szCs w:val="20"/>
                <w:lang w:val="en-GB" w:eastAsia="en-GB"/>
              </w:rPr>
              <w:t>8</w:t>
            </w:r>
          </w:p>
        </w:tc>
      </w:tr>
      <w:tr w:rsidR="00376718" w:rsidRPr="00D30847" w14:paraId="514EF8EF" w14:textId="77777777" w:rsidTr="00375394">
        <w:tc>
          <w:tcPr>
            <w:tcW w:w="2302" w:type="dxa"/>
            <w:tcBorders>
              <w:top w:val="single" w:sz="6" w:space="0" w:color="FFFFFF"/>
              <w:bottom w:val="single" w:sz="6" w:space="0" w:color="FFFFFF"/>
            </w:tcBorders>
            <w:shd w:val="clear" w:color="auto" w:fill="002060"/>
            <w:tcMar>
              <w:top w:w="0" w:type="dxa"/>
              <w:left w:w="108" w:type="dxa"/>
              <w:bottom w:w="0" w:type="dxa"/>
              <w:right w:w="108" w:type="dxa"/>
            </w:tcMar>
            <w:hideMark/>
          </w:tcPr>
          <w:p w14:paraId="710203DF" w14:textId="77777777" w:rsidR="00376718" w:rsidRPr="00D30847" w:rsidRDefault="00376718" w:rsidP="00E84CD0">
            <w:pPr>
              <w:spacing w:line="240" w:lineRule="auto"/>
              <w:jc w:val="both"/>
              <w:rPr>
                <w:b/>
                <w:color w:val="FFFFFF"/>
                <w:sz w:val="20"/>
                <w:szCs w:val="20"/>
                <w:lang w:val="en-GB"/>
              </w:rPr>
            </w:pPr>
            <w:r w:rsidRPr="00D30847">
              <w:rPr>
                <w:b/>
                <w:color w:val="FFFFFF"/>
                <w:sz w:val="20"/>
                <w:szCs w:val="20"/>
                <w:lang w:val="en-GB"/>
              </w:rPr>
              <w:t>Deliverables:</w:t>
            </w:r>
          </w:p>
        </w:tc>
        <w:tc>
          <w:tcPr>
            <w:tcW w:w="6030" w:type="dxa"/>
            <w:tcBorders>
              <w:top w:val="single" w:sz="6" w:space="0" w:color="FFFFFF"/>
              <w:bottom w:val="single" w:sz="6" w:space="0" w:color="FFFFFF"/>
            </w:tcBorders>
            <w:shd w:val="clear" w:color="auto" w:fill="D9E2F3"/>
            <w:tcMar>
              <w:top w:w="0" w:type="dxa"/>
              <w:left w:w="108" w:type="dxa"/>
              <w:bottom w:w="0" w:type="dxa"/>
              <w:right w:w="108" w:type="dxa"/>
            </w:tcMar>
            <w:hideMark/>
          </w:tcPr>
          <w:p w14:paraId="755B7972" w14:textId="40B2A2B8" w:rsidR="00376718" w:rsidRPr="00D30847" w:rsidRDefault="006F5904" w:rsidP="00AD2AD5">
            <w:pPr>
              <w:pStyle w:val="ListParagraph"/>
              <w:numPr>
                <w:ilvl w:val="0"/>
                <w:numId w:val="42"/>
              </w:numPr>
              <w:tabs>
                <w:tab w:val="left" w:pos="5796"/>
              </w:tabs>
              <w:spacing w:after="0" w:line="240" w:lineRule="auto"/>
              <w:ind w:left="126" w:hanging="157"/>
              <w:rPr>
                <w:rFonts w:eastAsia="Times New Roman" w:cs="Calibri"/>
                <w:sz w:val="20"/>
                <w:szCs w:val="20"/>
                <w:lang w:eastAsia="en-GB"/>
              </w:rPr>
            </w:pPr>
            <w:r w:rsidRPr="00D30847">
              <w:rPr>
                <w:rFonts w:eastAsia="Times New Roman" w:cs="Calibri"/>
                <w:sz w:val="20"/>
                <w:szCs w:val="20"/>
                <w:lang w:eastAsia="en-GB"/>
              </w:rPr>
              <w:t>Budget in accordance with the provisions of the new OBL.</w:t>
            </w:r>
          </w:p>
        </w:tc>
      </w:tr>
      <w:tr w:rsidR="00376718" w:rsidRPr="00D30847" w14:paraId="392A5AB9" w14:textId="77777777" w:rsidTr="00375394">
        <w:tc>
          <w:tcPr>
            <w:tcW w:w="2302" w:type="dxa"/>
            <w:tcBorders>
              <w:top w:val="single" w:sz="6" w:space="0" w:color="FFFFFF"/>
              <w:bottom w:val="single" w:sz="6" w:space="0" w:color="FFFFFF"/>
            </w:tcBorders>
            <w:shd w:val="clear" w:color="auto" w:fill="002060"/>
            <w:tcMar>
              <w:top w:w="0" w:type="dxa"/>
              <w:left w:w="108" w:type="dxa"/>
              <w:bottom w:w="0" w:type="dxa"/>
              <w:right w:w="108" w:type="dxa"/>
            </w:tcMar>
            <w:hideMark/>
          </w:tcPr>
          <w:p w14:paraId="5DB0BFAA" w14:textId="298DEB93" w:rsidR="00376718" w:rsidRPr="00D30847" w:rsidRDefault="00376718" w:rsidP="00E84CD0">
            <w:pPr>
              <w:spacing w:line="240" w:lineRule="auto"/>
              <w:jc w:val="both"/>
              <w:rPr>
                <w:b/>
                <w:color w:val="FFFFFF"/>
                <w:sz w:val="20"/>
                <w:szCs w:val="20"/>
                <w:lang w:val="en-GB"/>
              </w:rPr>
            </w:pPr>
            <w:r w:rsidRPr="00D30847">
              <w:rPr>
                <w:b/>
                <w:color w:val="FFFFFF"/>
                <w:sz w:val="20"/>
                <w:szCs w:val="20"/>
                <w:lang w:val="en-GB"/>
              </w:rPr>
              <w:t>Costs</w:t>
            </w:r>
            <w:r w:rsidR="008A5C87" w:rsidRPr="00D30847">
              <w:rPr>
                <w:b/>
                <w:color w:val="FFFFFF"/>
                <w:sz w:val="20"/>
                <w:szCs w:val="20"/>
                <w:lang w:val="en-GB"/>
              </w:rPr>
              <w:t xml:space="preserve"> </w:t>
            </w:r>
            <w:r w:rsidRPr="00D30847">
              <w:rPr>
                <w:b/>
                <w:color w:val="FFFFFF"/>
                <w:sz w:val="20"/>
                <w:szCs w:val="20"/>
                <w:lang w:val="en-GB"/>
              </w:rPr>
              <w:t>implications:</w:t>
            </w:r>
          </w:p>
        </w:tc>
        <w:tc>
          <w:tcPr>
            <w:tcW w:w="6030" w:type="dxa"/>
            <w:tcBorders>
              <w:top w:val="single" w:sz="6" w:space="0" w:color="FFFFFF"/>
              <w:bottom w:val="single" w:sz="6" w:space="0" w:color="FFFFFF"/>
            </w:tcBorders>
            <w:shd w:val="clear" w:color="auto" w:fill="D9E2F3"/>
            <w:tcMar>
              <w:top w:w="0" w:type="dxa"/>
              <w:left w:w="108" w:type="dxa"/>
              <w:bottom w:w="0" w:type="dxa"/>
              <w:right w:w="108" w:type="dxa"/>
            </w:tcMar>
            <w:hideMark/>
          </w:tcPr>
          <w:p w14:paraId="60B5CA9A" w14:textId="4CCA15F1" w:rsidR="00376718" w:rsidRPr="00D30847" w:rsidRDefault="00376718" w:rsidP="00E84CD0">
            <w:pPr>
              <w:spacing w:after="0" w:line="240" w:lineRule="auto"/>
              <w:jc w:val="both"/>
              <w:rPr>
                <w:rFonts w:eastAsia="Times New Roman" w:cs="Calibri"/>
                <w:sz w:val="20"/>
                <w:szCs w:val="20"/>
                <w:lang w:val="en-GB" w:eastAsia="en-GB"/>
              </w:rPr>
            </w:pPr>
            <w:r w:rsidRPr="00D30847">
              <w:rPr>
                <w:rFonts w:eastAsia="Times New Roman" w:cs="Calibri"/>
                <w:sz w:val="20"/>
                <w:szCs w:val="20"/>
                <w:lang w:val="en-GB" w:eastAsia="en-GB"/>
              </w:rPr>
              <w:t xml:space="preserve">EUR </w:t>
            </w:r>
            <w:r w:rsidR="00E85148" w:rsidRPr="00D30847">
              <w:rPr>
                <w:rFonts w:eastAsia="Times New Roman" w:cs="Calibri"/>
                <w:sz w:val="20"/>
                <w:szCs w:val="20"/>
                <w:lang w:val="en-GB" w:eastAsia="en-GB"/>
              </w:rPr>
              <w:t>3</w:t>
            </w:r>
            <w:r w:rsidRPr="00D30847">
              <w:rPr>
                <w:rFonts w:eastAsia="Times New Roman" w:cs="Calibri"/>
                <w:sz w:val="20"/>
                <w:szCs w:val="20"/>
                <w:lang w:val="en-GB" w:eastAsia="en-GB"/>
              </w:rPr>
              <w:t>6</w:t>
            </w:r>
            <w:r w:rsidR="00E85148" w:rsidRPr="00D30847">
              <w:rPr>
                <w:rFonts w:eastAsia="Times New Roman" w:cs="Calibri"/>
                <w:sz w:val="20"/>
                <w:szCs w:val="20"/>
                <w:lang w:val="en-GB" w:eastAsia="en-GB"/>
              </w:rPr>
              <w:t>0</w:t>
            </w:r>
            <w:r w:rsidRPr="00D30847">
              <w:rPr>
                <w:rFonts w:eastAsia="Times New Roman" w:cs="Calibri"/>
                <w:sz w:val="20"/>
                <w:szCs w:val="20"/>
                <w:lang w:val="en-GB" w:eastAsia="en-GB"/>
              </w:rPr>
              <w:t xml:space="preserve">,000 </w:t>
            </w:r>
          </w:p>
        </w:tc>
      </w:tr>
      <w:tr w:rsidR="00376718" w:rsidRPr="00D30847" w14:paraId="12869022" w14:textId="77777777" w:rsidTr="00375394">
        <w:tc>
          <w:tcPr>
            <w:tcW w:w="2302" w:type="dxa"/>
            <w:tcBorders>
              <w:top w:val="single" w:sz="6" w:space="0" w:color="FFFFFF"/>
              <w:bottom w:val="single" w:sz="6" w:space="0" w:color="FFFFFF"/>
            </w:tcBorders>
            <w:shd w:val="clear" w:color="auto" w:fill="002060"/>
            <w:tcMar>
              <w:top w:w="0" w:type="dxa"/>
              <w:left w:w="108" w:type="dxa"/>
              <w:bottom w:w="0" w:type="dxa"/>
              <w:right w:w="108" w:type="dxa"/>
            </w:tcMar>
            <w:hideMark/>
          </w:tcPr>
          <w:p w14:paraId="28E750D0" w14:textId="05E51423" w:rsidR="00376718" w:rsidRPr="00D30847" w:rsidRDefault="00376718" w:rsidP="00E84CD0">
            <w:pPr>
              <w:spacing w:line="240" w:lineRule="auto"/>
              <w:jc w:val="both"/>
              <w:rPr>
                <w:b/>
                <w:color w:val="FFFFFF"/>
                <w:sz w:val="20"/>
                <w:szCs w:val="20"/>
                <w:lang w:val="en-GB"/>
              </w:rPr>
            </w:pPr>
            <w:r w:rsidRPr="00D30847">
              <w:rPr>
                <w:b/>
                <w:color w:val="FFFFFF"/>
                <w:sz w:val="20"/>
                <w:szCs w:val="20"/>
                <w:lang w:val="en-GB"/>
              </w:rPr>
              <w:t>Responsible</w:t>
            </w:r>
            <w:r w:rsidR="008A5C87" w:rsidRPr="00D30847">
              <w:rPr>
                <w:b/>
                <w:color w:val="FFFFFF"/>
                <w:sz w:val="20"/>
                <w:szCs w:val="20"/>
                <w:lang w:val="en-GB"/>
              </w:rPr>
              <w:t xml:space="preserve"> </w:t>
            </w:r>
            <w:r w:rsidRPr="00D30847">
              <w:rPr>
                <w:b/>
                <w:color w:val="FFFFFF"/>
                <w:sz w:val="20"/>
                <w:szCs w:val="20"/>
                <w:lang w:val="en-GB"/>
              </w:rPr>
              <w:t xml:space="preserve">entity: </w:t>
            </w:r>
          </w:p>
        </w:tc>
        <w:tc>
          <w:tcPr>
            <w:tcW w:w="6030" w:type="dxa"/>
            <w:tcBorders>
              <w:top w:val="single" w:sz="6" w:space="0" w:color="FFFFFF"/>
              <w:bottom w:val="single" w:sz="6" w:space="0" w:color="FFFFFF"/>
            </w:tcBorders>
            <w:shd w:val="clear" w:color="auto" w:fill="D9E2F3"/>
            <w:tcMar>
              <w:top w:w="0" w:type="dxa"/>
              <w:left w:w="108" w:type="dxa"/>
              <w:bottom w:w="0" w:type="dxa"/>
              <w:right w:w="108" w:type="dxa"/>
            </w:tcMar>
            <w:hideMark/>
          </w:tcPr>
          <w:p w14:paraId="4D13FABA" w14:textId="49D70D7C" w:rsidR="00376718" w:rsidRPr="00D30847" w:rsidRDefault="00376718" w:rsidP="00E84CD0">
            <w:pPr>
              <w:spacing w:after="0" w:line="240" w:lineRule="auto"/>
              <w:jc w:val="both"/>
              <w:rPr>
                <w:rFonts w:eastAsia="Times New Roman" w:cs="Calibri"/>
                <w:sz w:val="20"/>
                <w:szCs w:val="20"/>
                <w:lang w:val="en-GB" w:eastAsia="en-GB"/>
              </w:rPr>
            </w:pPr>
            <w:r w:rsidRPr="00D30847">
              <w:rPr>
                <w:rFonts w:eastAsia="Times New Roman" w:cs="Calibri"/>
                <w:sz w:val="20"/>
                <w:szCs w:val="20"/>
                <w:lang w:val="en-GB" w:eastAsia="en-GB"/>
              </w:rPr>
              <w:t>Ministry</w:t>
            </w:r>
            <w:r w:rsidR="006F5904" w:rsidRPr="00D30847">
              <w:rPr>
                <w:rFonts w:eastAsia="Times New Roman" w:cs="Calibri"/>
                <w:sz w:val="20"/>
                <w:szCs w:val="20"/>
                <w:lang w:val="en-GB" w:eastAsia="en-GB"/>
              </w:rPr>
              <w:t xml:space="preserve"> </w:t>
            </w:r>
            <w:r w:rsidRPr="00D30847">
              <w:rPr>
                <w:rFonts w:eastAsia="Times New Roman" w:cs="Calibri"/>
                <w:sz w:val="20"/>
                <w:szCs w:val="20"/>
                <w:lang w:val="en-GB" w:eastAsia="en-GB"/>
              </w:rPr>
              <w:t>of</w:t>
            </w:r>
            <w:r w:rsidR="006F5904" w:rsidRPr="00D30847">
              <w:rPr>
                <w:rFonts w:eastAsia="Times New Roman" w:cs="Calibri"/>
                <w:sz w:val="20"/>
                <w:szCs w:val="20"/>
                <w:lang w:val="en-GB" w:eastAsia="en-GB"/>
              </w:rPr>
              <w:t xml:space="preserve"> </w:t>
            </w:r>
            <w:r w:rsidRPr="00D30847">
              <w:rPr>
                <w:rFonts w:eastAsia="Times New Roman" w:cs="Calibri"/>
                <w:sz w:val="20"/>
                <w:szCs w:val="20"/>
                <w:lang w:val="en-GB" w:eastAsia="en-GB"/>
              </w:rPr>
              <w:t>Finance-Budgets</w:t>
            </w:r>
            <w:r w:rsidR="006F5904" w:rsidRPr="00D30847">
              <w:rPr>
                <w:rFonts w:eastAsia="Times New Roman" w:cs="Calibri"/>
                <w:sz w:val="20"/>
                <w:szCs w:val="20"/>
                <w:lang w:val="en-GB" w:eastAsia="en-GB"/>
              </w:rPr>
              <w:t xml:space="preserve"> </w:t>
            </w:r>
            <w:r w:rsidRPr="00D30847">
              <w:rPr>
                <w:rFonts w:eastAsia="Times New Roman" w:cs="Calibri"/>
                <w:sz w:val="20"/>
                <w:szCs w:val="20"/>
                <w:lang w:val="en-GB" w:eastAsia="en-GB"/>
              </w:rPr>
              <w:t>and</w:t>
            </w:r>
            <w:r w:rsidR="006F5904" w:rsidRPr="00D30847">
              <w:rPr>
                <w:rFonts w:eastAsia="Times New Roman" w:cs="Calibri"/>
                <w:sz w:val="20"/>
                <w:szCs w:val="20"/>
                <w:lang w:val="en-GB" w:eastAsia="en-GB"/>
              </w:rPr>
              <w:t xml:space="preserve"> </w:t>
            </w:r>
            <w:r w:rsidRPr="00D30847">
              <w:rPr>
                <w:rFonts w:eastAsia="Times New Roman" w:cs="Calibri"/>
                <w:sz w:val="20"/>
                <w:szCs w:val="20"/>
                <w:lang w:val="en-GB" w:eastAsia="en-GB"/>
              </w:rPr>
              <w:t>Funds Department</w:t>
            </w:r>
          </w:p>
        </w:tc>
      </w:tr>
      <w:tr w:rsidR="00376718" w:rsidRPr="00D30847" w14:paraId="730AB96C" w14:textId="77777777" w:rsidTr="00375394">
        <w:trPr>
          <w:trHeight w:val="70"/>
        </w:trPr>
        <w:tc>
          <w:tcPr>
            <w:tcW w:w="2302" w:type="dxa"/>
            <w:tcBorders>
              <w:top w:val="single" w:sz="6" w:space="0" w:color="FFFFFF"/>
            </w:tcBorders>
            <w:shd w:val="clear" w:color="auto" w:fill="002060"/>
            <w:tcMar>
              <w:top w:w="0" w:type="dxa"/>
              <w:left w:w="108" w:type="dxa"/>
              <w:bottom w:w="0" w:type="dxa"/>
              <w:right w:w="108" w:type="dxa"/>
            </w:tcMar>
            <w:hideMark/>
          </w:tcPr>
          <w:p w14:paraId="4F5424AB" w14:textId="77777777" w:rsidR="00376718" w:rsidRPr="00D30847" w:rsidRDefault="00376718" w:rsidP="00E84CD0">
            <w:pPr>
              <w:spacing w:line="240" w:lineRule="auto"/>
              <w:jc w:val="both"/>
              <w:rPr>
                <w:b/>
                <w:color w:val="FFFFFF"/>
                <w:sz w:val="20"/>
                <w:szCs w:val="20"/>
                <w:lang w:val="en-GB"/>
              </w:rPr>
            </w:pPr>
            <w:r w:rsidRPr="00D30847">
              <w:rPr>
                <w:b/>
                <w:color w:val="FFFFFF"/>
                <w:sz w:val="20"/>
                <w:szCs w:val="20"/>
                <w:lang w:val="en-GB"/>
              </w:rPr>
              <w:t>Risk:</w:t>
            </w:r>
          </w:p>
        </w:tc>
        <w:tc>
          <w:tcPr>
            <w:tcW w:w="6030" w:type="dxa"/>
            <w:tcBorders>
              <w:top w:val="single" w:sz="6" w:space="0" w:color="FFFFFF"/>
            </w:tcBorders>
            <w:shd w:val="clear" w:color="auto" w:fill="D9E2F3"/>
            <w:tcMar>
              <w:top w:w="0" w:type="dxa"/>
              <w:left w:w="108" w:type="dxa"/>
              <w:bottom w:w="0" w:type="dxa"/>
              <w:right w:w="108" w:type="dxa"/>
            </w:tcMar>
            <w:hideMark/>
          </w:tcPr>
          <w:p w14:paraId="6A0F966D" w14:textId="05322159" w:rsidR="00376718" w:rsidRPr="00D30847" w:rsidRDefault="006F5904" w:rsidP="00AD2AD5">
            <w:pPr>
              <w:numPr>
                <w:ilvl w:val="0"/>
                <w:numId w:val="42"/>
              </w:numPr>
              <w:spacing w:after="0" w:line="240" w:lineRule="auto"/>
              <w:ind w:left="126" w:hanging="180"/>
              <w:jc w:val="both"/>
              <w:rPr>
                <w:rFonts w:eastAsia="Times New Roman" w:cs="Calibri"/>
                <w:sz w:val="20"/>
                <w:szCs w:val="20"/>
                <w:lang w:val="en-GB" w:eastAsia="en-GB"/>
              </w:rPr>
            </w:pPr>
            <w:r w:rsidRPr="00D30847">
              <w:rPr>
                <w:rFonts w:eastAsia="Times New Roman" w:cs="Calibri"/>
                <w:sz w:val="20"/>
                <w:szCs w:val="20"/>
                <w:lang w:val="en-GB" w:eastAsia="en-GB"/>
              </w:rPr>
              <w:t>Human potential for implementation.</w:t>
            </w:r>
          </w:p>
        </w:tc>
      </w:tr>
    </w:tbl>
    <w:p w14:paraId="2FE9FF0C" w14:textId="06A96B2D" w:rsidR="00376718" w:rsidRPr="00D30847" w:rsidRDefault="00376718" w:rsidP="00C640AE">
      <w:pPr>
        <w:spacing w:after="0" w:line="240" w:lineRule="auto"/>
        <w:ind w:left="360"/>
        <w:jc w:val="both"/>
        <w:rPr>
          <w:rFonts w:eastAsia="Times New Roman" w:cs="Calibri"/>
          <w:color w:val="000000"/>
          <w:sz w:val="20"/>
          <w:szCs w:val="20"/>
          <w:lang w:val="en-GB" w:eastAsia="en-GB"/>
        </w:rPr>
      </w:pPr>
      <w:r w:rsidRPr="00D30847">
        <w:rPr>
          <w:rFonts w:eastAsia="Times New Roman" w:cs="Calibri"/>
          <w:color w:val="002060"/>
          <w:sz w:val="20"/>
          <w:szCs w:val="20"/>
          <w:lang w:val="en-GB" w:eastAsia="en-GB"/>
        </w:rPr>
        <w:t>  </w:t>
      </w:r>
    </w:p>
    <w:p w14:paraId="3EEA45D4" w14:textId="77777777" w:rsidR="00790347" w:rsidRPr="00D30847" w:rsidRDefault="00790347" w:rsidP="00790347">
      <w:pPr>
        <w:spacing w:after="0" w:line="240" w:lineRule="auto"/>
        <w:jc w:val="both"/>
        <w:rPr>
          <w:b/>
          <w:color w:val="0070C0"/>
          <w:sz w:val="24"/>
          <w:szCs w:val="24"/>
          <w:lang w:val="en-GB"/>
        </w:rPr>
      </w:pPr>
      <w:r w:rsidRPr="00D30847">
        <w:rPr>
          <w:b/>
          <w:color w:val="0070C0"/>
          <w:sz w:val="24"/>
          <w:szCs w:val="24"/>
          <w:lang w:val="en-GB"/>
        </w:rPr>
        <w:t>Measure 4: Spending review</w:t>
      </w:r>
    </w:p>
    <w:p w14:paraId="6D7F0FD6" w14:textId="77777777" w:rsidR="00376718" w:rsidRPr="00D30847" w:rsidRDefault="00376718" w:rsidP="00E84CD0">
      <w:pPr>
        <w:spacing w:after="0" w:line="240" w:lineRule="auto"/>
        <w:ind w:left="360"/>
        <w:jc w:val="both"/>
        <w:rPr>
          <w:rFonts w:eastAsia="Times New Roman" w:cs="Calibri"/>
          <w:color w:val="000000"/>
          <w:sz w:val="20"/>
          <w:szCs w:val="20"/>
          <w:lang w:val="en-GB" w:eastAsia="en-GB"/>
        </w:rPr>
      </w:pPr>
      <w:r w:rsidRPr="00D30847">
        <w:rPr>
          <w:rFonts w:eastAsia="Times New Roman" w:cs="Calibri"/>
          <w:color w:val="FF0000"/>
          <w:sz w:val="20"/>
          <w:szCs w:val="20"/>
          <w:lang w:val="en-GB" w:eastAsia="en-GB"/>
        </w:rPr>
        <w:t> </w:t>
      </w:r>
    </w:p>
    <w:p w14:paraId="1EA7BACF" w14:textId="14CFB5DF" w:rsidR="00A13E9D" w:rsidRPr="00D30847" w:rsidRDefault="00376718" w:rsidP="00C640AE">
      <w:pPr>
        <w:spacing w:after="0" w:line="240" w:lineRule="auto"/>
        <w:jc w:val="both"/>
        <w:rPr>
          <w:rFonts w:eastAsia="Times New Roman" w:cs="Calibri"/>
          <w:color w:val="000000"/>
          <w:lang w:val="en-GB" w:eastAsia="en-GB"/>
        </w:rPr>
      </w:pPr>
      <w:r w:rsidRPr="00D30847">
        <w:rPr>
          <w:rFonts w:eastAsia="Times New Roman" w:cs="Calibri"/>
          <w:b/>
          <w:bCs/>
          <w:i/>
          <w:iCs/>
          <w:color w:val="4F81BD"/>
          <w:lang w:val="en-GB" w:eastAsia="en-GB"/>
        </w:rPr>
        <w:t>Measure objective</w:t>
      </w:r>
    </w:p>
    <w:p w14:paraId="4C1A7141" w14:textId="528DA501" w:rsidR="006F5904" w:rsidRPr="00D30847" w:rsidRDefault="006F5904" w:rsidP="006F5904">
      <w:pPr>
        <w:tabs>
          <w:tab w:val="left" w:pos="851"/>
        </w:tabs>
        <w:spacing w:before="120" w:line="240" w:lineRule="auto"/>
        <w:jc w:val="both"/>
        <w:rPr>
          <w:rFonts w:eastAsia="Times New Roman" w:cs="Calibri"/>
          <w:color w:val="000000"/>
          <w:lang w:val="en-GB" w:eastAsia="en-GB"/>
        </w:rPr>
      </w:pPr>
      <w:r w:rsidRPr="00D30847">
        <w:rPr>
          <w:rFonts w:eastAsia="Times New Roman" w:cs="Calibri"/>
          <w:color w:val="000000"/>
          <w:lang w:val="en-GB" w:eastAsia="en-GB"/>
        </w:rPr>
        <w:t xml:space="preserve">Expenditure reviews are an institutionalized process for </w:t>
      </w:r>
      <w:r w:rsidR="008F391C" w:rsidRPr="00D30847">
        <w:rPr>
          <w:rFonts w:eastAsia="Times New Roman" w:cs="Calibri"/>
          <w:color w:val="000000"/>
          <w:lang w:val="en-GB" w:eastAsia="en-GB"/>
        </w:rPr>
        <w:t>analysing</w:t>
      </w:r>
      <w:r w:rsidRPr="00D30847">
        <w:rPr>
          <w:rFonts w:eastAsia="Times New Roman" w:cs="Calibri"/>
          <w:color w:val="000000"/>
          <w:lang w:val="en-GB" w:eastAsia="en-GB"/>
        </w:rPr>
        <w:t xml:space="preserve"> existing expenditure in order to identify options for reducing or redirecting expenditure and/or increasing value for money. Expenditure reviews include helping to design and implement fiscal consolidation, creating fiscal space to fund new priorities (either for the entire budget or for a specific line ministry or program).</w:t>
      </w:r>
    </w:p>
    <w:p w14:paraId="28E063EF" w14:textId="436680C5" w:rsidR="006F5904" w:rsidRPr="00D30847" w:rsidRDefault="006F5904" w:rsidP="006F5904">
      <w:pPr>
        <w:tabs>
          <w:tab w:val="left" w:pos="851"/>
        </w:tabs>
        <w:spacing w:before="120" w:line="240" w:lineRule="auto"/>
        <w:jc w:val="both"/>
        <w:rPr>
          <w:rFonts w:eastAsia="Times New Roman" w:cs="Calibri"/>
          <w:color w:val="000000"/>
          <w:lang w:val="en-GB" w:eastAsia="en-GB"/>
        </w:rPr>
      </w:pPr>
      <w:r w:rsidRPr="00D30847">
        <w:rPr>
          <w:rFonts w:eastAsia="Times New Roman" w:cs="Calibri"/>
          <w:color w:val="000000"/>
          <w:lang w:val="en-GB" w:eastAsia="en-GB"/>
        </w:rPr>
        <w:t>These include an in-depth analysis of existing public expenditures to identify options for reducing or redirecting expenditures that are of low priority, and represent inefficient spending.</w:t>
      </w:r>
    </w:p>
    <w:p w14:paraId="65C9D640" w14:textId="2CB14CE9" w:rsidR="00376718" w:rsidRPr="00D30847" w:rsidRDefault="00376718" w:rsidP="006F5904">
      <w:pPr>
        <w:tabs>
          <w:tab w:val="left" w:pos="851"/>
        </w:tabs>
        <w:spacing w:before="120" w:line="240" w:lineRule="auto"/>
        <w:jc w:val="both"/>
        <w:rPr>
          <w:rFonts w:cs="Calibri"/>
          <w:lang w:val="en-GB"/>
        </w:rPr>
      </w:pPr>
      <w:r w:rsidRPr="00D30847">
        <w:rPr>
          <w:rFonts w:cs="Calibri"/>
          <w:lang w:val="en-GB"/>
        </w:rPr>
        <w:t>Fiscal consolidation is a process of aligning the public revenues and expenditures by reducing the expenditures and/or increasing the revenues, for the purpose of reducing the budget deficit and the public debt.</w:t>
      </w:r>
    </w:p>
    <w:p w14:paraId="0B2D47F8" w14:textId="77777777" w:rsidR="00376718" w:rsidRPr="00D30847" w:rsidRDefault="00376718" w:rsidP="00E84CD0">
      <w:pPr>
        <w:spacing w:before="160" w:after="60" w:line="240" w:lineRule="auto"/>
        <w:jc w:val="both"/>
        <w:outlineLvl w:val="3"/>
        <w:rPr>
          <w:rFonts w:eastAsia="Times New Roman" w:cs="Calibri"/>
          <w:b/>
          <w:bCs/>
          <w:i/>
          <w:iCs/>
          <w:color w:val="4F81BD"/>
          <w:lang w:val="en-GB" w:eastAsia="en-GB"/>
        </w:rPr>
      </w:pPr>
      <w:r w:rsidRPr="00D30847">
        <w:rPr>
          <w:rFonts w:eastAsia="Times New Roman" w:cs="Calibri"/>
          <w:b/>
          <w:bCs/>
          <w:i/>
          <w:iCs/>
          <w:color w:val="4F81BD"/>
          <w:lang w:val="en-GB" w:eastAsia="en-GB"/>
        </w:rPr>
        <w:t>Reference to findings from external assessments:</w:t>
      </w:r>
    </w:p>
    <w:tbl>
      <w:tblPr>
        <w:tblW w:w="9000" w:type="dxa"/>
        <w:tblInd w:w="1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01"/>
        <w:gridCol w:w="7299"/>
      </w:tblGrid>
      <w:tr w:rsidR="00376718" w:rsidRPr="00D30847" w14:paraId="05C6225F" w14:textId="77777777" w:rsidTr="00C17F2F">
        <w:tc>
          <w:tcPr>
            <w:tcW w:w="1701" w:type="dxa"/>
            <w:tcBorders>
              <w:bottom w:val="single" w:sz="6" w:space="0" w:color="auto"/>
              <w:right w:val="single" w:sz="6" w:space="0" w:color="auto"/>
            </w:tcBorders>
            <w:shd w:val="clear" w:color="auto" w:fill="DDDDDD"/>
            <w:tcMar>
              <w:top w:w="0" w:type="dxa"/>
              <w:left w:w="101" w:type="dxa"/>
              <w:bottom w:w="0" w:type="dxa"/>
              <w:right w:w="101" w:type="dxa"/>
            </w:tcMar>
            <w:hideMark/>
          </w:tcPr>
          <w:p w14:paraId="632EAC17" w14:textId="66BF40ED" w:rsidR="00376718" w:rsidRPr="00D30847" w:rsidRDefault="00A13E9D" w:rsidP="00E84CD0">
            <w:pPr>
              <w:spacing w:before="80" w:after="0" w:line="240" w:lineRule="auto"/>
              <w:jc w:val="both"/>
              <w:rPr>
                <w:rFonts w:eastAsia="Times New Roman" w:cs="Calibri"/>
                <w:b/>
                <w:sz w:val="20"/>
                <w:szCs w:val="20"/>
                <w:lang w:val="en-GB" w:eastAsia="en-GB"/>
              </w:rPr>
            </w:pPr>
            <w:r w:rsidRPr="00D30847">
              <w:rPr>
                <w:rFonts w:eastAsia="Times New Roman" w:cs="Calibri"/>
                <w:b/>
                <w:sz w:val="20"/>
                <w:szCs w:val="20"/>
                <w:lang w:val="en-GB" w:eastAsia="en-GB"/>
              </w:rPr>
              <w:t>IMF 2023</w:t>
            </w:r>
          </w:p>
        </w:tc>
        <w:tc>
          <w:tcPr>
            <w:tcW w:w="7299" w:type="dxa"/>
            <w:tcBorders>
              <w:left w:val="single" w:sz="6" w:space="0" w:color="auto"/>
              <w:bottom w:val="single" w:sz="6" w:space="0" w:color="auto"/>
            </w:tcBorders>
            <w:shd w:val="clear" w:color="auto" w:fill="DDDDDD"/>
            <w:tcMar>
              <w:top w:w="0" w:type="dxa"/>
              <w:left w:w="101" w:type="dxa"/>
              <w:bottom w:w="0" w:type="dxa"/>
              <w:right w:w="101" w:type="dxa"/>
            </w:tcMar>
            <w:hideMark/>
          </w:tcPr>
          <w:p w14:paraId="108CD4A3" w14:textId="77777777" w:rsidR="00376718" w:rsidRPr="00D30847" w:rsidRDefault="00A13E9D" w:rsidP="00A13E9D">
            <w:pPr>
              <w:tabs>
                <w:tab w:val="left" w:pos="164"/>
              </w:tabs>
              <w:spacing w:before="120" w:after="120" w:line="240" w:lineRule="auto"/>
              <w:contextualSpacing/>
              <w:jc w:val="both"/>
              <w:rPr>
                <w:rFonts w:eastAsia="Times New Roman" w:cs="Calibri"/>
                <w:sz w:val="20"/>
                <w:szCs w:val="20"/>
                <w:lang w:val="en-GB" w:eastAsia="en-GB"/>
              </w:rPr>
            </w:pPr>
            <w:r w:rsidRPr="00D30847">
              <w:rPr>
                <w:rFonts w:eastAsia="Times New Roman" w:cs="Calibri"/>
                <w:sz w:val="20"/>
                <w:szCs w:val="20"/>
                <w:lang w:val="en-GB" w:eastAsia="en-GB"/>
              </w:rPr>
              <w:tab/>
              <w:t>Mission report on the introduction of spending reviews</w:t>
            </w:r>
          </w:p>
        </w:tc>
      </w:tr>
    </w:tbl>
    <w:p w14:paraId="1D214FFC" w14:textId="77777777" w:rsidR="00376718" w:rsidRPr="00D30847" w:rsidRDefault="00376718" w:rsidP="00E84CD0">
      <w:pPr>
        <w:spacing w:before="240" w:after="60" w:line="240" w:lineRule="auto"/>
        <w:jc w:val="both"/>
        <w:outlineLvl w:val="3"/>
        <w:rPr>
          <w:rFonts w:eastAsia="Times New Roman" w:cs="Calibri"/>
          <w:b/>
          <w:bCs/>
          <w:i/>
          <w:iCs/>
          <w:color w:val="4F81BD"/>
          <w:lang w:val="en-GB" w:eastAsia="en-GB"/>
        </w:rPr>
      </w:pPr>
      <w:r w:rsidRPr="00D30847">
        <w:rPr>
          <w:rFonts w:eastAsia="Times New Roman" w:cs="Calibri"/>
          <w:b/>
          <w:bCs/>
          <w:i/>
          <w:iCs/>
          <w:color w:val="4F81BD"/>
          <w:lang w:val="en-GB" w:eastAsia="en-GB"/>
        </w:rPr>
        <w:t>Context / Background</w:t>
      </w:r>
    </w:p>
    <w:p w14:paraId="2206363D" w14:textId="7087CD07" w:rsidR="00790347" w:rsidRPr="00D30847" w:rsidRDefault="00790347" w:rsidP="00790347">
      <w:pPr>
        <w:spacing w:before="240" w:after="60" w:line="240" w:lineRule="auto"/>
        <w:jc w:val="both"/>
        <w:outlineLvl w:val="3"/>
        <w:rPr>
          <w:rFonts w:eastAsia="Times New Roman" w:cs="Calibri"/>
          <w:color w:val="000000"/>
          <w:lang w:val="en-GB" w:eastAsia="en-GB"/>
        </w:rPr>
      </w:pPr>
      <w:r w:rsidRPr="00D30847">
        <w:rPr>
          <w:rFonts w:eastAsia="Times New Roman" w:cs="Calibri"/>
          <w:color w:val="000000"/>
          <w:lang w:val="en-GB" w:eastAsia="en-GB"/>
        </w:rPr>
        <w:t xml:space="preserve">The current budget preparation process is not well suited to develop targeted optimization and saving proposals. It is a complex process integrating multiple inputs within a constrained timeline. Frequent budget supplements contribute to limiting budget analysts in the MoF and line ministries capacity to thoroughly </w:t>
      </w:r>
      <w:r w:rsidR="008F391C" w:rsidRPr="00D30847">
        <w:rPr>
          <w:rFonts w:eastAsia="Times New Roman" w:cs="Calibri"/>
          <w:color w:val="000000"/>
          <w:lang w:val="en-GB" w:eastAsia="en-GB"/>
        </w:rPr>
        <w:t>analyse</w:t>
      </w:r>
      <w:r w:rsidRPr="00D30847">
        <w:rPr>
          <w:rFonts w:eastAsia="Times New Roman" w:cs="Calibri"/>
          <w:color w:val="000000"/>
          <w:lang w:val="en-GB" w:eastAsia="en-GB"/>
        </w:rPr>
        <w:t xml:space="preserve"> budget proposals. As a result, consolidation measures are often developed and integrated in the budget process without sufficient analysis of their implications on financial and non-fina</w:t>
      </w:r>
      <w:r w:rsidRPr="00D30847">
        <w:rPr>
          <w:lang w:val="en-GB"/>
        </w:rPr>
        <w:t>n</w:t>
      </w:r>
      <w:r w:rsidRPr="00D30847">
        <w:rPr>
          <w:rFonts w:eastAsia="Times New Roman" w:cs="Calibri"/>
          <w:color w:val="000000"/>
          <w:lang w:val="en-GB" w:eastAsia="en-GB"/>
        </w:rPr>
        <w:t>cial performance.</w:t>
      </w:r>
    </w:p>
    <w:p w14:paraId="635B84C5" w14:textId="77777777" w:rsidR="00790347" w:rsidRPr="00D30847" w:rsidRDefault="00790347" w:rsidP="00790347">
      <w:pPr>
        <w:spacing w:before="240" w:after="60" w:line="240" w:lineRule="auto"/>
        <w:jc w:val="both"/>
        <w:outlineLvl w:val="3"/>
        <w:rPr>
          <w:rFonts w:eastAsia="Times New Roman" w:cs="Calibri"/>
          <w:color w:val="000000"/>
          <w:lang w:val="en-GB" w:eastAsia="en-GB"/>
        </w:rPr>
      </w:pPr>
      <w:r w:rsidRPr="00D30847">
        <w:rPr>
          <w:rFonts w:eastAsia="Times New Roman" w:cs="Calibri"/>
          <w:color w:val="000000"/>
          <w:lang w:val="en-GB" w:eastAsia="en-GB"/>
        </w:rPr>
        <w:t>Spending review can support the budget process by systematically examining expenditures and operationalizing high-level savings options spell out in the Plan for Fiscal Sustainability and Support for Economic Growth. Spending review can also create fiscal space to accommodate new priorities and increase value for money. More broadly, Spending review can contribute to a cultural change toward performance orientation in budgeting.</w:t>
      </w:r>
    </w:p>
    <w:p w14:paraId="0E985D80" w14:textId="77777777" w:rsidR="006F5904" w:rsidRPr="00D30847" w:rsidRDefault="006F5904" w:rsidP="006F5904">
      <w:pPr>
        <w:shd w:val="clear" w:color="auto" w:fill="FFFFFF"/>
        <w:spacing w:before="120" w:after="0" w:line="240" w:lineRule="auto"/>
        <w:jc w:val="both"/>
        <w:rPr>
          <w:rFonts w:cs="Calibri"/>
          <w:color w:val="000000"/>
          <w:shd w:val="clear" w:color="auto" w:fill="FFFFFF"/>
          <w:lang w:val="en-GB"/>
        </w:rPr>
      </w:pPr>
      <w:r w:rsidRPr="00D30847">
        <w:rPr>
          <w:rFonts w:cs="Calibri"/>
          <w:color w:val="000000"/>
          <w:shd w:val="clear" w:color="auto" w:fill="FFFFFF"/>
          <w:lang w:val="en-GB"/>
        </w:rPr>
        <w:t xml:space="preserve">The international benchmark (IMF and World Bank) indicates a significant potential for improving the efficiency and effectiveness of government activities. In order to realize improvements in efficiency, it is necessary to identify specific measures to improve the efficiency and effectiveness of spending without having negative impacts on the implementation of fiscal policies. Through the cost reviews, the budget process will be supported with a systematic examination of expenditures and </w:t>
      </w:r>
      <w:r w:rsidRPr="00D30847">
        <w:rPr>
          <w:rFonts w:cs="Calibri"/>
          <w:color w:val="000000"/>
          <w:shd w:val="clear" w:color="auto" w:fill="FFFFFF"/>
          <w:lang w:val="en-GB"/>
        </w:rPr>
        <w:lastRenderedPageBreak/>
        <w:t>operationalization</w:t>
      </w:r>
      <w:r w:rsidRPr="00D30847">
        <w:rPr>
          <w:rFonts w:ascii="Times New Roman" w:eastAsia="Times New Roman" w:hAnsi="Times New Roman"/>
          <w:sz w:val="24"/>
          <w:szCs w:val="24"/>
          <w:lang w:val="en-GB" w:eastAsia="mk-MK"/>
        </w:rPr>
        <w:t xml:space="preserve"> </w:t>
      </w:r>
      <w:r w:rsidRPr="00D30847">
        <w:rPr>
          <w:rFonts w:cs="Calibri"/>
          <w:color w:val="000000"/>
          <w:shd w:val="clear" w:color="auto" w:fill="FFFFFF"/>
          <w:lang w:val="en-GB"/>
        </w:rPr>
        <w:t>of savings options at a high level, thereby contributing to fiscal consolidation by reducing total expenditures.</w:t>
      </w:r>
    </w:p>
    <w:p w14:paraId="6E6E28BD" w14:textId="4A792E50" w:rsidR="00790347" w:rsidRPr="00D30847" w:rsidRDefault="006F5904" w:rsidP="00C17F2F">
      <w:pPr>
        <w:shd w:val="clear" w:color="auto" w:fill="FFFFFF"/>
        <w:spacing w:before="120" w:after="0" w:line="240" w:lineRule="auto"/>
        <w:jc w:val="both"/>
        <w:rPr>
          <w:rFonts w:cs="Calibri"/>
          <w:color w:val="000000"/>
          <w:shd w:val="clear" w:color="auto" w:fill="FFFFFF"/>
          <w:lang w:val="en-GB"/>
        </w:rPr>
      </w:pPr>
      <w:r w:rsidRPr="00D30847">
        <w:rPr>
          <w:rFonts w:cs="Calibri"/>
          <w:color w:val="000000"/>
          <w:shd w:val="clear" w:color="auto" w:fill="FFFFFF"/>
          <w:lang w:val="en-GB"/>
        </w:rPr>
        <w:t>The process of expenditure reviews will create fiscal space to adapt to new priorities and increase value for money, promote spending efficiency and contribute to greater value for money in public spending, i.e. a greater performance orientation of budgeting.</w:t>
      </w:r>
    </w:p>
    <w:p w14:paraId="25F285C9" w14:textId="77777777" w:rsidR="00C17F2F" w:rsidRPr="00D30847" w:rsidRDefault="00C17F2F" w:rsidP="00C17F2F">
      <w:pPr>
        <w:shd w:val="clear" w:color="auto" w:fill="FFFFFF"/>
        <w:spacing w:before="120" w:after="0" w:line="240" w:lineRule="auto"/>
        <w:jc w:val="both"/>
        <w:rPr>
          <w:rFonts w:cs="Calibri"/>
          <w:color w:val="000000"/>
          <w:sz w:val="12"/>
          <w:szCs w:val="12"/>
          <w:shd w:val="clear" w:color="auto" w:fill="FFFFFF"/>
          <w:lang w:val="en-GB"/>
        </w:rPr>
      </w:pPr>
    </w:p>
    <w:p w14:paraId="645D5D1B" w14:textId="61CF1EC1" w:rsidR="006F5904" w:rsidRPr="00D30847" w:rsidRDefault="006F5904" w:rsidP="006F5904">
      <w:pPr>
        <w:spacing w:after="0" w:line="240" w:lineRule="auto"/>
        <w:ind w:left="34"/>
        <w:jc w:val="both"/>
        <w:rPr>
          <w:rFonts w:cs="Calibri"/>
          <w:color w:val="0070C0"/>
          <w:lang w:val="en-GB"/>
        </w:rPr>
      </w:pPr>
      <w:r w:rsidRPr="00D30847">
        <w:rPr>
          <w:rFonts w:eastAsia="Times New Roman" w:cs="Calibri"/>
          <w:b/>
          <w:bCs/>
          <w:iCs/>
          <w:color w:val="0070C0"/>
          <w:lang w:val="en-GB" w:eastAsia="en-GB"/>
        </w:rPr>
        <w:t>Activity 1: Build capacity at the MoF and line ministries</w:t>
      </w:r>
      <w:r w:rsidRPr="00D30847" w:rsidDel="002B0820">
        <w:rPr>
          <w:rFonts w:eastAsia="Times New Roman" w:cs="Calibri"/>
          <w:b/>
          <w:bCs/>
          <w:iCs/>
          <w:color w:val="0070C0"/>
          <w:lang w:val="en-GB" w:eastAsia="en-GB"/>
        </w:rPr>
        <w:t xml:space="preserve"> </w:t>
      </w:r>
      <w:r w:rsidRPr="00D30847">
        <w:rPr>
          <w:rFonts w:eastAsia="Times New Roman" w:cs="Calibri"/>
          <w:b/>
          <w:bCs/>
          <w:iCs/>
          <w:color w:val="0070C0"/>
          <w:lang w:val="en-GB" w:eastAsia="en-GB"/>
        </w:rPr>
        <w:t>for conducting Spending </w:t>
      </w:r>
      <w:r w:rsidR="00D30847" w:rsidRPr="00D30847">
        <w:rPr>
          <w:rFonts w:eastAsia="Times New Roman" w:cs="Calibri"/>
          <w:b/>
          <w:bCs/>
          <w:iCs/>
          <w:color w:val="0070C0"/>
          <w:lang w:val="en-GB" w:eastAsia="en-GB"/>
        </w:rPr>
        <w:t>Reviews on</w:t>
      </w:r>
      <w:r w:rsidRPr="00D30847">
        <w:rPr>
          <w:rFonts w:eastAsia="Times New Roman" w:cs="Calibri"/>
          <w:b/>
          <w:bCs/>
          <w:iCs/>
          <w:color w:val="0070C0"/>
          <w:lang w:val="en-GB" w:eastAsia="en-GB"/>
        </w:rPr>
        <w:t xml:space="preserve"> a regular base</w:t>
      </w:r>
    </w:p>
    <w:p w14:paraId="151A8FFB" w14:textId="20AAAE3C" w:rsidR="006F5904" w:rsidRPr="00D30847" w:rsidRDefault="006F5904" w:rsidP="006F5904">
      <w:pPr>
        <w:spacing w:before="120" w:after="120" w:line="240" w:lineRule="auto"/>
        <w:jc w:val="both"/>
        <w:rPr>
          <w:rFonts w:cs="Calibri"/>
          <w:lang w:val="en-GB"/>
        </w:rPr>
      </w:pPr>
      <w:r w:rsidRPr="00D30847">
        <w:rPr>
          <w:rFonts w:cs="Calibri"/>
          <w:color w:val="000000"/>
          <w:shd w:val="clear" w:color="auto" w:fill="FFFFFF"/>
          <w:lang w:val="en-GB"/>
        </w:rPr>
        <w:t xml:space="preserve">The MoF has requested capacity development from the FAD in setting up a framework for the introduction of Spending review which it views as a tool to increase the efficiency of public spending and support fiscal consolidation. Such a framework will lay the groundwork for future World Bank capacity development in selecting and conducting Spending review. </w:t>
      </w:r>
      <w:r w:rsidRPr="00D30847">
        <w:rPr>
          <w:rFonts w:cs="Calibri"/>
          <w:lang w:val="en-GB"/>
        </w:rPr>
        <w:t xml:space="preserve">Capacity building and analysis done in the context of </w:t>
      </w:r>
      <w:r w:rsidRPr="00D30847">
        <w:rPr>
          <w:rFonts w:cs="Calibri"/>
          <w:color w:val="000000"/>
          <w:shd w:val="clear" w:color="auto" w:fill="FFFFFF"/>
          <w:lang w:val="en-GB"/>
        </w:rPr>
        <w:t>Spending </w:t>
      </w:r>
      <w:r w:rsidR="008F391C" w:rsidRPr="00D30847">
        <w:rPr>
          <w:rFonts w:cs="Calibri"/>
          <w:color w:val="000000"/>
          <w:shd w:val="clear" w:color="auto" w:fill="FFFFFF"/>
          <w:lang w:val="en-GB"/>
        </w:rPr>
        <w:t>Reviews </w:t>
      </w:r>
      <w:r w:rsidR="008F391C" w:rsidRPr="00D30847">
        <w:rPr>
          <w:rFonts w:cs="Calibri"/>
          <w:lang w:val="en-GB"/>
        </w:rPr>
        <w:t>can</w:t>
      </w:r>
      <w:r w:rsidRPr="00D30847">
        <w:rPr>
          <w:rFonts w:cs="Calibri"/>
          <w:lang w:val="en-GB"/>
        </w:rPr>
        <w:t xml:space="preserve"> help budget analysts in the MoF and in line ministries to integrate more analytical elements in their regular work. Over the medium term, the work of budget analysts can shift to a more strategic and analytical approach, as experienced in most advanced countries across t</w:t>
      </w:r>
      <w:r w:rsidRPr="00D30847">
        <w:rPr>
          <w:rFonts w:cs="Calibri"/>
          <w:color w:val="000000"/>
          <w:shd w:val="clear" w:color="auto" w:fill="FFFFFF"/>
          <w:lang w:val="en-GB"/>
        </w:rPr>
        <w:t>rainings and on-going support to staff in the Spending Review Units and spending review teams (incl. budget analysts, members from line ministries)</w:t>
      </w:r>
      <w:r w:rsidRPr="00D30847">
        <w:rPr>
          <w:rFonts w:cs="Calibri"/>
          <w:lang w:val="en-GB"/>
        </w:rPr>
        <w:t>.</w:t>
      </w:r>
    </w:p>
    <w:p w14:paraId="5FB79A45" w14:textId="77777777" w:rsidR="006F5904" w:rsidRPr="00D30847" w:rsidRDefault="006F5904" w:rsidP="006F5904">
      <w:pPr>
        <w:shd w:val="clear" w:color="auto" w:fill="FFFFFF"/>
        <w:spacing w:after="0" w:line="240" w:lineRule="auto"/>
        <w:rPr>
          <w:rFonts w:cs="Calibri"/>
          <w:lang w:val="en-GB"/>
        </w:rPr>
      </w:pPr>
      <w:r w:rsidRPr="00D30847">
        <w:rPr>
          <w:rFonts w:cs="Calibri"/>
          <w:lang w:val="en-GB"/>
        </w:rPr>
        <w:t>Activities aimed at building capacities for the implementation of Spending Review in the MoF (including Spending Review Units staff and budget analysts) and line ministries:</w:t>
      </w:r>
    </w:p>
    <w:p w14:paraId="21A62B86" w14:textId="77777777" w:rsidR="006F5904" w:rsidRPr="00D30847" w:rsidRDefault="006F5904" w:rsidP="00AD2AD5">
      <w:pPr>
        <w:numPr>
          <w:ilvl w:val="0"/>
          <w:numId w:val="72"/>
        </w:numPr>
        <w:shd w:val="clear" w:color="auto" w:fill="FFFFFF"/>
        <w:spacing w:after="0" w:line="240" w:lineRule="auto"/>
        <w:ind w:left="360" w:hanging="270"/>
        <w:rPr>
          <w:rFonts w:eastAsia="Times New Roman" w:cs="Calibri"/>
          <w:color w:val="000000"/>
          <w:lang w:val="en-GB" w:eastAsia="mk-MK"/>
        </w:rPr>
      </w:pPr>
      <w:r w:rsidRPr="00D30847">
        <w:rPr>
          <w:rFonts w:eastAsia="Times New Roman" w:cs="Calibri"/>
          <w:color w:val="000000"/>
          <w:lang w:val="en-GB" w:eastAsia="mk-MK"/>
        </w:rPr>
        <w:t>Coordinate and deliver training to staff in Spending Review Units and spending review teams (incl. budget analysts, members from line ministries)</w:t>
      </w:r>
    </w:p>
    <w:p w14:paraId="7EE08114" w14:textId="77777777" w:rsidR="006F5904" w:rsidRPr="00D30847" w:rsidRDefault="006F5904" w:rsidP="00AD2AD5">
      <w:pPr>
        <w:numPr>
          <w:ilvl w:val="0"/>
          <w:numId w:val="72"/>
        </w:numPr>
        <w:shd w:val="clear" w:color="auto" w:fill="FFFFFF"/>
        <w:spacing w:after="0" w:line="240" w:lineRule="auto"/>
        <w:ind w:left="360" w:hanging="270"/>
        <w:rPr>
          <w:rFonts w:eastAsia="Times New Roman" w:cs="Calibri"/>
          <w:color w:val="000000"/>
          <w:lang w:val="en-GB" w:eastAsia="mk-MK"/>
        </w:rPr>
      </w:pPr>
      <w:r w:rsidRPr="00D30847">
        <w:rPr>
          <w:rFonts w:eastAsia="Times New Roman" w:cs="Calibri"/>
          <w:color w:val="000000"/>
          <w:lang w:val="en-GB" w:eastAsia="mk-MK"/>
        </w:rPr>
        <w:t>Amend job descriptions of budget analysts to include conducting SRs</w:t>
      </w:r>
    </w:p>
    <w:p w14:paraId="05C4CE76" w14:textId="3862D78F" w:rsidR="006F5904" w:rsidRPr="00D30847" w:rsidRDefault="006F5904" w:rsidP="00AD2AD5">
      <w:pPr>
        <w:numPr>
          <w:ilvl w:val="0"/>
          <w:numId w:val="72"/>
        </w:numPr>
        <w:shd w:val="clear" w:color="auto" w:fill="FFFFFF"/>
        <w:spacing w:after="0" w:line="240" w:lineRule="auto"/>
        <w:ind w:left="360" w:hanging="270"/>
        <w:rPr>
          <w:rFonts w:eastAsia="Times New Roman" w:cs="Calibri"/>
          <w:color w:val="000000"/>
          <w:lang w:val="en-GB" w:eastAsia="mk-MK"/>
        </w:rPr>
      </w:pPr>
      <w:r w:rsidRPr="00D30847">
        <w:rPr>
          <w:rFonts w:eastAsia="Times New Roman" w:cs="Calibri"/>
          <w:color w:val="000000"/>
          <w:lang w:val="en-GB" w:eastAsia="mk-MK"/>
        </w:rPr>
        <w:t xml:space="preserve">Capacity building synergy with other entities such as the </w:t>
      </w:r>
      <w:r w:rsidR="00F24C3A" w:rsidRPr="00D30847">
        <w:rPr>
          <w:rFonts w:eastAsia="Times New Roman" w:cs="Calibri"/>
          <w:color w:val="000000"/>
          <w:lang w:val="en-GB" w:eastAsia="mk-MK"/>
        </w:rPr>
        <w:t xml:space="preserve">Public Finance Academy </w:t>
      </w:r>
      <w:r w:rsidRPr="00D30847">
        <w:rPr>
          <w:rFonts w:eastAsia="Times New Roman" w:cs="Calibri"/>
          <w:color w:val="000000"/>
          <w:lang w:val="en-GB" w:eastAsia="mk-MK"/>
        </w:rPr>
        <w:t>and the State Audit Office</w:t>
      </w:r>
    </w:p>
    <w:p w14:paraId="6A313173" w14:textId="77777777" w:rsidR="006F5904" w:rsidRPr="00D30847" w:rsidRDefault="006F5904" w:rsidP="00AD2AD5">
      <w:pPr>
        <w:numPr>
          <w:ilvl w:val="0"/>
          <w:numId w:val="72"/>
        </w:numPr>
        <w:shd w:val="clear" w:color="auto" w:fill="FFFFFF"/>
        <w:spacing w:after="0" w:line="240" w:lineRule="auto"/>
        <w:ind w:left="360" w:hanging="270"/>
        <w:rPr>
          <w:rFonts w:eastAsia="Times New Roman" w:cs="Calibri"/>
          <w:color w:val="000000"/>
          <w:lang w:val="en-GB" w:eastAsia="mk-MK"/>
        </w:rPr>
      </w:pPr>
      <w:r w:rsidRPr="00D30847">
        <w:rPr>
          <w:rFonts w:eastAsia="Times New Roman" w:cs="Calibri"/>
          <w:color w:val="000000"/>
          <w:lang w:val="en-GB" w:eastAsia="mk-MK"/>
        </w:rPr>
        <w:t>Systematic analysis of revenues and expenditures</w:t>
      </w:r>
    </w:p>
    <w:p w14:paraId="7C42E589" w14:textId="77777777" w:rsidR="006F5904" w:rsidRPr="00D30847" w:rsidRDefault="006F5904" w:rsidP="00AD2AD5">
      <w:pPr>
        <w:numPr>
          <w:ilvl w:val="0"/>
          <w:numId w:val="72"/>
        </w:numPr>
        <w:shd w:val="clear" w:color="auto" w:fill="FFFFFF"/>
        <w:spacing w:after="0" w:line="240" w:lineRule="auto"/>
        <w:ind w:left="360" w:hanging="270"/>
        <w:rPr>
          <w:rFonts w:eastAsia="Times New Roman" w:cs="Calibri"/>
          <w:color w:val="000000"/>
          <w:lang w:val="en-GB" w:eastAsia="mk-MK"/>
        </w:rPr>
      </w:pPr>
      <w:r w:rsidRPr="00D30847">
        <w:rPr>
          <w:rFonts w:eastAsia="Times New Roman" w:cs="Calibri"/>
          <w:color w:val="000000"/>
          <w:lang w:val="en-GB" w:eastAsia="mk-MK"/>
        </w:rPr>
        <w:t>In-depth analysis of budget and performance information to identify options for savings and efficiency gains</w:t>
      </w:r>
    </w:p>
    <w:p w14:paraId="4F7882E6" w14:textId="59A84EEF" w:rsidR="00C640AE" w:rsidRPr="00D30847" w:rsidRDefault="006F5904" w:rsidP="00AD2AD5">
      <w:pPr>
        <w:numPr>
          <w:ilvl w:val="0"/>
          <w:numId w:val="72"/>
        </w:numPr>
        <w:ind w:left="360" w:hanging="270"/>
        <w:jc w:val="both"/>
        <w:rPr>
          <w:rFonts w:eastAsia="Times New Roman" w:cs="Calibri"/>
          <w:lang w:val="en-GB" w:eastAsia="ar-SA"/>
        </w:rPr>
      </w:pPr>
      <w:r w:rsidRPr="00D30847">
        <w:rPr>
          <w:rFonts w:eastAsia="Times New Roman" w:cs="Calibri"/>
          <w:lang w:val="en-GB" w:eastAsia="ar-SA"/>
        </w:rPr>
        <w:t xml:space="preserve">Preparation of reports/plans for the conducted </w:t>
      </w:r>
      <w:r w:rsidR="008F391C" w:rsidRPr="00D30847">
        <w:rPr>
          <w:rFonts w:eastAsia="Times New Roman" w:cs="Calibri"/>
          <w:lang w:val="en-GB" w:eastAsia="ar-SA"/>
        </w:rPr>
        <w:t>analyses</w:t>
      </w:r>
      <w:r w:rsidRPr="00D30847">
        <w:rPr>
          <w:rFonts w:eastAsia="Times New Roman" w:cs="Calibri"/>
          <w:lang w:val="en-GB" w:eastAsia="ar-SA"/>
        </w:rPr>
        <w:t xml:space="preserve"> and researches</w:t>
      </w:r>
    </w:p>
    <w:p w14:paraId="44CACED4" w14:textId="0148B001" w:rsidR="00790347" w:rsidRPr="00D30847" w:rsidRDefault="008A5C87" w:rsidP="00790347">
      <w:pPr>
        <w:spacing w:after="0" w:line="240" w:lineRule="auto"/>
        <w:ind w:left="34"/>
        <w:jc w:val="both"/>
        <w:rPr>
          <w:rFonts w:eastAsia="Times New Roman" w:cs="Calibri"/>
          <w:b/>
          <w:bCs/>
          <w:iCs/>
          <w:color w:val="0070C0"/>
          <w:lang w:val="en-GB" w:eastAsia="en-GB"/>
        </w:rPr>
      </w:pPr>
      <w:r w:rsidRPr="00D30847">
        <w:rPr>
          <w:rFonts w:eastAsia="Times New Roman" w:cs="Calibri"/>
          <w:b/>
          <w:bCs/>
          <w:iCs/>
          <w:color w:val="0070C0"/>
          <w:lang w:val="en-GB" w:eastAsia="en-GB"/>
        </w:rPr>
        <w:t>Activity 2</w:t>
      </w:r>
      <w:r w:rsidR="006F5904" w:rsidRPr="00D30847">
        <w:rPr>
          <w:rFonts w:eastAsia="Times New Roman" w:cs="Calibri"/>
          <w:b/>
          <w:bCs/>
          <w:iCs/>
          <w:color w:val="0070C0"/>
          <w:lang w:val="en-GB" w:eastAsia="en-GB"/>
        </w:rPr>
        <w:t xml:space="preserve">: Prepare and adopt </w:t>
      </w:r>
      <w:r w:rsidRPr="00D30847">
        <w:rPr>
          <w:rFonts w:eastAsia="Times New Roman" w:cs="Calibri"/>
          <w:b/>
          <w:bCs/>
          <w:iCs/>
          <w:color w:val="0070C0"/>
          <w:lang w:val="en-GB" w:eastAsia="en-GB"/>
        </w:rPr>
        <w:t>methodology</w:t>
      </w:r>
      <w:r w:rsidR="006F5904" w:rsidRPr="00D30847">
        <w:rPr>
          <w:rFonts w:eastAsia="Times New Roman" w:cs="Calibri"/>
          <w:b/>
          <w:bCs/>
          <w:iCs/>
          <w:color w:val="0070C0"/>
          <w:lang w:val="en-GB" w:eastAsia="en-GB"/>
        </w:rPr>
        <w:t xml:space="preserve"> with defining criteria and procedures for conducting Spending review</w:t>
      </w:r>
    </w:p>
    <w:p w14:paraId="5C5D4C0D" w14:textId="4B946CCC" w:rsidR="006F5904" w:rsidRPr="00D30847" w:rsidRDefault="006F5904" w:rsidP="00C17F2F">
      <w:pPr>
        <w:spacing w:before="240" w:after="120" w:line="240" w:lineRule="auto"/>
        <w:jc w:val="both"/>
        <w:rPr>
          <w:rFonts w:cs="Calibri"/>
          <w:color w:val="000000"/>
          <w:shd w:val="clear" w:color="auto" w:fill="FFFFFF"/>
          <w:lang w:val="en-GB"/>
        </w:rPr>
      </w:pPr>
      <w:r w:rsidRPr="00D30847">
        <w:rPr>
          <w:rFonts w:cs="Calibri"/>
          <w:color w:val="000000"/>
          <w:shd w:val="clear" w:color="auto" w:fill="FFFFFF"/>
          <w:lang w:val="en-GB"/>
        </w:rPr>
        <w:t>A shared methodology can contribute to strengthening the quality of budget projections. The methodology should cover how to assess current levels of spending, identify and</w:t>
      </w:r>
      <w:r w:rsidR="008A5C87" w:rsidRPr="00D30847">
        <w:rPr>
          <w:rFonts w:cs="Calibri"/>
          <w:color w:val="000000"/>
          <w:shd w:val="clear" w:color="auto" w:fill="FFFFFF"/>
          <w:lang w:val="en-GB"/>
        </w:rPr>
        <w:t xml:space="preserve"> apply medium term cost drivers</w:t>
      </w:r>
      <w:r w:rsidRPr="00D30847">
        <w:rPr>
          <w:rFonts w:cs="Calibri"/>
          <w:color w:val="000000"/>
          <w:shd w:val="clear" w:color="auto" w:fill="FFFFFF"/>
          <w:lang w:val="en-GB"/>
        </w:rPr>
        <w:t xml:space="preserve"> and aggregate cost items to the level required by the analysis. The methodology should also clarify the distinction between a no-policy change scenario and the costing of new policy measures. Trainings and on-going support to line-ministries’ budget analysts should be considered.</w:t>
      </w:r>
    </w:p>
    <w:p w14:paraId="181EB883" w14:textId="47DFDDA8" w:rsidR="00C17F2F" w:rsidRPr="00D30847" w:rsidRDefault="00C17F2F" w:rsidP="00C17F2F">
      <w:pPr>
        <w:spacing w:before="240" w:after="120" w:line="240" w:lineRule="auto"/>
        <w:jc w:val="both"/>
        <w:rPr>
          <w:rFonts w:cs="Calibri"/>
          <w:color w:val="000000"/>
          <w:shd w:val="clear" w:color="auto" w:fill="FFFFFF"/>
          <w:lang w:val="en-GB"/>
        </w:rPr>
      </w:pPr>
      <w:r w:rsidRPr="00D30847">
        <w:rPr>
          <w:rFonts w:cs="Calibri"/>
          <w:color w:val="000000"/>
          <w:shd w:val="clear" w:color="auto" w:fill="FFFFFF"/>
          <w:lang w:val="en-GB"/>
        </w:rPr>
        <w:t>Activities that will be necessary to undertake in the direction of Enhance the quality of baseline projections:</w:t>
      </w:r>
    </w:p>
    <w:p w14:paraId="3E381630" w14:textId="77777777" w:rsidR="006F5904" w:rsidRPr="00D30847" w:rsidRDefault="006F5904" w:rsidP="00AD2AD5">
      <w:pPr>
        <w:numPr>
          <w:ilvl w:val="0"/>
          <w:numId w:val="54"/>
        </w:numPr>
        <w:spacing w:after="0" w:line="240" w:lineRule="auto"/>
        <w:ind w:left="180" w:hanging="180"/>
        <w:jc w:val="both"/>
        <w:rPr>
          <w:rFonts w:eastAsia="MS PGothic" w:cs="Calibri"/>
          <w:color w:val="000000"/>
          <w:lang w:val="en-GB" w:eastAsia="zh-CN"/>
        </w:rPr>
      </w:pPr>
      <w:r w:rsidRPr="00D30847">
        <w:rPr>
          <w:rFonts w:cs="Calibri"/>
          <w:color w:val="000000"/>
          <w:shd w:val="clear" w:color="auto" w:fill="FFFFFF"/>
          <w:lang w:val="en-GB"/>
        </w:rPr>
        <w:t>Prepare and adopt methodology with defining criteria and procedures for conducting Spending review;</w:t>
      </w:r>
    </w:p>
    <w:p w14:paraId="08B811D3" w14:textId="77777777" w:rsidR="006F5904" w:rsidRPr="00D30847" w:rsidRDefault="006F5904" w:rsidP="00AD2AD5">
      <w:pPr>
        <w:numPr>
          <w:ilvl w:val="0"/>
          <w:numId w:val="54"/>
        </w:numPr>
        <w:spacing w:after="0" w:line="240" w:lineRule="auto"/>
        <w:ind w:left="180" w:hanging="180"/>
        <w:jc w:val="both"/>
        <w:rPr>
          <w:rFonts w:eastAsia="MS PGothic" w:cs="Calibri"/>
          <w:color w:val="000000"/>
          <w:lang w:val="en-GB" w:eastAsia="zh-CN"/>
        </w:rPr>
      </w:pPr>
      <w:r w:rsidRPr="00D30847">
        <w:rPr>
          <w:rFonts w:cs="Calibri"/>
          <w:color w:val="000000"/>
          <w:shd w:val="clear" w:color="auto" w:fill="FFFFFF"/>
          <w:lang w:val="en-GB"/>
        </w:rPr>
        <w:t>Provide training and on-going support to line ministries and</w:t>
      </w:r>
    </w:p>
    <w:p w14:paraId="189082BA" w14:textId="77777777" w:rsidR="006F5904" w:rsidRPr="00D30847" w:rsidRDefault="006F5904" w:rsidP="00AD2AD5">
      <w:pPr>
        <w:numPr>
          <w:ilvl w:val="0"/>
          <w:numId w:val="54"/>
        </w:numPr>
        <w:spacing w:after="0" w:line="240" w:lineRule="auto"/>
        <w:ind w:left="180" w:hanging="180"/>
        <w:jc w:val="both"/>
        <w:rPr>
          <w:rFonts w:eastAsia="MS PGothic" w:cs="Calibri"/>
          <w:color w:val="000000"/>
          <w:lang w:val="en-GB" w:eastAsia="zh-CN"/>
        </w:rPr>
      </w:pPr>
      <w:r w:rsidRPr="00D30847">
        <w:rPr>
          <w:rFonts w:cs="Calibri"/>
          <w:color w:val="000000"/>
          <w:shd w:val="clear" w:color="auto" w:fill="FFFFFF"/>
          <w:lang w:val="en-GB"/>
        </w:rPr>
        <w:t>publish the Methodology.</w:t>
      </w:r>
    </w:p>
    <w:p w14:paraId="0480E31E" w14:textId="77777777" w:rsidR="00790347" w:rsidRPr="00D30847" w:rsidRDefault="00790347" w:rsidP="00790347">
      <w:pPr>
        <w:spacing w:after="0" w:line="240" w:lineRule="auto"/>
        <w:ind w:left="34"/>
        <w:jc w:val="both"/>
        <w:rPr>
          <w:rFonts w:eastAsia="Times New Roman" w:cs="Calibri"/>
          <w:b/>
          <w:bCs/>
          <w:iCs/>
          <w:color w:val="4F81BD"/>
          <w:lang w:val="en-GB" w:eastAsia="en-GB"/>
        </w:rPr>
      </w:pPr>
    </w:p>
    <w:p w14:paraId="78F69588" w14:textId="77777777" w:rsidR="006F5904" w:rsidRPr="00D30847" w:rsidRDefault="006F5904" w:rsidP="006F5904">
      <w:pPr>
        <w:spacing w:after="0" w:line="240" w:lineRule="auto"/>
        <w:ind w:left="34"/>
        <w:jc w:val="both"/>
        <w:rPr>
          <w:rFonts w:eastAsia="Times New Roman" w:cs="Calibri"/>
          <w:b/>
          <w:bCs/>
          <w:iCs/>
          <w:color w:val="0070C0"/>
          <w:lang w:val="en-GB" w:eastAsia="en-GB"/>
        </w:rPr>
      </w:pPr>
      <w:r w:rsidRPr="00D30847">
        <w:rPr>
          <w:rFonts w:eastAsia="Times New Roman" w:cs="Calibri"/>
          <w:b/>
          <w:bCs/>
          <w:iCs/>
          <w:color w:val="0070C0"/>
          <w:lang w:val="en-GB" w:eastAsia="en-GB"/>
        </w:rPr>
        <w:t>Activity 3: Spending review as a basis for appropriate budgeting for the next mid-term period</w:t>
      </w:r>
    </w:p>
    <w:p w14:paraId="1C3DA14D" w14:textId="77777777" w:rsidR="006F5904" w:rsidRPr="00D30847" w:rsidRDefault="006F5904" w:rsidP="006F5904">
      <w:pPr>
        <w:tabs>
          <w:tab w:val="left" w:pos="851"/>
        </w:tabs>
        <w:spacing w:before="120" w:line="240" w:lineRule="auto"/>
        <w:jc w:val="both"/>
        <w:rPr>
          <w:rFonts w:eastAsia="Times New Roman" w:cs="Calibri"/>
          <w:color w:val="000000"/>
          <w:lang w:val="en-GB" w:eastAsia="mk-MK"/>
        </w:rPr>
      </w:pPr>
      <w:r w:rsidRPr="00D30847">
        <w:rPr>
          <w:rFonts w:eastAsia="Times New Roman" w:cs="Calibri"/>
          <w:color w:val="000000"/>
          <w:lang w:val="en-GB" w:eastAsia="mk-MK"/>
        </w:rPr>
        <w:t xml:space="preserve">Spending Reviews </w:t>
      </w:r>
      <w:r w:rsidRPr="00D30847">
        <w:rPr>
          <w:rFonts w:cs="Calibri"/>
          <w:lang w:val="en-GB"/>
        </w:rPr>
        <w:t xml:space="preserve">is a process of aligning the public revenues and expenditures by reducing the expenditures and/or increasing the revenues, for the purpose of reducing the budget deficit and the public debt. </w:t>
      </w:r>
      <w:r w:rsidRPr="00D30847">
        <w:rPr>
          <w:rFonts w:eastAsia="Times New Roman" w:cs="Calibri"/>
          <w:color w:val="000000"/>
          <w:lang w:val="en-GB" w:eastAsia="mk-MK"/>
        </w:rPr>
        <w:t xml:space="preserve">Spending Reviews require mixture of measures on both budget revenue and budget expenditure side. Limited resources and necessity to finance priority projects impose a need to </w:t>
      </w:r>
      <w:r w:rsidRPr="00D30847">
        <w:rPr>
          <w:rFonts w:eastAsia="Times New Roman" w:cs="Calibri"/>
          <w:color w:val="000000"/>
          <w:lang w:val="en-GB" w:eastAsia="mk-MK"/>
        </w:rPr>
        <w:lastRenderedPageBreak/>
        <w:t xml:space="preserve">strengthen the performance-based budget planning process, rationalize certain expenditures and introduce adequate spending standards. </w:t>
      </w:r>
    </w:p>
    <w:p w14:paraId="56D603F9" w14:textId="77777777" w:rsidR="006F5904" w:rsidRPr="00D30847" w:rsidRDefault="006F5904" w:rsidP="006F5904">
      <w:pPr>
        <w:shd w:val="clear" w:color="auto" w:fill="FFFFFF"/>
        <w:spacing w:after="0" w:line="240" w:lineRule="auto"/>
        <w:jc w:val="both"/>
        <w:rPr>
          <w:rFonts w:eastAsia="Times New Roman" w:cs="Calibri"/>
          <w:color w:val="000000"/>
          <w:lang w:val="en-GB" w:eastAsia="mk-MK"/>
        </w:rPr>
      </w:pPr>
      <w:r w:rsidRPr="00D30847">
        <w:rPr>
          <w:rFonts w:eastAsia="Times New Roman" w:cs="Calibri"/>
          <w:color w:val="000000"/>
          <w:lang w:val="en-GB" w:eastAsia="mk-MK"/>
        </w:rPr>
        <w:t>At the end of the day, the Spending Reviews can support the budget process by systematically examining expenditure and operationalizing the high-level savings options outlined in the Fiscal Sustainability and Economic Growth Support Plan and contribute to achieving a budget deficit level in line with Organic Budget Law.</w:t>
      </w:r>
    </w:p>
    <w:p w14:paraId="220AB094" w14:textId="77777777" w:rsidR="00790347" w:rsidRPr="00D30847" w:rsidRDefault="00790347" w:rsidP="00790347">
      <w:pPr>
        <w:spacing w:after="0" w:line="240" w:lineRule="auto"/>
        <w:ind w:left="34"/>
        <w:jc w:val="both"/>
        <w:rPr>
          <w:rFonts w:eastAsia="Times New Roman" w:cs="Calibri"/>
          <w:b/>
          <w:bCs/>
          <w:iCs/>
          <w:color w:val="4F81BD"/>
          <w:lang w:val="en-GB" w:eastAsia="en-GB"/>
        </w:rPr>
      </w:pPr>
    </w:p>
    <w:p w14:paraId="10662557" w14:textId="77777777" w:rsidR="00376718" w:rsidRPr="00D30847" w:rsidRDefault="00376718" w:rsidP="00E84CD0">
      <w:pPr>
        <w:spacing w:before="160" w:after="60" w:line="240" w:lineRule="auto"/>
        <w:jc w:val="both"/>
        <w:outlineLvl w:val="3"/>
        <w:rPr>
          <w:rFonts w:eastAsia="Times New Roman" w:cs="Calibri"/>
          <w:b/>
          <w:bCs/>
          <w:color w:val="000000"/>
          <w:sz w:val="20"/>
          <w:szCs w:val="20"/>
          <w:lang w:val="en-GB" w:eastAsia="en-GB"/>
        </w:rPr>
      </w:pPr>
      <w:r w:rsidRPr="00D30847">
        <w:rPr>
          <w:rFonts w:eastAsia="Times New Roman" w:cs="Calibri"/>
          <w:b/>
          <w:bCs/>
          <w:i/>
          <w:iCs/>
          <w:color w:val="4F81BD"/>
          <w:sz w:val="20"/>
          <w:szCs w:val="20"/>
          <w:lang w:val="en-GB" w:eastAsia="en-GB"/>
        </w:rPr>
        <w:t>Implementation</w:t>
      </w:r>
    </w:p>
    <w:tbl>
      <w:tblPr>
        <w:tblW w:w="0" w:type="auto"/>
        <w:tblCellMar>
          <w:left w:w="0" w:type="dxa"/>
          <w:right w:w="0" w:type="dxa"/>
        </w:tblCellMar>
        <w:tblLook w:val="04A0" w:firstRow="1" w:lastRow="0" w:firstColumn="1" w:lastColumn="0" w:noHBand="0" w:noVBand="1"/>
      </w:tblPr>
      <w:tblGrid>
        <w:gridCol w:w="2302"/>
        <w:gridCol w:w="6030"/>
      </w:tblGrid>
      <w:tr w:rsidR="00376718" w:rsidRPr="00D30847" w14:paraId="17CD127D" w14:textId="77777777" w:rsidTr="00A73DBE">
        <w:tc>
          <w:tcPr>
            <w:tcW w:w="2302" w:type="dxa"/>
            <w:tcBorders>
              <w:bottom w:val="single" w:sz="6" w:space="0" w:color="FFFFFF"/>
            </w:tcBorders>
            <w:shd w:val="clear" w:color="auto" w:fill="002060"/>
            <w:tcMar>
              <w:top w:w="0" w:type="dxa"/>
              <w:left w:w="108" w:type="dxa"/>
              <w:bottom w:w="0" w:type="dxa"/>
              <w:right w:w="108" w:type="dxa"/>
            </w:tcMar>
            <w:hideMark/>
          </w:tcPr>
          <w:p w14:paraId="39B329E3" w14:textId="52CCDD29" w:rsidR="00376718" w:rsidRPr="00D30847" w:rsidRDefault="00376718" w:rsidP="00E84CD0">
            <w:pPr>
              <w:spacing w:line="240" w:lineRule="auto"/>
              <w:jc w:val="both"/>
              <w:rPr>
                <w:b/>
                <w:color w:val="FFFFFF"/>
                <w:sz w:val="20"/>
                <w:szCs w:val="20"/>
                <w:lang w:val="en-GB"/>
              </w:rPr>
            </w:pPr>
            <w:r w:rsidRPr="00D30847">
              <w:rPr>
                <w:b/>
                <w:color w:val="FFFFFF"/>
                <w:sz w:val="20"/>
                <w:szCs w:val="20"/>
                <w:lang w:val="en-GB"/>
              </w:rPr>
              <w:t>Completed</w:t>
            </w:r>
            <w:r w:rsidR="008A5C87" w:rsidRPr="00D30847">
              <w:rPr>
                <w:b/>
                <w:color w:val="FFFFFF"/>
                <w:sz w:val="20"/>
                <w:szCs w:val="20"/>
                <w:lang w:val="en-GB"/>
              </w:rPr>
              <w:t xml:space="preserve"> </w:t>
            </w:r>
            <w:r w:rsidRPr="00D30847">
              <w:rPr>
                <w:b/>
                <w:color w:val="FFFFFF"/>
                <w:sz w:val="20"/>
                <w:szCs w:val="20"/>
                <w:lang w:val="en-GB"/>
              </w:rPr>
              <w:t>in</w:t>
            </w:r>
            <w:r w:rsidR="008A5C87" w:rsidRPr="00D30847">
              <w:rPr>
                <w:b/>
                <w:color w:val="FFFFFF"/>
                <w:sz w:val="20"/>
                <w:szCs w:val="20"/>
                <w:lang w:val="en-GB"/>
              </w:rPr>
              <w:t xml:space="preserve"> </w:t>
            </w:r>
            <w:r w:rsidRPr="00D30847">
              <w:rPr>
                <w:b/>
                <w:color w:val="FFFFFF"/>
                <w:sz w:val="20"/>
                <w:szCs w:val="20"/>
                <w:lang w:val="en-GB"/>
              </w:rPr>
              <w:t>year:</w:t>
            </w:r>
          </w:p>
        </w:tc>
        <w:tc>
          <w:tcPr>
            <w:tcW w:w="6030" w:type="dxa"/>
            <w:tcBorders>
              <w:bottom w:val="single" w:sz="6" w:space="0" w:color="FFFFFF"/>
            </w:tcBorders>
            <w:shd w:val="clear" w:color="auto" w:fill="D9E2F3"/>
            <w:tcMar>
              <w:top w:w="0" w:type="dxa"/>
              <w:left w:w="108" w:type="dxa"/>
              <w:bottom w:w="0" w:type="dxa"/>
              <w:right w:w="108" w:type="dxa"/>
            </w:tcMar>
            <w:hideMark/>
          </w:tcPr>
          <w:p w14:paraId="295AB48B" w14:textId="7FB894D4" w:rsidR="00376718" w:rsidRPr="00D30847" w:rsidRDefault="00502986" w:rsidP="00E84CD0">
            <w:pPr>
              <w:spacing w:after="0" w:line="240" w:lineRule="auto"/>
              <w:jc w:val="both"/>
              <w:rPr>
                <w:rFonts w:eastAsia="Times New Roman" w:cs="Calibri"/>
                <w:sz w:val="20"/>
                <w:szCs w:val="20"/>
                <w:lang w:val="en-GB" w:eastAsia="en-GB"/>
              </w:rPr>
            </w:pPr>
            <w:r w:rsidRPr="00D30847">
              <w:rPr>
                <w:rFonts w:eastAsia="Times New Roman" w:cs="Calibri"/>
                <w:sz w:val="20"/>
                <w:szCs w:val="20"/>
                <w:lang w:val="en-GB" w:eastAsia="en-GB"/>
              </w:rPr>
              <w:t>202</w:t>
            </w:r>
            <w:r w:rsidR="00E85148" w:rsidRPr="00D30847">
              <w:rPr>
                <w:rFonts w:eastAsia="Times New Roman" w:cs="Calibri"/>
                <w:sz w:val="20"/>
                <w:szCs w:val="20"/>
                <w:lang w:val="en-GB" w:eastAsia="en-GB"/>
              </w:rPr>
              <w:t>8</w:t>
            </w:r>
          </w:p>
        </w:tc>
      </w:tr>
      <w:tr w:rsidR="00376718" w:rsidRPr="00D30847" w14:paraId="2EFC67B0" w14:textId="77777777" w:rsidTr="00A73DBE">
        <w:tc>
          <w:tcPr>
            <w:tcW w:w="2302" w:type="dxa"/>
            <w:tcBorders>
              <w:top w:val="single" w:sz="6" w:space="0" w:color="FFFFFF"/>
              <w:bottom w:val="single" w:sz="6" w:space="0" w:color="FFFFFF"/>
            </w:tcBorders>
            <w:shd w:val="clear" w:color="auto" w:fill="002060"/>
            <w:tcMar>
              <w:top w:w="0" w:type="dxa"/>
              <w:left w:w="108" w:type="dxa"/>
              <w:bottom w:w="0" w:type="dxa"/>
              <w:right w:w="108" w:type="dxa"/>
            </w:tcMar>
            <w:hideMark/>
          </w:tcPr>
          <w:p w14:paraId="314AFEA8" w14:textId="77777777" w:rsidR="00376718" w:rsidRPr="00D30847" w:rsidRDefault="00376718" w:rsidP="00E84CD0">
            <w:pPr>
              <w:spacing w:line="240" w:lineRule="auto"/>
              <w:jc w:val="both"/>
              <w:rPr>
                <w:b/>
                <w:color w:val="FFFFFF"/>
                <w:sz w:val="20"/>
                <w:szCs w:val="20"/>
                <w:lang w:val="en-GB"/>
              </w:rPr>
            </w:pPr>
            <w:r w:rsidRPr="00D30847">
              <w:rPr>
                <w:b/>
                <w:color w:val="FFFFFF"/>
                <w:sz w:val="20"/>
                <w:szCs w:val="20"/>
                <w:lang w:val="en-GB"/>
              </w:rPr>
              <w:t>Deliverables:</w:t>
            </w:r>
          </w:p>
        </w:tc>
        <w:tc>
          <w:tcPr>
            <w:tcW w:w="6030" w:type="dxa"/>
            <w:tcBorders>
              <w:top w:val="single" w:sz="6" w:space="0" w:color="FFFFFF"/>
              <w:bottom w:val="single" w:sz="6" w:space="0" w:color="FFFFFF"/>
            </w:tcBorders>
            <w:shd w:val="clear" w:color="auto" w:fill="D9E2F3"/>
            <w:tcMar>
              <w:top w:w="0" w:type="dxa"/>
              <w:left w:w="108" w:type="dxa"/>
              <w:bottom w:w="0" w:type="dxa"/>
              <w:right w:w="108" w:type="dxa"/>
            </w:tcMar>
            <w:hideMark/>
          </w:tcPr>
          <w:p w14:paraId="2518442E" w14:textId="040AD1F7" w:rsidR="00376718" w:rsidRPr="00D30847" w:rsidRDefault="006F5904" w:rsidP="00AD2AD5">
            <w:pPr>
              <w:numPr>
                <w:ilvl w:val="0"/>
                <w:numId w:val="17"/>
              </w:numPr>
              <w:spacing w:after="0" w:line="240" w:lineRule="auto"/>
              <w:ind w:left="216" w:hanging="180"/>
              <w:jc w:val="both"/>
              <w:rPr>
                <w:rFonts w:eastAsia="Times New Roman" w:cs="Calibri"/>
                <w:sz w:val="20"/>
                <w:szCs w:val="20"/>
                <w:lang w:val="en-GB" w:eastAsia="en-GB"/>
              </w:rPr>
            </w:pPr>
            <w:r w:rsidRPr="00D30847">
              <w:rPr>
                <w:rFonts w:eastAsia="Times New Roman" w:cs="Calibri"/>
                <w:sz w:val="20"/>
                <w:szCs w:val="20"/>
                <w:lang w:val="en-GB" w:eastAsia="en-GB"/>
              </w:rPr>
              <w:t>Fiscal consolidation and phased reduction of the budget deficit.</w:t>
            </w:r>
          </w:p>
        </w:tc>
      </w:tr>
      <w:tr w:rsidR="00376718" w:rsidRPr="00D30847" w14:paraId="229732F4" w14:textId="77777777" w:rsidTr="00A73DBE">
        <w:tc>
          <w:tcPr>
            <w:tcW w:w="2302" w:type="dxa"/>
            <w:tcBorders>
              <w:top w:val="single" w:sz="6" w:space="0" w:color="FFFFFF"/>
              <w:bottom w:val="single" w:sz="6" w:space="0" w:color="FFFFFF"/>
            </w:tcBorders>
            <w:shd w:val="clear" w:color="auto" w:fill="002060"/>
            <w:tcMar>
              <w:top w:w="0" w:type="dxa"/>
              <w:left w:w="108" w:type="dxa"/>
              <w:bottom w:w="0" w:type="dxa"/>
              <w:right w:w="108" w:type="dxa"/>
            </w:tcMar>
            <w:hideMark/>
          </w:tcPr>
          <w:p w14:paraId="24228FA6" w14:textId="57E23E7C" w:rsidR="00376718" w:rsidRPr="00D30847" w:rsidRDefault="00376718" w:rsidP="00E84CD0">
            <w:pPr>
              <w:spacing w:line="240" w:lineRule="auto"/>
              <w:jc w:val="both"/>
              <w:rPr>
                <w:b/>
                <w:color w:val="FFFFFF"/>
                <w:sz w:val="20"/>
                <w:szCs w:val="20"/>
                <w:lang w:val="en-GB"/>
              </w:rPr>
            </w:pPr>
            <w:r w:rsidRPr="00D30847">
              <w:rPr>
                <w:b/>
                <w:color w:val="FFFFFF"/>
                <w:sz w:val="20"/>
                <w:szCs w:val="20"/>
                <w:lang w:val="en-GB"/>
              </w:rPr>
              <w:t>Costs</w:t>
            </w:r>
            <w:r w:rsidR="008A5C87" w:rsidRPr="00D30847">
              <w:rPr>
                <w:b/>
                <w:color w:val="FFFFFF"/>
                <w:sz w:val="20"/>
                <w:szCs w:val="20"/>
                <w:lang w:val="en-GB"/>
              </w:rPr>
              <w:t xml:space="preserve"> </w:t>
            </w:r>
            <w:r w:rsidRPr="00D30847">
              <w:rPr>
                <w:b/>
                <w:color w:val="FFFFFF"/>
                <w:sz w:val="20"/>
                <w:szCs w:val="20"/>
                <w:lang w:val="en-GB"/>
              </w:rPr>
              <w:t>implications:</w:t>
            </w:r>
          </w:p>
        </w:tc>
        <w:tc>
          <w:tcPr>
            <w:tcW w:w="6030" w:type="dxa"/>
            <w:tcBorders>
              <w:top w:val="single" w:sz="6" w:space="0" w:color="FFFFFF"/>
              <w:bottom w:val="single" w:sz="6" w:space="0" w:color="FFFFFF"/>
            </w:tcBorders>
            <w:shd w:val="clear" w:color="auto" w:fill="D9E2F3"/>
            <w:tcMar>
              <w:top w:w="0" w:type="dxa"/>
              <w:left w:w="108" w:type="dxa"/>
              <w:bottom w:w="0" w:type="dxa"/>
              <w:right w:w="108" w:type="dxa"/>
            </w:tcMar>
            <w:hideMark/>
          </w:tcPr>
          <w:p w14:paraId="5CED9C6F" w14:textId="67327C1A" w:rsidR="00376718" w:rsidRPr="00D30847" w:rsidRDefault="006A6C5F" w:rsidP="00E84CD0">
            <w:pPr>
              <w:spacing w:after="0" w:line="240" w:lineRule="auto"/>
              <w:jc w:val="both"/>
              <w:rPr>
                <w:rFonts w:eastAsia="Times New Roman" w:cs="Calibri"/>
                <w:sz w:val="20"/>
                <w:szCs w:val="20"/>
                <w:lang w:val="en-GB" w:eastAsia="en-GB"/>
              </w:rPr>
            </w:pPr>
            <w:r w:rsidRPr="00D30847">
              <w:rPr>
                <w:rFonts w:eastAsia="Times New Roman" w:cs="Calibri"/>
                <w:sz w:val="20"/>
                <w:szCs w:val="20"/>
                <w:lang w:val="en-GB" w:eastAsia="en-GB"/>
              </w:rPr>
              <w:t xml:space="preserve">240.000 </w:t>
            </w:r>
            <w:proofErr w:type="spellStart"/>
            <w:r w:rsidRPr="00D30847">
              <w:rPr>
                <w:rFonts w:eastAsia="Times New Roman" w:cs="Calibri"/>
                <w:sz w:val="20"/>
                <w:szCs w:val="20"/>
                <w:lang w:val="en-GB" w:eastAsia="en-GB"/>
              </w:rPr>
              <w:t>eur</w:t>
            </w:r>
            <w:proofErr w:type="spellEnd"/>
            <w:r w:rsidR="00376718" w:rsidRPr="00D30847">
              <w:rPr>
                <w:rFonts w:eastAsia="Times New Roman" w:cs="Calibri"/>
                <w:sz w:val="20"/>
                <w:szCs w:val="20"/>
                <w:lang w:val="en-GB" w:eastAsia="en-GB"/>
              </w:rPr>
              <w:t xml:space="preserve"> </w:t>
            </w:r>
          </w:p>
        </w:tc>
      </w:tr>
      <w:tr w:rsidR="00376718" w:rsidRPr="00D30847" w14:paraId="080CF19F" w14:textId="77777777" w:rsidTr="00A73DBE">
        <w:tc>
          <w:tcPr>
            <w:tcW w:w="2302" w:type="dxa"/>
            <w:tcBorders>
              <w:top w:val="single" w:sz="6" w:space="0" w:color="FFFFFF"/>
              <w:bottom w:val="single" w:sz="6" w:space="0" w:color="FFFFFF"/>
            </w:tcBorders>
            <w:shd w:val="clear" w:color="auto" w:fill="002060"/>
            <w:tcMar>
              <w:top w:w="0" w:type="dxa"/>
              <w:left w:w="108" w:type="dxa"/>
              <w:bottom w:w="0" w:type="dxa"/>
              <w:right w:w="108" w:type="dxa"/>
            </w:tcMar>
            <w:hideMark/>
          </w:tcPr>
          <w:p w14:paraId="1D8A924F" w14:textId="66148681" w:rsidR="00376718" w:rsidRPr="00D30847" w:rsidRDefault="00376718" w:rsidP="00E84CD0">
            <w:pPr>
              <w:spacing w:line="240" w:lineRule="auto"/>
              <w:jc w:val="both"/>
              <w:rPr>
                <w:b/>
                <w:color w:val="FFFFFF"/>
                <w:sz w:val="20"/>
                <w:szCs w:val="20"/>
                <w:lang w:val="en-GB"/>
              </w:rPr>
            </w:pPr>
            <w:r w:rsidRPr="00D30847">
              <w:rPr>
                <w:b/>
                <w:color w:val="FFFFFF"/>
                <w:sz w:val="20"/>
                <w:szCs w:val="20"/>
                <w:lang w:val="en-GB"/>
              </w:rPr>
              <w:t>Responsible</w:t>
            </w:r>
            <w:r w:rsidR="008A5C87" w:rsidRPr="00D30847">
              <w:rPr>
                <w:b/>
                <w:color w:val="FFFFFF"/>
                <w:sz w:val="20"/>
                <w:szCs w:val="20"/>
                <w:lang w:val="en-GB"/>
              </w:rPr>
              <w:t xml:space="preserve"> </w:t>
            </w:r>
            <w:r w:rsidRPr="00D30847">
              <w:rPr>
                <w:b/>
                <w:color w:val="FFFFFF"/>
                <w:sz w:val="20"/>
                <w:szCs w:val="20"/>
                <w:lang w:val="en-GB"/>
              </w:rPr>
              <w:t xml:space="preserve">entity: </w:t>
            </w:r>
          </w:p>
        </w:tc>
        <w:tc>
          <w:tcPr>
            <w:tcW w:w="6030" w:type="dxa"/>
            <w:tcBorders>
              <w:top w:val="single" w:sz="6" w:space="0" w:color="FFFFFF"/>
              <w:bottom w:val="single" w:sz="6" w:space="0" w:color="FFFFFF"/>
            </w:tcBorders>
            <w:shd w:val="clear" w:color="auto" w:fill="D9E2F3"/>
            <w:tcMar>
              <w:top w:w="0" w:type="dxa"/>
              <w:left w:w="108" w:type="dxa"/>
              <w:bottom w:w="0" w:type="dxa"/>
              <w:right w:w="108" w:type="dxa"/>
            </w:tcMar>
            <w:hideMark/>
          </w:tcPr>
          <w:p w14:paraId="681BA81B" w14:textId="4134BC05" w:rsidR="00376718" w:rsidRPr="00D30847" w:rsidRDefault="00376718" w:rsidP="00E84CD0">
            <w:pPr>
              <w:spacing w:after="0" w:line="240" w:lineRule="auto"/>
              <w:jc w:val="both"/>
              <w:rPr>
                <w:rFonts w:eastAsia="Times New Roman" w:cs="Calibri"/>
                <w:sz w:val="20"/>
                <w:szCs w:val="20"/>
                <w:lang w:val="en-GB" w:eastAsia="en-GB"/>
              </w:rPr>
            </w:pPr>
            <w:r w:rsidRPr="00D30847">
              <w:rPr>
                <w:rFonts w:eastAsia="Times New Roman" w:cs="Calibri"/>
                <w:sz w:val="20"/>
                <w:szCs w:val="20"/>
                <w:lang w:val="en-GB" w:eastAsia="en-GB"/>
              </w:rPr>
              <w:t>Ministry</w:t>
            </w:r>
            <w:r w:rsidR="006F5904" w:rsidRPr="00D30847">
              <w:rPr>
                <w:rFonts w:eastAsia="Times New Roman" w:cs="Calibri"/>
                <w:sz w:val="20"/>
                <w:szCs w:val="20"/>
                <w:lang w:val="en-GB" w:eastAsia="en-GB"/>
              </w:rPr>
              <w:t xml:space="preserve"> </w:t>
            </w:r>
            <w:r w:rsidRPr="00D30847">
              <w:rPr>
                <w:rFonts w:eastAsia="Times New Roman" w:cs="Calibri"/>
                <w:sz w:val="20"/>
                <w:szCs w:val="20"/>
                <w:lang w:val="en-GB" w:eastAsia="en-GB"/>
              </w:rPr>
              <w:t>of</w:t>
            </w:r>
            <w:r w:rsidR="006F5904" w:rsidRPr="00D30847">
              <w:rPr>
                <w:rFonts w:eastAsia="Times New Roman" w:cs="Calibri"/>
                <w:sz w:val="20"/>
                <w:szCs w:val="20"/>
                <w:lang w:val="en-GB" w:eastAsia="en-GB"/>
              </w:rPr>
              <w:t xml:space="preserve"> </w:t>
            </w:r>
            <w:r w:rsidRPr="00D30847">
              <w:rPr>
                <w:rFonts w:eastAsia="Times New Roman" w:cs="Calibri"/>
                <w:sz w:val="20"/>
                <w:szCs w:val="20"/>
                <w:lang w:val="en-GB" w:eastAsia="en-GB"/>
              </w:rPr>
              <w:t>Finance- Budgets</w:t>
            </w:r>
            <w:r w:rsidR="006F5904" w:rsidRPr="00D30847">
              <w:rPr>
                <w:rFonts w:eastAsia="Times New Roman" w:cs="Calibri"/>
                <w:sz w:val="20"/>
                <w:szCs w:val="20"/>
                <w:lang w:val="en-GB" w:eastAsia="en-GB"/>
              </w:rPr>
              <w:t xml:space="preserve"> </w:t>
            </w:r>
            <w:r w:rsidRPr="00D30847">
              <w:rPr>
                <w:rFonts w:eastAsia="Times New Roman" w:cs="Calibri"/>
                <w:sz w:val="20"/>
                <w:szCs w:val="20"/>
                <w:lang w:val="en-GB" w:eastAsia="en-GB"/>
              </w:rPr>
              <w:t>and</w:t>
            </w:r>
            <w:r w:rsidR="006F5904" w:rsidRPr="00D30847">
              <w:rPr>
                <w:rFonts w:eastAsia="Times New Roman" w:cs="Calibri"/>
                <w:sz w:val="20"/>
                <w:szCs w:val="20"/>
                <w:lang w:val="en-GB" w:eastAsia="en-GB"/>
              </w:rPr>
              <w:t xml:space="preserve"> </w:t>
            </w:r>
            <w:r w:rsidRPr="00D30847">
              <w:rPr>
                <w:rFonts w:eastAsia="Times New Roman" w:cs="Calibri"/>
                <w:sz w:val="20"/>
                <w:szCs w:val="20"/>
                <w:lang w:val="en-GB" w:eastAsia="en-GB"/>
              </w:rPr>
              <w:t>Funds Department</w:t>
            </w:r>
          </w:p>
        </w:tc>
      </w:tr>
      <w:tr w:rsidR="00376718" w:rsidRPr="00D30847" w14:paraId="6EB62ABC" w14:textId="77777777" w:rsidTr="00A73DBE">
        <w:trPr>
          <w:trHeight w:val="70"/>
        </w:trPr>
        <w:tc>
          <w:tcPr>
            <w:tcW w:w="2302" w:type="dxa"/>
            <w:tcBorders>
              <w:top w:val="single" w:sz="6" w:space="0" w:color="FFFFFF"/>
            </w:tcBorders>
            <w:shd w:val="clear" w:color="auto" w:fill="002060"/>
            <w:tcMar>
              <w:top w:w="0" w:type="dxa"/>
              <w:left w:w="108" w:type="dxa"/>
              <w:bottom w:w="0" w:type="dxa"/>
              <w:right w:w="108" w:type="dxa"/>
            </w:tcMar>
            <w:hideMark/>
          </w:tcPr>
          <w:p w14:paraId="739E241F" w14:textId="77777777" w:rsidR="00376718" w:rsidRPr="00D30847" w:rsidRDefault="00376718" w:rsidP="00E84CD0">
            <w:pPr>
              <w:spacing w:line="240" w:lineRule="auto"/>
              <w:jc w:val="both"/>
              <w:rPr>
                <w:b/>
                <w:color w:val="FFFFFF"/>
                <w:sz w:val="20"/>
                <w:szCs w:val="20"/>
                <w:lang w:val="en-GB"/>
              </w:rPr>
            </w:pPr>
            <w:r w:rsidRPr="00D30847">
              <w:rPr>
                <w:b/>
                <w:color w:val="FFFFFF"/>
                <w:sz w:val="20"/>
                <w:szCs w:val="20"/>
                <w:lang w:val="en-GB"/>
              </w:rPr>
              <w:t>Risk:</w:t>
            </w:r>
          </w:p>
        </w:tc>
        <w:tc>
          <w:tcPr>
            <w:tcW w:w="6030" w:type="dxa"/>
            <w:tcBorders>
              <w:top w:val="single" w:sz="6" w:space="0" w:color="FFFFFF"/>
            </w:tcBorders>
            <w:shd w:val="clear" w:color="auto" w:fill="D9E2F3"/>
            <w:tcMar>
              <w:top w:w="0" w:type="dxa"/>
              <w:left w:w="108" w:type="dxa"/>
              <w:bottom w:w="0" w:type="dxa"/>
              <w:right w:w="108" w:type="dxa"/>
            </w:tcMar>
            <w:hideMark/>
          </w:tcPr>
          <w:p w14:paraId="14DC9E6B" w14:textId="77777777" w:rsidR="00376718" w:rsidRPr="00D30847" w:rsidRDefault="00376718" w:rsidP="00AD2AD5">
            <w:pPr>
              <w:numPr>
                <w:ilvl w:val="0"/>
                <w:numId w:val="17"/>
              </w:numPr>
              <w:spacing w:after="0" w:line="240" w:lineRule="auto"/>
              <w:ind w:left="216" w:hanging="180"/>
              <w:jc w:val="both"/>
              <w:rPr>
                <w:rFonts w:eastAsia="Times New Roman" w:cs="Calibri"/>
                <w:sz w:val="20"/>
                <w:szCs w:val="20"/>
                <w:lang w:val="en-GB" w:eastAsia="en-GB"/>
              </w:rPr>
            </w:pPr>
            <w:r w:rsidRPr="00D30847">
              <w:rPr>
                <w:rFonts w:cs="Calibri"/>
                <w:sz w:val="20"/>
                <w:szCs w:val="20"/>
                <w:lang w:val="en-GB"/>
              </w:rPr>
              <w:t>Insufficient human capacity to carry out the activity.</w:t>
            </w:r>
          </w:p>
        </w:tc>
      </w:tr>
    </w:tbl>
    <w:p w14:paraId="5D927385" w14:textId="77777777" w:rsidR="00376718" w:rsidRPr="00D30847" w:rsidRDefault="00376718" w:rsidP="00E84CD0">
      <w:pPr>
        <w:spacing w:before="120" w:after="0" w:line="240" w:lineRule="auto"/>
        <w:ind w:left="324"/>
        <w:jc w:val="both"/>
        <w:rPr>
          <w:rFonts w:eastAsia="Times New Roman" w:cs="Calibri"/>
          <w:color w:val="000000"/>
          <w:sz w:val="20"/>
          <w:szCs w:val="20"/>
          <w:lang w:val="en-GB" w:eastAsia="en-GB"/>
        </w:rPr>
      </w:pPr>
      <w:r w:rsidRPr="00D30847">
        <w:rPr>
          <w:rFonts w:eastAsia="Times New Roman" w:cs="Calibri"/>
          <w:color w:val="002060"/>
          <w:sz w:val="20"/>
          <w:szCs w:val="20"/>
          <w:lang w:val="en-GB" w:eastAsia="en-GB"/>
        </w:rPr>
        <w:t> </w:t>
      </w:r>
    </w:p>
    <w:p w14:paraId="56668DA8" w14:textId="77777777" w:rsidR="00376718" w:rsidRPr="00D30847" w:rsidRDefault="00376718" w:rsidP="00E84CD0">
      <w:pPr>
        <w:spacing w:line="240" w:lineRule="auto"/>
        <w:jc w:val="both"/>
        <w:rPr>
          <w:rFonts w:cs="Calibri"/>
          <w:highlight w:val="yellow"/>
          <w:lang w:val="en-GB"/>
        </w:rPr>
      </w:pPr>
    </w:p>
    <w:p w14:paraId="375545CA" w14:textId="77777777" w:rsidR="00376718" w:rsidRPr="00D30847" w:rsidRDefault="00347E5C" w:rsidP="00D32A6D">
      <w:pPr>
        <w:pStyle w:val="Heading1"/>
        <w:rPr>
          <w:rFonts w:ascii="Calibri" w:hAnsi="Calibri" w:cs="Calibri"/>
          <w:color w:val="0070C0"/>
          <w:sz w:val="28"/>
          <w:szCs w:val="28"/>
          <w:lang w:val="en-GB"/>
        </w:rPr>
      </w:pPr>
      <w:r w:rsidRPr="00D30847">
        <w:rPr>
          <w:color w:val="2F5496"/>
          <w:lang w:val="en-GB"/>
        </w:rPr>
        <w:br w:type="page"/>
      </w:r>
      <w:bookmarkStart w:id="37" w:name="_Toc187841809"/>
      <w:r w:rsidR="00376718" w:rsidRPr="00D30847">
        <w:rPr>
          <w:rFonts w:ascii="Calibri" w:hAnsi="Calibri" w:cs="Calibri"/>
          <w:color w:val="0070C0"/>
          <w:sz w:val="28"/>
          <w:szCs w:val="28"/>
          <w:lang w:val="en-GB"/>
        </w:rPr>
        <w:lastRenderedPageBreak/>
        <w:t>Priority 2: Strengthened Public Investment Management</w:t>
      </w:r>
      <w:bookmarkEnd w:id="37"/>
    </w:p>
    <w:p w14:paraId="5D633577" w14:textId="77777777" w:rsidR="00376718" w:rsidRPr="00D30847" w:rsidRDefault="00376718"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Objective</w:t>
      </w:r>
    </w:p>
    <w:p w14:paraId="42070354" w14:textId="77777777" w:rsidR="00376718" w:rsidRPr="00D30847" w:rsidRDefault="00376718" w:rsidP="00E84CD0">
      <w:pPr>
        <w:spacing w:before="80" w:after="80" w:line="240" w:lineRule="auto"/>
        <w:jc w:val="both"/>
        <w:rPr>
          <w:rFonts w:eastAsia="MS PGothic" w:cs="Calibri"/>
          <w:lang w:val="en-GB" w:eastAsia="zh-CN"/>
        </w:rPr>
      </w:pPr>
      <w:r w:rsidRPr="00D30847">
        <w:rPr>
          <w:rFonts w:eastAsia="MS PGothic" w:cs="Calibri"/>
          <w:lang w:val="en-GB" w:eastAsia="zh-CN"/>
        </w:rPr>
        <w:t xml:space="preserve">Increased efficiency in the provision of public infrastructure assets and strengthened Public Investment Management framework. </w:t>
      </w:r>
    </w:p>
    <w:p w14:paraId="12508011" w14:textId="450782A5" w:rsidR="00376718" w:rsidRPr="00D30847" w:rsidRDefault="001E4F96" w:rsidP="00E84CD0">
      <w:pPr>
        <w:spacing w:before="80" w:after="80" w:line="240" w:lineRule="auto"/>
        <w:jc w:val="both"/>
        <w:rPr>
          <w:rFonts w:eastAsia="MS PGothic" w:cs="Calibri"/>
          <w:lang w:val="en-GB" w:eastAsia="zh-CN"/>
        </w:rPr>
      </w:pPr>
      <w:r w:rsidRPr="00D30847">
        <w:rPr>
          <w:rFonts w:eastAsia="MS PGothic" w:cs="Calibri"/>
          <w:lang w:val="en-GB" w:eastAsia="zh-CN"/>
        </w:rPr>
        <w:t>The objective of increasing efficiency in the provision of public infrastructure assets by strengthening the public investment management framework will be achieved through the following measures and activities:</w:t>
      </w:r>
    </w:p>
    <w:tbl>
      <w:tblPr>
        <w:tblW w:w="8930" w:type="dxa"/>
        <w:tblLook w:val="01E0" w:firstRow="1" w:lastRow="1" w:firstColumn="1" w:lastColumn="1" w:noHBand="0" w:noVBand="0"/>
      </w:tblPr>
      <w:tblGrid>
        <w:gridCol w:w="1384"/>
        <w:gridCol w:w="7546"/>
      </w:tblGrid>
      <w:tr w:rsidR="00376718" w:rsidRPr="00D30847" w14:paraId="51046B97" w14:textId="77777777" w:rsidTr="000D68DB">
        <w:trPr>
          <w:trHeight w:val="648"/>
        </w:trPr>
        <w:tc>
          <w:tcPr>
            <w:tcW w:w="1384" w:type="dxa"/>
            <w:shd w:val="clear" w:color="auto" w:fill="auto"/>
          </w:tcPr>
          <w:p w14:paraId="354DC14D" w14:textId="77777777" w:rsidR="00376718" w:rsidRPr="00D30847" w:rsidRDefault="00376718" w:rsidP="0044402B">
            <w:pPr>
              <w:spacing w:before="120" w:after="0" w:line="240" w:lineRule="auto"/>
              <w:jc w:val="both"/>
              <w:rPr>
                <w:rFonts w:cs="Calibri"/>
                <w:b/>
                <w:lang w:val="en-GB"/>
              </w:rPr>
            </w:pPr>
            <w:r w:rsidRPr="00D30847">
              <w:rPr>
                <w:rFonts w:cs="Calibri"/>
                <w:b/>
                <w:lang w:val="en-GB"/>
              </w:rPr>
              <w:t>Measure 1:</w:t>
            </w:r>
          </w:p>
        </w:tc>
        <w:tc>
          <w:tcPr>
            <w:tcW w:w="7546" w:type="dxa"/>
            <w:shd w:val="clear" w:color="auto" w:fill="auto"/>
          </w:tcPr>
          <w:p w14:paraId="02FD7880" w14:textId="61780AC4" w:rsidR="0044402B" w:rsidRPr="00D30847" w:rsidRDefault="006A55CA" w:rsidP="00015266">
            <w:pPr>
              <w:spacing w:before="120" w:after="0" w:line="240" w:lineRule="auto"/>
              <w:ind w:left="317"/>
              <w:jc w:val="both"/>
              <w:rPr>
                <w:rFonts w:cs="Calibri"/>
                <w:b/>
                <w:lang w:val="en-GB"/>
              </w:rPr>
            </w:pPr>
            <w:r w:rsidRPr="00D30847">
              <w:rPr>
                <w:rFonts w:cs="Calibri"/>
                <w:b/>
                <w:lang w:val="en-GB"/>
              </w:rPr>
              <w:t>Efficient coordination and development of public investment management processes</w:t>
            </w:r>
          </w:p>
        </w:tc>
      </w:tr>
      <w:tr w:rsidR="001E4F96" w:rsidRPr="00D30847" w14:paraId="35D33EDA" w14:textId="77777777" w:rsidTr="000D68DB">
        <w:trPr>
          <w:trHeight w:val="279"/>
        </w:trPr>
        <w:tc>
          <w:tcPr>
            <w:tcW w:w="1384" w:type="dxa"/>
            <w:shd w:val="clear" w:color="auto" w:fill="auto"/>
          </w:tcPr>
          <w:p w14:paraId="31A05654" w14:textId="77777777" w:rsidR="001E4F96" w:rsidRPr="00D30847" w:rsidRDefault="001E4F96" w:rsidP="0044402B">
            <w:pPr>
              <w:spacing w:after="0" w:line="240" w:lineRule="auto"/>
              <w:jc w:val="both"/>
              <w:rPr>
                <w:rFonts w:cs="Calibri"/>
                <w:lang w:val="en-GB"/>
              </w:rPr>
            </w:pPr>
            <w:r w:rsidRPr="00D30847">
              <w:rPr>
                <w:rFonts w:cs="Calibri"/>
                <w:lang w:val="en-GB"/>
              </w:rPr>
              <w:t>Activity 1:</w:t>
            </w:r>
          </w:p>
        </w:tc>
        <w:tc>
          <w:tcPr>
            <w:tcW w:w="7546" w:type="dxa"/>
            <w:shd w:val="clear" w:color="auto" w:fill="auto"/>
          </w:tcPr>
          <w:p w14:paraId="439380DA" w14:textId="07D4A609" w:rsidR="001E4F96" w:rsidRPr="00D30847" w:rsidRDefault="006F5904" w:rsidP="0044402B">
            <w:pPr>
              <w:autoSpaceDE w:val="0"/>
              <w:autoSpaceDN w:val="0"/>
              <w:adjustRightInd w:val="0"/>
              <w:spacing w:after="0" w:line="240" w:lineRule="auto"/>
              <w:ind w:left="360"/>
              <w:jc w:val="both"/>
              <w:rPr>
                <w:lang w:val="en-GB"/>
              </w:rPr>
            </w:pPr>
            <w:r w:rsidRPr="00D30847">
              <w:rPr>
                <w:lang w:val="en-GB"/>
              </w:rPr>
              <w:t>Strengthen the supporting legal framework for PIM</w:t>
            </w:r>
          </w:p>
          <w:p w14:paraId="6F1C9028" w14:textId="38DE4F43" w:rsidR="0044402B" w:rsidRPr="00D30847" w:rsidRDefault="0044402B" w:rsidP="0044402B">
            <w:pPr>
              <w:autoSpaceDE w:val="0"/>
              <w:autoSpaceDN w:val="0"/>
              <w:adjustRightInd w:val="0"/>
              <w:spacing w:after="0" w:line="240" w:lineRule="auto"/>
              <w:ind w:left="360"/>
              <w:jc w:val="both"/>
              <w:rPr>
                <w:rFonts w:eastAsia="SimSun" w:cs="Calibri"/>
                <w:sz w:val="10"/>
                <w:szCs w:val="10"/>
                <w:lang w:val="en-GB" w:eastAsia="zh-CN"/>
              </w:rPr>
            </w:pPr>
          </w:p>
        </w:tc>
      </w:tr>
      <w:tr w:rsidR="001E4F96" w:rsidRPr="00D30847" w14:paraId="60D8A42D" w14:textId="77777777" w:rsidTr="00BA5E44">
        <w:tc>
          <w:tcPr>
            <w:tcW w:w="1384" w:type="dxa"/>
            <w:shd w:val="clear" w:color="auto" w:fill="auto"/>
          </w:tcPr>
          <w:p w14:paraId="041EEF77" w14:textId="77777777" w:rsidR="001E4F96" w:rsidRPr="00D30847" w:rsidRDefault="001E4F96" w:rsidP="0044402B">
            <w:pPr>
              <w:spacing w:after="0" w:line="240" w:lineRule="auto"/>
              <w:jc w:val="both"/>
              <w:rPr>
                <w:rFonts w:cs="Calibri"/>
                <w:lang w:val="en-GB"/>
              </w:rPr>
            </w:pPr>
            <w:r w:rsidRPr="00D30847">
              <w:rPr>
                <w:rFonts w:cs="Calibri"/>
                <w:lang w:val="en-GB"/>
              </w:rPr>
              <w:t>Activity 2:</w:t>
            </w:r>
          </w:p>
        </w:tc>
        <w:tc>
          <w:tcPr>
            <w:tcW w:w="7546" w:type="dxa"/>
            <w:shd w:val="clear" w:color="auto" w:fill="auto"/>
          </w:tcPr>
          <w:p w14:paraId="31D55989" w14:textId="03F25AAD" w:rsidR="001E4F96" w:rsidRPr="00D30847" w:rsidRDefault="006F5904" w:rsidP="0044402B">
            <w:pPr>
              <w:autoSpaceDE w:val="0"/>
              <w:autoSpaceDN w:val="0"/>
              <w:adjustRightInd w:val="0"/>
              <w:spacing w:after="0" w:line="240" w:lineRule="auto"/>
              <w:ind w:left="360"/>
              <w:jc w:val="both"/>
              <w:rPr>
                <w:rFonts w:eastAsia="SimSun" w:cs="Calibri"/>
                <w:lang w:val="en-GB" w:eastAsia="zh-CN"/>
              </w:rPr>
            </w:pPr>
            <w:r w:rsidRPr="00D30847">
              <w:rPr>
                <w:lang w:val="en-GB"/>
              </w:rPr>
              <w:t>Strengthen the institutional capacity of the MoF in the PIM system</w:t>
            </w:r>
          </w:p>
        </w:tc>
      </w:tr>
      <w:tr w:rsidR="00376718" w:rsidRPr="00D30847" w14:paraId="30519AD8" w14:textId="77777777" w:rsidTr="00BA5E44">
        <w:tc>
          <w:tcPr>
            <w:tcW w:w="1384" w:type="dxa"/>
            <w:shd w:val="clear" w:color="auto" w:fill="auto"/>
          </w:tcPr>
          <w:p w14:paraId="721F3028" w14:textId="77777777" w:rsidR="00376718" w:rsidRPr="00D30847" w:rsidRDefault="00376718" w:rsidP="0044402B">
            <w:pPr>
              <w:spacing w:before="120" w:after="0" w:line="240" w:lineRule="auto"/>
              <w:jc w:val="both"/>
              <w:rPr>
                <w:rFonts w:cs="Calibri"/>
                <w:b/>
                <w:lang w:val="en-GB"/>
              </w:rPr>
            </w:pPr>
            <w:r w:rsidRPr="00D30847">
              <w:rPr>
                <w:rFonts w:cs="Calibri"/>
                <w:b/>
                <w:lang w:val="en-GB"/>
              </w:rPr>
              <w:t>Measure 2:</w:t>
            </w:r>
          </w:p>
        </w:tc>
        <w:tc>
          <w:tcPr>
            <w:tcW w:w="7546" w:type="dxa"/>
            <w:shd w:val="clear" w:color="auto" w:fill="auto"/>
          </w:tcPr>
          <w:p w14:paraId="31875842" w14:textId="530AD41C" w:rsidR="0044402B" w:rsidRPr="00D30847" w:rsidRDefault="001E4F96" w:rsidP="00015266">
            <w:pPr>
              <w:spacing w:before="120" w:after="0" w:line="240" w:lineRule="auto"/>
              <w:ind w:left="317"/>
              <w:jc w:val="both"/>
              <w:rPr>
                <w:rFonts w:cs="Calibri"/>
                <w:b/>
                <w:lang w:val="en-GB"/>
              </w:rPr>
            </w:pPr>
            <w:r w:rsidRPr="00D30847">
              <w:rPr>
                <w:rFonts w:cs="Calibri"/>
                <w:b/>
                <w:lang w:val="en-GB"/>
              </w:rPr>
              <w:t>Established single pipeline of appraised capital public investment projects</w:t>
            </w:r>
          </w:p>
        </w:tc>
      </w:tr>
      <w:tr w:rsidR="001E4F96" w:rsidRPr="00D30847" w14:paraId="21C347B0" w14:textId="77777777" w:rsidTr="00BA5E44">
        <w:tc>
          <w:tcPr>
            <w:tcW w:w="1384" w:type="dxa"/>
            <w:shd w:val="clear" w:color="auto" w:fill="auto"/>
          </w:tcPr>
          <w:p w14:paraId="45AE1328" w14:textId="77777777" w:rsidR="001E4F96" w:rsidRPr="00D30847" w:rsidRDefault="001E4F96" w:rsidP="0044402B">
            <w:pPr>
              <w:spacing w:after="0" w:line="240" w:lineRule="auto"/>
              <w:jc w:val="both"/>
              <w:rPr>
                <w:rFonts w:cs="Calibri"/>
                <w:lang w:val="en-GB"/>
              </w:rPr>
            </w:pPr>
            <w:r w:rsidRPr="00D30847">
              <w:rPr>
                <w:lang w:val="en-GB"/>
              </w:rPr>
              <w:t>Activity 1:</w:t>
            </w:r>
          </w:p>
        </w:tc>
        <w:tc>
          <w:tcPr>
            <w:tcW w:w="7546" w:type="dxa"/>
            <w:shd w:val="clear" w:color="auto" w:fill="auto"/>
          </w:tcPr>
          <w:p w14:paraId="2EADF293" w14:textId="463F5CB7" w:rsidR="001E4F96" w:rsidRPr="00D30847" w:rsidRDefault="006F5904" w:rsidP="0044402B">
            <w:pPr>
              <w:autoSpaceDE w:val="0"/>
              <w:autoSpaceDN w:val="0"/>
              <w:adjustRightInd w:val="0"/>
              <w:spacing w:after="0" w:line="240" w:lineRule="auto"/>
              <w:ind w:left="360"/>
              <w:jc w:val="both"/>
              <w:rPr>
                <w:lang w:val="en-GB"/>
              </w:rPr>
            </w:pPr>
            <w:r w:rsidRPr="00D30847">
              <w:rPr>
                <w:lang w:val="en-GB"/>
              </w:rPr>
              <w:t>Develop general public investment project appraisal methodology</w:t>
            </w:r>
          </w:p>
          <w:p w14:paraId="4221B255" w14:textId="0CC2F7ED" w:rsidR="0044402B" w:rsidRPr="00D30847" w:rsidRDefault="0044402B" w:rsidP="0044402B">
            <w:pPr>
              <w:autoSpaceDE w:val="0"/>
              <w:autoSpaceDN w:val="0"/>
              <w:adjustRightInd w:val="0"/>
              <w:spacing w:after="0" w:line="240" w:lineRule="auto"/>
              <w:ind w:left="360"/>
              <w:jc w:val="both"/>
              <w:rPr>
                <w:rFonts w:eastAsia="SimSun" w:cs="Calibri"/>
                <w:sz w:val="10"/>
                <w:szCs w:val="10"/>
                <w:lang w:val="en-GB" w:eastAsia="zh-CN"/>
              </w:rPr>
            </w:pPr>
          </w:p>
        </w:tc>
      </w:tr>
      <w:tr w:rsidR="00376718" w:rsidRPr="00D30847" w14:paraId="33EE620D" w14:textId="77777777" w:rsidTr="00BA5E44">
        <w:tc>
          <w:tcPr>
            <w:tcW w:w="1384" w:type="dxa"/>
            <w:shd w:val="clear" w:color="auto" w:fill="auto"/>
          </w:tcPr>
          <w:p w14:paraId="5BA1F87D" w14:textId="77777777" w:rsidR="00376718" w:rsidRPr="00D30847" w:rsidRDefault="00376718" w:rsidP="0044402B">
            <w:pPr>
              <w:spacing w:after="0" w:line="240" w:lineRule="auto"/>
              <w:jc w:val="both"/>
              <w:rPr>
                <w:rFonts w:cs="Calibri"/>
                <w:lang w:val="en-GB"/>
              </w:rPr>
            </w:pPr>
            <w:r w:rsidRPr="00D30847">
              <w:rPr>
                <w:rFonts w:cs="Calibri"/>
                <w:lang w:val="en-GB"/>
              </w:rPr>
              <w:t>Activity 2:</w:t>
            </w:r>
          </w:p>
        </w:tc>
        <w:tc>
          <w:tcPr>
            <w:tcW w:w="7546" w:type="dxa"/>
            <w:shd w:val="clear" w:color="auto" w:fill="auto"/>
          </w:tcPr>
          <w:p w14:paraId="432B894B" w14:textId="77777777" w:rsidR="00376718" w:rsidRPr="00D30847" w:rsidRDefault="006F5904" w:rsidP="0044402B">
            <w:pPr>
              <w:autoSpaceDE w:val="0"/>
              <w:autoSpaceDN w:val="0"/>
              <w:adjustRightInd w:val="0"/>
              <w:spacing w:after="0" w:line="240" w:lineRule="auto"/>
              <w:ind w:left="360"/>
              <w:jc w:val="both"/>
              <w:rPr>
                <w:rFonts w:eastAsia="SimSun" w:cs="Calibri"/>
                <w:lang w:val="en-GB" w:eastAsia="zh-CN"/>
              </w:rPr>
            </w:pPr>
            <w:r w:rsidRPr="00D30847">
              <w:rPr>
                <w:rFonts w:eastAsia="SimSun" w:cs="Calibri"/>
                <w:lang w:val="en-GB" w:eastAsia="zh-CN"/>
              </w:rPr>
              <w:t>Establish standard criteria for project selection/prioritization</w:t>
            </w:r>
          </w:p>
          <w:p w14:paraId="6FC6AD2C" w14:textId="623FC313" w:rsidR="0044402B" w:rsidRPr="00D30847" w:rsidRDefault="0044402B" w:rsidP="0044402B">
            <w:pPr>
              <w:autoSpaceDE w:val="0"/>
              <w:autoSpaceDN w:val="0"/>
              <w:adjustRightInd w:val="0"/>
              <w:spacing w:after="0" w:line="240" w:lineRule="auto"/>
              <w:ind w:left="360"/>
              <w:jc w:val="both"/>
              <w:rPr>
                <w:rFonts w:eastAsia="SimSun" w:cs="Calibri"/>
                <w:sz w:val="10"/>
                <w:szCs w:val="10"/>
                <w:lang w:val="en-GB" w:eastAsia="zh-CN"/>
              </w:rPr>
            </w:pPr>
          </w:p>
        </w:tc>
      </w:tr>
      <w:tr w:rsidR="00376718" w:rsidRPr="00D30847" w14:paraId="00E21279" w14:textId="77777777" w:rsidTr="00BA5E44">
        <w:tc>
          <w:tcPr>
            <w:tcW w:w="1384" w:type="dxa"/>
            <w:shd w:val="clear" w:color="auto" w:fill="auto"/>
          </w:tcPr>
          <w:p w14:paraId="5B346A4F" w14:textId="77777777" w:rsidR="00376718" w:rsidRPr="00D30847" w:rsidRDefault="00376718" w:rsidP="0044402B">
            <w:pPr>
              <w:spacing w:after="0" w:line="240" w:lineRule="auto"/>
              <w:jc w:val="both"/>
              <w:rPr>
                <w:rFonts w:cs="Calibri"/>
                <w:lang w:val="en-GB"/>
              </w:rPr>
            </w:pPr>
            <w:r w:rsidRPr="00D30847">
              <w:rPr>
                <w:rFonts w:cs="Calibri"/>
                <w:lang w:val="en-GB"/>
              </w:rPr>
              <w:t>Activity 3:</w:t>
            </w:r>
          </w:p>
        </w:tc>
        <w:tc>
          <w:tcPr>
            <w:tcW w:w="7546" w:type="dxa"/>
            <w:shd w:val="clear" w:color="auto" w:fill="auto"/>
          </w:tcPr>
          <w:p w14:paraId="1CD07DB6" w14:textId="77777777" w:rsidR="00376718" w:rsidRPr="00D30847" w:rsidRDefault="001E4F96" w:rsidP="0044402B">
            <w:pPr>
              <w:autoSpaceDE w:val="0"/>
              <w:autoSpaceDN w:val="0"/>
              <w:adjustRightInd w:val="0"/>
              <w:spacing w:after="0" w:line="240" w:lineRule="auto"/>
              <w:ind w:left="360"/>
              <w:jc w:val="both"/>
              <w:rPr>
                <w:rFonts w:eastAsia="SimSun" w:cs="Calibri"/>
                <w:lang w:val="en-GB" w:eastAsia="zh-CN"/>
              </w:rPr>
            </w:pPr>
            <w:r w:rsidRPr="00D30847">
              <w:rPr>
                <w:rFonts w:eastAsia="SimSun" w:cs="Calibri"/>
                <w:lang w:val="en-GB" w:eastAsia="zh-CN"/>
              </w:rPr>
              <w:t xml:space="preserve">Provide training to MoF professionals on project appraisal and review of </w:t>
            </w:r>
            <w:proofErr w:type="spellStart"/>
            <w:r w:rsidRPr="00D30847">
              <w:rPr>
                <w:rFonts w:eastAsia="SimSun" w:cs="Calibri"/>
                <w:lang w:val="en-GB" w:eastAsia="zh-CN"/>
              </w:rPr>
              <w:t>preinvestment</w:t>
            </w:r>
            <w:proofErr w:type="spellEnd"/>
            <w:r w:rsidRPr="00D30847">
              <w:rPr>
                <w:rFonts w:eastAsia="SimSun" w:cs="Calibri"/>
                <w:lang w:val="en-GB" w:eastAsia="zh-CN"/>
              </w:rPr>
              <w:t xml:space="preserve"> studies</w:t>
            </w:r>
          </w:p>
          <w:p w14:paraId="04DF2D86" w14:textId="783ED078" w:rsidR="0044402B" w:rsidRPr="00D30847" w:rsidRDefault="0044402B" w:rsidP="0044402B">
            <w:pPr>
              <w:autoSpaceDE w:val="0"/>
              <w:autoSpaceDN w:val="0"/>
              <w:adjustRightInd w:val="0"/>
              <w:spacing w:after="0" w:line="240" w:lineRule="auto"/>
              <w:ind w:left="360"/>
              <w:jc w:val="both"/>
              <w:rPr>
                <w:rFonts w:eastAsia="SimSun" w:cs="Calibri"/>
                <w:sz w:val="10"/>
                <w:szCs w:val="10"/>
                <w:lang w:val="en-GB" w:eastAsia="zh-CN"/>
              </w:rPr>
            </w:pPr>
          </w:p>
        </w:tc>
      </w:tr>
      <w:tr w:rsidR="00376718" w:rsidRPr="00D30847" w14:paraId="3209C541" w14:textId="77777777" w:rsidTr="00BA5E44">
        <w:tc>
          <w:tcPr>
            <w:tcW w:w="1384" w:type="dxa"/>
            <w:shd w:val="clear" w:color="auto" w:fill="auto"/>
          </w:tcPr>
          <w:p w14:paraId="7BEB668C" w14:textId="77777777" w:rsidR="00376718" w:rsidRPr="00D30847" w:rsidRDefault="00376718" w:rsidP="0044402B">
            <w:pPr>
              <w:spacing w:after="0" w:line="240" w:lineRule="auto"/>
              <w:jc w:val="both"/>
              <w:rPr>
                <w:rFonts w:cs="Calibri"/>
                <w:lang w:val="en-GB"/>
              </w:rPr>
            </w:pPr>
            <w:r w:rsidRPr="00D30847">
              <w:rPr>
                <w:rFonts w:cs="Calibri"/>
                <w:lang w:val="en-GB"/>
              </w:rPr>
              <w:t>Activity 4:</w:t>
            </w:r>
          </w:p>
        </w:tc>
        <w:tc>
          <w:tcPr>
            <w:tcW w:w="7546" w:type="dxa"/>
            <w:shd w:val="clear" w:color="auto" w:fill="auto"/>
          </w:tcPr>
          <w:p w14:paraId="10CA0AB7" w14:textId="31722618" w:rsidR="00376718" w:rsidRPr="00D30847" w:rsidRDefault="001E4F96" w:rsidP="0044402B">
            <w:pPr>
              <w:autoSpaceDE w:val="0"/>
              <w:autoSpaceDN w:val="0"/>
              <w:adjustRightInd w:val="0"/>
              <w:spacing w:after="0" w:line="240" w:lineRule="auto"/>
              <w:ind w:left="360"/>
              <w:jc w:val="both"/>
              <w:rPr>
                <w:rFonts w:eastAsia="SimSun" w:cs="Calibri"/>
                <w:lang w:val="en-GB" w:eastAsia="zh-CN"/>
              </w:rPr>
            </w:pPr>
            <w:r w:rsidRPr="00D30847">
              <w:rPr>
                <w:rFonts w:eastAsia="SimSun" w:cs="Calibri"/>
                <w:lang w:val="en-GB" w:eastAsia="zh-CN"/>
              </w:rPr>
              <w:t>Provide training to budget users/</w:t>
            </w:r>
            <w:proofErr w:type="spellStart"/>
            <w:r w:rsidRPr="00D30847">
              <w:rPr>
                <w:rFonts w:eastAsia="SimSun" w:cs="Calibri"/>
                <w:lang w:val="en-GB" w:eastAsia="zh-CN"/>
              </w:rPr>
              <w:t>SoEs</w:t>
            </w:r>
            <w:proofErr w:type="spellEnd"/>
            <w:r w:rsidRPr="00D30847">
              <w:rPr>
                <w:rFonts w:eastAsia="SimSun" w:cs="Calibri"/>
                <w:lang w:val="en-GB" w:eastAsia="zh-CN"/>
              </w:rPr>
              <w:t>/LSGUs professionals on project formulation</w:t>
            </w:r>
            <w:r w:rsidR="001A101A" w:rsidRPr="00D30847">
              <w:rPr>
                <w:rFonts w:eastAsia="SimSun" w:cs="Calibri"/>
                <w:lang w:val="en-GB" w:eastAsia="zh-CN"/>
              </w:rPr>
              <w:t>,</w:t>
            </w:r>
            <w:r w:rsidRPr="00D30847">
              <w:rPr>
                <w:rFonts w:eastAsia="SimSun" w:cs="Calibri"/>
                <w:lang w:val="en-GB" w:eastAsia="zh-CN"/>
              </w:rPr>
              <w:t xml:space="preserve"> appraisal and selection</w:t>
            </w:r>
          </w:p>
        </w:tc>
      </w:tr>
      <w:tr w:rsidR="00376718" w:rsidRPr="00D30847" w14:paraId="59F2364E" w14:textId="77777777" w:rsidTr="00BA5E44">
        <w:tc>
          <w:tcPr>
            <w:tcW w:w="1384" w:type="dxa"/>
            <w:shd w:val="clear" w:color="auto" w:fill="auto"/>
          </w:tcPr>
          <w:p w14:paraId="3BE11FFC" w14:textId="77777777" w:rsidR="00376718" w:rsidRPr="00D30847" w:rsidRDefault="00376718" w:rsidP="0044402B">
            <w:pPr>
              <w:spacing w:before="240" w:after="0" w:line="240" w:lineRule="auto"/>
              <w:jc w:val="both"/>
              <w:rPr>
                <w:rFonts w:cs="Calibri"/>
                <w:lang w:val="en-GB"/>
              </w:rPr>
            </w:pPr>
            <w:r w:rsidRPr="00D30847">
              <w:rPr>
                <w:rFonts w:cs="Calibri"/>
                <w:b/>
                <w:lang w:val="en-GB"/>
              </w:rPr>
              <w:t>Measure 3:</w:t>
            </w:r>
          </w:p>
        </w:tc>
        <w:tc>
          <w:tcPr>
            <w:tcW w:w="7546" w:type="dxa"/>
            <w:shd w:val="clear" w:color="auto" w:fill="auto"/>
          </w:tcPr>
          <w:p w14:paraId="4694EA6D" w14:textId="0826C972" w:rsidR="0044402B" w:rsidRPr="00D30847" w:rsidRDefault="00376718" w:rsidP="00015266">
            <w:pPr>
              <w:spacing w:before="240" w:after="0" w:line="240" w:lineRule="auto"/>
              <w:ind w:left="317"/>
              <w:jc w:val="both"/>
              <w:rPr>
                <w:rFonts w:cs="Calibri"/>
                <w:b/>
                <w:lang w:val="en-GB"/>
              </w:rPr>
            </w:pPr>
            <w:r w:rsidRPr="00D30847">
              <w:rPr>
                <w:rFonts w:cs="Calibri"/>
                <w:b/>
                <w:lang w:val="en-GB"/>
              </w:rPr>
              <w:t>Efficient and effective monitoring of capital investments</w:t>
            </w:r>
          </w:p>
        </w:tc>
      </w:tr>
      <w:tr w:rsidR="00376718" w:rsidRPr="00D30847" w14:paraId="24380FF8" w14:textId="77777777" w:rsidTr="00BA5E44">
        <w:tc>
          <w:tcPr>
            <w:tcW w:w="1384" w:type="dxa"/>
            <w:shd w:val="clear" w:color="auto" w:fill="auto"/>
          </w:tcPr>
          <w:p w14:paraId="3C1A3EF4" w14:textId="77777777" w:rsidR="00376718" w:rsidRPr="00D30847" w:rsidRDefault="00376718" w:rsidP="0044402B">
            <w:pPr>
              <w:spacing w:after="0" w:line="240" w:lineRule="auto"/>
              <w:jc w:val="both"/>
              <w:rPr>
                <w:rFonts w:cs="Calibri"/>
                <w:lang w:val="en-GB"/>
              </w:rPr>
            </w:pPr>
            <w:r w:rsidRPr="00D30847">
              <w:rPr>
                <w:rFonts w:cs="Calibri"/>
                <w:lang w:val="en-GB"/>
              </w:rPr>
              <w:t>Activity 1:</w:t>
            </w:r>
          </w:p>
        </w:tc>
        <w:tc>
          <w:tcPr>
            <w:tcW w:w="7546" w:type="dxa"/>
            <w:shd w:val="clear" w:color="auto" w:fill="auto"/>
          </w:tcPr>
          <w:p w14:paraId="3383AB14" w14:textId="77777777" w:rsidR="00376718" w:rsidRPr="00D30847" w:rsidRDefault="00BE0692" w:rsidP="0044402B">
            <w:pPr>
              <w:autoSpaceDE w:val="0"/>
              <w:autoSpaceDN w:val="0"/>
              <w:adjustRightInd w:val="0"/>
              <w:spacing w:after="0" w:line="240" w:lineRule="auto"/>
              <w:ind w:left="360"/>
              <w:jc w:val="both"/>
              <w:rPr>
                <w:rFonts w:eastAsia="SimSun" w:cs="Calibri"/>
                <w:lang w:val="en-GB" w:eastAsia="zh-CN"/>
              </w:rPr>
            </w:pPr>
            <w:r w:rsidRPr="00D30847">
              <w:rPr>
                <w:rFonts w:eastAsia="SimSun" w:cs="Calibri"/>
                <w:lang w:val="en-GB" w:eastAsia="zh-CN"/>
              </w:rPr>
              <w:t>Introduce procedures for risk-based centralized monitoring</w:t>
            </w:r>
          </w:p>
          <w:p w14:paraId="55EDF0B4" w14:textId="1ED6DA5C" w:rsidR="0044402B" w:rsidRPr="00D30847" w:rsidRDefault="0044402B" w:rsidP="0044402B">
            <w:pPr>
              <w:autoSpaceDE w:val="0"/>
              <w:autoSpaceDN w:val="0"/>
              <w:adjustRightInd w:val="0"/>
              <w:spacing w:after="0" w:line="240" w:lineRule="auto"/>
              <w:ind w:left="360"/>
              <w:jc w:val="both"/>
              <w:rPr>
                <w:rFonts w:eastAsia="SimSun" w:cs="Calibri"/>
                <w:sz w:val="10"/>
                <w:szCs w:val="10"/>
                <w:lang w:val="en-GB" w:eastAsia="zh-CN"/>
              </w:rPr>
            </w:pPr>
          </w:p>
        </w:tc>
      </w:tr>
      <w:tr w:rsidR="00376718" w:rsidRPr="00D30847" w14:paraId="6C19A638" w14:textId="77777777" w:rsidTr="00BA5E44">
        <w:tc>
          <w:tcPr>
            <w:tcW w:w="1384" w:type="dxa"/>
            <w:shd w:val="clear" w:color="auto" w:fill="auto"/>
          </w:tcPr>
          <w:p w14:paraId="15C96A1F" w14:textId="77777777" w:rsidR="00376718" w:rsidRPr="00D30847" w:rsidRDefault="00376718" w:rsidP="0044402B">
            <w:pPr>
              <w:spacing w:after="0" w:line="240" w:lineRule="auto"/>
              <w:jc w:val="both"/>
              <w:rPr>
                <w:rFonts w:cs="Calibri"/>
                <w:lang w:val="en-GB"/>
              </w:rPr>
            </w:pPr>
            <w:r w:rsidRPr="00D30847">
              <w:rPr>
                <w:rFonts w:cs="Calibri"/>
                <w:lang w:val="en-GB"/>
              </w:rPr>
              <w:t>Activity 2:</w:t>
            </w:r>
          </w:p>
        </w:tc>
        <w:tc>
          <w:tcPr>
            <w:tcW w:w="7546" w:type="dxa"/>
            <w:shd w:val="clear" w:color="auto" w:fill="auto"/>
          </w:tcPr>
          <w:p w14:paraId="03EB950A" w14:textId="77777777" w:rsidR="00376718" w:rsidRPr="00D30847" w:rsidRDefault="00BE0692" w:rsidP="0044402B">
            <w:pPr>
              <w:spacing w:after="0" w:line="240" w:lineRule="auto"/>
              <w:ind w:left="360"/>
              <w:jc w:val="both"/>
              <w:rPr>
                <w:rFonts w:eastAsia="SimSun" w:cs="Calibri"/>
                <w:lang w:val="en-GB" w:eastAsia="zh-CN"/>
              </w:rPr>
            </w:pPr>
            <w:r w:rsidRPr="00D30847">
              <w:rPr>
                <w:rFonts w:eastAsia="SimSun" w:cs="Calibri"/>
                <w:lang w:val="en-GB" w:eastAsia="zh-CN"/>
              </w:rPr>
              <w:t>Introduce a formal requirement for ex-post review of completed projects</w:t>
            </w:r>
          </w:p>
          <w:p w14:paraId="6AF8F69C" w14:textId="5D46E5D2" w:rsidR="0044402B" w:rsidRPr="00D30847" w:rsidRDefault="0044402B" w:rsidP="0044402B">
            <w:pPr>
              <w:spacing w:after="0" w:line="240" w:lineRule="auto"/>
              <w:ind w:left="360"/>
              <w:jc w:val="both"/>
              <w:rPr>
                <w:rFonts w:eastAsia="SimSun" w:cs="Calibri"/>
                <w:sz w:val="10"/>
                <w:szCs w:val="10"/>
                <w:lang w:val="en-GB" w:eastAsia="zh-CN"/>
              </w:rPr>
            </w:pPr>
          </w:p>
        </w:tc>
      </w:tr>
      <w:tr w:rsidR="00376718" w:rsidRPr="00D30847" w14:paraId="01E996EC" w14:textId="77777777" w:rsidTr="00BA5E44">
        <w:tc>
          <w:tcPr>
            <w:tcW w:w="1384" w:type="dxa"/>
            <w:shd w:val="clear" w:color="auto" w:fill="auto"/>
          </w:tcPr>
          <w:p w14:paraId="2F0AB3BF" w14:textId="77777777" w:rsidR="00376718" w:rsidRPr="00D30847" w:rsidRDefault="00376718" w:rsidP="0044402B">
            <w:pPr>
              <w:spacing w:after="0" w:line="240" w:lineRule="auto"/>
              <w:jc w:val="both"/>
              <w:rPr>
                <w:rFonts w:cs="Calibri"/>
                <w:lang w:val="en-GB"/>
              </w:rPr>
            </w:pPr>
            <w:r w:rsidRPr="00D30847">
              <w:rPr>
                <w:rFonts w:cs="Calibri"/>
                <w:lang w:val="en-GB"/>
              </w:rPr>
              <w:t>Activity 3:</w:t>
            </w:r>
          </w:p>
        </w:tc>
        <w:tc>
          <w:tcPr>
            <w:tcW w:w="7546" w:type="dxa"/>
            <w:shd w:val="clear" w:color="auto" w:fill="auto"/>
          </w:tcPr>
          <w:p w14:paraId="489E7489" w14:textId="77777777" w:rsidR="00376718" w:rsidRPr="00D30847" w:rsidRDefault="00BE0692" w:rsidP="0044402B">
            <w:pPr>
              <w:spacing w:after="0" w:line="240" w:lineRule="auto"/>
              <w:ind w:left="360"/>
              <w:jc w:val="both"/>
              <w:rPr>
                <w:rFonts w:eastAsia="SimSun" w:cs="Calibri"/>
                <w:lang w:val="en-GB" w:eastAsia="zh-CN"/>
              </w:rPr>
            </w:pPr>
            <w:r w:rsidRPr="00D30847">
              <w:rPr>
                <w:rFonts w:eastAsia="SimSun" w:cs="Calibri"/>
                <w:lang w:val="en-GB" w:eastAsia="zh-CN"/>
              </w:rPr>
              <w:t>Develop a short-term IT solution for PIM</w:t>
            </w:r>
          </w:p>
        </w:tc>
      </w:tr>
    </w:tbl>
    <w:p w14:paraId="794F8577" w14:textId="77777777" w:rsidR="00376718" w:rsidRPr="00D30847" w:rsidRDefault="00376718"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Outcome</w:t>
      </w:r>
    </w:p>
    <w:p w14:paraId="7AC02D1A" w14:textId="47BD6CDE" w:rsidR="00376718" w:rsidRPr="00D30847" w:rsidRDefault="00376718" w:rsidP="00E84CD0">
      <w:pPr>
        <w:spacing w:after="160" w:line="240" w:lineRule="auto"/>
        <w:jc w:val="both"/>
        <w:rPr>
          <w:rFonts w:cs="Calibri"/>
          <w:lang w:val="en-GB"/>
        </w:rPr>
      </w:pPr>
      <w:r w:rsidRPr="00D30847">
        <w:rPr>
          <w:rFonts w:cs="Calibri"/>
          <w:lang w:val="en-GB"/>
        </w:rPr>
        <w:t>Efficient and effective planning, selection and implementation of major public investment projects.</w:t>
      </w:r>
    </w:p>
    <w:p w14:paraId="398F2D91" w14:textId="77777777" w:rsidR="00376718" w:rsidRPr="00D30847" w:rsidRDefault="00376718" w:rsidP="00A73DBE">
      <w:pPr>
        <w:spacing w:line="240" w:lineRule="auto"/>
        <w:jc w:val="both"/>
        <w:rPr>
          <w:rFonts w:cs="Calibri"/>
          <w:b/>
          <w:i/>
          <w:color w:val="4472C4"/>
          <w:lang w:val="en-GB"/>
        </w:rPr>
      </w:pPr>
      <w:r w:rsidRPr="00D30847">
        <w:rPr>
          <w:rFonts w:cs="Calibri"/>
          <w:b/>
          <w:i/>
          <w:color w:val="4472C4"/>
          <w:lang w:val="en-GB"/>
        </w:rPr>
        <w:t>Outcome indicator</w:t>
      </w:r>
    </w:p>
    <w:p w14:paraId="44D3D58A" w14:textId="77777777" w:rsidR="00376718" w:rsidRPr="00D30847" w:rsidRDefault="00376718" w:rsidP="00E84CD0">
      <w:pPr>
        <w:spacing w:after="100" w:afterAutospacing="1" w:line="240" w:lineRule="auto"/>
        <w:jc w:val="both"/>
        <w:rPr>
          <w:rFonts w:cs="Calibri"/>
          <w:spacing w:val="-1"/>
          <w:lang w:val="en-GB"/>
        </w:rPr>
      </w:pPr>
      <w:r w:rsidRPr="00D30847">
        <w:rPr>
          <w:rFonts w:cs="Calibri"/>
          <w:bCs/>
          <w:lang w:val="en-GB"/>
        </w:rPr>
        <w:t>PEFA score for indicator PI - 11. Public Investment Management (dimensions 11.1. Economic analysis of investment projects, 11.2. Investment project selection, 11.3. Investment project costing, 11.4. Investment project monitoring</w:t>
      </w:r>
      <w:r w:rsidRPr="00D30847">
        <w:rPr>
          <w:rFonts w:cs="Calibri"/>
          <w:spacing w:val="-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00"/>
      </w:tblGrid>
      <w:tr w:rsidR="007541EA" w:rsidRPr="00D30847" w14:paraId="1447BE4C" w14:textId="77777777" w:rsidTr="002B77A4">
        <w:trPr>
          <w:trHeight w:val="395"/>
        </w:trPr>
        <w:tc>
          <w:tcPr>
            <w:tcW w:w="4608" w:type="dxa"/>
            <w:shd w:val="clear" w:color="auto" w:fill="E8E8E8"/>
          </w:tcPr>
          <w:p w14:paraId="0DB3DC03" w14:textId="77777777" w:rsidR="007541EA" w:rsidRPr="00D30847" w:rsidRDefault="007541EA" w:rsidP="002B77A4">
            <w:pPr>
              <w:spacing w:line="240" w:lineRule="auto"/>
              <w:jc w:val="both"/>
              <w:rPr>
                <w:rFonts w:eastAsia="Times New Roman" w:cs="Calibri"/>
                <w:b/>
                <w:bCs/>
                <w:i/>
                <w:iCs/>
                <w:color w:val="202124"/>
                <w:lang w:val="en-GB"/>
              </w:rPr>
            </w:pPr>
            <w:r w:rsidRPr="00D30847">
              <w:rPr>
                <w:rFonts w:eastAsia="Times New Roman" w:cs="Calibri"/>
                <w:b/>
                <w:bCs/>
                <w:i/>
                <w:iCs/>
                <w:color w:val="202124"/>
                <w:lang w:val="en-GB"/>
              </w:rPr>
              <w:t>Baseline 2022</w:t>
            </w:r>
          </w:p>
        </w:tc>
        <w:tc>
          <w:tcPr>
            <w:tcW w:w="4608" w:type="dxa"/>
            <w:shd w:val="clear" w:color="auto" w:fill="E8E8E8"/>
          </w:tcPr>
          <w:p w14:paraId="480C2081" w14:textId="16CFF1A7" w:rsidR="007541EA" w:rsidRPr="00D30847" w:rsidRDefault="007541EA" w:rsidP="002B77A4">
            <w:pPr>
              <w:spacing w:line="240" w:lineRule="auto"/>
              <w:jc w:val="both"/>
              <w:rPr>
                <w:rFonts w:eastAsia="Times New Roman" w:cs="Calibri"/>
                <w:b/>
                <w:bCs/>
                <w:i/>
                <w:iCs/>
                <w:color w:val="202124"/>
                <w:lang w:val="en-GB"/>
              </w:rPr>
            </w:pPr>
            <w:r w:rsidRPr="00D30847">
              <w:rPr>
                <w:rFonts w:eastAsia="Times New Roman" w:cs="Calibri"/>
                <w:b/>
                <w:bCs/>
                <w:i/>
                <w:iCs/>
                <w:color w:val="202124"/>
                <w:lang w:val="en-GB"/>
              </w:rPr>
              <w:t>Target 202</w:t>
            </w:r>
            <w:r w:rsidR="000C0866" w:rsidRPr="00D30847">
              <w:rPr>
                <w:rFonts w:eastAsia="Times New Roman" w:cs="Calibri"/>
                <w:b/>
                <w:bCs/>
                <w:i/>
                <w:iCs/>
                <w:color w:val="202124"/>
                <w:lang w:val="en-GB"/>
              </w:rPr>
              <w:t>8</w:t>
            </w:r>
          </w:p>
        </w:tc>
      </w:tr>
      <w:tr w:rsidR="007541EA" w:rsidRPr="00D30847" w14:paraId="0D4AC1CB" w14:textId="77777777" w:rsidTr="002B77A4">
        <w:trPr>
          <w:trHeight w:val="278"/>
        </w:trPr>
        <w:tc>
          <w:tcPr>
            <w:tcW w:w="4608" w:type="dxa"/>
            <w:shd w:val="clear" w:color="auto" w:fill="E8E8E8"/>
          </w:tcPr>
          <w:p w14:paraId="1F5C1D63" w14:textId="77777777" w:rsidR="00083A12" w:rsidRPr="00D30847" w:rsidRDefault="00083A12" w:rsidP="002B77A4">
            <w:pPr>
              <w:spacing w:after="0" w:line="240" w:lineRule="auto"/>
              <w:ind w:firstLine="720"/>
              <w:jc w:val="both"/>
              <w:rPr>
                <w:rFonts w:eastAsia="Times New Roman" w:cs="Calibri"/>
                <w:color w:val="202124"/>
                <w:lang w:val="en-GB"/>
              </w:rPr>
            </w:pPr>
            <w:r w:rsidRPr="00D30847">
              <w:rPr>
                <w:rFonts w:eastAsia="Times New Roman" w:cs="Calibri"/>
                <w:color w:val="202124"/>
                <w:lang w:val="en-GB"/>
              </w:rPr>
              <w:t>PEFA Score D+</w:t>
            </w:r>
          </w:p>
          <w:p w14:paraId="2BE02626" w14:textId="77777777" w:rsidR="00083A12" w:rsidRPr="00D30847" w:rsidRDefault="00083A12" w:rsidP="002B77A4">
            <w:pPr>
              <w:spacing w:after="0" w:line="240" w:lineRule="auto"/>
              <w:ind w:firstLine="720"/>
              <w:jc w:val="both"/>
              <w:rPr>
                <w:rFonts w:eastAsia="Times New Roman" w:cs="Calibri"/>
                <w:color w:val="202124"/>
                <w:lang w:val="en-GB"/>
              </w:rPr>
            </w:pPr>
            <w:r w:rsidRPr="00D30847">
              <w:rPr>
                <w:rFonts w:eastAsia="Times New Roman" w:cs="Calibri"/>
                <w:color w:val="202124"/>
                <w:lang w:val="en-GB"/>
              </w:rPr>
              <w:t>C</w:t>
            </w:r>
          </w:p>
          <w:p w14:paraId="512448B6" w14:textId="77777777" w:rsidR="00083A12" w:rsidRPr="00D30847" w:rsidRDefault="00083A12" w:rsidP="002B77A4">
            <w:pPr>
              <w:spacing w:after="0" w:line="240" w:lineRule="auto"/>
              <w:ind w:firstLine="720"/>
              <w:jc w:val="both"/>
              <w:rPr>
                <w:rFonts w:eastAsia="Times New Roman" w:cs="Calibri"/>
                <w:color w:val="202124"/>
                <w:lang w:val="en-GB"/>
              </w:rPr>
            </w:pPr>
            <w:r w:rsidRPr="00D30847">
              <w:rPr>
                <w:rFonts w:eastAsia="Times New Roman" w:cs="Calibri"/>
                <w:color w:val="202124"/>
                <w:lang w:val="en-GB"/>
              </w:rPr>
              <w:t>D</w:t>
            </w:r>
          </w:p>
          <w:p w14:paraId="78063DD6" w14:textId="77777777" w:rsidR="00083A12" w:rsidRPr="00D30847" w:rsidRDefault="00083A12" w:rsidP="002B77A4">
            <w:pPr>
              <w:spacing w:after="0" w:line="240" w:lineRule="auto"/>
              <w:ind w:firstLine="720"/>
              <w:jc w:val="both"/>
              <w:rPr>
                <w:rFonts w:eastAsia="Times New Roman" w:cs="Calibri"/>
                <w:color w:val="202124"/>
                <w:lang w:val="en-GB"/>
              </w:rPr>
            </w:pPr>
            <w:r w:rsidRPr="00D30847">
              <w:rPr>
                <w:rFonts w:eastAsia="Times New Roman" w:cs="Calibri"/>
                <w:color w:val="202124"/>
                <w:lang w:val="en-GB"/>
              </w:rPr>
              <w:t>C</w:t>
            </w:r>
          </w:p>
          <w:p w14:paraId="227F4523" w14:textId="77777777" w:rsidR="007541EA" w:rsidRPr="00D30847" w:rsidRDefault="00083A12" w:rsidP="002B77A4">
            <w:pPr>
              <w:spacing w:after="0" w:line="240" w:lineRule="auto"/>
              <w:ind w:firstLine="720"/>
              <w:jc w:val="both"/>
              <w:rPr>
                <w:rFonts w:eastAsia="Times New Roman" w:cs="Calibri"/>
                <w:color w:val="202124"/>
                <w:lang w:val="en-GB"/>
              </w:rPr>
            </w:pPr>
            <w:r w:rsidRPr="00D30847">
              <w:rPr>
                <w:rFonts w:eastAsia="Times New Roman" w:cs="Calibri"/>
                <w:color w:val="202124"/>
                <w:lang w:val="en-GB"/>
              </w:rPr>
              <w:t>C</w:t>
            </w:r>
          </w:p>
        </w:tc>
        <w:tc>
          <w:tcPr>
            <w:tcW w:w="4608" w:type="dxa"/>
            <w:shd w:val="clear" w:color="auto" w:fill="E8E8E8"/>
          </w:tcPr>
          <w:p w14:paraId="078C1614" w14:textId="77777777" w:rsidR="00083A12" w:rsidRPr="00D30847" w:rsidRDefault="00083A12" w:rsidP="002B77A4">
            <w:pPr>
              <w:spacing w:after="0" w:line="240" w:lineRule="auto"/>
              <w:jc w:val="both"/>
              <w:rPr>
                <w:rFonts w:eastAsia="Times New Roman" w:cs="Calibri"/>
                <w:color w:val="202124"/>
                <w:lang w:val="en-GB"/>
              </w:rPr>
            </w:pPr>
            <w:r w:rsidRPr="00D30847">
              <w:rPr>
                <w:rFonts w:eastAsia="Times New Roman" w:cs="Calibri"/>
                <w:color w:val="202124"/>
                <w:lang w:val="en-GB"/>
              </w:rPr>
              <w:t>PEFA Score: &gt;C</w:t>
            </w:r>
          </w:p>
          <w:p w14:paraId="24379FE2" w14:textId="77777777" w:rsidR="00083A12" w:rsidRPr="00D30847" w:rsidRDefault="00083A12" w:rsidP="002B77A4">
            <w:pPr>
              <w:spacing w:after="0" w:line="240" w:lineRule="auto"/>
              <w:jc w:val="both"/>
              <w:rPr>
                <w:rFonts w:eastAsia="Times New Roman" w:cs="Calibri"/>
                <w:color w:val="202124"/>
                <w:lang w:val="en-GB"/>
              </w:rPr>
            </w:pPr>
            <w:r w:rsidRPr="00D30847">
              <w:rPr>
                <w:rFonts w:eastAsia="Times New Roman" w:cs="Calibri"/>
                <w:color w:val="202124"/>
                <w:lang w:val="en-GB"/>
              </w:rPr>
              <w:t>&gt;C</w:t>
            </w:r>
          </w:p>
          <w:p w14:paraId="04FD77CC" w14:textId="77777777" w:rsidR="00083A12" w:rsidRPr="00D30847" w:rsidRDefault="00083A12" w:rsidP="002B77A4">
            <w:pPr>
              <w:spacing w:after="0" w:line="240" w:lineRule="auto"/>
              <w:jc w:val="both"/>
              <w:rPr>
                <w:rFonts w:eastAsia="Times New Roman" w:cs="Calibri"/>
                <w:color w:val="202124"/>
                <w:lang w:val="en-GB"/>
              </w:rPr>
            </w:pPr>
            <w:r w:rsidRPr="00D30847">
              <w:rPr>
                <w:rFonts w:eastAsia="Times New Roman" w:cs="Calibri"/>
                <w:color w:val="202124"/>
                <w:lang w:val="en-GB"/>
              </w:rPr>
              <w:t>&gt;C</w:t>
            </w:r>
          </w:p>
          <w:p w14:paraId="0AE986A8" w14:textId="77777777" w:rsidR="00083A12" w:rsidRPr="00D30847" w:rsidRDefault="00083A12" w:rsidP="002B77A4">
            <w:pPr>
              <w:spacing w:after="0" w:line="240" w:lineRule="auto"/>
              <w:jc w:val="both"/>
              <w:rPr>
                <w:rFonts w:eastAsia="Times New Roman" w:cs="Calibri"/>
                <w:color w:val="202124"/>
                <w:lang w:val="en-GB"/>
              </w:rPr>
            </w:pPr>
            <w:r w:rsidRPr="00D30847">
              <w:rPr>
                <w:rFonts w:eastAsia="Times New Roman" w:cs="Calibri"/>
                <w:color w:val="202124"/>
                <w:lang w:val="en-GB"/>
              </w:rPr>
              <w:t>&gt;C</w:t>
            </w:r>
          </w:p>
          <w:p w14:paraId="3BDFA1B0" w14:textId="77777777" w:rsidR="007541EA" w:rsidRPr="00D30847" w:rsidRDefault="00083A12" w:rsidP="002B77A4">
            <w:pPr>
              <w:spacing w:after="0" w:line="240" w:lineRule="auto"/>
              <w:jc w:val="both"/>
              <w:rPr>
                <w:rFonts w:eastAsia="Times New Roman" w:cs="Calibri"/>
                <w:color w:val="202124"/>
                <w:lang w:val="en-GB"/>
              </w:rPr>
            </w:pPr>
            <w:r w:rsidRPr="00D30847">
              <w:rPr>
                <w:rFonts w:eastAsia="Times New Roman" w:cs="Calibri"/>
                <w:color w:val="202124"/>
                <w:lang w:val="en-GB"/>
              </w:rPr>
              <w:t>&gt;C</w:t>
            </w:r>
          </w:p>
        </w:tc>
      </w:tr>
    </w:tbl>
    <w:p w14:paraId="07F94EF5" w14:textId="77777777" w:rsidR="007541EA" w:rsidRPr="00D30847" w:rsidRDefault="007541EA" w:rsidP="00E84CD0">
      <w:pPr>
        <w:spacing w:line="240" w:lineRule="auto"/>
        <w:jc w:val="both"/>
        <w:rPr>
          <w:rFonts w:cs="Calibri"/>
          <w:b/>
          <w:color w:val="0070C0"/>
          <w:sz w:val="24"/>
          <w:szCs w:val="24"/>
          <w:lang w:val="en-GB" w:eastAsia="zh-CN"/>
        </w:rPr>
      </w:pPr>
    </w:p>
    <w:p w14:paraId="63687163" w14:textId="5541DDD0" w:rsidR="007407E6" w:rsidRPr="00D30847" w:rsidRDefault="007407E6" w:rsidP="00E84CD0">
      <w:pPr>
        <w:spacing w:line="240" w:lineRule="auto"/>
        <w:jc w:val="both"/>
        <w:rPr>
          <w:rFonts w:cs="Calibri"/>
          <w:b/>
          <w:color w:val="0070C0"/>
          <w:sz w:val="24"/>
          <w:szCs w:val="24"/>
          <w:lang w:val="en-GB" w:eastAsia="zh-CN"/>
        </w:rPr>
      </w:pPr>
    </w:p>
    <w:p w14:paraId="5AE761E2" w14:textId="79A2F576" w:rsidR="00015266" w:rsidRPr="00D30847" w:rsidRDefault="00015266" w:rsidP="00E84CD0">
      <w:pPr>
        <w:spacing w:line="240" w:lineRule="auto"/>
        <w:jc w:val="both"/>
        <w:rPr>
          <w:rFonts w:cs="Calibri"/>
          <w:b/>
          <w:color w:val="0070C0"/>
          <w:sz w:val="24"/>
          <w:szCs w:val="24"/>
          <w:lang w:val="en-GB" w:eastAsia="zh-CN"/>
        </w:rPr>
      </w:pPr>
    </w:p>
    <w:p w14:paraId="7BAFB250" w14:textId="77777777" w:rsidR="00015266" w:rsidRPr="00D30847" w:rsidRDefault="00015266" w:rsidP="00E84CD0">
      <w:pPr>
        <w:spacing w:line="240" w:lineRule="auto"/>
        <w:jc w:val="both"/>
        <w:rPr>
          <w:rFonts w:cs="Calibri"/>
          <w:b/>
          <w:color w:val="0070C0"/>
          <w:sz w:val="24"/>
          <w:szCs w:val="24"/>
          <w:lang w:val="en-GB" w:eastAsia="zh-CN"/>
        </w:rPr>
      </w:pPr>
    </w:p>
    <w:p w14:paraId="5645534B" w14:textId="53A45BF4" w:rsidR="00376718" w:rsidRPr="00D30847" w:rsidRDefault="00376718" w:rsidP="00E84CD0">
      <w:pPr>
        <w:spacing w:line="240" w:lineRule="auto"/>
        <w:jc w:val="both"/>
        <w:rPr>
          <w:rFonts w:cs="Calibri"/>
          <w:b/>
          <w:color w:val="0070C0"/>
          <w:sz w:val="24"/>
          <w:szCs w:val="24"/>
          <w:lang w:val="en-GB" w:eastAsia="zh-CN"/>
        </w:rPr>
      </w:pPr>
      <w:r w:rsidRPr="00D30847">
        <w:rPr>
          <w:rFonts w:cs="Calibri"/>
          <w:b/>
          <w:color w:val="0070C0"/>
          <w:sz w:val="24"/>
          <w:szCs w:val="24"/>
          <w:lang w:val="en-GB" w:eastAsia="zh-CN"/>
        </w:rPr>
        <w:lastRenderedPageBreak/>
        <w:t>Measure 1:</w:t>
      </w:r>
      <w:r w:rsidR="0044402B" w:rsidRPr="00D30847">
        <w:rPr>
          <w:rFonts w:cs="Calibri"/>
          <w:b/>
          <w:color w:val="0070C0"/>
          <w:sz w:val="24"/>
          <w:szCs w:val="24"/>
          <w:lang w:val="en-GB" w:eastAsia="zh-CN"/>
        </w:rPr>
        <w:t xml:space="preserve"> </w:t>
      </w:r>
      <w:r w:rsidR="00FC425B" w:rsidRPr="00D30847">
        <w:rPr>
          <w:rFonts w:cs="Calibri"/>
          <w:b/>
          <w:color w:val="0070C0"/>
          <w:sz w:val="24"/>
          <w:szCs w:val="24"/>
          <w:lang w:val="en-GB" w:eastAsia="zh-CN"/>
        </w:rPr>
        <w:t>Efficient coordination and development of public investment management processes</w:t>
      </w:r>
    </w:p>
    <w:p w14:paraId="3C994368" w14:textId="77777777" w:rsidR="00376718" w:rsidRPr="00D30847" w:rsidRDefault="00376718"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1A69DCDD" w14:textId="23BB8CC7" w:rsidR="00376718" w:rsidRPr="00D30847" w:rsidRDefault="00FC425B" w:rsidP="00E84CD0">
      <w:pPr>
        <w:spacing w:before="80" w:after="80" w:line="240" w:lineRule="auto"/>
        <w:jc w:val="both"/>
        <w:rPr>
          <w:rFonts w:eastAsia="MS PGothic" w:cs="Calibri"/>
          <w:lang w:val="en-GB" w:eastAsia="zh-CN"/>
        </w:rPr>
      </w:pPr>
      <w:r w:rsidRPr="00D30847">
        <w:rPr>
          <w:rFonts w:eastAsia="MS PGothic" w:cs="Calibri"/>
          <w:lang w:val="en-GB" w:eastAsia="zh-CN"/>
        </w:rPr>
        <w:t>Established structured and comprehensive approach to decision making for public investment projects</w:t>
      </w:r>
    </w:p>
    <w:p w14:paraId="6A4AC21B" w14:textId="77777777" w:rsidR="00376718" w:rsidRPr="00D30847" w:rsidRDefault="00376718"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 xml:space="preserve">Reference to the external assessments findings: </w:t>
      </w:r>
    </w:p>
    <w:tbl>
      <w:tblPr>
        <w:tblW w:w="85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851"/>
        <w:gridCol w:w="7700"/>
      </w:tblGrid>
      <w:tr w:rsidR="00376718" w:rsidRPr="00D30847" w14:paraId="5C037B4C" w14:textId="77777777" w:rsidTr="00BA5E44">
        <w:tc>
          <w:tcPr>
            <w:tcW w:w="851" w:type="dxa"/>
            <w:shd w:val="clear" w:color="auto" w:fill="DDDDDD"/>
          </w:tcPr>
          <w:p w14:paraId="51056C03" w14:textId="38D2C353" w:rsidR="00376718" w:rsidRPr="00D30847" w:rsidRDefault="00376718" w:rsidP="00E84CD0">
            <w:pPr>
              <w:spacing w:before="80" w:after="0" w:line="240" w:lineRule="auto"/>
              <w:jc w:val="both"/>
              <w:rPr>
                <w:rFonts w:cs="Calibri"/>
                <w:b/>
                <w:sz w:val="20"/>
                <w:szCs w:val="20"/>
                <w:lang w:val="en-GB"/>
              </w:rPr>
            </w:pPr>
            <w:r w:rsidRPr="00D30847">
              <w:rPr>
                <w:rFonts w:cs="Calibri"/>
                <w:b/>
                <w:sz w:val="20"/>
                <w:szCs w:val="20"/>
                <w:lang w:val="en-GB"/>
              </w:rPr>
              <w:t>PEFA</w:t>
            </w:r>
          </w:p>
        </w:tc>
        <w:tc>
          <w:tcPr>
            <w:tcW w:w="7700" w:type="dxa"/>
            <w:shd w:val="clear" w:color="auto" w:fill="DDDDDD"/>
          </w:tcPr>
          <w:p w14:paraId="580D7FA3" w14:textId="77777777" w:rsidR="00376718" w:rsidRPr="00D30847" w:rsidRDefault="00376718" w:rsidP="00E84CD0">
            <w:pPr>
              <w:spacing w:after="0" w:line="240" w:lineRule="auto"/>
              <w:jc w:val="both"/>
              <w:rPr>
                <w:rFonts w:cs="Calibri"/>
                <w:sz w:val="20"/>
                <w:szCs w:val="20"/>
                <w:lang w:val="en-GB"/>
              </w:rPr>
            </w:pPr>
            <w:r w:rsidRPr="00D30847">
              <w:rPr>
                <w:rFonts w:cs="Calibri"/>
                <w:sz w:val="20"/>
                <w:szCs w:val="20"/>
                <w:lang w:val="en-GB"/>
              </w:rPr>
              <w:t xml:space="preserve">PI -11/ Dimension 11.2: </w:t>
            </w:r>
          </w:p>
          <w:p w14:paraId="18E6742C" w14:textId="77777777" w:rsidR="00376718" w:rsidRPr="00D30847" w:rsidRDefault="00376718" w:rsidP="00E84CD0">
            <w:pPr>
              <w:spacing w:after="160" w:line="240" w:lineRule="auto"/>
              <w:jc w:val="both"/>
              <w:rPr>
                <w:rFonts w:cs="Calibri"/>
                <w:sz w:val="20"/>
                <w:szCs w:val="20"/>
                <w:lang w:val="en-GB"/>
              </w:rPr>
            </w:pPr>
            <w:r w:rsidRPr="00D30847">
              <w:rPr>
                <w:rFonts w:cs="Calibri"/>
                <w:sz w:val="20"/>
                <w:szCs w:val="20"/>
                <w:lang w:val="en-GB"/>
              </w:rPr>
              <w:t>There are three important shortcomings of the planning system for the purpose of this dimension. First, many priorities in the Government 4-year Working Program were not subjected to technical analysis to promote efficiency and productivity. Second, since the Government 4-year Working Program is not detailed at the project level, there is substantial room for interpretation when selecting projects on the basis of the Working Program.  Third, the General Secretariat does not assess the technical qualities, feasibility, and costing of a proposed project as part of its review.</w:t>
            </w:r>
          </w:p>
        </w:tc>
      </w:tr>
      <w:tr w:rsidR="00376718" w:rsidRPr="00D30847" w14:paraId="6A4A7602" w14:textId="77777777" w:rsidTr="00BA5E44">
        <w:tc>
          <w:tcPr>
            <w:tcW w:w="851" w:type="dxa"/>
            <w:shd w:val="clear" w:color="auto" w:fill="DDDDDD"/>
          </w:tcPr>
          <w:p w14:paraId="0C9DFF1C" w14:textId="77777777" w:rsidR="00376718" w:rsidRPr="00D30847" w:rsidDel="00DF4558" w:rsidRDefault="00376718" w:rsidP="00E84CD0">
            <w:pPr>
              <w:spacing w:before="80" w:after="0" w:line="240" w:lineRule="auto"/>
              <w:jc w:val="both"/>
              <w:rPr>
                <w:rFonts w:cs="Calibri"/>
                <w:sz w:val="20"/>
                <w:szCs w:val="20"/>
                <w:lang w:val="en-GB"/>
              </w:rPr>
            </w:pPr>
          </w:p>
        </w:tc>
        <w:tc>
          <w:tcPr>
            <w:tcW w:w="7700" w:type="dxa"/>
            <w:shd w:val="clear" w:color="auto" w:fill="DDDDDD"/>
          </w:tcPr>
          <w:p w14:paraId="24508940" w14:textId="77777777" w:rsidR="00376718" w:rsidRPr="00D30847" w:rsidRDefault="00376718" w:rsidP="00E84CD0">
            <w:pPr>
              <w:spacing w:after="0" w:line="240" w:lineRule="auto"/>
              <w:jc w:val="both"/>
              <w:rPr>
                <w:rFonts w:cs="Calibri"/>
                <w:sz w:val="20"/>
                <w:szCs w:val="20"/>
                <w:lang w:val="en-GB"/>
              </w:rPr>
            </w:pPr>
            <w:r w:rsidRPr="00D30847">
              <w:rPr>
                <w:rFonts w:cs="Calibri"/>
                <w:sz w:val="20"/>
                <w:szCs w:val="20"/>
                <w:lang w:val="en-GB"/>
              </w:rPr>
              <w:t xml:space="preserve">PI -11/ Dimension 11.3: </w:t>
            </w:r>
          </w:p>
          <w:p w14:paraId="40AE18F1" w14:textId="77777777" w:rsidR="00376718" w:rsidRPr="00D30847" w:rsidRDefault="00376718" w:rsidP="00E84CD0">
            <w:pPr>
              <w:spacing w:after="0" w:line="240" w:lineRule="auto"/>
              <w:jc w:val="both"/>
              <w:rPr>
                <w:rFonts w:cs="Calibri"/>
                <w:sz w:val="20"/>
                <w:szCs w:val="20"/>
                <w:lang w:val="en-GB"/>
              </w:rPr>
            </w:pPr>
            <w:r w:rsidRPr="00D30847">
              <w:rPr>
                <w:rFonts w:cs="Calibri"/>
                <w:sz w:val="20"/>
                <w:szCs w:val="20"/>
                <w:lang w:val="en-GB"/>
              </w:rPr>
              <w:t>In North Macedonia, the budget shows the capital cost of a project, broken down by each year covered by the medium-term, along with a remainder if the project is implemented over more than three years. It is generally understood that construction costs are included in capital costs, but there is ambiguity on other related costs.</w:t>
            </w:r>
          </w:p>
          <w:p w14:paraId="71FFB455" w14:textId="77777777" w:rsidR="00376718" w:rsidRPr="00D30847" w:rsidRDefault="00376718" w:rsidP="00E84CD0">
            <w:pPr>
              <w:spacing w:after="0" w:line="240" w:lineRule="auto"/>
              <w:jc w:val="both"/>
              <w:rPr>
                <w:rFonts w:cs="Calibri"/>
                <w:sz w:val="20"/>
                <w:szCs w:val="20"/>
                <w:lang w:val="en-GB"/>
              </w:rPr>
            </w:pPr>
            <w:r w:rsidRPr="00D30847">
              <w:rPr>
                <w:rFonts w:cs="Calibri"/>
                <w:sz w:val="20"/>
                <w:szCs w:val="20"/>
                <w:lang w:val="en-GB"/>
              </w:rPr>
              <w:t>For externally funded projects, costing methods are established by the funding entity; for domestically funded projects, costing methods are established by each BU independently.</w:t>
            </w:r>
          </w:p>
          <w:p w14:paraId="79B61876" w14:textId="77777777" w:rsidR="00376718" w:rsidRPr="00D30847" w:rsidRDefault="00376718" w:rsidP="00E84CD0">
            <w:pPr>
              <w:spacing w:after="0" w:line="240" w:lineRule="auto"/>
              <w:jc w:val="both"/>
              <w:rPr>
                <w:rFonts w:cs="Calibri"/>
                <w:sz w:val="20"/>
                <w:szCs w:val="20"/>
                <w:lang w:val="en-GB"/>
              </w:rPr>
            </w:pPr>
            <w:r w:rsidRPr="00D30847">
              <w:rPr>
                <w:rFonts w:cs="Calibri"/>
                <w:sz w:val="20"/>
                <w:szCs w:val="20"/>
                <w:lang w:val="en-GB"/>
              </w:rPr>
              <w:t xml:space="preserve">Recurrent costs associated with major projects are sometimes identified in project documents but not in the budget. </w:t>
            </w:r>
          </w:p>
          <w:p w14:paraId="59D5632C" w14:textId="77777777" w:rsidR="00376718" w:rsidRPr="00D30847" w:rsidDel="00DF4558" w:rsidRDefault="00376718" w:rsidP="00E84CD0">
            <w:pPr>
              <w:spacing w:after="0" w:line="240" w:lineRule="auto"/>
              <w:jc w:val="both"/>
              <w:rPr>
                <w:rFonts w:cs="Calibri"/>
                <w:sz w:val="20"/>
                <w:szCs w:val="20"/>
                <w:lang w:val="en-GB"/>
              </w:rPr>
            </w:pPr>
            <w:r w:rsidRPr="00D30847">
              <w:rPr>
                <w:rFonts w:cs="Calibri"/>
                <w:sz w:val="20"/>
                <w:szCs w:val="20"/>
                <w:lang w:val="en-GB"/>
              </w:rPr>
              <w:t>Since capital costs of a major project are included in each year of the medium-term budget, but recurrent costs of the project are not included in budget documents, the score for this dimension is C.</w:t>
            </w:r>
          </w:p>
        </w:tc>
      </w:tr>
      <w:tr w:rsidR="00376718" w:rsidRPr="00D30847" w14:paraId="3A25D009" w14:textId="77777777" w:rsidTr="00BA5E44">
        <w:tc>
          <w:tcPr>
            <w:tcW w:w="851" w:type="dxa"/>
            <w:shd w:val="clear" w:color="auto" w:fill="DDDDDD"/>
          </w:tcPr>
          <w:p w14:paraId="459E2190" w14:textId="089C1143" w:rsidR="00376718" w:rsidRPr="00D30847" w:rsidRDefault="00376718" w:rsidP="00E84CD0">
            <w:pPr>
              <w:spacing w:before="80" w:after="0" w:line="240" w:lineRule="auto"/>
              <w:jc w:val="both"/>
              <w:rPr>
                <w:rFonts w:cs="Calibri"/>
                <w:b/>
                <w:sz w:val="20"/>
                <w:szCs w:val="20"/>
                <w:lang w:val="en-GB"/>
              </w:rPr>
            </w:pPr>
            <w:r w:rsidRPr="00D30847">
              <w:rPr>
                <w:rFonts w:cs="Calibri"/>
                <w:b/>
                <w:sz w:val="20"/>
                <w:szCs w:val="20"/>
                <w:lang w:val="en-GB"/>
              </w:rPr>
              <w:t>PIMA</w:t>
            </w:r>
          </w:p>
        </w:tc>
        <w:tc>
          <w:tcPr>
            <w:tcW w:w="7700" w:type="dxa"/>
            <w:shd w:val="clear" w:color="auto" w:fill="DDDDDD"/>
          </w:tcPr>
          <w:p w14:paraId="5E7A6E4C" w14:textId="3F29FBF5" w:rsidR="00376718" w:rsidRPr="00D30847" w:rsidRDefault="00376718" w:rsidP="00E84CD0">
            <w:pPr>
              <w:spacing w:after="160" w:line="240" w:lineRule="auto"/>
              <w:jc w:val="both"/>
              <w:rPr>
                <w:rFonts w:cs="Calibri"/>
                <w:sz w:val="20"/>
                <w:szCs w:val="20"/>
                <w:lang w:val="en-GB"/>
              </w:rPr>
            </w:pPr>
            <w:r w:rsidRPr="00D30847">
              <w:rPr>
                <w:rFonts w:cs="Calibri"/>
                <w:sz w:val="20"/>
                <w:szCs w:val="20"/>
                <w:lang w:val="en-GB"/>
              </w:rPr>
              <w:t>Fragmentation affects all stages of the PIM cycle.</w:t>
            </w:r>
            <w:r w:rsidR="00F50612" w:rsidRPr="00D30847">
              <w:rPr>
                <w:rFonts w:cs="Calibri"/>
                <w:sz w:val="20"/>
                <w:szCs w:val="20"/>
                <w:lang w:val="en-GB"/>
              </w:rPr>
              <w:t xml:space="preserve"> </w:t>
            </w:r>
            <w:r w:rsidRPr="00D30847">
              <w:rPr>
                <w:rFonts w:cs="Calibri"/>
                <w:sz w:val="20"/>
                <w:szCs w:val="20"/>
                <w:lang w:val="en-GB"/>
              </w:rPr>
              <w:t>At the planning stage, strategic planning does not clearly identify public investment priorities at a consolidated national level and does not provide a solid base for the budget process. A multiplicity of documents (e.g., sectoral strategies, government work plan) point to infrastructure development needs in key economic and social sectors with varying levels of detail and time horizons. Yet, there is no consolidated national investment strategy or plan, including costing of major infrastructure projects, regardless of levels of government or financing sources. There is currently no department, unit or team in North Macedonia responsible for coordinating or managing and fostering development of PIM processes.</w:t>
            </w:r>
          </w:p>
          <w:p w14:paraId="19E64369" w14:textId="77777777" w:rsidR="00376718" w:rsidRPr="00D30847" w:rsidRDefault="00376718" w:rsidP="00E84CD0">
            <w:pPr>
              <w:autoSpaceDE w:val="0"/>
              <w:autoSpaceDN w:val="0"/>
              <w:adjustRightInd w:val="0"/>
              <w:spacing w:after="0" w:line="240" w:lineRule="auto"/>
              <w:jc w:val="both"/>
              <w:rPr>
                <w:rFonts w:cs="Calibri"/>
                <w:sz w:val="20"/>
                <w:szCs w:val="20"/>
                <w:lang w:val="en-GB"/>
              </w:rPr>
            </w:pPr>
            <w:r w:rsidRPr="00D30847">
              <w:rPr>
                <w:rFonts w:cs="Calibri"/>
                <w:sz w:val="20"/>
                <w:szCs w:val="20"/>
                <w:lang w:val="en-GB"/>
              </w:rPr>
              <w:t>At the MoF the roles and responsibilities regarding public investment do not cover all required functions for efficient capital investment management.</w:t>
            </w:r>
          </w:p>
          <w:p w14:paraId="31B4D8E7" w14:textId="77777777" w:rsidR="00376718" w:rsidRPr="00D30847" w:rsidRDefault="00376718" w:rsidP="00E84CD0">
            <w:pPr>
              <w:autoSpaceDE w:val="0"/>
              <w:autoSpaceDN w:val="0"/>
              <w:adjustRightInd w:val="0"/>
              <w:spacing w:after="0" w:line="240" w:lineRule="auto"/>
              <w:jc w:val="both"/>
              <w:rPr>
                <w:rFonts w:cs="Calibri"/>
                <w:sz w:val="20"/>
                <w:szCs w:val="20"/>
                <w:lang w:val="en-GB"/>
              </w:rPr>
            </w:pPr>
          </w:p>
          <w:p w14:paraId="01F1F3E2" w14:textId="77777777" w:rsidR="00376718" w:rsidRPr="00D30847" w:rsidRDefault="00376718" w:rsidP="00E84CD0">
            <w:pPr>
              <w:autoSpaceDE w:val="0"/>
              <w:autoSpaceDN w:val="0"/>
              <w:adjustRightInd w:val="0"/>
              <w:spacing w:after="0" w:line="240" w:lineRule="auto"/>
              <w:jc w:val="both"/>
              <w:rPr>
                <w:rFonts w:cs="Calibri"/>
                <w:sz w:val="20"/>
                <w:szCs w:val="20"/>
                <w:lang w:val="en-GB"/>
              </w:rPr>
            </w:pPr>
          </w:p>
        </w:tc>
      </w:tr>
    </w:tbl>
    <w:p w14:paraId="57AAC62F" w14:textId="77777777" w:rsidR="00376718" w:rsidRPr="00D30847" w:rsidRDefault="00376718" w:rsidP="009C1F26">
      <w:pPr>
        <w:keepNext/>
        <w:keepLines/>
        <w:spacing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Context / Background</w:t>
      </w:r>
    </w:p>
    <w:p w14:paraId="4D81CC8B" w14:textId="30D8A3D8" w:rsidR="003E70C1" w:rsidRPr="00D30847" w:rsidRDefault="00BE0692" w:rsidP="009C1F26">
      <w:pPr>
        <w:spacing w:after="80" w:line="240" w:lineRule="auto"/>
        <w:jc w:val="both"/>
        <w:rPr>
          <w:rFonts w:cs="Calibri"/>
          <w:iCs/>
          <w:color w:val="000000"/>
          <w:lang w:val="en-GB"/>
        </w:rPr>
      </w:pPr>
      <w:r w:rsidRPr="00D30847">
        <w:rPr>
          <w:rFonts w:cs="Calibri"/>
          <w:iCs/>
          <w:color w:val="000000"/>
          <w:lang w:val="en-GB"/>
        </w:rPr>
        <w:t xml:space="preserve">Based on recommendations provided in the PIMA Report (2020), </w:t>
      </w:r>
      <w:r w:rsidR="000C0866" w:rsidRPr="00D30847">
        <w:rPr>
          <w:rFonts w:cs="Calibri"/>
          <w:iCs/>
          <w:color w:val="000000"/>
          <w:lang w:val="en-GB"/>
        </w:rPr>
        <w:t xml:space="preserve">and PIM Action Plan, </w:t>
      </w:r>
      <w:r w:rsidRPr="00D30847">
        <w:rPr>
          <w:rFonts w:cs="Calibri"/>
          <w:iCs/>
          <w:color w:val="000000"/>
          <w:lang w:val="en-GB"/>
        </w:rPr>
        <w:t>the Government</w:t>
      </w:r>
      <w:r w:rsidR="000C0866" w:rsidRPr="00D30847">
        <w:rPr>
          <w:rFonts w:cs="Calibri"/>
          <w:iCs/>
          <w:color w:val="000000"/>
          <w:lang w:val="en-GB"/>
        </w:rPr>
        <w:t xml:space="preserve"> undertakes measures</w:t>
      </w:r>
      <w:r w:rsidRPr="00D30847">
        <w:rPr>
          <w:rFonts w:cs="Calibri"/>
          <w:iCs/>
          <w:color w:val="000000"/>
          <w:lang w:val="en-GB"/>
        </w:rPr>
        <w:t xml:space="preserve"> to overcome the weaknesses detected and to improve the efficiency of allocation of public resources for infrastructure projects and the management of their implementation. </w:t>
      </w:r>
      <w:r w:rsidR="000C0866" w:rsidRPr="00D30847">
        <w:rPr>
          <w:rFonts w:cs="Calibri"/>
          <w:iCs/>
          <w:color w:val="000000"/>
          <w:lang w:val="en-GB"/>
        </w:rPr>
        <w:t xml:space="preserve">These </w:t>
      </w:r>
      <w:r w:rsidRPr="00D30847">
        <w:rPr>
          <w:rFonts w:cs="Calibri"/>
          <w:iCs/>
          <w:color w:val="000000"/>
          <w:lang w:val="en-GB"/>
        </w:rPr>
        <w:t xml:space="preserve">measures </w:t>
      </w:r>
      <w:r w:rsidR="000C0866" w:rsidRPr="00D30847">
        <w:rPr>
          <w:rFonts w:cs="Calibri"/>
          <w:iCs/>
          <w:color w:val="000000"/>
          <w:lang w:val="en-GB"/>
        </w:rPr>
        <w:t>are aimed at</w:t>
      </w:r>
      <w:r w:rsidRPr="00D30847">
        <w:rPr>
          <w:rFonts w:cs="Calibri"/>
          <w:iCs/>
          <w:color w:val="000000"/>
          <w:lang w:val="en-GB"/>
        </w:rPr>
        <w:t xml:space="preserve"> strengthening the public investment management framework, by integrating public investment management processes so that infrastructure projects are selected on the basis of their own merit as projects, rather than by the way they are procured or financed. </w:t>
      </w:r>
    </w:p>
    <w:p w14:paraId="0790D7AD" w14:textId="7733728F" w:rsidR="00BE0692" w:rsidRPr="00D30847" w:rsidRDefault="00BE0692" w:rsidP="009C1F26">
      <w:pPr>
        <w:spacing w:after="80" w:line="240" w:lineRule="auto"/>
        <w:jc w:val="both"/>
        <w:rPr>
          <w:rFonts w:cs="Calibri"/>
          <w:iCs/>
          <w:color w:val="000000"/>
          <w:lang w:val="en-GB"/>
        </w:rPr>
      </w:pPr>
      <w:r w:rsidRPr="00D30847">
        <w:rPr>
          <w:rFonts w:cs="Calibri"/>
          <w:iCs/>
          <w:color w:val="000000"/>
          <w:lang w:val="en-GB"/>
        </w:rPr>
        <w:t xml:space="preserve">MoF established a working group for implementation of the PIM Action Plan, with representatives of various institutions (ministries, Public Enterprises, JSC, regulatory bodies, etc.), coordinated by the </w:t>
      </w:r>
      <w:r w:rsidR="00D30847">
        <w:rPr>
          <w:rFonts w:cs="Calibri"/>
          <w:iCs/>
          <w:color w:val="000000"/>
          <w:lang w:val="en-GB"/>
        </w:rPr>
        <w:t>MoF</w:t>
      </w:r>
      <w:r w:rsidRPr="00D30847">
        <w:rPr>
          <w:rFonts w:cs="Calibri"/>
          <w:iCs/>
          <w:color w:val="000000"/>
          <w:lang w:val="en-GB"/>
        </w:rPr>
        <w:t>.</w:t>
      </w:r>
    </w:p>
    <w:p w14:paraId="5AAEBFE5" w14:textId="68F3FEE3" w:rsidR="00BE0692" w:rsidRPr="00D30847" w:rsidRDefault="00BE0692" w:rsidP="009C1F26">
      <w:pPr>
        <w:spacing w:after="80" w:line="240" w:lineRule="auto"/>
        <w:jc w:val="both"/>
        <w:rPr>
          <w:rFonts w:cs="Calibri"/>
          <w:iCs/>
          <w:color w:val="000000"/>
          <w:lang w:val="en-GB"/>
        </w:rPr>
      </w:pPr>
      <w:r w:rsidRPr="00D30847">
        <w:rPr>
          <w:rFonts w:cs="Calibri"/>
          <w:iCs/>
          <w:color w:val="000000"/>
          <w:lang w:val="en-GB"/>
        </w:rPr>
        <w:t>Efforts to improve PIM are integrated with the new Organic Budget Law and the PPP legal and regulatory framework, which support the role of MoF as gatekeeper of public finances throughout the public investment cycle. The new OBL</w:t>
      </w:r>
      <w:r w:rsidR="00F50612" w:rsidRPr="00D30847">
        <w:rPr>
          <w:rFonts w:cs="Calibri"/>
          <w:iCs/>
          <w:color w:val="000000"/>
          <w:lang w:val="en-GB"/>
        </w:rPr>
        <w:t xml:space="preserve"> adopted in September 2022, by </w:t>
      </w:r>
      <w:r w:rsidRPr="00D30847">
        <w:rPr>
          <w:rFonts w:cs="Calibri"/>
          <w:iCs/>
          <w:color w:val="000000"/>
          <w:lang w:val="en-GB"/>
        </w:rPr>
        <w:t xml:space="preserve">the Parliament, provides better </w:t>
      </w:r>
      <w:r w:rsidRPr="00D30847">
        <w:rPr>
          <w:rFonts w:cs="Calibri"/>
          <w:iCs/>
          <w:color w:val="000000"/>
          <w:lang w:val="en-GB"/>
        </w:rPr>
        <w:lastRenderedPageBreak/>
        <w:t>support to PIM by including specific articles on strategic planning (Article 13), fiscal strategy with a horizon of 5 years (Articles 17 and 18), medium-term priorities and procedure for selection of new projects (Article 20) and project and multiyear part of the Budget (Article 25), among others. Similarly, the development of the new Integrated Finan</w:t>
      </w:r>
      <w:r w:rsidR="00F50612" w:rsidRPr="00D30847">
        <w:rPr>
          <w:rFonts w:cs="Calibri"/>
          <w:iCs/>
          <w:color w:val="000000"/>
          <w:lang w:val="en-GB"/>
        </w:rPr>
        <w:t xml:space="preserve">cial Management System (IFMIS) </w:t>
      </w:r>
      <w:r w:rsidRPr="00D30847">
        <w:rPr>
          <w:rFonts w:cs="Calibri"/>
          <w:iCs/>
          <w:color w:val="000000"/>
          <w:lang w:val="en-GB"/>
        </w:rPr>
        <w:t>considers PIM information requirements.</w:t>
      </w:r>
    </w:p>
    <w:p w14:paraId="7D0488EF" w14:textId="77777777" w:rsidR="00BE0692" w:rsidRPr="00D30847" w:rsidRDefault="00BE0692" w:rsidP="009C1F26">
      <w:pPr>
        <w:spacing w:line="240" w:lineRule="auto"/>
        <w:jc w:val="both"/>
        <w:rPr>
          <w:rFonts w:cs="Calibri"/>
          <w:iCs/>
          <w:color w:val="000000"/>
          <w:lang w:val="en-GB"/>
        </w:rPr>
      </w:pPr>
      <w:r w:rsidRPr="00D30847">
        <w:rPr>
          <w:rFonts w:cs="Calibri"/>
          <w:iCs/>
          <w:color w:val="000000"/>
          <w:lang w:val="en-GB"/>
        </w:rPr>
        <w:t>In order to perform the functions related to the management of public investments, the Ministry of Finance has established a new Public Investments Management (PIM) Department with the new acts for the organization and systematization of jobs adopted at the end of December 2022.</w:t>
      </w:r>
    </w:p>
    <w:p w14:paraId="32062360" w14:textId="48FD7DC7" w:rsidR="00BE0692" w:rsidRPr="00D30847" w:rsidRDefault="00BE0692" w:rsidP="009C1F26">
      <w:pPr>
        <w:spacing w:line="240" w:lineRule="auto"/>
        <w:jc w:val="both"/>
        <w:rPr>
          <w:rFonts w:cs="Calibri"/>
          <w:iCs/>
          <w:color w:val="000000"/>
          <w:lang w:val="en-GB"/>
        </w:rPr>
      </w:pPr>
      <w:r w:rsidRPr="00D30847">
        <w:rPr>
          <w:rFonts w:cs="Calibri"/>
          <w:iCs/>
          <w:color w:val="000000"/>
          <w:lang w:val="en-GB"/>
        </w:rPr>
        <w:t xml:space="preserve">The role of the PIM Department in the Ministry of Finance is to perform duties </w:t>
      </w:r>
      <w:r w:rsidR="000C0866" w:rsidRPr="00D30847">
        <w:rPr>
          <w:rFonts w:cs="Calibri"/>
          <w:iCs/>
          <w:color w:val="000000"/>
          <w:lang w:val="en-GB"/>
        </w:rPr>
        <w:t xml:space="preserve">related to independent review of the pre-investment studies for </w:t>
      </w:r>
      <w:r w:rsidRPr="00D30847">
        <w:rPr>
          <w:rFonts w:cs="Calibri"/>
          <w:iCs/>
          <w:color w:val="000000"/>
          <w:lang w:val="en-GB"/>
        </w:rPr>
        <w:t>public infrastructure project</w:t>
      </w:r>
      <w:r w:rsidR="000C0866" w:rsidRPr="00D30847">
        <w:rPr>
          <w:rFonts w:cs="Calibri"/>
          <w:iCs/>
          <w:color w:val="000000"/>
          <w:lang w:val="en-GB"/>
        </w:rPr>
        <w:t>s (medium/large size projects)</w:t>
      </w:r>
      <w:r w:rsidRPr="00D30847">
        <w:rPr>
          <w:rFonts w:cs="Calibri"/>
          <w:iCs/>
          <w:color w:val="000000"/>
          <w:lang w:val="en-GB"/>
        </w:rPr>
        <w:t xml:space="preserve">, primarily from the point of view of the fiscal impact, the risks and sustainability, giving opinions and recommendations on the projects, preparing summary list of proposed and appraised new public infrastructure projects, consolidating the list of prioritised public infrastructure projects, , </w:t>
      </w:r>
      <w:r w:rsidR="000C0866" w:rsidRPr="00D30847">
        <w:rPr>
          <w:rFonts w:cs="Calibri"/>
          <w:iCs/>
          <w:color w:val="000000"/>
          <w:lang w:val="en-GB"/>
        </w:rPr>
        <w:t>central risk based centralized oversight of public investment portfolio</w:t>
      </w:r>
      <w:r w:rsidR="007569D5" w:rsidRPr="00D30847">
        <w:rPr>
          <w:rFonts w:cs="Calibri"/>
          <w:iCs/>
          <w:color w:val="000000"/>
          <w:lang w:val="en-GB"/>
        </w:rPr>
        <w:t xml:space="preserve">, </w:t>
      </w:r>
      <w:r w:rsidRPr="00D30847">
        <w:rPr>
          <w:rFonts w:cs="Calibri"/>
          <w:iCs/>
          <w:color w:val="000000"/>
          <w:lang w:val="en-GB"/>
        </w:rPr>
        <w:t xml:space="preserve">as well as developing and updating methodologies for project appraisal and review of </w:t>
      </w:r>
      <w:proofErr w:type="spellStart"/>
      <w:r w:rsidRPr="00D30847">
        <w:rPr>
          <w:rFonts w:cs="Calibri"/>
          <w:iCs/>
          <w:color w:val="000000"/>
          <w:lang w:val="en-GB"/>
        </w:rPr>
        <w:t>preinvestment</w:t>
      </w:r>
      <w:proofErr w:type="spellEnd"/>
      <w:r w:rsidRPr="00D30847">
        <w:rPr>
          <w:rFonts w:cs="Calibri"/>
          <w:iCs/>
          <w:color w:val="000000"/>
          <w:lang w:val="en-GB"/>
        </w:rPr>
        <w:t xml:space="preserve"> studies.</w:t>
      </w:r>
    </w:p>
    <w:p w14:paraId="3087D8BE" w14:textId="77777777" w:rsidR="00BE0692" w:rsidRPr="00D30847" w:rsidRDefault="00BE0692" w:rsidP="009C1F26">
      <w:pPr>
        <w:spacing w:line="240" w:lineRule="auto"/>
        <w:jc w:val="both"/>
        <w:rPr>
          <w:rFonts w:cs="Calibri"/>
          <w:iCs/>
          <w:color w:val="000000"/>
          <w:lang w:val="en-GB"/>
        </w:rPr>
      </w:pPr>
      <w:r w:rsidRPr="00D30847">
        <w:rPr>
          <w:rFonts w:cs="Calibri"/>
          <w:iCs/>
          <w:color w:val="000000"/>
          <w:lang w:val="en-GB"/>
        </w:rPr>
        <w:t xml:space="preserve">The staffing process in the PIM sector started at the beginning of 2023. The total number of employees in the PIM sector is 14, and at the moment the PIM sector consists of 6(six) employees. </w:t>
      </w:r>
    </w:p>
    <w:p w14:paraId="6692B3B5" w14:textId="68085B84" w:rsidR="00BE0692" w:rsidRPr="00D30847" w:rsidRDefault="00BE0692" w:rsidP="009C1F26">
      <w:pPr>
        <w:spacing w:line="240" w:lineRule="auto"/>
        <w:jc w:val="both"/>
        <w:rPr>
          <w:rFonts w:cs="Calibri"/>
          <w:iCs/>
          <w:color w:val="000000"/>
          <w:lang w:val="en-GB"/>
        </w:rPr>
      </w:pPr>
      <w:r w:rsidRPr="00D30847">
        <w:rPr>
          <w:rFonts w:cs="Calibri"/>
          <w:iCs/>
          <w:color w:val="000000"/>
          <w:lang w:val="en-GB"/>
        </w:rPr>
        <w:t xml:space="preserve">The PIM </w:t>
      </w:r>
      <w:r w:rsidR="008F391C" w:rsidRPr="00D30847">
        <w:rPr>
          <w:rFonts w:cs="Calibri"/>
          <w:iCs/>
          <w:color w:val="000000"/>
          <w:lang w:val="en-GB"/>
        </w:rPr>
        <w:t>Department prepared</w:t>
      </w:r>
      <w:r w:rsidRPr="00D30847">
        <w:rPr>
          <w:rFonts w:cs="Calibri"/>
          <w:iCs/>
          <w:color w:val="000000"/>
          <w:lang w:val="en-GB"/>
        </w:rPr>
        <w:t xml:space="preserve"> </w:t>
      </w:r>
      <w:r w:rsidR="000C0866" w:rsidRPr="00D30847">
        <w:rPr>
          <w:rFonts w:cs="Calibri"/>
          <w:iCs/>
          <w:color w:val="000000"/>
          <w:lang w:val="en-GB"/>
        </w:rPr>
        <w:t xml:space="preserve">the </w:t>
      </w:r>
      <w:r w:rsidRPr="00D30847">
        <w:rPr>
          <w:rFonts w:cs="Calibri"/>
          <w:iCs/>
          <w:color w:val="000000"/>
          <w:lang w:val="en-GB"/>
        </w:rPr>
        <w:t xml:space="preserve">new PIM Decree on managing public investment projects, as a by- law stemming from the new OBL (article 20), in order to establish a structured and comprehensive approach to decision making for the proposed public investment projects. </w:t>
      </w:r>
      <w:r w:rsidR="000C0866" w:rsidRPr="00D30847">
        <w:rPr>
          <w:rFonts w:cs="Calibri"/>
          <w:iCs/>
          <w:color w:val="000000"/>
          <w:lang w:val="en-GB"/>
        </w:rPr>
        <w:t xml:space="preserve">The PIM decree regulates the manner of defining, preparing reviewing, evaluating, prioritizing and selecting new public investment projects, monitoring and reporting on the implementation and ex-post review of public investment projects as well as the roles and responsibilities of the entities involved in each of the stages of the PIM </w:t>
      </w:r>
      <w:r w:rsidR="008F391C" w:rsidRPr="00D30847">
        <w:rPr>
          <w:rFonts w:cs="Calibri"/>
          <w:iCs/>
          <w:color w:val="000000"/>
          <w:lang w:val="en-GB"/>
        </w:rPr>
        <w:t>process. The</w:t>
      </w:r>
      <w:r w:rsidR="000C0866" w:rsidRPr="00D30847">
        <w:rPr>
          <w:rFonts w:cs="Calibri"/>
          <w:iCs/>
          <w:color w:val="000000"/>
          <w:lang w:val="en-GB"/>
        </w:rPr>
        <w:t xml:space="preserve"> Government adopted the PIM Decree and it is expected that it shall start to apply in January 2025.</w:t>
      </w:r>
    </w:p>
    <w:p w14:paraId="4FC02D2E" w14:textId="16E039AD" w:rsidR="00BE0692" w:rsidRPr="00D30847" w:rsidRDefault="00BE0692" w:rsidP="009C1F26">
      <w:pPr>
        <w:spacing w:line="240" w:lineRule="auto"/>
        <w:jc w:val="both"/>
        <w:rPr>
          <w:rFonts w:cs="Calibri"/>
          <w:iCs/>
          <w:color w:val="000000"/>
          <w:lang w:val="en-GB"/>
        </w:rPr>
      </w:pPr>
      <w:r w:rsidRPr="00D30847">
        <w:rPr>
          <w:rFonts w:cs="Calibri"/>
          <w:iCs/>
          <w:color w:val="000000"/>
          <w:lang w:val="en-GB"/>
        </w:rPr>
        <w:t>The Decree will be applicable to all budget users, municipalities and other public entities (public enterprises, trade companies owned by the Government).</w:t>
      </w:r>
    </w:p>
    <w:p w14:paraId="6FC6E31A" w14:textId="4B745DAC" w:rsidR="007541EA" w:rsidRPr="00D30847" w:rsidRDefault="00BE0692" w:rsidP="009C1F26">
      <w:pPr>
        <w:autoSpaceDE w:val="0"/>
        <w:autoSpaceDN w:val="0"/>
        <w:adjustRightInd w:val="0"/>
        <w:spacing w:line="240" w:lineRule="auto"/>
        <w:ind w:left="-180" w:firstLine="180"/>
        <w:contextualSpacing/>
        <w:jc w:val="both"/>
        <w:rPr>
          <w:rFonts w:eastAsia="SimSun" w:cs="Calibri"/>
          <w:b/>
          <w:color w:val="0070C0"/>
          <w:lang w:val="en-GB"/>
        </w:rPr>
      </w:pPr>
      <w:r w:rsidRPr="00D30847">
        <w:rPr>
          <w:rFonts w:eastAsia="SimSun" w:cs="Calibri"/>
          <w:b/>
          <w:color w:val="0070C0"/>
          <w:lang w:val="en-GB"/>
        </w:rPr>
        <w:t>Activity 1: Strengthen the supporting legal framework for PIM</w:t>
      </w:r>
    </w:p>
    <w:p w14:paraId="3E46428F" w14:textId="77777777" w:rsidR="00015266" w:rsidRPr="00D30847" w:rsidRDefault="00015266" w:rsidP="009C1F26">
      <w:pPr>
        <w:spacing w:line="240" w:lineRule="auto"/>
        <w:ind w:hanging="18"/>
        <w:jc w:val="both"/>
        <w:rPr>
          <w:rFonts w:cs="Calibri"/>
          <w:iCs/>
          <w:color w:val="000000"/>
          <w:lang w:val="en-GB"/>
        </w:rPr>
      </w:pPr>
      <w:r w:rsidRPr="00D30847">
        <w:rPr>
          <w:rFonts w:cs="Calibri"/>
          <w:iCs/>
          <w:color w:val="000000"/>
          <w:lang w:val="en-GB"/>
        </w:rPr>
        <w:t>MoF will prepare necessary legal documents for further regulation of PIM process, such as a manual for PIM processes to serve as a guiding and explanatory material for project proposers and decision makers.</w:t>
      </w:r>
    </w:p>
    <w:p w14:paraId="347F68B2" w14:textId="22EC426D" w:rsidR="00015266" w:rsidRPr="00D30847" w:rsidRDefault="00015266" w:rsidP="009C1F26">
      <w:pPr>
        <w:autoSpaceDE w:val="0"/>
        <w:autoSpaceDN w:val="0"/>
        <w:adjustRightInd w:val="0"/>
        <w:spacing w:line="240" w:lineRule="auto"/>
        <w:ind w:left="-285" w:firstLine="284"/>
        <w:contextualSpacing/>
        <w:jc w:val="both"/>
        <w:rPr>
          <w:rFonts w:eastAsia="SimSun" w:cs="Calibri"/>
          <w:b/>
          <w:color w:val="0070C0"/>
          <w:lang w:val="en-GB"/>
        </w:rPr>
      </w:pPr>
      <w:r w:rsidRPr="00D30847">
        <w:rPr>
          <w:rFonts w:eastAsia="SimSun" w:cs="Calibri"/>
          <w:b/>
          <w:color w:val="0070C0"/>
          <w:lang w:val="en-GB"/>
        </w:rPr>
        <w:t>Activity 2: Strengthen the institutional capacity of the MoF in the PIM system</w:t>
      </w:r>
    </w:p>
    <w:p w14:paraId="4A3A6BCC" w14:textId="7AF4EB78" w:rsidR="00015266" w:rsidRPr="00D30847" w:rsidRDefault="00015266" w:rsidP="00D30847">
      <w:pPr>
        <w:autoSpaceDE w:val="0"/>
        <w:autoSpaceDN w:val="0"/>
        <w:adjustRightInd w:val="0"/>
        <w:spacing w:line="240" w:lineRule="auto"/>
        <w:contextualSpacing/>
        <w:jc w:val="both"/>
        <w:rPr>
          <w:rFonts w:eastAsia="SimSun" w:cs="Calibri"/>
          <w:b/>
          <w:color w:val="0070C0"/>
          <w:lang w:val="en-GB"/>
        </w:rPr>
      </w:pPr>
      <w:r w:rsidRPr="00D30847">
        <w:rPr>
          <w:rFonts w:eastAsia="SimSun" w:cs="Calibri"/>
          <w:lang w:val="en-GB" w:eastAsia="zh-CN"/>
        </w:rPr>
        <w:t xml:space="preserve">The MoF needs to continue the process of staffing and capacity development of the newly </w:t>
      </w:r>
      <w:r w:rsidR="00D30847" w:rsidRPr="00D30847">
        <w:rPr>
          <w:rFonts w:eastAsia="SimSun" w:cs="Calibri"/>
          <w:lang w:val="en-GB" w:eastAsia="zh-CN"/>
        </w:rPr>
        <w:t xml:space="preserve">established </w:t>
      </w:r>
      <w:r w:rsidR="00D30847">
        <w:rPr>
          <w:rFonts w:eastAsia="SimSun" w:cs="Calibri"/>
          <w:lang w:val="en-GB" w:eastAsia="zh-CN"/>
        </w:rPr>
        <w:t>PIM</w:t>
      </w:r>
      <w:r w:rsidRPr="00D30847">
        <w:rPr>
          <w:rFonts w:eastAsia="SimSun" w:cs="Calibri"/>
          <w:lang w:val="en-GB" w:eastAsia="zh-CN"/>
        </w:rPr>
        <w:t xml:space="preserve"> Department to ensure its gatekeeping role for the capital budgeting of public investment projects.</w:t>
      </w:r>
    </w:p>
    <w:p w14:paraId="5225B4D4" w14:textId="77777777" w:rsidR="0044402B" w:rsidRPr="00D30847" w:rsidRDefault="0044402B" w:rsidP="0084759C">
      <w:pPr>
        <w:autoSpaceDE w:val="0"/>
        <w:autoSpaceDN w:val="0"/>
        <w:adjustRightInd w:val="0"/>
        <w:spacing w:after="0" w:line="240" w:lineRule="auto"/>
        <w:ind w:left="-180" w:firstLine="180"/>
        <w:contextualSpacing/>
        <w:jc w:val="both"/>
        <w:rPr>
          <w:rFonts w:eastAsia="SimSun" w:cs="Calibri"/>
          <w:b/>
          <w:color w:val="0070C0"/>
          <w:sz w:val="10"/>
          <w:szCs w:val="10"/>
          <w:lang w:val="en-GB"/>
        </w:rPr>
      </w:pPr>
    </w:p>
    <w:p w14:paraId="7D117309" w14:textId="77777777" w:rsidR="00376718" w:rsidRPr="00D30847" w:rsidRDefault="00376718" w:rsidP="00E84CD0">
      <w:pPr>
        <w:spacing w:after="120" w:line="240" w:lineRule="auto"/>
        <w:contextualSpacing/>
        <w:jc w:val="both"/>
        <w:rPr>
          <w:rFonts w:eastAsia="SimSun" w:cs="Calibri"/>
          <w:lang w:val="en-GB" w:eastAsia="zh-CN"/>
        </w:rPr>
      </w:pPr>
    </w:p>
    <w:p w14:paraId="21770892" w14:textId="77777777" w:rsidR="00376718" w:rsidRPr="00D30847" w:rsidRDefault="00376718"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Implementation</w:t>
      </w:r>
    </w:p>
    <w:tbl>
      <w:tblPr>
        <w:tblW w:w="0" w:type="auto"/>
        <w:tblBorders>
          <w:insideH w:val="single" w:sz="4" w:space="0" w:color="FFFFFF"/>
        </w:tblBorders>
        <w:tblLayout w:type="fixed"/>
        <w:tblLook w:val="0080" w:firstRow="0" w:lastRow="0" w:firstColumn="1" w:lastColumn="0" w:noHBand="0" w:noVBand="0"/>
      </w:tblPr>
      <w:tblGrid>
        <w:gridCol w:w="3119"/>
        <w:gridCol w:w="5645"/>
      </w:tblGrid>
      <w:tr w:rsidR="00376718" w:rsidRPr="00D30847" w14:paraId="6282756E" w14:textId="77777777" w:rsidTr="00A73DBE">
        <w:tc>
          <w:tcPr>
            <w:tcW w:w="3119" w:type="dxa"/>
            <w:tcBorders>
              <w:top w:val="nil"/>
              <w:bottom w:val="single" w:sz="4" w:space="0" w:color="FFFFFF"/>
            </w:tcBorders>
            <w:shd w:val="clear" w:color="auto" w:fill="002060"/>
          </w:tcPr>
          <w:p w14:paraId="6E909CE2" w14:textId="77777777" w:rsidR="00376718" w:rsidRPr="00D30847" w:rsidRDefault="00376718" w:rsidP="00E84CD0">
            <w:pPr>
              <w:tabs>
                <w:tab w:val="left" w:pos="1526"/>
              </w:tabs>
              <w:spacing w:after="0" w:line="240" w:lineRule="auto"/>
              <w:jc w:val="both"/>
              <w:rPr>
                <w:rFonts w:cs="Calibri"/>
                <w:color w:val="FFFFFF"/>
                <w:sz w:val="20"/>
                <w:szCs w:val="20"/>
                <w:lang w:val="en-GB"/>
              </w:rPr>
            </w:pPr>
            <w:r w:rsidRPr="00D30847">
              <w:rPr>
                <w:rFonts w:cs="Calibri"/>
                <w:b/>
                <w:color w:val="FFFFFF"/>
                <w:sz w:val="20"/>
                <w:szCs w:val="20"/>
                <w:lang w:val="en-GB"/>
              </w:rPr>
              <w:t>Completed in year:</w:t>
            </w:r>
            <w:r w:rsidRPr="00D30847">
              <w:rPr>
                <w:rFonts w:cs="Calibri"/>
                <w:color w:val="FFFFFF"/>
                <w:sz w:val="20"/>
                <w:szCs w:val="20"/>
                <w:lang w:val="en-GB"/>
              </w:rPr>
              <w:tab/>
            </w:r>
          </w:p>
        </w:tc>
        <w:tc>
          <w:tcPr>
            <w:tcW w:w="5645" w:type="dxa"/>
            <w:tcBorders>
              <w:top w:val="nil"/>
              <w:bottom w:val="single" w:sz="4" w:space="0" w:color="FFFFFF"/>
            </w:tcBorders>
            <w:shd w:val="clear" w:color="auto" w:fill="D9E2F3"/>
          </w:tcPr>
          <w:p w14:paraId="3CDF6DC2" w14:textId="37E15E0D" w:rsidR="00376718" w:rsidRPr="00D30847" w:rsidRDefault="00376718" w:rsidP="00E84CD0">
            <w:pPr>
              <w:tabs>
                <w:tab w:val="left" w:pos="1526"/>
              </w:tabs>
              <w:spacing w:after="0" w:line="240" w:lineRule="auto"/>
              <w:jc w:val="both"/>
              <w:rPr>
                <w:rFonts w:cs="Calibri"/>
                <w:sz w:val="20"/>
                <w:szCs w:val="20"/>
                <w:lang w:val="en-GB"/>
              </w:rPr>
            </w:pPr>
            <w:r w:rsidRPr="00D30847">
              <w:rPr>
                <w:rFonts w:cs="Calibri"/>
                <w:sz w:val="20"/>
                <w:szCs w:val="20"/>
                <w:lang w:val="en-GB"/>
              </w:rPr>
              <w:t>202</w:t>
            </w:r>
            <w:r w:rsidR="000C0866" w:rsidRPr="00D30847">
              <w:rPr>
                <w:rFonts w:cs="Calibri"/>
                <w:sz w:val="20"/>
                <w:szCs w:val="20"/>
                <w:lang w:val="en-GB"/>
              </w:rPr>
              <w:t>8</w:t>
            </w:r>
          </w:p>
        </w:tc>
      </w:tr>
      <w:tr w:rsidR="00376718" w:rsidRPr="00D30847" w14:paraId="38C9BC90" w14:textId="77777777" w:rsidTr="00A73DBE">
        <w:tc>
          <w:tcPr>
            <w:tcW w:w="3119" w:type="dxa"/>
            <w:tcBorders>
              <w:top w:val="single" w:sz="4" w:space="0" w:color="FFFFFF"/>
              <w:bottom w:val="single" w:sz="4" w:space="0" w:color="FFFFFF"/>
            </w:tcBorders>
            <w:shd w:val="clear" w:color="auto" w:fill="002060"/>
          </w:tcPr>
          <w:p w14:paraId="41DFE184" w14:textId="77777777" w:rsidR="00376718" w:rsidRPr="00D30847" w:rsidRDefault="00376718" w:rsidP="00E84CD0">
            <w:pPr>
              <w:tabs>
                <w:tab w:val="left" w:pos="4219"/>
              </w:tabs>
              <w:spacing w:after="0" w:line="240" w:lineRule="auto"/>
              <w:jc w:val="both"/>
              <w:rPr>
                <w:rFonts w:cs="Calibri"/>
                <w:color w:val="FFFFFF"/>
                <w:sz w:val="20"/>
                <w:szCs w:val="20"/>
                <w:lang w:val="en-GB"/>
              </w:rPr>
            </w:pPr>
            <w:r w:rsidRPr="00D30847">
              <w:rPr>
                <w:rFonts w:cs="Calibri"/>
                <w:b/>
                <w:color w:val="FFFFFF"/>
                <w:sz w:val="20"/>
                <w:szCs w:val="20"/>
                <w:lang w:val="en-GB"/>
              </w:rPr>
              <w:t>Deliverables:</w:t>
            </w:r>
          </w:p>
        </w:tc>
        <w:tc>
          <w:tcPr>
            <w:tcW w:w="5645" w:type="dxa"/>
            <w:tcBorders>
              <w:top w:val="single" w:sz="4" w:space="0" w:color="FFFFFF"/>
              <w:bottom w:val="single" w:sz="4" w:space="0" w:color="FFFFFF"/>
            </w:tcBorders>
            <w:shd w:val="clear" w:color="auto" w:fill="D9E2F3"/>
          </w:tcPr>
          <w:p w14:paraId="2D71B332" w14:textId="77777777" w:rsidR="00BE0692" w:rsidRPr="00D30847" w:rsidRDefault="00BE0692" w:rsidP="00AD2AD5">
            <w:pPr>
              <w:numPr>
                <w:ilvl w:val="0"/>
                <w:numId w:val="43"/>
              </w:numPr>
              <w:spacing w:after="0" w:line="240" w:lineRule="auto"/>
              <w:ind w:left="212" w:hanging="180"/>
              <w:jc w:val="both"/>
              <w:rPr>
                <w:rFonts w:cs="Calibri"/>
                <w:sz w:val="20"/>
                <w:szCs w:val="20"/>
                <w:lang w:val="en-GB"/>
              </w:rPr>
            </w:pPr>
            <w:r w:rsidRPr="00D30847">
              <w:rPr>
                <w:rFonts w:cs="Calibri"/>
                <w:sz w:val="20"/>
                <w:szCs w:val="20"/>
                <w:lang w:val="en-GB"/>
              </w:rPr>
              <w:t>Manual for PIM processes</w:t>
            </w:r>
          </w:p>
          <w:p w14:paraId="7DF46299" w14:textId="77777777" w:rsidR="00BE0692" w:rsidRPr="00D30847" w:rsidRDefault="00BE0692" w:rsidP="00AD2AD5">
            <w:pPr>
              <w:numPr>
                <w:ilvl w:val="0"/>
                <w:numId w:val="43"/>
              </w:numPr>
              <w:spacing w:after="0" w:line="240" w:lineRule="auto"/>
              <w:ind w:left="212" w:hanging="180"/>
              <w:jc w:val="both"/>
              <w:rPr>
                <w:rFonts w:cs="Calibri"/>
                <w:sz w:val="20"/>
                <w:szCs w:val="20"/>
                <w:lang w:val="en-GB"/>
              </w:rPr>
            </w:pPr>
            <w:r w:rsidRPr="00D30847">
              <w:rPr>
                <w:rFonts w:cs="Calibri"/>
                <w:sz w:val="20"/>
                <w:szCs w:val="20"/>
                <w:lang w:val="en-GB"/>
              </w:rPr>
              <w:t>Adequate staffing of the PIMD of the MoF</w:t>
            </w:r>
          </w:p>
          <w:p w14:paraId="237774D4" w14:textId="77777777" w:rsidR="00376718" w:rsidRPr="00D30847" w:rsidRDefault="00BE0692" w:rsidP="00AD2AD5">
            <w:pPr>
              <w:numPr>
                <w:ilvl w:val="0"/>
                <w:numId w:val="43"/>
              </w:numPr>
              <w:spacing w:after="0" w:line="240" w:lineRule="auto"/>
              <w:ind w:left="212" w:hanging="180"/>
              <w:jc w:val="both"/>
              <w:rPr>
                <w:rFonts w:cs="Calibri"/>
                <w:sz w:val="20"/>
                <w:szCs w:val="20"/>
                <w:lang w:val="en-GB"/>
              </w:rPr>
            </w:pPr>
            <w:r w:rsidRPr="00D30847">
              <w:rPr>
                <w:rFonts w:cs="Calibri"/>
                <w:sz w:val="20"/>
                <w:szCs w:val="20"/>
                <w:lang w:val="en-GB"/>
              </w:rPr>
              <w:t>Capacity development of the PIMD staff</w:t>
            </w:r>
          </w:p>
        </w:tc>
      </w:tr>
      <w:tr w:rsidR="00376718" w:rsidRPr="00D30847" w14:paraId="5BCFD0D8" w14:textId="77777777" w:rsidTr="00A73DBE">
        <w:tc>
          <w:tcPr>
            <w:tcW w:w="3119" w:type="dxa"/>
            <w:tcBorders>
              <w:top w:val="single" w:sz="4" w:space="0" w:color="FFFFFF"/>
              <w:bottom w:val="single" w:sz="4" w:space="0" w:color="FFFFFF"/>
            </w:tcBorders>
            <w:shd w:val="clear" w:color="auto" w:fill="002060"/>
          </w:tcPr>
          <w:p w14:paraId="2E53A818" w14:textId="77777777" w:rsidR="00376718" w:rsidRPr="00D30847" w:rsidRDefault="00376718"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Cost implications:</w:t>
            </w:r>
          </w:p>
        </w:tc>
        <w:tc>
          <w:tcPr>
            <w:tcW w:w="5645" w:type="dxa"/>
            <w:tcBorders>
              <w:top w:val="single" w:sz="4" w:space="0" w:color="FFFFFF"/>
              <w:bottom w:val="single" w:sz="4" w:space="0" w:color="FFFFFF"/>
            </w:tcBorders>
            <w:shd w:val="clear" w:color="auto" w:fill="D9E2F3"/>
          </w:tcPr>
          <w:p w14:paraId="5A647B02" w14:textId="765F273A" w:rsidR="00376718" w:rsidRPr="00D30847" w:rsidRDefault="00376718" w:rsidP="00E84CD0">
            <w:pPr>
              <w:tabs>
                <w:tab w:val="left" w:pos="1526"/>
              </w:tabs>
              <w:spacing w:after="0" w:line="240" w:lineRule="auto"/>
              <w:jc w:val="both"/>
              <w:rPr>
                <w:rFonts w:cs="Calibri"/>
                <w:sz w:val="20"/>
                <w:szCs w:val="20"/>
                <w:lang w:val="en-GB"/>
              </w:rPr>
            </w:pPr>
            <w:r w:rsidRPr="00D30847">
              <w:rPr>
                <w:rFonts w:cs="Calibri"/>
                <w:sz w:val="20"/>
                <w:szCs w:val="20"/>
                <w:lang w:val="en-GB"/>
              </w:rPr>
              <w:t xml:space="preserve">EUR </w:t>
            </w:r>
            <w:r w:rsidR="000C0866" w:rsidRPr="00D30847">
              <w:rPr>
                <w:rFonts w:cs="Calibri"/>
                <w:sz w:val="20"/>
                <w:szCs w:val="20"/>
                <w:lang w:val="en-GB"/>
              </w:rPr>
              <w:t>365</w:t>
            </w:r>
            <w:r w:rsidRPr="00D30847">
              <w:rPr>
                <w:rFonts w:cs="Calibri"/>
                <w:sz w:val="20"/>
                <w:szCs w:val="20"/>
                <w:lang w:val="en-GB"/>
              </w:rPr>
              <w:t>,000</w:t>
            </w:r>
          </w:p>
        </w:tc>
      </w:tr>
      <w:tr w:rsidR="00376718" w:rsidRPr="00D30847" w14:paraId="02D0F2A9" w14:textId="77777777" w:rsidTr="00A73DBE">
        <w:tc>
          <w:tcPr>
            <w:tcW w:w="3119" w:type="dxa"/>
            <w:tcBorders>
              <w:top w:val="single" w:sz="4" w:space="0" w:color="FFFFFF"/>
              <w:bottom w:val="single" w:sz="4" w:space="0" w:color="FFFFFF"/>
            </w:tcBorders>
            <w:shd w:val="clear" w:color="auto" w:fill="002060"/>
          </w:tcPr>
          <w:p w14:paraId="4E8BD57F" w14:textId="77777777" w:rsidR="00376718" w:rsidRPr="00D30847" w:rsidRDefault="00376718"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 xml:space="preserve">Responsible entity: </w:t>
            </w:r>
          </w:p>
        </w:tc>
        <w:tc>
          <w:tcPr>
            <w:tcW w:w="5645" w:type="dxa"/>
            <w:tcBorders>
              <w:top w:val="single" w:sz="4" w:space="0" w:color="FFFFFF"/>
              <w:bottom w:val="single" w:sz="4" w:space="0" w:color="FFFFFF"/>
            </w:tcBorders>
            <w:shd w:val="clear" w:color="auto" w:fill="D9E2F3"/>
          </w:tcPr>
          <w:p w14:paraId="658A399C" w14:textId="2F9638B7" w:rsidR="00376718" w:rsidRPr="00D30847" w:rsidRDefault="00FA0745" w:rsidP="00E84CD0">
            <w:pPr>
              <w:spacing w:after="160" w:line="240" w:lineRule="auto"/>
              <w:jc w:val="both"/>
              <w:rPr>
                <w:rFonts w:cs="Calibri"/>
                <w:sz w:val="20"/>
                <w:szCs w:val="20"/>
                <w:lang w:val="en-GB"/>
              </w:rPr>
            </w:pPr>
            <w:r w:rsidRPr="00D30847">
              <w:rPr>
                <w:rFonts w:cs="Calibri"/>
                <w:sz w:val="20"/>
                <w:szCs w:val="20"/>
                <w:lang w:val="en-GB"/>
              </w:rPr>
              <w:t>MoF – PIM Department</w:t>
            </w:r>
            <w:r w:rsidR="00376718" w:rsidRPr="00D30847">
              <w:rPr>
                <w:rFonts w:cs="Calibri"/>
                <w:sz w:val="20"/>
                <w:szCs w:val="20"/>
                <w:lang w:val="en-GB"/>
              </w:rPr>
              <w:t>, BUs/</w:t>
            </w:r>
            <w:proofErr w:type="spellStart"/>
            <w:r w:rsidR="00376718" w:rsidRPr="00D30847">
              <w:rPr>
                <w:rFonts w:cs="Calibri"/>
                <w:sz w:val="20"/>
                <w:szCs w:val="20"/>
                <w:lang w:val="en-GB"/>
              </w:rPr>
              <w:t>SoEs</w:t>
            </w:r>
            <w:proofErr w:type="spellEnd"/>
            <w:r w:rsidR="00376718" w:rsidRPr="00D30847">
              <w:rPr>
                <w:rFonts w:cs="Calibri"/>
                <w:sz w:val="20"/>
                <w:szCs w:val="20"/>
                <w:lang w:val="en-GB"/>
              </w:rPr>
              <w:t xml:space="preserve">/LSGUs </w:t>
            </w:r>
          </w:p>
        </w:tc>
      </w:tr>
      <w:tr w:rsidR="00376718" w:rsidRPr="00D30847" w14:paraId="36DE80AE" w14:textId="77777777" w:rsidTr="00A73DBE">
        <w:tc>
          <w:tcPr>
            <w:tcW w:w="3119" w:type="dxa"/>
            <w:tcBorders>
              <w:top w:val="single" w:sz="4" w:space="0" w:color="FFFFFF"/>
              <w:bottom w:val="nil"/>
            </w:tcBorders>
            <w:shd w:val="clear" w:color="auto" w:fill="002060"/>
          </w:tcPr>
          <w:p w14:paraId="24FA00D5" w14:textId="77777777" w:rsidR="00376718" w:rsidRPr="00D30847" w:rsidRDefault="00376718"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Risk:</w:t>
            </w:r>
          </w:p>
        </w:tc>
        <w:tc>
          <w:tcPr>
            <w:tcW w:w="5645" w:type="dxa"/>
            <w:tcBorders>
              <w:top w:val="single" w:sz="4" w:space="0" w:color="FFFFFF"/>
              <w:bottom w:val="nil"/>
            </w:tcBorders>
            <w:shd w:val="clear" w:color="auto" w:fill="D9E2F3"/>
          </w:tcPr>
          <w:p w14:paraId="25FEB124" w14:textId="77777777" w:rsidR="00376718" w:rsidRPr="00D30847" w:rsidRDefault="00BE0692" w:rsidP="00AD2AD5">
            <w:pPr>
              <w:numPr>
                <w:ilvl w:val="0"/>
                <w:numId w:val="43"/>
              </w:numPr>
              <w:spacing w:after="160" w:line="240" w:lineRule="auto"/>
              <w:ind w:left="212" w:hanging="180"/>
              <w:jc w:val="both"/>
              <w:rPr>
                <w:rFonts w:cs="Calibri"/>
                <w:sz w:val="20"/>
                <w:szCs w:val="20"/>
                <w:lang w:val="en-GB"/>
              </w:rPr>
            </w:pPr>
            <w:r w:rsidRPr="00D30847">
              <w:rPr>
                <w:rFonts w:cs="Calibri"/>
                <w:sz w:val="20"/>
                <w:szCs w:val="20"/>
                <w:lang w:val="en-GB"/>
              </w:rPr>
              <w:t>Lack of political will to support reforms, insufficient staff and  lack of capacities, poor coordination between institutions.</w:t>
            </w:r>
          </w:p>
        </w:tc>
      </w:tr>
    </w:tbl>
    <w:p w14:paraId="15EFDBCA" w14:textId="23C66E78" w:rsidR="00BE0692" w:rsidRPr="00D30847" w:rsidRDefault="00BE0692" w:rsidP="00E84CD0">
      <w:pPr>
        <w:keepNext/>
        <w:keepLines/>
        <w:spacing w:before="160" w:after="60" w:line="240" w:lineRule="auto"/>
        <w:jc w:val="both"/>
        <w:outlineLvl w:val="3"/>
        <w:rPr>
          <w:rFonts w:cs="Calibri"/>
          <w:b/>
          <w:color w:val="0070C0"/>
          <w:sz w:val="24"/>
          <w:szCs w:val="24"/>
          <w:lang w:val="en-GB" w:eastAsia="zh-CN"/>
        </w:rPr>
      </w:pPr>
      <w:r w:rsidRPr="00D30847">
        <w:rPr>
          <w:rFonts w:cs="Calibri"/>
          <w:b/>
          <w:color w:val="0070C0"/>
          <w:sz w:val="24"/>
          <w:szCs w:val="24"/>
          <w:lang w:val="en-GB" w:eastAsia="zh-CN"/>
        </w:rPr>
        <w:lastRenderedPageBreak/>
        <w:t>Measure 2:</w:t>
      </w:r>
      <w:r w:rsidR="0084759C" w:rsidRPr="00D30847">
        <w:rPr>
          <w:rFonts w:cs="Calibri"/>
          <w:b/>
          <w:color w:val="0070C0"/>
          <w:sz w:val="24"/>
          <w:szCs w:val="24"/>
          <w:lang w:val="en-GB" w:eastAsia="zh-CN"/>
        </w:rPr>
        <w:t xml:space="preserve"> </w:t>
      </w:r>
      <w:r w:rsidRPr="00D30847">
        <w:rPr>
          <w:rFonts w:cs="Calibri"/>
          <w:b/>
          <w:color w:val="0070C0"/>
          <w:sz w:val="24"/>
          <w:szCs w:val="24"/>
          <w:lang w:val="en-GB" w:eastAsia="zh-CN"/>
        </w:rPr>
        <w:t>Established single pipeline of appraised capital public investment projects</w:t>
      </w:r>
    </w:p>
    <w:p w14:paraId="2DCF90C7" w14:textId="77777777" w:rsidR="00376718" w:rsidRPr="00D30847" w:rsidRDefault="00376718"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70F2DD98" w14:textId="6CEE8D18" w:rsidR="00376718" w:rsidRPr="00D30847" w:rsidRDefault="00376718" w:rsidP="00E84CD0">
      <w:pPr>
        <w:spacing w:before="80" w:after="80" w:line="240" w:lineRule="auto"/>
        <w:jc w:val="both"/>
        <w:rPr>
          <w:rFonts w:eastAsia="MS PGothic" w:cs="Calibri"/>
          <w:lang w:val="en-GB" w:eastAsia="zh-CN"/>
        </w:rPr>
      </w:pPr>
      <w:r w:rsidRPr="00D30847">
        <w:rPr>
          <w:rFonts w:eastAsia="MS PGothic" w:cs="Calibri"/>
          <w:lang w:val="en-GB" w:eastAsia="zh-CN"/>
        </w:rPr>
        <w:t>Capital spending is allocated to the most productive sectors and projects by a comprehensive, unified, and medium-term perspective to capital budgeting, as well as objective criteria and competitive procedures for selecting particular investment projects.</w:t>
      </w:r>
    </w:p>
    <w:p w14:paraId="302C0B07" w14:textId="77777777" w:rsidR="00376718" w:rsidRPr="00D30847" w:rsidRDefault="00376718"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 xml:space="preserve">Reference to the external assessments findings: </w:t>
      </w:r>
    </w:p>
    <w:tbl>
      <w:tblPr>
        <w:tblW w:w="85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851"/>
        <w:gridCol w:w="7700"/>
      </w:tblGrid>
      <w:tr w:rsidR="00376718" w:rsidRPr="00D30847" w:rsidDel="005B290B" w14:paraId="70249A93" w14:textId="77777777" w:rsidTr="00BA5E44">
        <w:tc>
          <w:tcPr>
            <w:tcW w:w="851" w:type="dxa"/>
            <w:shd w:val="clear" w:color="auto" w:fill="DDDDDD"/>
          </w:tcPr>
          <w:p w14:paraId="24AFDA4B" w14:textId="30353D2C" w:rsidR="00376718" w:rsidRPr="00D30847" w:rsidRDefault="00376718" w:rsidP="00E84CD0">
            <w:pPr>
              <w:spacing w:before="80" w:after="0" w:line="240" w:lineRule="auto"/>
              <w:jc w:val="both"/>
              <w:rPr>
                <w:rFonts w:cs="Calibri"/>
                <w:b/>
                <w:sz w:val="20"/>
                <w:szCs w:val="20"/>
                <w:lang w:val="en-GB"/>
              </w:rPr>
            </w:pPr>
            <w:r w:rsidRPr="00D30847">
              <w:rPr>
                <w:rFonts w:cs="Calibri"/>
                <w:b/>
                <w:sz w:val="20"/>
                <w:szCs w:val="20"/>
                <w:lang w:val="en-GB"/>
              </w:rPr>
              <w:t>PEFA</w:t>
            </w:r>
          </w:p>
        </w:tc>
        <w:tc>
          <w:tcPr>
            <w:tcW w:w="7700" w:type="dxa"/>
            <w:shd w:val="clear" w:color="auto" w:fill="DDDDDD"/>
          </w:tcPr>
          <w:p w14:paraId="0956456B" w14:textId="77777777" w:rsidR="00376718" w:rsidRPr="00D30847" w:rsidRDefault="00376718" w:rsidP="00E84CD0">
            <w:pPr>
              <w:spacing w:after="0" w:line="240" w:lineRule="auto"/>
              <w:jc w:val="both"/>
              <w:rPr>
                <w:rFonts w:cs="Calibri"/>
                <w:b/>
                <w:sz w:val="20"/>
                <w:szCs w:val="20"/>
                <w:lang w:val="en-GB"/>
              </w:rPr>
            </w:pPr>
            <w:r w:rsidRPr="00D30847">
              <w:rPr>
                <w:rFonts w:cs="Calibri"/>
                <w:b/>
                <w:sz w:val="20"/>
                <w:szCs w:val="20"/>
                <w:lang w:val="en-GB"/>
              </w:rPr>
              <w:t xml:space="preserve">PI -11/ Dimension 11.2: </w:t>
            </w:r>
          </w:p>
          <w:p w14:paraId="4DB1C900" w14:textId="77777777" w:rsidR="00376718" w:rsidRPr="00D30847" w:rsidRDefault="00376718" w:rsidP="00E84CD0">
            <w:pPr>
              <w:spacing w:after="160" w:line="240" w:lineRule="auto"/>
              <w:jc w:val="both"/>
              <w:rPr>
                <w:rFonts w:eastAsia="Arial" w:cs="Calibri"/>
                <w:sz w:val="20"/>
                <w:szCs w:val="20"/>
                <w:lang w:val="en-GB"/>
              </w:rPr>
            </w:pPr>
            <w:r w:rsidRPr="00D30847">
              <w:rPr>
                <w:rFonts w:cs="Calibri"/>
                <w:sz w:val="20"/>
                <w:szCs w:val="20"/>
                <w:lang w:val="en-GB"/>
              </w:rPr>
              <w:t>There are no published standard criteria for project selection. For externally funded projects, selection criteria are established by the external funding entity. That said, the Single Project Pipeline (SPP), coordinated by the Secretariat for European Affairs and covering all externally funded projects, uses selection criteria published under the “Support to Western Balkans Infrastructure Investment Projects in the period 2014-2020” project.  For domestically funded projects, selection criteria are established by each BU independently, some of whom follow the SPP selection criteria.</w:t>
            </w:r>
          </w:p>
          <w:p w14:paraId="3878E881" w14:textId="77777777" w:rsidR="00376718" w:rsidRPr="00D30847" w:rsidRDefault="00376718" w:rsidP="00E84CD0">
            <w:pPr>
              <w:spacing w:after="0" w:line="240" w:lineRule="auto"/>
              <w:jc w:val="both"/>
              <w:rPr>
                <w:rFonts w:cs="Calibri"/>
                <w:sz w:val="20"/>
                <w:szCs w:val="20"/>
                <w:lang w:val="en-GB"/>
              </w:rPr>
            </w:pPr>
            <w:r w:rsidRPr="00D30847">
              <w:rPr>
                <w:rFonts w:cs="Calibri"/>
                <w:sz w:val="20"/>
                <w:szCs w:val="20"/>
                <w:lang w:val="en-GB"/>
              </w:rPr>
              <w:t>Prioritization of projects for inclusion in the budget is determined most directly by the General Secretariat of the Government. The focus of the prioritization is compliance with the Government 4-year Working Program, and is communicated through the 3-year strategic plan prepared by each BU in parallel with the budget (see PI-16.3 for a more detailed explanation of the planning system).</w:t>
            </w:r>
          </w:p>
          <w:p w14:paraId="117C7F19" w14:textId="77777777" w:rsidR="00376718" w:rsidRPr="00D30847" w:rsidRDefault="00376718" w:rsidP="00E84CD0">
            <w:pPr>
              <w:spacing w:after="0" w:line="240" w:lineRule="auto"/>
              <w:jc w:val="both"/>
              <w:rPr>
                <w:rFonts w:cs="Calibri"/>
                <w:sz w:val="20"/>
                <w:szCs w:val="20"/>
                <w:lang w:val="en-GB"/>
              </w:rPr>
            </w:pPr>
            <w:r w:rsidRPr="00D30847">
              <w:rPr>
                <w:rFonts w:cs="Calibri"/>
                <w:b/>
                <w:bCs/>
                <w:sz w:val="20"/>
                <w:szCs w:val="20"/>
                <w:lang w:val="en-GB"/>
              </w:rPr>
              <w:t>Since major projects are prioritized by a central entity but not on the basis of measurable criteria for selection that are rigorous and focus on economic efficiency and productivity, the score for this dimension is D.</w:t>
            </w:r>
          </w:p>
        </w:tc>
      </w:tr>
      <w:tr w:rsidR="00376718" w:rsidRPr="00D30847" w:rsidDel="005B290B" w14:paraId="616161BA" w14:textId="77777777" w:rsidTr="00BA5E44">
        <w:trPr>
          <w:trHeight w:val="2913"/>
        </w:trPr>
        <w:tc>
          <w:tcPr>
            <w:tcW w:w="851" w:type="dxa"/>
            <w:shd w:val="clear" w:color="auto" w:fill="DDDDDD"/>
          </w:tcPr>
          <w:p w14:paraId="474AF7F5" w14:textId="77777777" w:rsidR="00376718" w:rsidRPr="00D30847" w:rsidRDefault="00376718" w:rsidP="00E84CD0">
            <w:pPr>
              <w:spacing w:before="80" w:after="0" w:line="240" w:lineRule="auto"/>
              <w:jc w:val="both"/>
              <w:rPr>
                <w:rFonts w:cs="Calibri"/>
                <w:sz w:val="20"/>
                <w:szCs w:val="20"/>
                <w:lang w:val="en-GB"/>
              </w:rPr>
            </w:pPr>
          </w:p>
        </w:tc>
        <w:tc>
          <w:tcPr>
            <w:tcW w:w="7700" w:type="dxa"/>
            <w:shd w:val="clear" w:color="auto" w:fill="DDDDDD"/>
          </w:tcPr>
          <w:p w14:paraId="221743E7" w14:textId="77777777" w:rsidR="00376718" w:rsidRPr="00D30847" w:rsidRDefault="00376718" w:rsidP="00E84CD0">
            <w:pPr>
              <w:spacing w:after="0" w:line="240" w:lineRule="auto"/>
              <w:jc w:val="both"/>
              <w:rPr>
                <w:rFonts w:cs="Calibri"/>
                <w:sz w:val="20"/>
                <w:szCs w:val="20"/>
                <w:lang w:val="en-GB"/>
              </w:rPr>
            </w:pPr>
            <w:r w:rsidRPr="00D30847">
              <w:rPr>
                <w:rFonts w:cs="Calibri"/>
                <w:sz w:val="20"/>
                <w:szCs w:val="20"/>
                <w:lang w:val="en-GB"/>
              </w:rPr>
              <w:t xml:space="preserve">PI -11/ Dimension 11.3: </w:t>
            </w:r>
          </w:p>
          <w:p w14:paraId="7194BCD9" w14:textId="77777777" w:rsidR="00376718" w:rsidRPr="00D30847" w:rsidRDefault="00376718" w:rsidP="00E84CD0">
            <w:pPr>
              <w:spacing w:after="0" w:line="240" w:lineRule="auto"/>
              <w:jc w:val="both"/>
              <w:rPr>
                <w:rFonts w:cs="Calibri"/>
                <w:sz w:val="20"/>
                <w:szCs w:val="20"/>
                <w:lang w:val="en-GB"/>
              </w:rPr>
            </w:pPr>
            <w:r w:rsidRPr="00D30847">
              <w:rPr>
                <w:rFonts w:cs="Calibri"/>
                <w:sz w:val="20"/>
                <w:szCs w:val="20"/>
                <w:lang w:val="en-GB"/>
              </w:rPr>
              <w:t>In North Macedonia, the budget shows the capital cost of a project, broken down by each year covered by the medium-term, along with a remainder if the project is implemented over more than three years.  It is generally understood that construction costs are included in capital costs, but there is ambiguity on other related costs.</w:t>
            </w:r>
          </w:p>
          <w:p w14:paraId="721DB90E" w14:textId="77777777" w:rsidR="00376718" w:rsidRPr="00D30847" w:rsidRDefault="00376718" w:rsidP="00E84CD0">
            <w:pPr>
              <w:spacing w:after="0" w:line="240" w:lineRule="auto"/>
              <w:jc w:val="both"/>
              <w:rPr>
                <w:rFonts w:cs="Calibri"/>
                <w:sz w:val="20"/>
                <w:szCs w:val="20"/>
                <w:lang w:val="en-GB"/>
              </w:rPr>
            </w:pPr>
            <w:r w:rsidRPr="00D30847">
              <w:rPr>
                <w:rFonts w:cs="Calibri"/>
                <w:sz w:val="20"/>
                <w:szCs w:val="20"/>
                <w:lang w:val="en-GB"/>
              </w:rPr>
              <w:t>For externally funded projects, costing methods are established by the funding entity; for domestically funded projects, costing methods are established by each BU independently.</w:t>
            </w:r>
          </w:p>
          <w:p w14:paraId="79514166" w14:textId="77777777" w:rsidR="00376718" w:rsidRPr="00D30847" w:rsidRDefault="00376718" w:rsidP="00E84CD0">
            <w:pPr>
              <w:spacing w:after="0" w:line="240" w:lineRule="auto"/>
              <w:jc w:val="both"/>
              <w:rPr>
                <w:rFonts w:cs="Calibri"/>
                <w:sz w:val="20"/>
                <w:szCs w:val="20"/>
                <w:lang w:val="en-GB"/>
              </w:rPr>
            </w:pPr>
            <w:r w:rsidRPr="00D30847">
              <w:rPr>
                <w:rFonts w:cs="Calibri"/>
                <w:sz w:val="20"/>
                <w:szCs w:val="20"/>
                <w:lang w:val="en-GB"/>
              </w:rPr>
              <w:t xml:space="preserve">Recurrent costs associated with major projects are sometimes identified in project documents but not in the budget. </w:t>
            </w:r>
          </w:p>
          <w:p w14:paraId="3D46D4E0" w14:textId="77777777" w:rsidR="00376718" w:rsidRPr="00D30847" w:rsidRDefault="00376718" w:rsidP="00E84CD0">
            <w:pPr>
              <w:spacing w:after="0" w:line="240" w:lineRule="auto"/>
              <w:jc w:val="both"/>
              <w:rPr>
                <w:rFonts w:cs="Calibri"/>
                <w:sz w:val="20"/>
                <w:szCs w:val="20"/>
                <w:lang w:val="en-GB"/>
              </w:rPr>
            </w:pPr>
            <w:r w:rsidRPr="00D30847">
              <w:rPr>
                <w:rFonts w:cs="Calibri"/>
                <w:b/>
                <w:sz w:val="20"/>
                <w:szCs w:val="20"/>
                <w:lang w:val="en-GB"/>
              </w:rPr>
              <w:t>Since capital costs of a major project are included in each year of the medium-term budget, but recurrent costs of the project are not included in budget documents, the score for this dimension is C.</w:t>
            </w:r>
          </w:p>
        </w:tc>
      </w:tr>
      <w:tr w:rsidR="00376718" w:rsidRPr="00D30847" w14:paraId="26FDADA8" w14:textId="77777777" w:rsidTr="00BA5E44">
        <w:tc>
          <w:tcPr>
            <w:tcW w:w="851" w:type="dxa"/>
            <w:shd w:val="clear" w:color="auto" w:fill="DDDDDD"/>
          </w:tcPr>
          <w:p w14:paraId="6FEEF9EE" w14:textId="05788147" w:rsidR="00376718" w:rsidRPr="00D30847" w:rsidRDefault="00376718" w:rsidP="00E84CD0">
            <w:pPr>
              <w:spacing w:before="80" w:after="0" w:line="240" w:lineRule="auto"/>
              <w:jc w:val="both"/>
              <w:rPr>
                <w:rFonts w:cs="Calibri"/>
                <w:b/>
                <w:sz w:val="20"/>
                <w:szCs w:val="20"/>
                <w:lang w:val="en-GB"/>
              </w:rPr>
            </w:pPr>
            <w:r w:rsidRPr="00D30847">
              <w:rPr>
                <w:rFonts w:cs="Calibri"/>
                <w:b/>
                <w:sz w:val="20"/>
                <w:szCs w:val="20"/>
                <w:lang w:val="en-GB"/>
              </w:rPr>
              <w:t>PIMA</w:t>
            </w:r>
          </w:p>
        </w:tc>
        <w:tc>
          <w:tcPr>
            <w:tcW w:w="7700" w:type="dxa"/>
            <w:shd w:val="clear" w:color="auto" w:fill="DDDDDD"/>
          </w:tcPr>
          <w:p w14:paraId="3DF705BD" w14:textId="77777777" w:rsidR="00376718" w:rsidRPr="00D30847" w:rsidRDefault="00376718" w:rsidP="00E84CD0">
            <w:pPr>
              <w:spacing w:after="0" w:line="240" w:lineRule="auto"/>
              <w:jc w:val="both"/>
              <w:rPr>
                <w:rFonts w:cs="Calibri"/>
                <w:bCs/>
                <w:sz w:val="20"/>
                <w:szCs w:val="20"/>
                <w:lang w:val="en-GB"/>
              </w:rPr>
            </w:pPr>
            <w:r w:rsidRPr="00D30847">
              <w:rPr>
                <w:rFonts w:cs="Calibri"/>
                <w:bCs/>
                <w:sz w:val="20"/>
                <w:szCs w:val="20"/>
                <w:lang w:val="en-GB"/>
              </w:rPr>
              <w:t xml:space="preserve">Fragmentation affects all stages of the PIM cycle. </w:t>
            </w:r>
            <w:r w:rsidRPr="00D30847">
              <w:rPr>
                <w:rFonts w:cs="Calibri"/>
                <w:sz w:val="20"/>
                <w:szCs w:val="20"/>
                <w:lang w:val="en-GB"/>
              </w:rPr>
              <w:t>At the allocation stage, there is no single pipeline of appraised capital projects ready to be prioritized and to compete on a level playing field for budgetary resources. Multiple project pipelines coexist depending on sources of financing and economic sectors. Project selection and prioritization is not done using standard and comparable methodologies across sectors, and there is no standard methodology for determining maintenance needs.</w:t>
            </w:r>
          </w:p>
          <w:p w14:paraId="48A3FB40" w14:textId="77777777" w:rsidR="00376718" w:rsidRPr="00D30847" w:rsidRDefault="00376718" w:rsidP="00E84CD0">
            <w:pPr>
              <w:autoSpaceDE w:val="0"/>
              <w:autoSpaceDN w:val="0"/>
              <w:adjustRightInd w:val="0"/>
              <w:spacing w:after="0" w:line="240" w:lineRule="auto"/>
              <w:jc w:val="both"/>
              <w:rPr>
                <w:rFonts w:cs="Calibri"/>
                <w:sz w:val="20"/>
                <w:szCs w:val="20"/>
                <w:lang w:val="en-GB"/>
              </w:rPr>
            </w:pPr>
            <w:r w:rsidRPr="00D30847">
              <w:rPr>
                <w:rFonts w:cs="Calibri"/>
                <w:sz w:val="20"/>
                <w:szCs w:val="20"/>
                <w:lang w:val="en-GB"/>
              </w:rPr>
              <w:t>Staff capacity in budget users regarding financial and economic project appraisal is insufficient for effective preparation, appraisal and selection of capital investment projects.</w:t>
            </w:r>
          </w:p>
          <w:p w14:paraId="55EAAD0D" w14:textId="77777777" w:rsidR="00376718" w:rsidRPr="00D30847" w:rsidRDefault="00376718" w:rsidP="00E84CD0">
            <w:pPr>
              <w:spacing w:after="0" w:line="240" w:lineRule="auto"/>
              <w:jc w:val="both"/>
              <w:rPr>
                <w:rFonts w:cs="Calibri"/>
                <w:sz w:val="20"/>
                <w:szCs w:val="20"/>
                <w:lang w:val="en-GB"/>
              </w:rPr>
            </w:pPr>
          </w:p>
        </w:tc>
      </w:tr>
    </w:tbl>
    <w:p w14:paraId="6CFBC904" w14:textId="77777777" w:rsidR="00376718" w:rsidRPr="00D30847" w:rsidRDefault="00376718"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Context / Background</w:t>
      </w:r>
    </w:p>
    <w:p w14:paraId="125B8722" w14:textId="77777777" w:rsidR="00376718" w:rsidRPr="00D30847" w:rsidRDefault="00376718" w:rsidP="00E84CD0">
      <w:pPr>
        <w:spacing w:after="160" w:line="240" w:lineRule="auto"/>
        <w:jc w:val="both"/>
        <w:rPr>
          <w:rFonts w:cs="Calibri"/>
          <w:lang w:val="en-GB"/>
        </w:rPr>
      </w:pPr>
      <w:r w:rsidRPr="00D30847">
        <w:rPr>
          <w:rFonts w:cs="Calibri"/>
          <w:lang w:val="en-GB"/>
        </w:rPr>
        <w:t>New Organic Budget Law (adopted by the Parliament) stipulates that a methodology for d</w:t>
      </w:r>
      <w:r w:rsidRPr="00D30847">
        <w:rPr>
          <w:rFonts w:eastAsia="MS PGothic" w:cs="Calibri"/>
          <w:lang w:val="en-GB" w:eastAsia="zh-CN"/>
        </w:rPr>
        <w:t>efining, preparing, reviewing, appraising and prioritizing new infrastructure projects</w:t>
      </w:r>
      <w:r w:rsidRPr="00D30847">
        <w:rPr>
          <w:rFonts w:cs="Calibri"/>
          <w:lang w:val="en-GB"/>
        </w:rPr>
        <w:t xml:space="preserve"> should be adopted by the Government (Article 20)</w:t>
      </w:r>
      <w:r w:rsidRPr="00D30847">
        <w:rPr>
          <w:rFonts w:eastAsia="MS PGothic" w:cs="Calibri"/>
          <w:lang w:val="en-GB" w:eastAsia="zh-CN"/>
        </w:rPr>
        <w:t xml:space="preserve">, specifying that the budget users, as part of the </w:t>
      </w:r>
      <w:r w:rsidRPr="00D30847">
        <w:rPr>
          <w:rFonts w:cs="Calibri"/>
          <w:lang w:val="en-GB"/>
        </w:rPr>
        <w:t>b</w:t>
      </w:r>
      <w:r w:rsidRPr="00D30847">
        <w:rPr>
          <w:rFonts w:eastAsia="MS PGothic" w:cs="Calibri"/>
          <w:lang w:val="en-GB" w:eastAsia="zh-CN"/>
        </w:rPr>
        <w:t>udget preparation process, have to submit pre-feasibility or feasibility study to MoF supporting all new major investment proposals, as well as that MoF will prepare an opinion to the Government (cross-sectoral working group/committee) on the basis of the results from the studies, prior to considering a certain project for financing from the Budget or any other source.</w:t>
      </w:r>
    </w:p>
    <w:p w14:paraId="5C5BCD63" w14:textId="77777777" w:rsidR="00376718" w:rsidRPr="00D30847" w:rsidRDefault="00376718" w:rsidP="00E84CD0">
      <w:pPr>
        <w:spacing w:after="160" w:line="240" w:lineRule="auto"/>
        <w:jc w:val="both"/>
        <w:rPr>
          <w:rFonts w:cs="Calibri"/>
          <w:lang w:val="en-GB"/>
        </w:rPr>
      </w:pPr>
      <w:r w:rsidRPr="00D30847">
        <w:rPr>
          <w:rFonts w:eastAsia="MS PGothic" w:cs="Calibri"/>
          <w:lang w:val="en-GB" w:eastAsia="zh-CN"/>
        </w:rPr>
        <w:lastRenderedPageBreak/>
        <w:t xml:space="preserve">There is a need for a capacity building for strengthening staff skills, mainly in MoF on project appraisal and on review of </w:t>
      </w:r>
      <w:proofErr w:type="spellStart"/>
      <w:r w:rsidRPr="00D30847">
        <w:rPr>
          <w:rFonts w:eastAsia="MS PGothic" w:cs="Calibri"/>
          <w:lang w:val="en-GB" w:eastAsia="zh-CN"/>
        </w:rPr>
        <w:t>preinvestment</w:t>
      </w:r>
      <w:proofErr w:type="spellEnd"/>
      <w:r w:rsidRPr="00D30847">
        <w:rPr>
          <w:rFonts w:eastAsia="MS PGothic" w:cs="Calibri"/>
          <w:lang w:val="en-GB" w:eastAsia="zh-CN"/>
        </w:rPr>
        <w:t xml:space="preserve"> studies, but also in budget users/</w:t>
      </w:r>
      <w:proofErr w:type="spellStart"/>
      <w:r w:rsidRPr="00D30847">
        <w:rPr>
          <w:rFonts w:eastAsia="MS PGothic" w:cs="Calibri"/>
          <w:lang w:val="en-GB" w:eastAsia="zh-CN"/>
        </w:rPr>
        <w:t>SoEs</w:t>
      </w:r>
      <w:proofErr w:type="spellEnd"/>
      <w:r w:rsidRPr="00D30847">
        <w:rPr>
          <w:rFonts w:eastAsia="MS PGothic" w:cs="Calibri"/>
          <w:lang w:val="en-GB" w:eastAsia="zh-CN"/>
        </w:rPr>
        <w:t>/</w:t>
      </w:r>
      <w:proofErr w:type="spellStart"/>
      <w:r w:rsidRPr="00D30847">
        <w:rPr>
          <w:rFonts w:eastAsia="MS PGothic" w:cs="Calibri"/>
          <w:lang w:val="en-GB" w:eastAsia="zh-CN"/>
        </w:rPr>
        <w:t>LSGUson</w:t>
      </w:r>
      <w:proofErr w:type="spellEnd"/>
      <w:r w:rsidRPr="00D30847">
        <w:rPr>
          <w:rFonts w:eastAsia="MS PGothic" w:cs="Calibri"/>
          <w:lang w:val="en-GB" w:eastAsia="zh-CN"/>
        </w:rPr>
        <w:t xml:space="preserve"> project formulation and appraisal to increase their ability as counterpart of pre-investment studies done by consultants and first reviewers of studies. In accordance with international good practices, strengthening capacity will require a continuous training program due to the high turnover rate that is common in the public sector. </w:t>
      </w:r>
    </w:p>
    <w:p w14:paraId="4D0E9F1A" w14:textId="45BF4494" w:rsidR="007541EA" w:rsidRPr="00D30847" w:rsidRDefault="00F50612" w:rsidP="00F50612">
      <w:pPr>
        <w:spacing w:before="80" w:after="80" w:line="240" w:lineRule="auto"/>
        <w:jc w:val="both"/>
        <w:rPr>
          <w:rFonts w:eastAsia="MS PGothic" w:cs="Calibri"/>
          <w:lang w:val="en-GB" w:eastAsia="zh-CN"/>
        </w:rPr>
      </w:pPr>
      <w:r w:rsidRPr="00D30847">
        <w:rPr>
          <w:rFonts w:eastAsia="MS PGothic" w:cs="Calibri"/>
          <w:lang w:val="en-GB" w:eastAsia="zh-CN"/>
        </w:rPr>
        <w:t xml:space="preserve">The </w:t>
      </w:r>
      <w:r w:rsidR="00056B8A" w:rsidRPr="00D30847">
        <w:rPr>
          <w:rFonts w:eastAsia="MS PGothic" w:cs="Calibri"/>
          <w:lang w:val="en-GB" w:eastAsia="zh-CN"/>
        </w:rPr>
        <w:t>OBL (Article 20 - Medium-Term Priorities and Procedure for Selection of New Initiatives - Projects and Activities) stipulates that the new evaluated public investment projects should be further considered and prioritized by the National Investment Committee (NIC) or Municipal Council committee and finally decided by the Government and/or a Municipal Council respectively. By determining priority and selection, a systematic ranking and selection of projects that have successfully passed the appraisal and independent review stages is carried out. The selection and prioritisation of these projects shall be done based on predefined criteria and the projects for which budget funds are allocated shall be selected and further implemented, ensuring optimal allocation of the available funding. Thus, a single pipeline of evaluated and accepted capital public investment projects shall be created</w:t>
      </w:r>
      <w:r w:rsidRPr="00D30847">
        <w:rPr>
          <w:rFonts w:eastAsia="MS PGothic" w:cs="Calibri"/>
          <w:lang w:val="en-GB" w:eastAsia="zh-CN"/>
        </w:rPr>
        <w:t xml:space="preserve">, and administered by the MoF. </w:t>
      </w:r>
    </w:p>
    <w:p w14:paraId="55B6B922" w14:textId="77777777" w:rsidR="007407E6" w:rsidRPr="00D30847" w:rsidRDefault="007407E6" w:rsidP="00F50612">
      <w:pPr>
        <w:spacing w:before="80" w:after="80" w:line="240" w:lineRule="auto"/>
        <w:jc w:val="both"/>
        <w:rPr>
          <w:rFonts w:eastAsia="MS PGothic" w:cs="Calibri"/>
          <w:sz w:val="10"/>
          <w:szCs w:val="10"/>
          <w:lang w:val="en-GB" w:eastAsia="zh-CN"/>
        </w:rPr>
      </w:pPr>
    </w:p>
    <w:p w14:paraId="44FA9431" w14:textId="77777777" w:rsidR="00056B8A" w:rsidRPr="00D30847" w:rsidRDefault="00056B8A" w:rsidP="009C1F26">
      <w:pPr>
        <w:spacing w:line="240" w:lineRule="auto"/>
        <w:rPr>
          <w:rFonts w:eastAsia="MS PGothic" w:cs="Calibri"/>
          <w:b/>
          <w:bCs/>
          <w:iCs/>
          <w:color w:val="0070C0"/>
          <w:lang w:val="en-GB" w:eastAsia="zh-CN"/>
        </w:rPr>
      </w:pPr>
      <w:r w:rsidRPr="00D30847">
        <w:rPr>
          <w:rFonts w:eastAsia="MS PGothic" w:cs="Calibri"/>
          <w:b/>
          <w:bCs/>
          <w:iCs/>
          <w:color w:val="0070C0"/>
          <w:lang w:val="en-GB" w:eastAsia="zh-CN"/>
        </w:rPr>
        <w:t>Activity 1: Develop general public investment project appraisal methodology</w:t>
      </w:r>
    </w:p>
    <w:p w14:paraId="5C13FD48" w14:textId="0D7C0735" w:rsidR="00056B8A" w:rsidRPr="00D30847" w:rsidRDefault="00056B8A" w:rsidP="009C1F26">
      <w:pPr>
        <w:spacing w:line="240" w:lineRule="auto"/>
        <w:jc w:val="both"/>
        <w:rPr>
          <w:rFonts w:eastAsia="MS PGothic" w:cs="Calibri"/>
          <w:bCs/>
          <w:iCs/>
          <w:lang w:val="en-GB" w:eastAsia="zh-CN"/>
        </w:rPr>
      </w:pPr>
      <w:r w:rsidRPr="00D30847">
        <w:rPr>
          <w:rFonts w:eastAsia="MS PGothic" w:cs="Calibri"/>
          <w:bCs/>
          <w:iCs/>
          <w:lang w:val="en-GB" w:eastAsia="zh-CN"/>
        </w:rPr>
        <w:t>The MoF will prepare a general appraisal methodology for public investment projects for all projects regardless of sources of funding, based on best international practices.</w:t>
      </w:r>
      <w:r w:rsidR="00F50612" w:rsidRPr="00D30847">
        <w:rPr>
          <w:rFonts w:eastAsia="MS PGothic" w:cs="Calibri"/>
          <w:bCs/>
          <w:iCs/>
          <w:lang w:val="en-GB" w:eastAsia="zh-CN"/>
        </w:rPr>
        <w:t xml:space="preserve"> </w:t>
      </w:r>
      <w:r w:rsidRPr="00D30847">
        <w:rPr>
          <w:rFonts w:eastAsia="MS PGothic" w:cs="Calibri"/>
          <w:bCs/>
          <w:iCs/>
          <w:lang w:val="en-GB" w:eastAsia="zh-CN"/>
        </w:rPr>
        <w:t>The methodology shall be adopted by the Government and applied by all public entities.</w:t>
      </w:r>
      <w:r w:rsidR="000C0866" w:rsidRPr="00D30847">
        <w:rPr>
          <w:rFonts w:eastAsia="MS PGothic" w:cs="Calibri"/>
          <w:bCs/>
          <w:iCs/>
          <w:lang w:val="en-GB" w:eastAsia="zh-CN"/>
        </w:rPr>
        <w:t xml:space="preserve"> The MoF shall prepare and publish the guidelines for preparation of pre-/feasibility studies.</w:t>
      </w:r>
    </w:p>
    <w:p w14:paraId="05E89910" w14:textId="77777777" w:rsidR="00056B8A" w:rsidRPr="00D30847" w:rsidRDefault="00056B8A" w:rsidP="009C1F26">
      <w:pPr>
        <w:spacing w:line="240" w:lineRule="auto"/>
        <w:rPr>
          <w:rFonts w:eastAsia="MS PGothic" w:cs="Calibri"/>
          <w:b/>
          <w:bCs/>
          <w:iCs/>
          <w:color w:val="0070C0"/>
          <w:lang w:val="en-GB" w:eastAsia="zh-CN"/>
        </w:rPr>
      </w:pPr>
      <w:r w:rsidRPr="00D30847">
        <w:rPr>
          <w:rFonts w:eastAsia="MS PGothic" w:cs="Calibri"/>
          <w:b/>
          <w:bCs/>
          <w:iCs/>
          <w:color w:val="0070C0"/>
          <w:lang w:val="en-GB" w:eastAsia="zh-CN"/>
        </w:rPr>
        <w:t>Activity 2: Establish standard criteria for project selection/prioritization</w:t>
      </w:r>
    </w:p>
    <w:p w14:paraId="4744AF7D" w14:textId="264FFBC5" w:rsidR="00056B8A" w:rsidRPr="00D30847" w:rsidRDefault="00056B8A" w:rsidP="009C1F26">
      <w:pPr>
        <w:spacing w:line="240" w:lineRule="auto"/>
        <w:jc w:val="both"/>
        <w:rPr>
          <w:rFonts w:eastAsia="MS PGothic" w:cs="Calibri"/>
          <w:bCs/>
          <w:iCs/>
          <w:lang w:val="en-GB" w:eastAsia="zh-CN"/>
        </w:rPr>
      </w:pPr>
      <w:r w:rsidRPr="00D30847">
        <w:rPr>
          <w:rFonts w:eastAsia="MS PGothic" w:cs="Calibri"/>
          <w:bCs/>
          <w:iCs/>
          <w:lang w:val="en-GB" w:eastAsia="zh-CN"/>
        </w:rPr>
        <w:t>The MoF shall propose criteria for prioritization of the public investment projects which include profitability (cost effectiveness), social and environmental impact and strategic importance of the projects, to be</w:t>
      </w:r>
      <w:r w:rsidR="00F50612" w:rsidRPr="00D30847">
        <w:rPr>
          <w:rFonts w:eastAsia="MS PGothic" w:cs="Calibri"/>
          <w:bCs/>
          <w:iCs/>
          <w:lang w:val="en-GB" w:eastAsia="zh-CN"/>
        </w:rPr>
        <w:t xml:space="preserve"> </w:t>
      </w:r>
      <w:r w:rsidRPr="00D30847">
        <w:rPr>
          <w:rFonts w:eastAsia="MS PGothic" w:cs="Calibri"/>
          <w:bCs/>
          <w:iCs/>
          <w:lang w:val="en-GB" w:eastAsia="zh-CN"/>
        </w:rPr>
        <w:t>adopted by the Government and will apply to all sectors.</w:t>
      </w:r>
      <w:r w:rsidR="00F50612" w:rsidRPr="00D30847">
        <w:rPr>
          <w:rFonts w:eastAsia="MS PGothic" w:cs="Calibri"/>
          <w:bCs/>
          <w:iCs/>
          <w:lang w:val="en-GB" w:eastAsia="zh-CN"/>
        </w:rPr>
        <w:t xml:space="preserve"> </w:t>
      </w:r>
      <w:r w:rsidRPr="00D30847">
        <w:rPr>
          <w:rFonts w:eastAsia="MS PGothic" w:cs="Calibri"/>
          <w:bCs/>
          <w:iCs/>
          <w:lang w:val="en-GB" w:eastAsia="zh-CN"/>
        </w:rPr>
        <w:t>These criteria will be used for creation of a single pipeline of appraised capital projects, covering all sectors and all funding sources.</w:t>
      </w:r>
    </w:p>
    <w:p w14:paraId="310D1C7D" w14:textId="47206251" w:rsidR="00056B8A" w:rsidRPr="00D30847" w:rsidRDefault="00056B8A" w:rsidP="009C1F26">
      <w:pPr>
        <w:spacing w:line="240" w:lineRule="auto"/>
        <w:jc w:val="both"/>
        <w:rPr>
          <w:rFonts w:eastAsia="MS PGothic" w:cs="Calibri"/>
          <w:b/>
          <w:bCs/>
          <w:iCs/>
          <w:color w:val="0070C0"/>
          <w:lang w:val="en-GB" w:eastAsia="zh-CN"/>
        </w:rPr>
      </w:pPr>
      <w:r w:rsidRPr="00D30847">
        <w:rPr>
          <w:rFonts w:eastAsia="MS PGothic" w:cs="Calibri"/>
          <w:b/>
          <w:bCs/>
          <w:iCs/>
          <w:color w:val="0070C0"/>
          <w:lang w:val="en-GB" w:eastAsia="zh-CN"/>
        </w:rPr>
        <w:t xml:space="preserve">Activity 3: Provide training to MoF professionals on project appraisal and review of </w:t>
      </w:r>
      <w:proofErr w:type="spellStart"/>
      <w:r w:rsidRPr="00D30847">
        <w:rPr>
          <w:rFonts w:eastAsia="MS PGothic" w:cs="Calibri"/>
          <w:b/>
          <w:bCs/>
          <w:iCs/>
          <w:color w:val="0070C0"/>
          <w:lang w:val="en-GB" w:eastAsia="zh-CN"/>
        </w:rPr>
        <w:t>preinvestment</w:t>
      </w:r>
      <w:proofErr w:type="spellEnd"/>
      <w:r w:rsidR="00F50612" w:rsidRPr="00D30847">
        <w:rPr>
          <w:rFonts w:eastAsia="MS PGothic" w:cs="Calibri"/>
          <w:b/>
          <w:bCs/>
          <w:iCs/>
          <w:color w:val="0070C0"/>
          <w:lang w:val="en-GB" w:eastAsia="zh-CN"/>
        </w:rPr>
        <w:t xml:space="preserve"> </w:t>
      </w:r>
      <w:r w:rsidRPr="00D30847">
        <w:rPr>
          <w:rFonts w:eastAsia="MS PGothic" w:cs="Calibri"/>
          <w:b/>
          <w:bCs/>
          <w:iCs/>
          <w:color w:val="0070C0"/>
          <w:lang w:val="en-GB" w:eastAsia="zh-CN"/>
        </w:rPr>
        <w:t>studies</w:t>
      </w:r>
    </w:p>
    <w:p w14:paraId="5F0AA539" w14:textId="77777777" w:rsidR="00056B8A" w:rsidRPr="00D30847" w:rsidRDefault="00056B8A" w:rsidP="009C1F26">
      <w:pPr>
        <w:spacing w:line="240" w:lineRule="auto"/>
        <w:jc w:val="both"/>
        <w:rPr>
          <w:rFonts w:eastAsia="MS PGothic" w:cs="Calibri"/>
          <w:bCs/>
          <w:iCs/>
          <w:lang w:val="en-GB" w:eastAsia="zh-CN"/>
        </w:rPr>
      </w:pPr>
      <w:r w:rsidRPr="00D30847">
        <w:rPr>
          <w:rFonts w:eastAsia="MS PGothic" w:cs="Calibri"/>
          <w:bCs/>
          <w:iCs/>
          <w:lang w:val="en-GB" w:eastAsia="zh-CN"/>
        </w:rPr>
        <w:t xml:space="preserve">Capacity development for strengthening PIM Department staff skills on project appraisal and review of </w:t>
      </w:r>
      <w:proofErr w:type="spellStart"/>
      <w:r w:rsidRPr="00D30847">
        <w:rPr>
          <w:rFonts w:eastAsia="MS PGothic" w:cs="Calibri"/>
          <w:bCs/>
          <w:iCs/>
          <w:lang w:val="en-GB" w:eastAsia="zh-CN"/>
        </w:rPr>
        <w:t>preinvestment</w:t>
      </w:r>
      <w:proofErr w:type="spellEnd"/>
      <w:r w:rsidRPr="00D30847">
        <w:rPr>
          <w:rFonts w:eastAsia="MS PGothic" w:cs="Calibri"/>
          <w:bCs/>
          <w:iCs/>
          <w:lang w:val="en-GB" w:eastAsia="zh-CN"/>
        </w:rPr>
        <w:t xml:space="preserve"> studies so that it can perform its function related to the independent review of public investment projects.</w:t>
      </w:r>
    </w:p>
    <w:p w14:paraId="3671764A" w14:textId="77777777" w:rsidR="00056B8A" w:rsidRPr="00D30847" w:rsidRDefault="00056B8A" w:rsidP="009C1F26">
      <w:pPr>
        <w:spacing w:line="240" w:lineRule="auto"/>
        <w:rPr>
          <w:rFonts w:eastAsia="MS PGothic" w:cs="Calibri"/>
          <w:b/>
          <w:bCs/>
          <w:iCs/>
          <w:color w:val="0070C0"/>
          <w:lang w:val="en-GB" w:eastAsia="zh-CN"/>
        </w:rPr>
      </w:pPr>
      <w:r w:rsidRPr="00D30847">
        <w:rPr>
          <w:rFonts w:eastAsia="MS PGothic" w:cs="Calibri"/>
          <w:b/>
          <w:bCs/>
          <w:iCs/>
          <w:color w:val="0070C0"/>
          <w:lang w:val="en-GB" w:eastAsia="zh-CN"/>
        </w:rPr>
        <w:t>Activity 4: Provide training to budget users/</w:t>
      </w:r>
      <w:proofErr w:type="spellStart"/>
      <w:r w:rsidRPr="00D30847">
        <w:rPr>
          <w:rFonts w:eastAsia="MS PGothic" w:cs="Calibri"/>
          <w:b/>
          <w:bCs/>
          <w:iCs/>
          <w:color w:val="0070C0"/>
          <w:lang w:val="en-GB" w:eastAsia="zh-CN"/>
        </w:rPr>
        <w:t>SoEs</w:t>
      </w:r>
      <w:proofErr w:type="spellEnd"/>
      <w:r w:rsidRPr="00D30847">
        <w:rPr>
          <w:rFonts w:eastAsia="MS PGothic" w:cs="Calibri"/>
          <w:b/>
          <w:bCs/>
          <w:iCs/>
          <w:color w:val="0070C0"/>
          <w:lang w:val="en-GB" w:eastAsia="zh-CN"/>
        </w:rPr>
        <w:t>/LSGUs professionals on project formulation, appraisal and selection</w:t>
      </w:r>
    </w:p>
    <w:p w14:paraId="39D3D504" w14:textId="38F3B056" w:rsidR="00056B8A" w:rsidRPr="00D30847" w:rsidRDefault="00056B8A" w:rsidP="009C1F26">
      <w:pPr>
        <w:spacing w:line="240" w:lineRule="auto"/>
        <w:jc w:val="both"/>
        <w:rPr>
          <w:rFonts w:eastAsia="MS PGothic" w:cs="Calibri"/>
          <w:bCs/>
          <w:iCs/>
          <w:lang w:val="en-GB" w:eastAsia="zh-CN"/>
        </w:rPr>
      </w:pPr>
      <w:r w:rsidRPr="00D30847">
        <w:rPr>
          <w:rFonts w:eastAsia="MS PGothic" w:cs="Calibri"/>
          <w:bCs/>
          <w:iCs/>
          <w:lang w:val="en-GB" w:eastAsia="zh-CN"/>
        </w:rPr>
        <w:t>Training of budget users/</w:t>
      </w:r>
      <w:proofErr w:type="spellStart"/>
      <w:r w:rsidRPr="00D30847">
        <w:rPr>
          <w:rFonts w:eastAsia="MS PGothic" w:cs="Calibri"/>
          <w:bCs/>
          <w:iCs/>
          <w:lang w:val="en-GB" w:eastAsia="zh-CN"/>
        </w:rPr>
        <w:t>SoEs</w:t>
      </w:r>
      <w:proofErr w:type="spellEnd"/>
      <w:r w:rsidRPr="00D30847">
        <w:rPr>
          <w:rFonts w:eastAsia="MS PGothic" w:cs="Calibri"/>
          <w:bCs/>
          <w:iCs/>
          <w:lang w:val="en-GB" w:eastAsia="zh-CN"/>
        </w:rPr>
        <w:t>/LSGUs on project formulation and appraisal of pre-investment studies shall be carried out to increase their capacity to review pre-investment studies done by consultants.</w:t>
      </w:r>
    </w:p>
    <w:p w14:paraId="77C0A55C" w14:textId="45A9A6C9" w:rsidR="00780E18" w:rsidRPr="00D30847" w:rsidRDefault="00780E18" w:rsidP="00E91268">
      <w:pPr>
        <w:spacing w:line="240" w:lineRule="auto"/>
        <w:jc w:val="both"/>
        <w:rPr>
          <w:rFonts w:eastAsia="MS PGothic" w:cs="Calibri"/>
          <w:bCs/>
          <w:iCs/>
          <w:lang w:val="en-GB" w:eastAsia="zh-CN"/>
        </w:rPr>
      </w:pPr>
      <w:r w:rsidRPr="00D30847">
        <w:rPr>
          <w:rFonts w:eastAsia="MS PGothic" w:cs="Calibri"/>
          <w:bCs/>
          <w:iCs/>
          <w:lang w:val="en-GB" w:eastAsia="zh-CN"/>
        </w:rPr>
        <w:t xml:space="preserve">There is a need to develop a continuous training program in accordance with international good practices, to be delivered by PIMD staff to the relevant national </w:t>
      </w:r>
      <w:r w:rsidR="008F391C" w:rsidRPr="00D30847">
        <w:rPr>
          <w:rFonts w:eastAsia="MS PGothic" w:cs="Calibri"/>
          <w:bCs/>
          <w:iCs/>
          <w:lang w:val="en-GB" w:eastAsia="zh-CN"/>
        </w:rPr>
        <w:t>institutions</w:t>
      </w:r>
      <w:r w:rsidRPr="00D30847">
        <w:rPr>
          <w:rFonts w:eastAsia="MS PGothic" w:cs="Calibri"/>
          <w:bCs/>
          <w:iCs/>
          <w:lang w:val="en-GB" w:eastAsia="zh-CN"/>
        </w:rPr>
        <w:t xml:space="preserve">, due to the high turnover rate that </w:t>
      </w:r>
      <w:r w:rsidR="00E91268">
        <w:rPr>
          <w:rFonts w:eastAsia="MS PGothic" w:cs="Calibri"/>
          <w:bCs/>
          <w:iCs/>
          <w:lang w:val="en-GB" w:eastAsia="zh-CN"/>
        </w:rPr>
        <w:t>is common in the public sector.</w:t>
      </w:r>
    </w:p>
    <w:p w14:paraId="46D32DBB" w14:textId="77777777" w:rsidR="00376718" w:rsidRPr="00D30847" w:rsidRDefault="00376718"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Implementation</w:t>
      </w:r>
    </w:p>
    <w:tbl>
      <w:tblPr>
        <w:tblW w:w="0" w:type="auto"/>
        <w:tblBorders>
          <w:insideH w:val="single" w:sz="4" w:space="0" w:color="FFFFFF"/>
        </w:tblBorders>
        <w:tblLayout w:type="fixed"/>
        <w:tblLook w:val="0080" w:firstRow="0" w:lastRow="0" w:firstColumn="1" w:lastColumn="0" w:noHBand="0" w:noVBand="0"/>
      </w:tblPr>
      <w:tblGrid>
        <w:gridCol w:w="2718"/>
        <w:gridCol w:w="5719"/>
      </w:tblGrid>
      <w:tr w:rsidR="00376718" w:rsidRPr="00D30847" w14:paraId="13BFF720" w14:textId="77777777" w:rsidTr="00A73DBE">
        <w:tc>
          <w:tcPr>
            <w:tcW w:w="2718" w:type="dxa"/>
            <w:tcBorders>
              <w:top w:val="nil"/>
              <w:bottom w:val="single" w:sz="4" w:space="0" w:color="FFFFFF"/>
            </w:tcBorders>
            <w:shd w:val="clear" w:color="auto" w:fill="002060"/>
          </w:tcPr>
          <w:p w14:paraId="2E8E266B" w14:textId="77777777" w:rsidR="00376718" w:rsidRPr="00D30847" w:rsidRDefault="00376718" w:rsidP="00E84CD0">
            <w:pPr>
              <w:tabs>
                <w:tab w:val="left" w:pos="1526"/>
              </w:tabs>
              <w:spacing w:after="0" w:line="240" w:lineRule="auto"/>
              <w:jc w:val="both"/>
              <w:rPr>
                <w:rFonts w:cs="Calibri"/>
                <w:color w:val="FFFFFF"/>
                <w:sz w:val="20"/>
                <w:szCs w:val="20"/>
                <w:lang w:val="en-GB"/>
              </w:rPr>
            </w:pPr>
            <w:r w:rsidRPr="00D30847">
              <w:rPr>
                <w:rFonts w:cs="Calibri"/>
                <w:b/>
                <w:color w:val="FFFFFF"/>
                <w:sz w:val="20"/>
                <w:szCs w:val="20"/>
                <w:lang w:val="en-GB"/>
              </w:rPr>
              <w:t>Completed in year:</w:t>
            </w:r>
            <w:r w:rsidRPr="00D30847">
              <w:rPr>
                <w:rFonts w:cs="Calibri"/>
                <w:color w:val="FFFFFF"/>
                <w:sz w:val="20"/>
                <w:szCs w:val="20"/>
                <w:lang w:val="en-GB"/>
              </w:rPr>
              <w:tab/>
            </w:r>
          </w:p>
        </w:tc>
        <w:tc>
          <w:tcPr>
            <w:tcW w:w="5719" w:type="dxa"/>
            <w:tcBorders>
              <w:top w:val="nil"/>
              <w:bottom w:val="single" w:sz="4" w:space="0" w:color="FFFFFF"/>
            </w:tcBorders>
            <w:shd w:val="clear" w:color="auto" w:fill="D9E2F3"/>
          </w:tcPr>
          <w:p w14:paraId="1E64954A" w14:textId="3B70D72E" w:rsidR="00376718" w:rsidRPr="00D30847" w:rsidRDefault="00376718" w:rsidP="00E84CD0">
            <w:pPr>
              <w:tabs>
                <w:tab w:val="left" w:pos="1526"/>
              </w:tabs>
              <w:spacing w:after="0" w:line="240" w:lineRule="auto"/>
              <w:jc w:val="both"/>
              <w:rPr>
                <w:rFonts w:cs="Calibri"/>
                <w:sz w:val="20"/>
                <w:szCs w:val="20"/>
                <w:lang w:val="en-GB"/>
              </w:rPr>
            </w:pPr>
            <w:r w:rsidRPr="00D30847">
              <w:rPr>
                <w:rFonts w:cs="Calibri"/>
                <w:sz w:val="20"/>
                <w:szCs w:val="20"/>
                <w:lang w:val="en-GB"/>
              </w:rPr>
              <w:t>202</w:t>
            </w:r>
            <w:r w:rsidR="00780E18" w:rsidRPr="00D30847">
              <w:rPr>
                <w:rFonts w:cs="Calibri"/>
                <w:sz w:val="20"/>
                <w:szCs w:val="20"/>
                <w:lang w:val="en-GB"/>
              </w:rPr>
              <w:t>8</w:t>
            </w:r>
          </w:p>
        </w:tc>
      </w:tr>
      <w:tr w:rsidR="00376718" w:rsidRPr="00D30847" w14:paraId="1B519C7B" w14:textId="77777777" w:rsidTr="00A73DBE">
        <w:tc>
          <w:tcPr>
            <w:tcW w:w="2718" w:type="dxa"/>
            <w:tcBorders>
              <w:top w:val="single" w:sz="4" w:space="0" w:color="FFFFFF"/>
              <w:bottom w:val="single" w:sz="4" w:space="0" w:color="FFFFFF"/>
            </w:tcBorders>
            <w:shd w:val="clear" w:color="auto" w:fill="002060"/>
          </w:tcPr>
          <w:p w14:paraId="467845CA" w14:textId="77777777" w:rsidR="00376718" w:rsidRPr="00D30847" w:rsidRDefault="00376718" w:rsidP="00E84CD0">
            <w:pPr>
              <w:tabs>
                <w:tab w:val="left" w:pos="4219"/>
              </w:tabs>
              <w:spacing w:after="0" w:line="240" w:lineRule="auto"/>
              <w:jc w:val="both"/>
              <w:rPr>
                <w:rFonts w:cs="Calibri"/>
                <w:color w:val="FFFFFF"/>
                <w:sz w:val="20"/>
                <w:szCs w:val="20"/>
                <w:lang w:val="en-GB"/>
              </w:rPr>
            </w:pPr>
            <w:r w:rsidRPr="00D30847">
              <w:rPr>
                <w:rFonts w:cs="Calibri"/>
                <w:b/>
                <w:color w:val="FFFFFF"/>
                <w:sz w:val="20"/>
                <w:szCs w:val="20"/>
                <w:lang w:val="en-GB"/>
              </w:rPr>
              <w:t>Deliverables:</w:t>
            </w:r>
          </w:p>
        </w:tc>
        <w:tc>
          <w:tcPr>
            <w:tcW w:w="5719" w:type="dxa"/>
            <w:tcBorders>
              <w:top w:val="single" w:sz="4" w:space="0" w:color="FFFFFF"/>
              <w:bottom w:val="single" w:sz="4" w:space="0" w:color="FFFFFF"/>
            </w:tcBorders>
            <w:shd w:val="clear" w:color="auto" w:fill="D9E2F3"/>
          </w:tcPr>
          <w:p w14:paraId="0F1A34F2" w14:textId="77777777" w:rsidR="00440CD6" w:rsidRPr="00D30847" w:rsidRDefault="00440CD6" w:rsidP="00AD2AD5">
            <w:pPr>
              <w:numPr>
                <w:ilvl w:val="0"/>
                <w:numId w:val="44"/>
              </w:numPr>
              <w:spacing w:after="0" w:line="240" w:lineRule="auto"/>
              <w:ind w:left="162" w:right="127" w:hanging="238"/>
              <w:jc w:val="both"/>
              <w:rPr>
                <w:rFonts w:cs="Calibri"/>
                <w:sz w:val="20"/>
                <w:szCs w:val="20"/>
                <w:lang w:val="en-GB"/>
              </w:rPr>
            </w:pPr>
            <w:r w:rsidRPr="00D30847">
              <w:rPr>
                <w:rFonts w:cs="Calibri"/>
                <w:sz w:val="20"/>
                <w:szCs w:val="20"/>
                <w:lang w:val="en-GB"/>
              </w:rPr>
              <w:t>General public investment project appraisal methodology;</w:t>
            </w:r>
          </w:p>
          <w:p w14:paraId="7B6DE43A" w14:textId="77777777" w:rsidR="00440CD6" w:rsidRPr="00D30847" w:rsidRDefault="00440CD6" w:rsidP="00AD2AD5">
            <w:pPr>
              <w:numPr>
                <w:ilvl w:val="0"/>
                <w:numId w:val="44"/>
              </w:numPr>
              <w:spacing w:after="0" w:line="240" w:lineRule="auto"/>
              <w:ind w:left="162" w:right="127" w:hanging="238"/>
              <w:jc w:val="both"/>
              <w:rPr>
                <w:rFonts w:cs="Calibri"/>
                <w:sz w:val="20"/>
                <w:szCs w:val="20"/>
                <w:lang w:val="en-GB"/>
              </w:rPr>
            </w:pPr>
            <w:r w:rsidRPr="00D30847">
              <w:rPr>
                <w:rFonts w:cs="Calibri"/>
                <w:sz w:val="20"/>
                <w:szCs w:val="20"/>
                <w:lang w:val="en-GB"/>
              </w:rPr>
              <w:t>Standard criteria for project selection;</w:t>
            </w:r>
          </w:p>
          <w:p w14:paraId="41D98DBD" w14:textId="77777777" w:rsidR="00440CD6" w:rsidRPr="00D30847" w:rsidRDefault="00440CD6" w:rsidP="00AD2AD5">
            <w:pPr>
              <w:numPr>
                <w:ilvl w:val="0"/>
                <w:numId w:val="44"/>
              </w:numPr>
              <w:spacing w:after="0" w:line="240" w:lineRule="auto"/>
              <w:ind w:left="162" w:right="127" w:hanging="238"/>
              <w:jc w:val="both"/>
              <w:rPr>
                <w:rFonts w:cs="Calibri"/>
                <w:sz w:val="20"/>
                <w:szCs w:val="20"/>
                <w:lang w:val="en-GB"/>
              </w:rPr>
            </w:pPr>
            <w:r w:rsidRPr="00D30847">
              <w:rPr>
                <w:rFonts w:cs="Calibri"/>
                <w:sz w:val="20"/>
                <w:szCs w:val="20"/>
                <w:lang w:val="en-GB"/>
              </w:rPr>
              <w:t>Training of staff;</w:t>
            </w:r>
          </w:p>
          <w:p w14:paraId="521F717D" w14:textId="77777777" w:rsidR="00376718" w:rsidRPr="00D30847" w:rsidRDefault="00440CD6" w:rsidP="00AD2AD5">
            <w:pPr>
              <w:numPr>
                <w:ilvl w:val="0"/>
                <w:numId w:val="44"/>
              </w:numPr>
              <w:spacing w:after="0" w:line="240" w:lineRule="auto"/>
              <w:ind w:left="162" w:right="127" w:hanging="238"/>
              <w:jc w:val="both"/>
              <w:rPr>
                <w:rFonts w:cs="Calibri"/>
                <w:sz w:val="20"/>
                <w:szCs w:val="20"/>
                <w:lang w:val="en-GB"/>
              </w:rPr>
            </w:pPr>
            <w:r w:rsidRPr="00D30847">
              <w:rPr>
                <w:rFonts w:cs="Calibri"/>
                <w:sz w:val="20"/>
                <w:szCs w:val="20"/>
                <w:lang w:val="en-GB"/>
              </w:rPr>
              <w:t>Single project pipeline of appraised projects.</w:t>
            </w:r>
          </w:p>
        </w:tc>
      </w:tr>
      <w:tr w:rsidR="00376718" w:rsidRPr="00D30847" w14:paraId="6253473C" w14:textId="77777777" w:rsidTr="00A73DBE">
        <w:tc>
          <w:tcPr>
            <w:tcW w:w="2718" w:type="dxa"/>
            <w:tcBorders>
              <w:top w:val="single" w:sz="4" w:space="0" w:color="FFFFFF"/>
              <w:bottom w:val="single" w:sz="4" w:space="0" w:color="FFFFFF"/>
            </w:tcBorders>
            <w:shd w:val="clear" w:color="auto" w:fill="002060"/>
          </w:tcPr>
          <w:p w14:paraId="24ECECE2" w14:textId="77777777" w:rsidR="00376718" w:rsidRPr="00D30847" w:rsidRDefault="00376718"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Cost implications:</w:t>
            </w:r>
          </w:p>
        </w:tc>
        <w:tc>
          <w:tcPr>
            <w:tcW w:w="5719" w:type="dxa"/>
            <w:tcBorders>
              <w:top w:val="single" w:sz="4" w:space="0" w:color="FFFFFF"/>
              <w:bottom w:val="single" w:sz="4" w:space="0" w:color="FFFFFF"/>
            </w:tcBorders>
            <w:shd w:val="clear" w:color="auto" w:fill="D9E2F3"/>
          </w:tcPr>
          <w:p w14:paraId="3048578B" w14:textId="72FBC3F8" w:rsidR="00376718" w:rsidRPr="00D30847" w:rsidRDefault="00376718" w:rsidP="00E84CD0">
            <w:pPr>
              <w:tabs>
                <w:tab w:val="left" w:pos="1526"/>
              </w:tabs>
              <w:spacing w:after="0" w:line="240" w:lineRule="auto"/>
              <w:jc w:val="both"/>
              <w:rPr>
                <w:rFonts w:cs="Calibri"/>
                <w:sz w:val="20"/>
                <w:szCs w:val="20"/>
                <w:lang w:val="en-GB"/>
              </w:rPr>
            </w:pPr>
            <w:r w:rsidRPr="00D30847">
              <w:rPr>
                <w:rFonts w:cs="Calibri"/>
                <w:sz w:val="20"/>
                <w:szCs w:val="20"/>
                <w:lang w:val="en-GB"/>
              </w:rPr>
              <w:t xml:space="preserve">EUR </w:t>
            </w:r>
            <w:r w:rsidR="00FC425B" w:rsidRPr="00D30847">
              <w:rPr>
                <w:rFonts w:cs="Calibri"/>
                <w:sz w:val="20"/>
                <w:szCs w:val="20"/>
                <w:lang w:val="en-GB"/>
              </w:rPr>
              <w:t>1</w:t>
            </w:r>
            <w:r w:rsidR="00780E18" w:rsidRPr="00D30847">
              <w:rPr>
                <w:rFonts w:cs="Calibri"/>
                <w:sz w:val="20"/>
                <w:szCs w:val="20"/>
                <w:lang w:val="en-GB"/>
              </w:rPr>
              <w:t>00</w:t>
            </w:r>
            <w:r w:rsidRPr="00D30847">
              <w:rPr>
                <w:rFonts w:cs="Calibri"/>
                <w:sz w:val="20"/>
                <w:szCs w:val="20"/>
                <w:lang w:val="en-GB"/>
              </w:rPr>
              <w:t>,000</w:t>
            </w:r>
          </w:p>
        </w:tc>
      </w:tr>
      <w:tr w:rsidR="00376718" w:rsidRPr="00D30847" w14:paraId="70A2149A" w14:textId="77777777" w:rsidTr="00A73DBE">
        <w:tc>
          <w:tcPr>
            <w:tcW w:w="2718" w:type="dxa"/>
            <w:tcBorders>
              <w:top w:val="single" w:sz="4" w:space="0" w:color="FFFFFF"/>
              <w:bottom w:val="single" w:sz="4" w:space="0" w:color="FFFFFF"/>
            </w:tcBorders>
            <w:shd w:val="clear" w:color="auto" w:fill="002060"/>
          </w:tcPr>
          <w:p w14:paraId="2FE0BD89" w14:textId="77777777" w:rsidR="00376718" w:rsidRPr="00D30847" w:rsidRDefault="00376718"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lastRenderedPageBreak/>
              <w:t xml:space="preserve">Responsible entity: </w:t>
            </w:r>
          </w:p>
        </w:tc>
        <w:tc>
          <w:tcPr>
            <w:tcW w:w="5719" w:type="dxa"/>
            <w:tcBorders>
              <w:top w:val="single" w:sz="4" w:space="0" w:color="FFFFFF"/>
              <w:bottom w:val="single" w:sz="4" w:space="0" w:color="FFFFFF"/>
            </w:tcBorders>
            <w:shd w:val="clear" w:color="auto" w:fill="D9E2F3"/>
          </w:tcPr>
          <w:p w14:paraId="5BD40A75" w14:textId="0B051BDB" w:rsidR="00376718" w:rsidRPr="00D30847" w:rsidRDefault="00FA0745" w:rsidP="00E84CD0">
            <w:pPr>
              <w:spacing w:after="160" w:line="240" w:lineRule="auto"/>
              <w:jc w:val="both"/>
              <w:rPr>
                <w:rFonts w:cs="Calibri"/>
                <w:sz w:val="20"/>
                <w:szCs w:val="20"/>
                <w:lang w:val="en-GB"/>
              </w:rPr>
            </w:pPr>
            <w:r w:rsidRPr="00D30847">
              <w:rPr>
                <w:rFonts w:cs="Calibri"/>
                <w:sz w:val="20"/>
                <w:szCs w:val="20"/>
                <w:lang w:val="en-GB"/>
              </w:rPr>
              <w:t>MoF – PIM Department</w:t>
            </w:r>
            <w:r w:rsidR="00376718" w:rsidRPr="00D30847">
              <w:rPr>
                <w:rFonts w:cs="Calibri"/>
                <w:sz w:val="20"/>
                <w:szCs w:val="20"/>
                <w:lang w:val="en-GB"/>
              </w:rPr>
              <w:t>, budget users/</w:t>
            </w:r>
            <w:proofErr w:type="spellStart"/>
            <w:r w:rsidR="00376718" w:rsidRPr="00D30847">
              <w:rPr>
                <w:rFonts w:cs="Calibri"/>
                <w:sz w:val="20"/>
                <w:szCs w:val="20"/>
                <w:lang w:val="en-GB"/>
              </w:rPr>
              <w:t>SoEs</w:t>
            </w:r>
            <w:proofErr w:type="spellEnd"/>
            <w:r w:rsidR="00376718" w:rsidRPr="00D30847">
              <w:rPr>
                <w:rFonts w:cs="Calibri"/>
                <w:sz w:val="20"/>
                <w:szCs w:val="20"/>
                <w:lang w:val="en-GB"/>
              </w:rPr>
              <w:t>/LSGUs, Government Cabinet, Municipal Council</w:t>
            </w:r>
          </w:p>
        </w:tc>
      </w:tr>
      <w:tr w:rsidR="00376718" w:rsidRPr="00D30847" w14:paraId="1CF6ED31" w14:textId="77777777" w:rsidTr="00A73DBE">
        <w:tc>
          <w:tcPr>
            <w:tcW w:w="2718" w:type="dxa"/>
            <w:tcBorders>
              <w:top w:val="single" w:sz="4" w:space="0" w:color="FFFFFF"/>
              <w:bottom w:val="nil"/>
            </w:tcBorders>
            <w:shd w:val="clear" w:color="auto" w:fill="002060"/>
          </w:tcPr>
          <w:p w14:paraId="14FD3994" w14:textId="77777777" w:rsidR="00376718" w:rsidRPr="00D30847" w:rsidRDefault="00376718"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Risk:</w:t>
            </w:r>
          </w:p>
        </w:tc>
        <w:tc>
          <w:tcPr>
            <w:tcW w:w="5719" w:type="dxa"/>
            <w:tcBorders>
              <w:top w:val="single" w:sz="4" w:space="0" w:color="FFFFFF"/>
              <w:bottom w:val="nil"/>
            </w:tcBorders>
            <w:shd w:val="clear" w:color="auto" w:fill="D9E2F3"/>
          </w:tcPr>
          <w:p w14:paraId="5196B051" w14:textId="77777777" w:rsidR="00376718" w:rsidRPr="00D30847" w:rsidRDefault="00376718" w:rsidP="00AD2AD5">
            <w:pPr>
              <w:numPr>
                <w:ilvl w:val="0"/>
                <w:numId w:val="44"/>
              </w:numPr>
              <w:spacing w:after="160" w:line="240" w:lineRule="auto"/>
              <w:ind w:left="162" w:hanging="162"/>
              <w:jc w:val="both"/>
              <w:rPr>
                <w:rFonts w:cs="Calibri"/>
                <w:sz w:val="20"/>
                <w:szCs w:val="20"/>
                <w:lang w:val="en-GB"/>
              </w:rPr>
            </w:pPr>
            <w:r w:rsidRPr="00D30847">
              <w:rPr>
                <w:rFonts w:cs="Calibri"/>
                <w:sz w:val="20"/>
                <w:szCs w:val="20"/>
                <w:lang w:val="en-GB"/>
              </w:rPr>
              <w:t>Insufficient staff, lack of capacities, lack of coordination between institutions and lack of data.</w:t>
            </w:r>
          </w:p>
        </w:tc>
      </w:tr>
    </w:tbl>
    <w:p w14:paraId="47F63B81" w14:textId="77777777" w:rsidR="00860277" w:rsidRPr="00D30847" w:rsidRDefault="00860277" w:rsidP="00E84CD0">
      <w:pPr>
        <w:spacing w:after="160" w:line="240" w:lineRule="auto"/>
        <w:jc w:val="both"/>
        <w:rPr>
          <w:rFonts w:cs="Calibri"/>
          <w:lang w:val="en-GB"/>
        </w:rPr>
      </w:pPr>
    </w:p>
    <w:p w14:paraId="4C55A160" w14:textId="42A8ACF3" w:rsidR="00376718" w:rsidRPr="00D30847" w:rsidRDefault="00376718" w:rsidP="00E84CD0">
      <w:pPr>
        <w:spacing w:line="240" w:lineRule="auto"/>
        <w:jc w:val="both"/>
        <w:rPr>
          <w:rFonts w:cs="Calibri"/>
          <w:b/>
          <w:color w:val="0070C0"/>
          <w:sz w:val="24"/>
          <w:szCs w:val="24"/>
          <w:lang w:val="en-GB" w:eastAsia="zh-CN"/>
        </w:rPr>
      </w:pPr>
      <w:r w:rsidRPr="00D30847">
        <w:rPr>
          <w:rFonts w:cs="Calibri"/>
          <w:b/>
          <w:color w:val="0070C0"/>
          <w:sz w:val="24"/>
          <w:szCs w:val="24"/>
          <w:lang w:val="en-GB" w:eastAsia="zh-CN"/>
        </w:rPr>
        <w:t>Measure 3:</w:t>
      </w:r>
      <w:r w:rsidR="002E26BE" w:rsidRPr="00D30847">
        <w:rPr>
          <w:rFonts w:cs="Calibri"/>
          <w:b/>
          <w:color w:val="0070C0"/>
          <w:sz w:val="24"/>
          <w:szCs w:val="24"/>
          <w:lang w:val="en-GB" w:eastAsia="zh-CN"/>
        </w:rPr>
        <w:t xml:space="preserve"> </w:t>
      </w:r>
      <w:r w:rsidRPr="00D30847">
        <w:rPr>
          <w:rFonts w:cs="Calibri"/>
          <w:b/>
          <w:color w:val="0070C0"/>
          <w:sz w:val="24"/>
          <w:szCs w:val="24"/>
          <w:lang w:val="en-GB" w:eastAsia="zh-CN"/>
        </w:rPr>
        <w:t>Efficient and effective monitoring of capital investments</w:t>
      </w:r>
    </w:p>
    <w:p w14:paraId="0C1CADBB" w14:textId="77777777" w:rsidR="00376718" w:rsidRPr="00D30847" w:rsidRDefault="00376718"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434187D8" w14:textId="77777777" w:rsidR="00376718" w:rsidRPr="00D30847" w:rsidRDefault="00376718" w:rsidP="00E84CD0">
      <w:pPr>
        <w:spacing w:after="160" w:line="240" w:lineRule="auto"/>
        <w:jc w:val="both"/>
        <w:rPr>
          <w:rFonts w:cs="Calibri"/>
          <w:lang w:val="en-GB"/>
        </w:rPr>
      </w:pPr>
      <w:r w:rsidRPr="00D30847">
        <w:rPr>
          <w:rFonts w:cs="Calibri"/>
          <w:lang w:val="en-GB"/>
        </w:rPr>
        <w:t xml:space="preserve">Improved project monitoring and reporting arrangements for major public investment projects thus ensuring value for money. </w:t>
      </w:r>
    </w:p>
    <w:p w14:paraId="44054A0D" w14:textId="77777777" w:rsidR="00376718" w:rsidRPr="00D30847" w:rsidRDefault="00376718"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 xml:space="preserve">Reference to the external assessments findings: </w:t>
      </w:r>
    </w:p>
    <w:tbl>
      <w:tblPr>
        <w:tblW w:w="85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851"/>
        <w:gridCol w:w="7700"/>
      </w:tblGrid>
      <w:tr w:rsidR="00376718" w:rsidRPr="00D30847" w14:paraId="764ECEB8" w14:textId="77777777" w:rsidTr="00BA5E44">
        <w:tc>
          <w:tcPr>
            <w:tcW w:w="851" w:type="dxa"/>
            <w:shd w:val="clear" w:color="auto" w:fill="DDDDDD"/>
          </w:tcPr>
          <w:p w14:paraId="19F6B3BC" w14:textId="1627F43A" w:rsidR="00376718" w:rsidRPr="00D30847" w:rsidRDefault="00376718" w:rsidP="00E84CD0">
            <w:pPr>
              <w:spacing w:before="80" w:after="0" w:line="240" w:lineRule="auto"/>
              <w:jc w:val="both"/>
              <w:rPr>
                <w:rFonts w:cs="Calibri"/>
                <w:b/>
                <w:sz w:val="20"/>
                <w:szCs w:val="20"/>
                <w:lang w:val="en-GB"/>
              </w:rPr>
            </w:pPr>
            <w:r w:rsidRPr="00D30847">
              <w:rPr>
                <w:rFonts w:cs="Calibri"/>
                <w:b/>
                <w:sz w:val="20"/>
                <w:szCs w:val="20"/>
                <w:lang w:val="en-GB"/>
              </w:rPr>
              <w:t>PEFA</w:t>
            </w:r>
          </w:p>
        </w:tc>
        <w:tc>
          <w:tcPr>
            <w:tcW w:w="7700" w:type="dxa"/>
            <w:shd w:val="clear" w:color="auto" w:fill="DDDDDD"/>
          </w:tcPr>
          <w:p w14:paraId="2859F310" w14:textId="77777777" w:rsidR="00376718" w:rsidRPr="00D30847" w:rsidRDefault="00376718" w:rsidP="00E84CD0">
            <w:pPr>
              <w:spacing w:after="0" w:line="240" w:lineRule="auto"/>
              <w:jc w:val="both"/>
              <w:rPr>
                <w:rFonts w:cs="Calibri"/>
                <w:sz w:val="20"/>
                <w:szCs w:val="20"/>
                <w:lang w:val="en-GB"/>
              </w:rPr>
            </w:pPr>
            <w:r w:rsidRPr="00D30847">
              <w:rPr>
                <w:rFonts w:cs="Calibri"/>
                <w:sz w:val="20"/>
                <w:szCs w:val="20"/>
                <w:lang w:val="en-GB"/>
              </w:rPr>
              <w:t>Dimension 11.4:</w:t>
            </w:r>
          </w:p>
          <w:p w14:paraId="1DCE7665" w14:textId="77777777" w:rsidR="00376718" w:rsidRPr="00D30847" w:rsidRDefault="00376718" w:rsidP="00E84CD0">
            <w:pPr>
              <w:spacing w:after="0" w:line="240" w:lineRule="auto"/>
              <w:jc w:val="both"/>
              <w:rPr>
                <w:rFonts w:cs="Calibri"/>
                <w:sz w:val="20"/>
                <w:szCs w:val="20"/>
                <w:lang w:val="en-GB"/>
              </w:rPr>
            </w:pPr>
            <w:r w:rsidRPr="00D30847">
              <w:rPr>
                <w:rFonts w:cs="Calibri"/>
                <w:sz w:val="20"/>
                <w:szCs w:val="20"/>
                <w:lang w:val="en-GB"/>
              </w:rPr>
              <w:t>Standards or rules governing project monitoring and reporting vary based on funding source. There is no legal framework for monitoring project implementation. For externally funded projects, there is a high level of compliance with the funding entity’s standards and procedures. For domestically funded projects, there are no standards, and there is no central oversight entity.</w:t>
            </w:r>
          </w:p>
          <w:p w14:paraId="14A0C268" w14:textId="77777777" w:rsidR="00376718" w:rsidRPr="00D30847" w:rsidRDefault="00376718" w:rsidP="00E84CD0">
            <w:pPr>
              <w:spacing w:after="0" w:line="240" w:lineRule="auto"/>
              <w:jc w:val="both"/>
              <w:rPr>
                <w:rFonts w:cs="Calibri"/>
                <w:sz w:val="20"/>
                <w:szCs w:val="20"/>
                <w:lang w:val="en-GB"/>
              </w:rPr>
            </w:pPr>
            <w:r w:rsidRPr="00D30847">
              <w:rPr>
                <w:rFonts w:cs="Calibri"/>
                <w:b/>
                <w:sz w:val="20"/>
                <w:szCs w:val="20"/>
                <w:lang w:val="en-GB"/>
              </w:rPr>
              <w:t>Since the total cost and physical progress of major investment projects are monitored by the implementing government unit, but there are no standard procedures for project implementation and published annual reports address financial implementation status only, the score for this dimension is C.</w:t>
            </w:r>
          </w:p>
        </w:tc>
      </w:tr>
      <w:tr w:rsidR="00376718" w:rsidRPr="00D30847" w14:paraId="2E476AC9" w14:textId="77777777" w:rsidTr="00BA5E44">
        <w:tc>
          <w:tcPr>
            <w:tcW w:w="851" w:type="dxa"/>
            <w:shd w:val="clear" w:color="auto" w:fill="DDDDDD"/>
          </w:tcPr>
          <w:p w14:paraId="485D58DD" w14:textId="15D1246C" w:rsidR="00376718" w:rsidRPr="00D30847" w:rsidRDefault="00376718" w:rsidP="00E84CD0">
            <w:pPr>
              <w:spacing w:before="80" w:after="0" w:line="240" w:lineRule="auto"/>
              <w:jc w:val="both"/>
              <w:rPr>
                <w:rFonts w:cs="Calibri"/>
                <w:b/>
                <w:sz w:val="20"/>
                <w:szCs w:val="20"/>
                <w:lang w:val="en-GB"/>
              </w:rPr>
            </w:pPr>
            <w:r w:rsidRPr="00D30847">
              <w:rPr>
                <w:rFonts w:cs="Calibri"/>
                <w:b/>
                <w:sz w:val="20"/>
                <w:szCs w:val="20"/>
                <w:lang w:val="en-GB"/>
              </w:rPr>
              <w:t>PIMA</w:t>
            </w:r>
          </w:p>
        </w:tc>
        <w:tc>
          <w:tcPr>
            <w:tcW w:w="7700" w:type="dxa"/>
            <w:shd w:val="clear" w:color="auto" w:fill="DDDDDD"/>
          </w:tcPr>
          <w:p w14:paraId="4026DF0A" w14:textId="77777777" w:rsidR="00376718" w:rsidRPr="00D30847" w:rsidRDefault="00376718" w:rsidP="00E84CD0">
            <w:pPr>
              <w:spacing w:after="0" w:line="240" w:lineRule="auto"/>
              <w:jc w:val="both"/>
              <w:rPr>
                <w:rFonts w:cs="Calibri"/>
                <w:sz w:val="20"/>
                <w:szCs w:val="20"/>
                <w:lang w:val="en-GB"/>
              </w:rPr>
            </w:pPr>
            <w:r w:rsidRPr="00D30847">
              <w:rPr>
                <w:rFonts w:cs="Calibri"/>
                <w:sz w:val="20"/>
                <w:szCs w:val="20"/>
                <w:lang w:val="en-GB"/>
              </w:rPr>
              <w:t>At the implementation stage, there is no central oversight over the entire public investment portfolio. Infrastructure projects are managed individually, but neither a sectoral nor a national oversight function is performed within the public sector preventing the Ministry of Finance, or the government, to clearly identify costs overruns and projects delays, to take corrective actions on a timely manner, and to learn from implementation experience.</w:t>
            </w:r>
          </w:p>
        </w:tc>
      </w:tr>
    </w:tbl>
    <w:p w14:paraId="55B17AEC" w14:textId="77777777" w:rsidR="009C1F26" w:rsidRPr="00D30847" w:rsidRDefault="009C1F26" w:rsidP="009C1F26">
      <w:pPr>
        <w:keepNext/>
        <w:keepLines/>
        <w:spacing w:after="60" w:line="240" w:lineRule="auto"/>
        <w:jc w:val="both"/>
        <w:outlineLvl w:val="3"/>
        <w:rPr>
          <w:rFonts w:eastAsia="MS PGothic" w:cs="Calibri"/>
          <w:b/>
          <w:bCs/>
          <w:i/>
          <w:iCs/>
          <w:color w:val="4F81BD"/>
          <w:lang w:val="en-GB" w:eastAsia="zh-CN"/>
        </w:rPr>
      </w:pPr>
    </w:p>
    <w:p w14:paraId="7858884A" w14:textId="77716AED" w:rsidR="009C1F26" w:rsidRPr="00D30847" w:rsidRDefault="00376718" w:rsidP="009C1F26">
      <w:pPr>
        <w:keepNext/>
        <w:keepLines/>
        <w:spacing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Context / Background</w:t>
      </w:r>
    </w:p>
    <w:p w14:paraId="577B68B1" w14:textId="77777777" w:rsidR="00440CD6" w:rsidRPr="00D30847" w:rsidRDefault="00440CD6" w:rsidP="009C1F26">
      <w:pPr>
        <w:autoSpaceDE w:val="0"/>
        <w:autoSpaceDN w:val="0"/>
        <w:adjustRightInd w:val="0"/>
        <w:spacing w:after="120" w:line="240" w:lineRule="auto"/>
        <w:contextualSpacing/>
        <w:jc w:val="both"/>
        <w:rPr>
          <w:rFonts w:eastAsia="MS PGothic" w:cs="Calibri"/>
          <w:lang w:val="en-GB" w:eastAsia="zh-CN"/>
        </w:rPr>
      </w:pPr>
      <w:r w:rsidRPr="00D30847">
        <w:rPr>
          <w:rFonts w:eastAsia="MS PGothic" w:cs="Calibri"/>
          <w:lang w:val="en-GB" w:eastAsia="zh-CN"/>
        </w:rPr>
        <w:t>Effective project management is of paramount importance to ensure the successful delivery of public investment projects, which are then subject to ex-post review. The results of ex-post reviews provide invaluable insights that are useful for further planning of future projects and decision-making, and also contribute to their continuous improvement.</w:t>
      </w:r>
    </w:p>
    <w:p w14:paraId="346C2C09" w14:textId="77777777" w:rsidR="00440CD6" w:rsidRPr="00D30847" w:rsidRDefault="00440CD6" w:rsidP="00F50612">
      <w:pPr>
        <w:autoSpaceDE w:val="0"/>
        <w:autoSpaceDN w:val="0"/>
        <w:adjustRightInd w:val="0"/>
        <w:spacing w:after="120" w:line="240" w:lineRule="auto"/>
        <w:contextualSpacing/>
        <w:jc w:val="both"/>
        <w:rPr>
          <w:rFonts w:eastAsia="MS PGothic" w:cs="Calibri"/>
          <w:lang w:val="en-GB" w:eastAsia="zh-CN"/>
        </w:rPr>
      </w:pPr>
      <w:r w:rsidRPr="00D30847">
        <w:rPr>
          <w:rFonts w:eastAsia="MS PGothic" w:cs="Calibri"/>
          <w:lang w:val="en-GB" w:eastAsia="zh-CN"/>
        </w:rPr>
        <w:t>The diligent monitoring and periodic reporting requirements ensure that the government and funding body remains informed about the progress of funded projects, promoting transparency, accountability, and timely interventions, if necessary, to ensure successful project implementation.</w:t>
      </w:r>
    </w:p>
    <w:p w14:paraId="34E23807" w14:textId="77777777" w:rsidR="00440CD6" w:rsidRPr="00D30847" w:rsidRDefault="00440CD6" w:rsidP="00F50612">
      <w:pPr>
        <w:autoSpaceDE w:val="0"/>
        <w:autoSpaceDN w:val="0"/>
        <w:adjustRightInd w:val="0"/>
        <w:spacing w:after="120" w:line="240" w:lineRule="auto"/>
        <w:contextualSpacing/>
        <w:jc w:val="both"/>
        <w:rPr>
          <w:rFonts w:eastAsia="MS PGothic" w:cs="Calibri"/>
          <w:lang w:val="en-GB" w:eastAsia="zh-CN"/>
        </w:rPr>
      </w:pPr>
      <w:r w:rsidRPr="00D30847">
        <w:rPr>
          <w:rFonts w:eastAsia="MS PGothic" w:cs="Calibri"/>
          <w:lang w:val="en-GB" w:eastAsia="zh-CN"/>
        </w:rPr>
        <w:t>The Government should introduce risk-based centralized monitoring, involving high-level monitoring by MoF for most projects and closer scrutiny of projects with higher delivery risk. Upon securing financing for a project, the responsibility for its implementation falls on the project implementers. These entities are not only accountable for executing the project, but also for closely monitoring both its financial and physical progress throughout the implementation phase. This dual oversight ensures that the project stays on track and adheres to budgetary and timeline expectations. In addition to continuous monitoring, it should be a mandatory requirement for these entities to compile and submit progress reports to the MoF. These reports serve as crucial documentation of the project's development and are instrumental in maintaining transparency and accountability.</w:t>
      </w:r>
    </w:p>
    <w:p w14:paraId="658C2774" w14:textId="77777777" w:rsidR="00440CD6" w:rsidRPr="00D30847" w:rsidRDefault="00440CD6" w:rsidP="00F50612">
      <w:pPr>
        <w:autoSpaceDE w:val="0"/>
        <w:autoSpaceDN w:val="0"/>
        <w:adjustRightInd w:val="0"/>
        <w:spacing w:after="120" w:line="240" w:lineRule="auto"/>
        <w:contextualSpacing/>
        <w:jc w:val="both"/>
        <w:rPr>
          <w:rFonts w:eastAsia="MS PGothic" w:cs="Calibri"/>
          <w:lang w:val="en-GB" w:eastAsia="zh-CN"/>
        </w:rPr>
      </w:pPr>
      <w:r w:rsidRPr="00D30847">
        <w:rPr>
          <w:rFonts w:eastAsia="MS PGothic" w:cs="Calibri"/>
          <w:lang w:val="en-GB" w:eastAsia="zh-CN"/>
        </w:rPr>
        <w:t>Furthermore, the MoF needs to create a database for public investment projects to manage public investment project data from inception to monitoring (including impacts related to climate change on infrastructure).</w:t>
      </w:r>
    </w:p>
    <w:p w14:paraId="5D978CF9" w14:textId="77777777" w:rsidR="009C1F26" w:rsidRPr="00D30847" w:rsidRDefault="009C1F26" w:rsidP="00F50612">
      <w:pPr>
        <w:autoSpaceDE w:val="0"/>
        <w:autoSpaceDN w:val="0"/>
        <w:adjustRightInd w:val="0"/>
        <w:spacing w:after="120" w:line="240" w:lineRule="auto"/>
        <w:contextualSpacing/>
        <w:jc w:val="both"/>
        <w:rPr>
          <w:rFonts w:eastAsia="MS PGothic" w:cs="Calibri"/>
          <w:lang w:val="en-GB" w:eastAsia="zh-CN"/>
        </w:rPr>
      </w:pPr>
    </w:p>
    <w:p w14:paraId="41989B43" w14:textId="21CB08E6" w:rsidR="009C1F26" w:rsidRDefault="009C1F26" w:rsidP="00F50612">
      <w:pPr>
        <w:autoSpaceDE w:val="0"/>
        <w:autoSpaceDN w:val="0"/>
        <w:adjustRightInd w:val="0"/>
        <w:spacing w:after="120" w:line="240" w:lineRule="auto"/>
        <w:contextualSpacing/>
        <w:jc w:val="both"/>
        <w:rPr>
          <w:rFonts w:eastAsia="MS PGothic" w:cs="Calibri"/>
          <w:lang w:val="en-GB" w:eastAsia="zh-CN"/>
        </w:rPr>
      </w:pPr>
    </w:p>
    <w:p w14:paraId="0521320E" w14:textId="5DEE6009" w:rsidR="00E91268" w:rsidRDefault="00E91268" w:rsidP="00F50612">
      <w:pPr>
        <w:autoSpaceDE w:val="0"/>
        <w:autoSpaceDN w:val="0"/>
        <w:adjustRightInd w:val="0"/>
        <w:spacing w:after="120" w:line="240" w:lineRule="auto"/>
        <w:contextualSpacing/>
        <w:jc w:val="both"/>
        <w:rPr>
          <w:rFonts w:eastAsia="MS PGothic" w:cs="Calibri"/>
          <w:lang w:val="en-GB" w:eastAsia="zh-CN"/>
        </w:rPr>
      </w:pPr>
    </w:p>
    <w:p w14:paraId="1CE71163" w14:textId="77777777" w:rsidR="00E91268" w:rsidRPr="00D30847" w:rsidRDefault="00E91268" w:rsidP="00F50612">
      <w:pPr>
        <w:autoSpaceDE w:val="0"/>
        <w:autoSpaceDN w:val="0"/>
        <w:adjustRightInd w:val="0"/>
        <w:spacing w:after="120" w:line="240" w:lineRule="auto"/>
        <w:contextualSpacing/>
        <w:jc w:val="both"/>
        <w:rPr>
          <w:rFonts w:eastAsia="MS PGothic" w:cs="Calibri"/>
          <w:lang w:val="en-GB" w:eastAsia="zh-CN"/>
        </w:rPr>
      </w:pPr>
    </w:p>
    <w:p w14:paraId="4CD26ED9" w14:textId="77777777" w:rsidR="00440CD6" w:rsidRPr="00D30847" w:rsidRDefault="00440CD6" w:rsidP="00440CD6">
      <w:pPr>
        <w:autoSpaceDE w:val="0"/>
        <w:autoSpaceDN w:val="0"/>
        <w:adjustRightInd w:val="0"/>
        <w:spacing w:after="120" w:line="240" w:lineRule="auto"/>
        <w:contextualSpacing/>
        <w:jc w:val="both"/>
        <w:rPr>
          <w:rFonts w:eastAsia="MS PGothic" w:cs="Calibri"/>
          <w:b/>
          <w:bCs/>
          <w:i/>
          <w:iCs/>
          <w:color w:val="4F81BD"/>
          <w:lang w:val="en-GB" w:eastAsia="zh-CN"/>
        </w:rPr>
      </w:pPr>
    </w:p>
    <w:p w14:paraId="190E31F1" w14:textId="310A860B" w:rsidR="0084759C" w:rsidRPr="00D30847" w:rsidRDefault="00440CD6" w:rsidP="00440CD6">
      <w:pPr>
        <w:autoSpaceDE w:val="0"/>
        <w:autoSpaceDN w:val="0"/>
        <w:adjustRightInd w:val="0"/>
        <w:spacing w:after="0"/>
        <w:jc w:val="both"/>
        <w:rPr>
          <w:rFonts w:eastAsia="MS PGothic" w:cs="Calibri"/>
          <w:b/>
          <w:bCs/>
          <w:iCs/>
          <w:color w:val="0070C0"/>
          <w:lang w:val="en-GB" w:eastAsia="zh-CN"/>
        </w:rPr>
      </w:pPr>
      <w:r w:rsidRPr="00D30847">
        <w:rPr>
          <w:rFonts w:eastAsia="MS PGothic" w:cs="Calibri"/>
          <w:b/>
          <w:bCs/>
          <w:iCs/>
          <w:color w:val="0070C0"/>
          <w:lang w:val="en-GB" w:eastAsia="zh-CN"/>
        </w:rPr>
        <w:t>Activity 1: Introduce procedures for risk-based centralized monitoring</w:t>
      </w:r>
    </w:p>
    <w:p w14:paraId="35EB3BCB" w14:textId="6F958441" w:rsidR="00440CD6" w:rsidRPr="00D30847" w:rsidRDefault="00440CD6" w:rsidP="0084759C">
      <w:pPr>
        <w:autoSpaceDE w:val="0"/>
        <w:autoSpaceDN w:val="0"/>
        <w:adjustRightInd w:val="0"/>
        <w:spacing w:before="240" w:after="0" w:line="240" w:lineRule="auto"/>
        <w:jc w:val="both"/>
        <w:rPr>
          <w:rFonts w:cs="Calibri"/>
          <w:lang w:val="en-GB"/>
        </w:rPr>
      </w:pPr>
      <w:r w:rsidRPr="00D30847">
        <w:rPr>
          <w:rFonts w:cs="Calibri"/>
          <w:lang w:val="en-GB"/>
        </w:rPr>
        <w:t xml:space="preserve">Specific procedures for monitoring of implementation of public investment </w:t>
      </w:r>
      <w:r w:rsidR="008F391C" w:rsidRPr="00D30847">
        <w:rPr>
          <w:rFonts w:cs="Calibri"/>
          <w:lang w:val="en-GB"/>
        </w:rPr>
        <w:t>projects are to</w:t>
      </w:r>
      <w:r w:rsidR="00780E18" w:rsidRPr="00D30847">
        <w:rPr>
          <w:rFonts w:cs="Calibri"/>
          <w:lang w:val="en-GB"/>
        </w:rPr>
        <w:t xml:space="preserve"> </w:t>
      </w:r>
      <w:r w:rsidRPr="00D30847">
        <w:rPr>
          <w:rFonts w:cs="Calibri"/>
          <w:lang w:val="en-GB"/>
        </w:rPr>
        <w:t xml:space="preserve">be set by the Government with the new PIM decree </w:t>
      </w:r>
    </w:p>
    <w:p w14:paraId="1C61B470" w14:textId="69C1910B" w:rsidR="00440CD6" w:rsidRPr="00D30847" w:rsidRDefault="00780E18" w:rsidP="0084759C">
      <w:pPr>
        <w:spacing w:before="240" w:after="0" w:line="240" w:lineRule="auto"/>
        <w:jc w:val="both"/>
        <w:rPr>
          <w:lang w:val="en-GB"/>
        </w:rPr>
      </w:pPr>
      <w:r w:rsidRPr="00D30847">
        <w:rPr>
          <w:rFonts w:cs="Arial"/>
          <w:lang w:val="en-GB"/>
        </w:rPr>
        <w:t xml:space="preserve">Following </w:t>
      </w:r>
      <w:r w:rsidR="008F391C" w:rsidRPr="00D30847">
        <w:rPr>
          <w:rFonts w:cs="Arial"/>
          <w:lang w:val="en-GB"/>
        </w:rPr>
        <w:t>commencement,</w:t>
      </w:r>
      <w:r w:rsidRPr="00D30847">
        <w:rPr>
          <w:rFonts w:cs="Arial"/>
          <w:lang w:val="en-GB"/>
        </w:rPr>
        <w:t xml:space="preserve"> </w:t>
      </w:r>
      <w:r w:rsidR="00440CD6" w:rsidRPr="00D30847">
        <w:rPr>
          <w:rFonts w:cs="Arial"/>
          <w:lang w:val="en-GB"/>
        </w:rPr>
        <w:t xml:space="preserve">the public investment project, the project implementor shall monitor the physical and financial implementation </w:t>
      </w:r>
      <w:r w:rsidR="008F391C" w:rsidRPr="00D30847">
        <w:rPr>
          <w:rFonts w:cs="Arial"/>
          <w:lang w:val="en-GB"/>
        </w:rPr>
        <w:t>and submit</w:t>
      </w:r>
      <w:r w:rsidR="00440CD6" w:rsidRPr="00D30847">
        <w:rPr>
          <w:rFonts w:cs="Arial"/>
          <w:lang w:val="en-GB"/>
        </w:rPr>
        <w:t xml:space="preserve"> progress reports about the project to the Ministry of Finance. </w:t>
      </w:r>
      <w:r w:rsidR="00440CD6" w:rsidRPr="00D30847">
        <w:rPr>
          <w:lang w:val="en-GB"/>
        </w:rPr>
        <w:t>They are expected to cover a comprehensive overview of the project's status, detailing the milestones achieved, financial expenditures, any deviations from the original plan, and an assessment of any challenges encountered.</w:t>
      </w:r>
    </w:p>
    <w:p w14:paraId="20F84188" w14:textId="02AB43E5" w:rsidR="00356610" w:rsidRPr="00D30847" w:rsidRDefault="00440CD6" w:rsidP="00356610">
      <w:pPr>
        <w:spacing w:before="240" w:after="0" w:line="240" w:lineRule="auto"/>
        <w:jc w:val="both"/>
        <w:rPr>
          <w:rFonts w:cs="Arial"/>
          <w:lang w:val="en-GB"/>
        </w:rPr>
      </w:pPr>
      <w:r w:rsidRPr="00D30847">
        <w:rPr>
          <w:rFonts w:cs="Arial"/>
          <w:lang w:val="en-GB"/>
        </w:rPr>
        <w:t>The Ministry of Finance</w:t>
      </w:r>
      <w:r w:rsidR="00780E18" w:rsidRPr="00D30847">
        <w:rPr>
          <w:rFonts w:cs="Arial"/>
          <w:lang w:val="en-GB"/>
        </w:rPr>
        <w:t xml:space="preserve"> is to</w:t>
      </w:r>
      <w:r w:rsidRPr="00D30847">
        <w:rPr>
          <w:rFonts w:cs="Arial"/>
          <w:lang w:val="en-GB"/>
        </w:rPr>
        <w:t xml:space="preserve"> prepare progress reports for the public investment projects’ portfolio based on the data provided by project implementers and inform the Government. Also, the Ministry of Finance shall set rules for fundamental review of problem projects which experience deviation from the initial project implementation plan.</w:t>
      </w:r>
    </w:p>
    <w:p w14:paraId="1467A9F7" w14:textId="77777777" w:rsidR="00356610" w:rsidRPr="00D30847" w:rsidRDefault="00356610" w:rsidP="00440CD6">
      <w:pPr>
        <w:autoSpaceDE w:val="0"/>
        <w:autoSpaceDN w:val="0"/>
        <w:adjustRightInd w:val="0"/>
        <w:spacing w:after="0"/>
        <w:jc w:val="both"/>
        <w:rPr>
          <w:rFonts w:eastAsia="MS PGothic" w:cs="Calibri"/>
          <w:b/>
          <w:bCs/>
          <w:iCs/>
          <w:color w:val="4F81BD"/>
          <w:lang w:val="en-GB" w:eastAsia="zh-CN"/>
        </w:rPr>
      </w:pPr>
    </w:p>
    <w:p w14:paraId="26D3F582" w14:textId="5BFFBF24" w:rsidR="000D68DB" w:rsidRPr="00D30847" w:rsidRDefault="00440CD6" w:rsidP="00440CD6">
      <w:pPr>
        <w:autoSpaceDE w:val="0"/>
        <w:autoSpaceDN w:val="0"/>
        <w:adjustRightInd w:val="0"/>
        <w:spacing w:after="0"/>
        <w:jc w:val="both"/>
        <w:rPr>
          <w:rFonts w:eastAsia="MS PGothic" w:cs="Calibri"/>
          <w:b/>
          <w:bCs/>
          <w:iCs/>
          <w:color w:val="0070C0"/>
          <w:lang w:val="en-GB" w:eastAsia="zh-CN"/>
        </w:rPr>
      </w:pPr>
      <w:r w:rsidRPr="00D30847">
        <w:rPr>
          <w:rFonts w:eastAsia="MS PGothic" w:cs="Calibri"/>
          <w:b/>
          <w:bCs/>
          <w:iCs/>
          <w:color w:val="0070C0"/>
          <w:lang w:val="en-GB" w:eastAsia="zh-CN"/>
        </w:rPr>
        <w:t>Activity 2: Introduce a formal requirement for ex-post review of completed projects</w:t>
      </w:r>
    </w:p>
    <w:p w14:paraId="7D54B240" w14:textId="77777777" w:rsidR="002E26BE" w:rsidRPr="00D30847" w:rsidRDefault="002E26BE" w:rsidP="00440CD6">
      <w:pPr>
        <w:autoSpaceDE w:val="0"/>
        <w:autoSpaceDN w:val="0"/>
        <w:adjustRightInd w:val="0"/>
        <w:spacing w:after="0"/>
        <w:jc w:val="both"/>
        <w:rPr>
          <w:rFonts w:eastAsia="MS PGothic" w:cs="Calibri"/>
          <w:b/>
          <w:bCs/>
          <w:iCs/>
          <w:color w:val="0070C0"/>
          <w:sz w:val="10"/>
          <w:szCs w:val="10"/>
          <w:lang w:val="en-GB" w:eastAsia="zh-CN"/>
        </w:rPr>
      </w:pPr>
    </w:p>
    <w:p w14:paraId="12345234" w14:textId="4D1B746F" w:rsidR="00440CD6" w:rsidRPr="00D30847" w:rsidRDefault="00440CD6" w:rsidP="00F50612">
      <w:pPr>
        <w:autoSpaceDE w:val="0"/>
        <w:autoSpaceDN w:val="0"/>
        <w:adjustRightInd w:val="0"/>
        <w:spacing w:after="0" w:line="240" w:lineRule="auto"/>
        <w:jc w:val="both"/>
        <w:rPr>
          <w:rFonts w:cs="Calibri"/>
          <w:lang w:val="en-GB"/>
        </w:rPr>
      </w:pPr>
      <w:r w:rsidRPr="00D30847">
        <w:rPr>
          <w:rFonts w:cs="Calibri"/>
          <w:lang w:val="en-GB"/>
        </w:rPr>
        <w:t xml:space="preserve">Following completion of all works associated with the project e.g. after project becomes operational, the project implementer </w:t>
      </w:r>
      <w:r w:rsidR="00780E18" w:rsidRPr="00D30847">
        <w:rPr>
          <w:rFonts w:cs="Calibri"/>
          <w:lang w:val="en-GB"/>
        </w:rPr>
        <w:t xml:space="preserve">is </w:t>
      </w:r>
      <w:r w:rsidR="008F391C" w:rsidRPr="00D30847">
        <w:rPr>
          <w:rFonts w:cs="Calibri"/>
          <w:lang w:val="en-GB"/>
        </w:rPr>
        <w:t>to submit</w:t>
      </w:r>
      <w:r w:rsidRPr="00D30847">
        <w:rPr>
          <w:rFonts w:cs="Calibri"/>
          <w:lang w:val="en-GB"/>
        </w:rPr>
        <w:t xml:space="preserve"> to the MoF a final report, summarizing the entire project's implementation. This report will serve as the concluding chapter of the project's documentation, offering insights into the project's achievements, lessons learned, and a comprehensive overview of the final outcomes.</w:t>
      </w:r>
    </w:p>
    <w:p w14:paraId="7C42484A" w14:textId="77777777" w:rsidR="00440CD6" w:rsidRPr="00D30847" w:rsidRDefault="00440CD6" w:rsidP="00440CD6">
      <w:pPr>
        <w:autoSpaceDE w:val="0"/>
        <w:autoSpaceDN w:val="0"/>
        <w:adjustRightInd w:val="0"/>
        <w:spacing w:after="0"/>
        <w:jc w:val="both"/>
        <w:rPr>
          <w:rFonts w:cs="Calibri"/>
          <w:lang w:val="en-GB"/>
        </w:rPr>
      </w:pPr>
    </w:p>
    <w:p w14:paraId="15DC2FF4" w14:textId="320490B9" w:rsidR="00440CD6" w:rsidRPr="00D30847" w:rsidRDefault="00440CD6" w:rsidP="00440CD6">
      <w:pPr>
        <w:autoSpaceDE w:val="0"/>
        <w:autoSpaceDN w:val="0"/>
        <w:adjustRightInd w:val="0"/>
        <w:spacing w:after="0"/>
        <w:jc w:val="both"/>
        <w:rPr>
          <w:rFonts w:eastAsia="MS PGothic" w:cs="Calibri"/>
          <w:b/>
          <w:bCs/>
          <w:iCs/>
          <w:color w:val="0070C0"/>
          <w:lang w:val="en-GB" w:eastAsia="zh-CN"/>
        </w:rPr>
      </w:pPr>
      <w:r w:rsidRPr="00D30847">
        <w:rPr>
          <w:rFonts w:eastAsia="MS PGothic" w:cs="Calibri"/>
          <w:b/>
          <w:bCs/>
          <w:iCs/>
          <w:color w:val="0070C0"/>
          <w:lang w:val="en-GB" w:eastAsia="zh-CN"/>
        </w:rPr>
        <w:t>Activity 3: Develop a short-term IT solution for PIM</w:t>
      </w:r>
    </w:p>
    <w:p w14:paraId="7430CFB6" w14:textId="77777777" w:rsidR="000D68DB" w:rsidRPr="00D30847" w:rsidRDefault="000D68DB" w:rsidP="00440CD6">
      <w:pPr>
        <w:autoSpaceDE w:val="0"/>
        <w:autoSpaceDN w:val="0"/>
        <w:adjustRightInd w:val="0"/>
        <w:spacing w:after="0"/>
        <w:jc w:val="both"/>
        <w:rPr>
          <w:rFonts w:eastAsia="MS PGothic" w:cs="Calibri"/>
          <w:b/>
          <w:bCs/>
          <w:iCs/>
          <w:color w:val="4F81BD"/>
          <w:sz w:val="10"/>
          <w:szCs w:val="10"/>
          <w:lang w:val="en-GB" w:eastAsia="zh-CN"/>
        </w:rPr>
      </w:pPr>
    </w:p>
    <w:p w14:paraId="3B285ADD" w14:textId="77777777" w:rsidR="00440CD6" w:rsidRPr="00D30847" w:rsidRDefault="00440CD6" w:rsidP="00F50612">
      <w:pPr>
        <w:autoSpaceDE w:val="0"/>
        <w:autoSpaceDN w:val="0"/>
        <w:adjustRightInd w:val="0"/>
        <w:spacing w:after="0" w:line="240" w:lineRule="auto"/>
        <w:jc w:val="both"/>
        <w:rPr>
          <w:rFonts w:cs="Calibri"/>
          <w:lang w:val="en-GB"/>
        </w:rPr>
      </w:pPr>
      <w:r w:rsidRPr="00D30847">
        <w:rPr>
          <w:rFonts w:cs="Calibri"/>
          <w:lang w:val="en-GB"/>
        </w:rPr>
        <w:t>The PIM module to be developed under the IFMIS is expected to support the PIM functions related to monitoring. In order to bridge the period until the new IFMIS PIM module becomes operational, the MoF shall develop a short - term IT solution for public investment management (PIMIS) to collect and store basic information on public investment projects. It will support the creation of a database to manage project data from inception to monitoring (including impacts related to cli</w:t>
      </w:r>
      <w:r w:rsidR="005A6AD5" w:rsidRPr="00D30847">
        <w:rPr>
          <w:rFonts w:cs="Calibri"/>
          <w:lang w:val="en-GB"/>
        </w:rPr>
        <w:t>mate change on infrastructure).</w:t>
      </w:r>
    </w:p>
    <w:p w14:paraId="1632A51B" w14:textId="77777777" w:rsidR="00440CD6" w:rsidRPr="00D30847" w:rsidRDefault="00440CD6" w:rsidP="00440CD6">
      <w:pPr>
        <w:autoSpaceDE w:val="0"/>
        <w:autoSpaceDN w:val="0"/>
        <w:adjustRightInd w:val="0"/>
        <w:spacing w:after="120" w:line="240" w:lineRule="auto"/>
        <w:contextualSpacing/>
        <w:jc w:val="both"/>
        <w:rPr>
          <w:rFonts w:eastAsia="MS PGothic" w:cs="Calibri"/>
          <w:sz w:val="10"/>
          <w:szCs w:val="10"/>
          <w:lang w:val="en-GB" w:eastAsia="zh-CN"/>
        </w:rPr>
      </w:pPr>
    </w:p>
    <w:p w14:paraId="2FF4C7F7" w14:textId="77777777" w:rsidR="00376718" w:rsidRPr="00D30847" w:rsidRDefault="00376718"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Implementation</w:t>
      </w:r>
    </w:p>
    <w:tbl>
      <w:tblPr>
        <w:tblW w:w="0" w:type="auto"/>
        <w:tblBorders>
          <w:insideH w:val="single" w:sz="4" w:space="0" w:color="FFFFFF"/>
        </w:tblBorders>
        <w:tblLayout w:type="fixed"/>
        <w:tblLook w:val="0080" w:firstRow="0" w:lastRow="0" w:firstColumn="1" w:lastColumn="0" w:noHBand="0" w:noVBand="0"/>
      </w:tblPr>
      <w:tblGrid>
        <w:gridCol w:w="3119"/>
        <w:gridCol w:w="5645"/>
      </w:tblGrid>
      <w:tr w:rsidR="00376718" w:rsidRPr="00D30847" w14:paraId="3A0BB51A" w14:textId="77777777" w:rsidTr="00A73DBE">
        <w:tc>
          <w:tcPr>
            <w:tcW w:w="3119" w:type="dxa"/>
            <w:tcBorders>
              <w:top w:val="nil"/>
              <w:bottom w:val="single" w:sz="4" w:space="0" w:color="FFFFFF"/>
            </w:tcBorders>
            <w:shd w:val="clear" w:color="auto" w:fill="002060"/>
          </w:tcPr>
          <w:p w14:paraId="5CA80953" w14:textId="77777777" w:rsidR="00376718" w:rsidRPr="00D30847" w:rsidRDefault="00376718" w:rsidP="00E84CD0">
            <w:pPr>
              <w:tabs>
                <w:tab w:val="left" w:pos="1526"/>
              </w:tabs>
              <w:spacing w:after="0" w:line="240" w:lineRule="auto"/>
              <w:jc w:val="both"/>
              <w:rPr>
                <w:rFonts w:cs="Calibri"/>
                <w:color w:val="FFFFFF"/>
                <w:sz w:val="20"/>
                <w:szCs w:val="20"/>
                <w:lang w:val="en-GB"/>
              </w:rPr>
            </w:pPr>
            <w:r w:rsidRPr="00D30847">
              <w:rPr>
                <w:rFonts w:cs="Calibri"/>
                <w:b/>
                <w:color w:val="FFFFFF"/>
                <w:sz w:val="20"/>
                <w:szCs w:val="20"/>
                <w:lang w:val="en-GB"/>
              </w:rPr>
              <w:t>Completed in year:</w:t>
            </w:r>
            <w:r w:rsidRPr="00D30847">
              <w:rPr>
                <w:rFonts w:cs="Calibri"/>
                <w:color w:val="FFFFFF"/>
                <w:sz w:val="20"/>
                <w:szCs w:val="20"/>
                <w:lang w:val="en-GB"/>
              </w:rPr>
              <w:tab/>
            </w:r>
          </w:p>
        </w:tc>
        <w:tc>
          <w:tcPr>
            <w:tcW w:w="5645" w:type="dxa"/>
            <w:tcBorders>
              <w:top w:val="nil"/>
              <w:bottom w:val="single" w:sz="4" w:space="0" w:color="FFFFFF"/>
            </w:tcBorders>
            <w:shd w:val="clear" w:color="auto" w:fill="D9E2F3"/>
          </w:tcPr>
          <w:p w14:paraId="357A90A4" w14:textId="7B6584EE" w:rsidR="00376718" w:rsidRPr="00D30847" w:rsidRDefault="00376718" w:rsidP="00E84CD0">
            <w:pPr>
              <w:tabs>
                <w:tab w:val="left" w:pos="1526"/>
              </w:tabs>
              <w:spacing w:after="0" w:line="240" w:lineRule="auto"/>
              <w:jc w:val="both"/>
              <w:rPr>
                <w:rFonts w:cs="Calibri"/>
                <w:sz w:val="20"/>
                <w:szCs w:val="20"/>
                <w:lang w:val="en-GB"/>
              </w:rPr>
            </w:pPr>
            <w:r w:rsidRPr="00D30847">
              <w:rPr>
                <w:rFonts w:cs="Calibri"/>
                <w:sz w:val="20"/>
                <w:szCs w:val="20"/>
                <w:lang w:val="en-GB"/>
              </w:rPr>
              <w:t>202</w:t>
            </w:r>
            <w:r w:rsidR="00780E18" w:rsidRPr="00D30847">
              <w:rPr>
                <w:rFonts w:cs="Calibri"/>
                <w:sz w:val="20"/>
                <w:szCs w:val="20"/>
                <w:lang w:val="en-GB"/>
              </w:rPr>
              <w:t>8</w:t>
            </w:r>
          </w:p>
        </w:tc>
      </w:tr>
      <w:tr w:rsidR="00376718" w:rsidRPr="00D30847" w14:paraId="1B44B63B" w14:textId="77777777" w:rsidTr="00A73DBE">
        <w:tc>
          <w:tcPr>
            <w:tcW w:w="3119" w:type="dxa"/>
            <w:tcBorders>
              <w:top w:val="single" w:sz="4" w:space="0" w:color="FFFFFF"/>
              <w:bottom w:val="single" w:sz="4" w:space="0" w:color="FFFFFF"/>
            </w:tcBorders>
            <w:shd w:val="clear" w:color="auto" w:fill="002060"/>
          </w:tcPr>
          <w:p w14:paraId="6E2F71E5" w14:textId="77777777" w:rsidR="00376718" w:rsidRPr="00D30847" w:rsidRDefault="00376718" w:rsidP="00E84CD0">
            <w:pPr>
              <w:tabs>
                <w:tab w:val="left" w:pos="4219"/>
              </w:tabs>
              <w:spacing w:after="0" w:line="240" w:lineRule="auto"/>
              <w:jc w:val="both"/>
              <w:rPr>
                <w:rFonts w:cs="Calibri"/>
                <w:color w:val="FFFFFF"/>
                <w:sz w:val="20"/>
                <w:szCs w:val="20"/>
                <w:lang w:val="en-GB"/>
              </w:rPr>
            </w:pPr>
            <w:r w:rsidRPr="00D30847">
              <w:rPr>
                <w:rFonts w:cs="Calibri"/>
                <w:b/>
                <w:color w:val="FFFFFF"/>
                <w:sz w:val="20"/>
                <w:szCs w:val="20"/>
                <w:lang w:val="en-GB"/>
              </w:rPr>
              <w:t>Deliverables:</w:t>
            </w:r>
          </w:p>
        </w:tc>
        <w:tc>
          <w:tcPr>
            <w:tcW w:w="5645" w:type="dxa"/>
            <w:tcBorders>
              <w:top w:val="single" w:sz="4" w:space="0" w:color="FFFFFF"/>
              <w:bottom w:val="single" w:sz="4" w:space="0" w:color="FFFFFF"/>
            </w:tcBorders>
            <w:shd w:val="clear" w:color="auto" w:fill="D9E2F3"/>
          </w:tcPr>
          <w:p w14:paraId="2D315B06" w14:textId="46F81915" w:rsidR="00440CD6" w:rsidRPr="00D30847" w:rsidRDefault="00440CD6" w:rsidP="00AD2AD5">
            <w:pPr>
              <w:pStyle w:val="ListParagraph"/>
              <w:numPr>
                <w:ilvl w:val="0"/>
                <w:numId w:val="28"/>
              </w:numPr>
              <w:tabs>
                <w:tab w:val="left" w:pos="122"/>
              </w:tabs>
              <w:spacing w:after="0" w:line="240" w:lineRule="auto"/>
              <w:ind w:hanging="720"/>
              <w:rPr>
                <w:rFonts w:cs="Calibri"/>
                <w:sz w:val="20"/>
                <w:szCs w:val="20"/>
              </w:rPr>
            </w:pPr>
            <w:r w:rsidRPr="00D30847">
              <w:rPr>
                <w:rFonts w:cs="Calibri"/>
                <w:sz w:val="20"/>
                <w:szCs w:val="20"/>
              </w:rPr>
              <w:t>Procedure for monitoring and ex-post review of projects;</w:t>
            </w:r>
          </w:p>
          <w:p w14:paraId="597DC055" w14:textId="37C835E0" w:rsidR="00440CD6" w:rsidRPr="00D30847" w:rsidRDefault="00440CD6" w:rsidP="00AD2AD5">
            <w:pPr>
              <w:pStyle w:val="ListParagraph"/>
              <w:numPr>
                <w:ilvl w:val="0"/>
                <w:numId w:val="28"/>
              </w:numPr>
              <w:tabs>
                <w:tab w:val="left" w:pos="122"/>
                <w:tab w:val="left" w:pos="212"/>
              </w:tabs>
              <w:spacing w:after="0" w:line="240" w:lineRule="auto"/>
              <w:ind w:hanging="720"/>
              <w:rPr>
                <w:rFonts w:cs="Calibri"/>
                <w:sz w:val="20"/>
                <w:szCs w:val="20"/>
              </w:rPr>
            </w:pPr>
            <w:r w:rsidRPr="00D30847">
              <w:rPr>
                <w:rFonts w:cs="Calibri"/>
                <w:sz w:val="20"/>
                <w:szCs w:val="20"/>
              </w:rPr>
              <w:t>Monitoring reports on the national investment portfolio;</w:t>
            </w:r>
          </w:p>
          <w:p w14:paraId="48485DD6" w14:textId="6E103AD6" w:rsidR="00376718" w:rsidRPr="00D30847" w:rsidRDefault="00440CD6" w:rsidP="00AD2AD5">
            <w:pPr>
              <w:pStyle w:val="ListParagraph"/>
              <w:numPr>
                <w:ilvl w:val="0"/>
                <w:numId w:val="28"/>
              </w:numPr>
              <w:tabs>
                <w:tab w:val="left" w:pos="122"/>
                <w:tab w:val="left" w:pos="212"/>
                <w:tab w:val="left" w:pos="567"/>
              </w:tabs>
              <w:spacing w:after="0" w:line="240" w:lineRule="auto"/>
              <w:ind w:hanging="720"/>
              <w:rPr>
                <w:rFonts w:cs="Calibri"/>
                <w:sz w:val="20"/>
                <w:szCs w:val="20"/>
              </w:rPr>
            </w:pPr>
            <w:r w:rsidRPr="00D30847">
              <w:rPr>
                <w:rFonts w:cs="Calibri"/>
                <w:sz w:val="20"/>
                <w:szCs w:val="20"/>
              </w:rPr>
              <w:t>Short-term IT solution for PIM (PIMIS).</w:t>
            </w:r>
          </w:p>
        </w:tc>
      </w:tr>
      <w:tr w:rsidR="00376718" w:rsidRPr="00D30847" w14:paraId="26F70EF9" w14:textId="77777777" w:rsidTr="00A73DBE">
        <w:tc>
          <w:tcPr>
            <w:tcW w:w="3119" w:type="dxa"/>
            <w:tcBorders>
              <w:top w:val="single" w:sz="4" w:space="0" w:color="FFFFFF"/>
              <w:bottom w:val="single" w:sz="4" w:space="0" w:color="FFFFFF"/>
            </w:tcBorders>
            <w:shd w:val="clear" w:color="auto" w:fill="002060"/>
          </w:tcPr>
          <w:p w14:paraId="360FC6F5" w14:textId="77777777" w:rsidR="00376718" w:rsidRPr="00D30847" w:rsidRDefault="00376718"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Cost implications:</w:t>
            </w:r>
          </w:p>
        </w:tc>
        <w:tc>
          <w:tcPr>
            <w:tcW w:w="5645" w:type="dxa"/>
            <w:tcBorders>
              <w:top w:val="single" w:sz="4" w:space="0" w:color="FFFFFF"/>
              <w:bottom w:val="single" w:sz="4" w:space="0" w:color="FFFFFF"/>
            </w:tcBorders>
            <w:shd w:val="clear" w:color="auto" w:fill="D9E2F3"/>
          </w:tcPr>
          <w:p w14:paraId="16507076" w14:textId="4FD84CB1" w:rsidR="00376718" w:rsidRPr="00D30847" w:rsidRDefault="00376718" w:rsidP="00E84CD0">
            <w:pPr>
              <w:tabs>
                <w:tab w:val="left" w:pos="1526"/>
              </w:tabs>
              <w:spacing w:after="0" w:line="240" w:lineRule="auto"/>
              <w:jc w:val="both"/>
              <w:rPr>
                <w:rFonts w:cs="Calibri"/>
                <w:sz w:val="20"/>
                <w:szCs w:val="20"/>
                <w:lang w:val="en-GB"/>
              </w:rPr>
            </w:pPr>
            <w:r w:rsidRPr="00D30847">
              <w:rPr>
                <w:rFonts w:cs="Calibri"/>
                <w:sz w:val="20"/>
                <w:szCs w:val="20"/>
                <w:lang w:val="en-GB"/>
              </w:rPr>
              <w:t xml:space="preserve">EUR </w:t>
            </w:r>
            <w:r w:rsidR="00780E18" w:rsidRPr="00D30847">
              <w:rPr>
                <w:rFonts w:cs="Calibri"/>
                <w:sz w:val="20"/>
                <w:szCs w:val="20"/>
                <w:lang w:val="en-GB"/>
              </w:rPr>
              <w:t>85</w:t>
            </w:r>
            <w:r w:rsidRPr="00D30847">
              <w:rPr>
                <w:rFonts w:cs="Calibri"/>
                <w:sz w:val="20"/>
                <w:szCs w:val="20"/>
                <w:lang w:val="en-GB"/>
              </w:rPr>
              <w:t>,000</w:t>
            </w:r>
          </w:p>
        </w:tc>
      </w:tr>
      <w:tr w:rsidR="00376718" w:rsidRPr="00D30847" w14:paraId="49733E32" w14:textId="77777777" w:rsidTr="00A73DBE">
        <w:tc>
          <w:tcPr>
            <w:tcW w:w="3119" w:type="dxa"/>
            <w:tcBorders>
              <w:top w:val="single" w:sz="4" w:space="0" w:color="FFFFFF"/>
              <w:bottom w:val="single" w:sz="4" w:space="0" w:color="FFFFFF"/>
            </w:tcBorders>
            <w:shd w:val="clear" w:color="auto" w:fill="002060"/>
          </w:tcPr>
          <w:p w14:paraId="6F063175" w14:textId="77777777" w:rsidR="00376718" w:rsidRPr="00D30847" w:rsidRDefault="00376718"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 xml:space="preserve">Responsible entity: </w:t>
            </w:r>
          </w:p>
        </w:tc>
        <w:tc>
          <w:tcPr>
            <w:tcW w:w="5645" w:type="dxa"/>
            <w:tcBorders>
              <w:top w:val="single" w:sz="4" w:space="0" w:color="FFFFFF"/>
              <w:bottom w:val="single" w:sz="4" w:space="0" w:color="FFFFFF"/>
            </w:tcBorders>
            <w:shd w:val="clear" w:color="auto" w:fill="D9E2F3"/>
          </w:tcPr>
          <w:p w14:paraId="5BA44EE3" w14:textId="726B30F3" w:rsidR="00376718" w:rsidRPr="00D30847" w:rsidRDefault="00D3676F" w:rsidP="00E84CD0">
            <w:pPr>
              <w:spacing w:after="160" w:line="240" w:lineRule="auto"/>
              <w:jc w:val="both"/>
              <w:rPr>
                <w:rFonts w:cs="Calibri"/>
                <w:sz w:val="20"/>
                <w:szCs w:val="20"/>
                <w:lang w:val="en-GB"/>
              </w:rPr>
            </w:pPr>
            <w:r w:rsidRPr="00D30847">
              <w:rPr>
                <w:rFonts w:cs="Calibri"/>
                <w:sz w:val="20"/>
                <w:szCs w:val="20"/>
                <w:lang w:val="en-GB"/>
              </w:rPr>
              <w:t>MoF – PIM Department</w:t>
            </w:r>
            <w:r w:rsidR="00376718" w:rsidRPr="00D30847">
              <w:rPr>
                <w:rFonts w:cs="Calibri"/>
                <w:sz w:val="20"/>
                <w:szCs w:val="20"/>
                <w:lang w:val="en-GB"/>
              </w:rPr>
              <w:t>, budget users/</w:t>
            </w:r>
            <w:proofErr w:type="spellStart"/>
            <w:r w:rsidR="00376718" w:rsidRPr="00D30847">
              <w:rPr>
                <w:rFonts w:cs="Calibri"/>
                <w:sz w:val="20"/>
                <w:szCs w:val="20"/>
                <w:lang w:val="en-GB"/>
              </w:rPr>
              <w:t>SoEs</w:t>
            </w:r>
            <w:proofErr w:type="spellEnd"/>
            <w:r w:rsidR="00376718" w:rsidRPr="00D30847">
              <w:rPr>
                <w:rFonts w:cs="Calibri"/>
                <w:sz w:val="20"/>
                <w:szCs w:val="20"/>
                <w:lang w:val="en-GB"/>
              </w:rPr>
              <w:t>/LSGUs</w:t>
            </w:r>
          </w:p>
        </w:tc>
      </w:tr>
      <w:tr w:rsidR="00376718" w:rsidRPr="00D30847" w14:paraId="3DED8BE4" w14:textId="77777777" w:rsidTr="00A73DBE">
        <w:tc>
          <w:tcPr>
            <w:tcW w:w="3119" w:type="dxa"/>
            <w:tcBorders>
              <w:top w:val="single" w:sz="4" w:space="0" w:color="FFFFFF"/>
              <w:bottom w:val="nil"/>
            </w:tcBorders>
            <w:shd w:val="clear" w:color="auto" w:fill="002060"/>
          </w:tcPr>
          <w:p w14:paraId="6525D4EF" w14:textId="77777777" w:rsidR="00376718" w:rsidRPr="00D30847" w:rsidRDefault="00376718"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Risk:</w:t>
            </w:r>
          </w:p>
        </w:tc>
        <w:tc>
          <w:tcPr>
            <w:tcW w:w="5645" w:type="dxa"/>
            <w:tcBorders>
              <w:top w:val="single" w:sz="4" w:space="0" w:color="FFFFFF"/>
              <w:bottom w:val="nil"/>
            </w:tcBorders>
            <w:shd w:val="clear" w:color="auto" w:fill="D9E2F3"/>
          </w:tcPr>
          <w:p w14:paraId="7766CDAE" w14:textId="222B0661" w:rsidR="00376718" w:rsidRPr="00D30847" w:rsidRDefault="00376718" w:rsidP="00AD2AD5">
            <w:pPr>
              <w:pStyle w:val="ListParagraph"/>
              <w:numPr>
                <w:ilvl w:val="0"/>
                <w:numId w:val="28"/>
              </w:numPr>
              <w:tabs>
                <w:tab w:val="left" w:pos="122"/>
                <w:tab w:val="left" w:pos="212"/>
              </w:tabs>
              <w:spacing w:after="0" w:line="240" w:lineRule="auto"/>
              <w:ind w:left="122" w:hanging="122"/>
              <w:rPr>
                <w:rFonts w:cs="Calibri"/>
                <w:sz w:val="20"/>
                <w:szCs w:val="20"/>
              </w:rPr>
            </w:pPr>
            <w:r w:rsidRPr="00D30847">
              <w:rPr>
                <w:rFonts w:cs="Calibri"/>
                <w:sz w:val="20"/>
                <w:szCs w:val="20"/>
              </w:rPr>
              <w:t>Insufficient staff, lack of capacities, lack of data, lack of</w:t>
            </w:r>
            <w:r w:rsidR="002E26BE" w:rsidRPr="00D30847">
              <w:rPr>
                <w:rFonts w:cs="Calibri"/>
                <w:sz w:val="20"/>
                <w:szCs w:val="20"/>
              </w:rPr>
              <w:t xml:space="preserve"> </w:t>
            </w:r>
            <w:r w:rsidRPr="00D30847">
              <w:rPr>
                <w:rFonts w:cs="Calibri"/>
                <w:sz w:val="20"/>
                <w:szCs w:val="20"/>
              </w:rPr>
              <w:t>coordination between institutions.</w:t>
            </w:r>
          </w:p>
        </w:tc>
      </w:tr>
    </w:tbl>
    <w:p w14:paraId="6D26EA95" w14:textId="77777777" w:rsidR="009C1F26" w:rsidRPr="00D30847" w:rsidRDefault="009C1F26" w:rsidP="0004768C">
      <w:pPr>
        <w:pStyle w:val="Heading1"/>
        <w:rPr>
          <w:rFonts w:ascii="Calibri" w:hAnsi="Calibri" w:cs="Calibri"/>
          <w:color w:val="0070C0"/>
          <w:sz w:val="28"/>
          <w:szCs w:val="28"/>
          <w:lang w:val="en-GB"/>
        </w:rPr>
      </w:pPr>
    </w:p>
    <w:p w14:paraId="34C8E553" w14:textId="77777777" w:rsidR="009C1F26" w:rsidRPr="00D30847" w:rsidRDefault="009C1F26" w:rsidP="009C1F26">
      <w:pPr>
        <w:rPr>
          <w:lang w:val="en-GB"/>
        </w:rPr>
      </w:pPr>
    </w:p>
    <w:p w14:paraId="52DCCA3F" w14:textId="77777777" w:rsidR="009C1F26" w:rsidRPr="00D30847" w:rsidRDefault="009C1F26" w:rsidP="009C1F26">
      <w:pPr>
        <w:rPr>
          <w:lang w:val="en-GB"/>
        </w:rPr>
      </w:pPr>
    </w:p>
    <w:p w14:paraId="075591C6" w14:textId="77777777" w:rsidR="009C1F26" w:rsidRPr="00D30847" w:rsidRDefault="009C1F26" w:rsidP="009C1F26">
      <w:pPr>
        <w:rPr>
          <w:lang w:val="en-GB"/>
        </w:rPr>
      </w:pPr>
    </w:p>
    <w:p w14:paraId="469CB3A7" w14:textId="643555BC" w:rsidR="00BB100C" w:rsidRPr="00D30847" w:rsidRDefault="00BB100C" w:rsidP="0004768C">
      <w:pPr>
        <w:pStyle w:val="Heading1"/>
        <w:rPr>
          <w:rFonts w:ascii="Calibri" w:hAnsi="Calibri" w:cs="Calibri"/>
          <w:color w:val="0070C0"/>
          <w:sz w:val="28"/>
          <w:szCs w:val="28"/>
          <w:lang w:val="en-GB"/>
        </w:rPr>
      </w:pPr>
      <w:bookmarkStart w:id="38" w:name="_Toc187841810"/>
      <w:r w:rsidRPr="00D30847">
        <w:rPr>
          <w:rFonts w:ascii="Calibri" w:hAnsi="Calibri" w:cs="Calibri"/>
          <w:color w:val="0070C0"/>
          <w:sz w:val="28"/>
          <w:szCs w:val="28"/>
          <w:lang w:val="en-GB"/>
        </w:rPr>
        <w:lastRenderedPageBreak/>
        <w:t>Priority 3: Strengthen the accounting of budgets and budget users</w:t>
      </w:r>
      <w:bookmarkEnd w:id="38"/>
    </w:p>
    <w:p w14:paraId="04A4F6CC" w14:textId="77777777" w:rsidR="00BB100C" w:rsidRPr="00D30847" w:rsidRDefault="00BB100C" w:rsidP="00BB100C">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Objective</w:t>
      </w:r>
    </w:p>
    <w:p w14:paraId="3B63BE68" w14:textId="77777777" w:rsidR="00D45428" w:rsidRPr="00D30847" w:rsidRDefault="00D45428" w:rsidP="009C1F26">
      <w:pPr>
        <w:spacing w:line="240" w:lineRule="auto"/>
        <w:rPr>
          <w:rFonts w:cs="Calibri"/>
          <w:bCs/>
          <w:lang w:val="en-GB"/>
        </w:rPr>
      </w:pPr>
      <w:r w:rsidRPr="00D30847">
        <w:rPr>
          <w:rFonts w:cs="Calibri"/>
          <w:bCs/>
          <w:lang w:val="en-GB"/>
        </w:rPr>
        <w:t>Improving the financial reporting of budgets and budget users through implementation of the regulatory framework for ​​ accounting of budgets and budget users</w:t>
      </w:r>
    </w:p>
    <w:p w14:paraId="016B60D8" w14:textId="4ED8C397" w:rsidR="0078447C" w:rsidRPr="00D30847" w:rsidRDefault="00BB100C" w:rsidP="009C1F26">
      <w:pPr>
        <w:spacing w:line="240" w:lineRule="auto"/>
        <w:jc w:val="both"/>
        <w:rPr>
          <w:rFonts w:eastAsia="Times New Roman" w:cs="Calibri"/>
          <w:color w:val="202124"/>
          <w:lang w:val="en-GB"/>
        </w:rPr>
      </w:pPr>
      <w:r w:rsidRPr="00D30847">
        <w:rPr>
          <w:rFonts w:eastAsia="Times New Roman" w:cs="Calibri"/>
          <w:color w:val="202124"/>
          <w:lang w:val="en-GB"/>
        </w:rPr>
        <w:t>The objective of this priority will be achieved through the following measures and activities:</w:t>
      </w:r>
    </w:p>
    <w:tbl>
      <w:tblPr>
        <w:tblW w:w="8140" w:type="dxa"/>
        <w:tblInd w:w="-90" w:type="dxa"/>
        <w:tblLook w:val="01E0" w:firstRow="1" w:lastRow="1" w:firstColumn="1" w:lastColumn="1" w:noHBand="0" w:noVBand="0"/>
      </w:tblPr>
      <w:tblGrid>
        <w:gridCol w:w="1714"/>
        <w:gridCol w:w="6426"/>
      </w:tblGrid>
      <w:tr w:rsidR="00BB100C" w:rsidRPr="00D30847" w14:paraId="51E31145" w14:textId="77777777" w:rsidTr="00B0049E">
        <w:tc>
          <w:tcPr>
            <w:tcW w:w="1714" w:type="dxa"/>
            <w:shd w:val="clear" w:color="auto" w:fill="auto"/>
          </w:tcPr>
          <w:p w14:paraId="4B393A81" w14:textId="77777777" w:rsidR="00BB100C" w:rsidRPr="00D30847" w:rsidRDefault="00BB100C" w:rsidP="00B0049E">
            <w:pPr>
              <w:spacing w:line="240" w:lineRule="auto"/>
              <w:jc w:val="both"/>
              <w:rPr>
                <w:rFonts w:eastAsia="Times New Roman" w:cs="Calibri"/>
                <w:color w:val="202124"/>
                <w:lang w:val="en-GB"/>
              </w:rPr>
            </w:pPr>
            <w:r w:rsidRPr="00D30847">
              <w:rPr>
                <w:rFonts w:eastAsia="Times New Roman" w:cs="Calibri"/>
                <w:b/>
                <w:color w:val="202124"/>
                <w:lang w:val="en-GB"/>
              </w:rPr>
              <w:t>Measure 1:</w:t>
            </w:r>
          </w:p>
        </w:tc>
        <w:tc>
          <w:tcPr>
            <w:tcW w:w="6426" w:type="dxa"/>
            <w:shd w:val="clear" w:color="auto" w:fill="auto"/>
          </w:tcPr>
          <w:p w14:paraId="6D863D1A" w14:textId="6CD4463A" w:rsidR="002E26BE" w:rsidRPr="00D30847" w:rsidRDefault="00D45428" w:rsidP="00B0049E">
            <w:pPr>
              <w:spacing w:line="240" w:lineRule="auto"/>
              <w:rPr>
                <w:rFonts w:cs="Calibri"/>
                <w:b/>
                <w:bCs/>
                <w:lang w:val="en-GB"/>
              </w:rPr>
            </w:pPr>
            <w:r w:rsidRPr="00D30847">
              <w:rPr>
                <w:rFonts w:cs="Calibri"/>
                <w:b/>
                <w:bCs/>
                <w:lang w:val="en-GB"/>
              </w:rPr>
              <w:t>Harmonization of the legal framework for accounting of budgets and budget users with the new  Budgets Law</w:t>
            </w:r>
          </w:p>
        </w:tc>
      </w:tr>
      <w:tr w:rsidR="00BB100C" w:rsidRPr="00D30847" w14:paraId="7DDBFFB8" w14:textId="77777777" w:rsidTr="00B0049E">
        <w:tc>
          <w:tcPr>
            <w:tcW w:w="1714" w:type="dxa"/>
            <w:shd w:val="clear" w:color="auto" w:fill="auto"/>
          </w:tcPr>
          <w:p w14:paraId="0F1A639A" w14:textId="77777777" w:rsidR="00BB100C" w:rsidRPr="00D30847" w:rsidRDefault="00BB100C" w:rsidP="00B0049E">
            <w:pPr>
              <w:spacing w:line="240" w:lineRule="auto"/>
              <w:jc w:val="both"/>
              <w:rPr>
                <w:rFonts w:eastAsia="Times New Roman" w:cs="Calibri"/>
                <w:b/>
                <w:color w:val="202124"/>
                <w:lang w:val="en-GB"/>
              </w:rPr>
            </w:pPr>
            <w:r w:rsidRPr="00D30847">
              <w:rPr>
                <w:rFonts w:eastAsia="Times New Roman" w:cs="Calibri"/>
                <w:color w:val="202124"/>
                <w:lang w:val="en-GB"/>
              </w:rPr>
              <w:t>Activity 1:</w:t>
            </w:r>
          </w:p>
        </w:tc>
        <w:tc>
          <w:tcPr>
            <w:tcW w:w="6426" w:type="dxa"/>
            <w:shd w:val="clear" w:color="auto" w:fill="auto"/>
          </w:tcPr>
          <w:p w14:paraId="026BD521" w14:textId="615D81F3" w:rsidR="00BB100C" w:rsidRPr="00D30847" w:rsidRDefault="00D45428" w:rsidP="00B0049E">
            <w:pPr>
              <w:tabs>
                <w:tab w:val="left" w:pos="1250"/>
              </w:tabs>
              <w:spacing w:line="240" w:lineRule="auto"/>
              <w:jc w:val="both"/>
              <w:rPr>
                <w:rFonts w:eastAsia="Times New Roman" w:cs="Calibri"/>
                <w:b/>
                <w:lang w:val="en-GB"/>
              </w:rPr>
            </w:pPr>
            <w:r w:rsidRPr="00D30847">
              <w:rPr>
                <w:rFonts w:cs="Calibri"/>
                <w:bCs/>
                <w:lang w:val="en-GB"/>
              </w:rPr>
              <w:t>Revision of the existing legal framework and detecting the need for the adoption of a new regulation for accounting of budgets and budget users</w:t>
            </w:r>
          </w:p>
        </w:tc>
      </w:tr>
      <w:tr w:rsidR="00BB100C" w:rsidRPr="00D30847" w14:paraId="733C79EA" w14:textId="77777777" w:rsidTr="00B0049E">
        <w:tc>
          <w:tcPr>
            <w:tcW w:w="1714" w:type="dxa"/>
            <w:shd w:val="clear" w:color="auto" w:fill="auto"/>
          </w:tcPr>
          <w:p w14:paraId="7BEE208A" w14:textId="77777777" w:rsidR="00BB100C" w:rsidRPr="00D30847" w:rsidRDefault="00BB100C" w:rsidP="00B0049E">
            <w:pPr>
              <w:spacing w:line="240" w:lineRule="auto"/>
              <w:ind w:left="-30"/>
              <w:jc w:val="both"/>
              <w:rPr>
                <w:rFonts w:eastAsia="Times New Roman" w:cs="Calibri"/>
                <w:b/>
                <w:color w:val="202124"/>
                <w:lang w:val="en-GB"/>
              </w:rPr>
            </w:pPr>
            <w:r w:rsidRPr="00D30847">
              <w:rPr>
                <w:rFonts w:eastAsia="Times New Roman" w:cs="Calibri"/>
                <w:color w:val="202124"/>
                <w:lang w:val="en-GB"/>
              </w:rPr>
              <w:t>Activity 2:</w:t>
            </w:r>
          </w:p>
        </w:tc>
        <w:tc>
          <w:tcPr>
            <w:tcW w:w="6426" w:type="dxa"/>
            <w:shd w:val="clear" w:color="auto" w:fill="auto"/>
          </w:tcPr>
          <w:p w14:paraId="79635839" w14:textId="2ED7050E" w:rsidR="00BB100C" w:rsidRPr="00D30847" w:rsidRDefault="00D30847" w:rsidP="00D30847">
            <w:pPr>
              <w:spacing w:line="240" w:lineRule="auto"/>
              <w:jc w:val="both"/>
              <w:rPr>
                <w:rFonts w:cs="Calibri"/>
                <w:bCs/>
                <w:lang w:val="en-GB"/>
              </w:rPr>
            </w:pPr>
            <w:r>
              <w:rPr>
                <w:rFonts w:cs="Calibri"/>
                <w:bCs/>
                <w:lang w:val="en-GB"/>
              </w:rPr>
              <w:t>Revision of the existing by</w:t>
            </w:r>
            <w:r w:rsidR="00D45428" w:rsidRPr="00D30847">
              <w:rPr>
                <w:rFonts w:cs="Calibri"/>
                <w:bCs/>
                <w:lang w:val="en-GB"/>
              </w:rPr>
              <w:t>laws and detecting the need for the adoption of a new bylaws for accounting of budgets and budget users</w:t>
            </w:r>
          </w:p>
        </w:tc>
      </w:tr>
      <w:tr w:rsidR="00D45428" w:rsidRPr="00D30847" w14:paraId="69EB723F" w14:textId="77777777" w:rsidTr="00B0049E">
        <w:tc>
          <w:tcPr>
            <w:tcW w:w="1714" w:type="dxa"/>
            <w:shd w:val="clear" w:color="auto" w:fill="auto"/>
          </w:tcPr>
          <w:p w14:paraId="4F12B4E9" w14:textId="77777777" w:rsidR="00D45428" w:rsidRPr="00D30847" w:rsidRDefault="00D45428" w:rsidP="00B0049E">
            <w:pPr>
              <w:tabs>
                <w:tab w:val="left" w:pos="175"/>
              </w:tabs>
              <w:spacing w:line="240" w:lineRule="auto"/>
              <w:jc w:val="both"/>
              <w:rPr>
                <w:rFonts w:eastAsia="MS PGothic" w:cs="Calibri"/>
                <w:lang w:val="en-GB" w:eastAsia="zh-CN"/>
              </w:rPr>
            </w:pPr>
            <w:r w:rsidRPr="00D30847">
              <w:rPr>
                <w:rFonts w:eastAsia="Times New Roman" w:cs="Calibri"/>
                <w:b/>
                <w:color w:val="202124"/>
                <w:lang w:val="en-GB"/>
              </w:rPr>
              <w:t xml:space="preserve">Measure 2:       </w:t>
            </w:r>
          </w:p>
          <w:p w14:paraId="546AC9F4" w14:textId="77777777" w:rsidR="00D45428" w:rsidRPr="00D30847" w:rsidRDefault="00D45428" w:rsidP="00B0049E">
            <w:pPr>
              <w:spacing w:line="240" w:lineRule="auto"/>
              <w:jc w:val="both"/>
              <w:rPr>
                <w:rFonts w:eastAsia="Times New Roman" w:cs="Calibri"/>
                <w:color w:val="202124"/>
                <w:lang w:val="en-GB"/>
              </w:rPr>
            </w:pPr>
          </w:p>
        </w:tc>
        <w:tc>
          <w:tcPr>
            <w:tcW w:w="6426" w:type="dxa"/>
            <w:shd w:val="clear" w:color="auto" w:fill="auto"/>
          </w:tcPr>
          <w:p w14:paraId="1FD282AA" w14:textId="459B02CC" w:rsidR="00D45428" w:rsidRPr="00D30847" w:rsidRDefault="00D45428" w:rsidP="00B0049E">
            <w:pPr>
              <w:spacing w:line="240" w:lineRule="auto"/>
              <w:rPr>
                <w:rFonts w:cs="Calibri"/>
                <w:b/>
                <w:bCs/>
                <w:lang w:val="en-GB"/>
              </w:rPr>
            </w:pPr>
            <w:r w:rsidRPr="00D30847">
              <w:rPr>
                <w:rFonts w:eastAsia="MS PGothic" w:cs="Calibri"/>
                <w:b/>
                <w:lang w:val="en-GB" w:eastAsia="zh-CN"/>
              </w:rPr>
              <w:t>Strengthening the accounting system of budgets and budget users by building of capacities of accountants employed in the public sector</w:t>
            </w:r>
          </w:p>
        </w:tc>
      </w:tr>
      <w:tr w:rsidR="00D45428" w:rsidRPr="00D30847" w14:paraId="4257917C" w14:textId="77777777" w:rsidTr="00B0049E">
        <w:tc>
          <w:tcPr>
            <w:tcW w:w="1714" w:type="dxa"/>
            <w:shd w:val="clear" w:color="auto" w:fill="auto"/>
          </w:tcPr>
          <w:p w14:paraId="6915999C" w14:textId="77777777" w:rsidR="00D45428" w:rsidRPr="00D30847" w:rsidRDefault="00D45428" w:rsidP="00B0049E">
            <w:pPr>
              <w:spacing w:line="240" w:lineRule="auto"/>
              <w:jc w:val="both"/>
              <w:rPr>
                <w:rFonts w:eastAsia="Times New Roman" w:cs="Calibri"/>
                <w:color w:val="202124"/>
                <w:lang w:val="en-GB"/>
              </w:rPr>
            </w:pPr>
            <w:r w:rsidRPr="00D30847">
              <w:rPr>
                <w:rFonts w:eastAsia="Times New Roman" w:cs="Calibri"/>
                <w:color w:val="202124"/>
                <w:lang w:val="en-GB"/>
              </w:rPr>
              <w:t>Activity 1:</w:t>
            </w:r>
          </w:p>
          <w:p w14:paraId="4AF5A1A0" w14:textId="77777777" w:rsidR="00D45428" w:rsidRPr="00D30847" w:rsidRDefault="00D45428" w:rsidP="00B0049E">
            <w:pPr>
              <w:tabs>
                <w:tab w:val="left" w:pos="175"/>
              </w:tabs>
              <w:spacing w:line="240" w:lineRule="auto"/>
              <w:jc w:val="both"/>
              <w:rPr>
                <w:rFonts w:eastAsia="Times New Roman" w:cs="Calibri"/>
                <w:b/>
                <w:color w:val="202124"/>
                <w:lang w:val="en-GB"/>
              </w:rPr>
            </w:pPr>
          </w:p>
        </w:tc>
        <w:tc>
          <w:tcPr>
            <w:tcW w:w="6426" w:type="dxa"/>
            <w:shd w:val="clear" w:color="auto" w:fill="auto"/>
          </w:tcPr>
          <w:p w14:paraId="4C465C81" w14:textId="0E91D270" w:rsidR="00D45428" w:rsidRPr="00D30847" w:rsidRDefault="00D45428" w:rsidP="00B0049E">
            <w:pPr>
              <w:tabs>
                <w:tab w:val="left" w:pos="175"/>
              </w:tabs>
              <w:spacing w:line="240" w:lineRule="auto"/>
              <w:jc w:val="both"/>
              <w:rPr>
                <w:rFonts w:eastAsia="MS PGothic" w:cs="Calibri"/>
                <w:lang w:val="en-GB" w:eastAsia="zh-CN"/>
              </w:rPr>
            </w:pPr>
            <w:r w:rsidRPr="00D30847">
              <w:rPr>
                <w:rFonts w:eastAsia="MS PGothic" w:cs="Calibri"/>
                <w:lang w:val="en-GB" w:eastAsia="zh-CN"/>
              </w:rPr>
              <w:t>Training for accountants employed in the public for to the legal framework for accounting of budgets and budget users</w:t>
            </w:r>
          </w:p>
        </w:tc>
      </w:tr>
      <w:tr w:rsidR="00D45428" w:rsidRPr="00D30847" w14:paraId="0AEAD531" w14:textId="77777777" w:rsidTr="00B0049E">
        <w:tc>
          <w:tcPr>
            <w:tcW w:w="1714" w:type="dxa"/>
            <w:shd w:val="clear" w:color="auto" w:fill="auto"/>
          </w:tcPr>
          <w:p w14:paraId="11EE605A" w14:textId="0B42D4ED" w:rsidR="00D45428" w:rsidRPr="00D30847" w:rsidRDefault="00D45428" w:rsidP="00B0049E">
            <w:pPr>
              <w:spacing w:line="240" w:lineRule="auto"/>
              <w:jc w:val="both"/>
              <w:rPr>
                <w:rFonts w:eastAsia="Times New Roman" w:cs="Calibri"/>
                <w:color w:val="202124"/>
                <w:lang w:val="en-GB"/>
              </w:rPr>
            </w:pPr>
            <w:r w:rsidRPr="00D30847">
              <w:rPr>
                <w:rFonts w:eastAsia="Times New Roman" w:cs="Calibri"/>
                <w:color w:val="202124"/>
                <w:lang w:val="en-GB"/>
              </w:rPr>
              <w:t>Activity 2:</w:t>
            </w:r>
          </w:p>
        </w:tc>
        <w:tc>
          <w:tcPr>
            <w:tcW w:w="6426" w:type="dxa"/>
            <w:shd w:val="clear" w:color="auto" w:fill="auto"/>
          </w:tcPr>
          <w:p w14:paraId="4701C5D1" w14:textId="79C55C43" w:rsidR="00D45428" w:rsidRPr="00D30847" w:rsidRDefault="00D45428" w:rsidP="00B0049E">
            <w:pPr>
              <w:tabs>
                <w:tab w:val="left" w:pos="175"/>
              </w:tabs>
              <w:spacing w:line="240" w:lineRule="auto"/>
              <w:jc w:val="both"/>
              <w:rPr>
                <w:rFonts w:eastAsia="MS PGothic" w:cs="Calibri"/>
                <w:lang w:val="en-GB" w:eastAsia="zh-CN"/>
              </w:rPr>
            </w:pPr>
            <w:r w:rsidRPr="00D30847">
              <w:rPr>
                <w:rFonts w:eastAsia="MS PGothic" w:cs="Calibri"/>
                <w:lang w:val="en-GB" w:eastAsia="zh-CN"/>
              </w:rPr>
              <w:t>Training for accountants emplo</w:t>
            </w:r>
            <w:r w:rsidR="00D30847">
              <w:rPr>
                <w:rFonts w:eastAsia="MS PGothic" w:cs="Calibri"/>
                <w:lang w:val="en-GB" w:eastAsia="zh-CN"/>
              </w:rPr>
              <w:t>yed in the public for to the by</w:t>
            </w:r>
            <w:r w:rsidRPr="00D30847">
              <w:rPr>
                <w:rFonts w:eastAsia="MS PGothic" w:cs="Calibri"/>
                <w:lang w:val="en-GB" w:eastAsia="zh-CN"/>
              </w:rPr>
              <w:t>laws for accounting of budgets and budget users</w:t>
            </w:r>
          </w:p>
          <w:p w14:paraId="00F3254E" w14:textId="77777777" w:rsidR="00D45428" w:rsidRPr="00D30847" w:rsidRDefault="00D45428" w:rsidP="00B0049E">
            <w:pPr>
              <w:tabs>
                <w:tab w:val="left" w:pos="175"/>
              </w:tabs>
              <w:spacing w:line="240" w:lineRule="auto"/>
              <w:jc w:val="both"/>
              <w:rPr>
                <w:rFonts w:eastAsia="MS PGothic" w:cs="Calibri"/>
                <w:lang w:val="en-GB" w:eastAsia="zh-CN"/>
              </w:rPr>
            </w:pPr>
          </w:p>
        </w:tc>
      </w:tr>
    </w:tbl>
    <w:p w14:paraId="64733842" w14:textId="77777777" w:rsidR="00BB100C" w:rsidRPr="00D30847" w:rsidRDefault="00BB100C" w:rsidP="00BB100C">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Outcome indicator</w:t>
      </w:r>
    </w:p>
    <w:p w14:paraId="5C2FE0C8" w14:textId="4FF39D0F" w:rsidR="00D45428" w:rsidRPr="00D30847" w:rsidRDefault="0078447C" w:rsidP="00D45428">
      <w:pPr>
        <w:rPr>
          <w:rFonts w:eastAsia="MS PGothic" w:cs="Calibri"/>
          <w:color w:val="202124"/>
          <w:lang w:val="en-GB" w:eastAsia="zh-CN"/>
        </w:rPr>
      </w:pPr>
      <w:r w:rsidRPr="00D30847">
        <w:rPr>
          <w:rFonts w:eastAsia="MS PGothic" w:cs="Calibri"/>
          <w:color w:val="202124"/>
          <w:lang w:val="en-GB" w:eastAsia="zh-CN"/>
        </w:rPr>
        <w:t xml:space="preserve">1. </w:t>
      </w:r>
      <w:r w:rsidR="008F391C" w:rsidRPr="00D30847">
        <w:rPr>
          <w:rFonts w:cs="Calibri"/>
          <w:bCs/>
          <w:lang w:val="en-GB"/>
        </w:rPr>
        <w:t>Adopting</w:t>
      </w:r>
      <w:r w:rsidR="00D45428" w:rsidRPr="00D30847">
        <w:rPr>
          <w:rFonts w:cs="Calibri"/>
          <w:bCs/>
          <w:lang w:val="en-GB"/>
        </w:rPr>
        <w:t xml:space="preserve"> new law and by-laws for accounting of budgets and budget users</w:t>
      </w:r>
      <w:r w:rsidR="00D45428" w:rsidRPr="00D30847">
        <w:rPr>
          <w:rFonts w:eastAsia="MS PGothic" w:cs="Calibri"/>
          <w:color w:val="202124"/>
          <w:lang w:val="en-GB" w:eastAsia="zh-CN"/>
        </w:rPr>
        <w:t xml:space="preserve"> </w:t>
      </w:r>
    </w:p>
    <w:p w14:paraId="334230CA" w14:textId="3442145D" w:rsidR="00BB100C" w:rsidRPr="00D30847" w:rsidRDefault="00BB100C" w:rsidP="0078447C">
      <w:pPr>
        <w:tabs>
          <w:tab w:val="left" w:pos="1250"/>
        </w:tabs>
        <w:spacing w:before="120" w:after="0" w:line="240" w:lineRule="auto"/>
        <w:contextualSpacing/>
        <w:jc w:val="both"/>
        <w:rPr>
          <w:rFonts w:eastAsia="MS PGothic" w:cs="Calibri"/>
          <w:color w:val="202124"/>
          <w:lang w:val="en-GB" w:eastAsia="zh-CN"/>
        </w:rPr>
      </w:pPr>
      <w:r w:rsidRPr="00D30847">
        <w:rPr>
          <w:rFonts w:eastAsia="MS PGothic" w:cs="Calibri"/>
          <w:color w:val="202124"/>
          <w:lang w:val="en-GB" w:eastAsia="zh-CN"/>
        </w:rPr>
        <w:t>Percentage of budget users applying new accounting practices.</w:t>
      </w:r>
    </w:p>
    <w:p w14:paraId="0D56960B" w14:textId="77777777" w:rsidR="00BB100C" w:rsidRPr="00D30847" w:rsidRDefault="00BB100C" w:rsidP="00BB100C">
      <w:pPr>
        <w:tabs>
          <w:tab w:val="left" w:pos="1250"/>
        </w:tabs>
        <w:spacing w:before="120" w:after="0" w:line="240" w:lineRule="auto"/>
        <w:ind w:left="644"/>
        <w:contextualSpacing/>
        <w:jc w:val="both"/>
        <w:rPr>
          <w:rFonts w:eastAsia="MS PGothic" w:cs="Calibri"/>
          <w:color w:val="202124"/>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11"/>
      </w:tblGrid>
      <w:tr w:rsidR="00BB100C" w:rsidRPr="00D30847" w14:paraId="1CDE122B" w14:textId="77777777" w:rsidTr="000147DA">
        <w:trPr>
          <w:trHeight w:val="395"/>
        </w:trPr>
        <w:tc>
          <w:tcPr>
            <w:tcW w:w="4608" w:type="dxa"/>
            <w:shd w:val="clear" w:color="auto" w:fill="E8E8E8"/>
          </w:tcPr>
          <w:p w14:paraId="4DC6E39C" w14:textId="77777777" w:rsidR="00BB100C" w:rsidRPr="00D30847" w:rsidRDefault="00BB100C" w:rsidP="00BB100C">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2022</w:t>
            </w:r>
          </w:p>
        </w:tc>
        <w:tc>
          <w:tcPr>
            <w:tcW w:w="4608" w:type="dxa"/>
            <w:shd w:val="clear" w:color="auto" w:fill="E8E8E8"/>
          </w:tcPr>
          <w:p w14:paraId="6216B9AD" w14:textId="791BCD38" w:rsidR="00BB100C" w:rsidRPr="00D30847" w:rsidRDefault="00BB100C" w:rsidP="00BB100C">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D45428" w:rsidRPr="00D30847">
              <w:rPr>
                <w:rFonts w:eastAsia="Times New Roman" w:cs="Calibri"/>
                <w:b/>
                <w:bCs/>
                <w:i/>
                <w:iCs/>
                <w:color w:val="202124"/>
                <w:sz w:val="20"/>
                <w:szCs w:val="20"/>
                <w:lang w:val="en-GB"/>
              </w:rPr>
              <w:t>8</w:t>
            </w:r>
          </w:p>
        </w:tc>
      </w:tr>
      <w:tr w:rsidR="00BB100C" w:rsidRPr="00D30847" w14:paraId="62A2A2DE" w14:textId="77777777" w:rsidTr="000147DA">
        <w:trPr>
          <w:trHeight w:val="278"/>
        </w:trPr>
        <w:tc>
          <w:tcPr>
            <w:tcW w:w="4608" w:type="dxa"/>
            <w:shd w:val="clear" w:color="auto" w:fill="E8E8E8"/>
          </w:tcPr>
          <w:p w14:paraId="0E6BB9D1" w14:textId="77777777" w:rsidR="00BB100C" w:rsidRPr="00D30847" w:rsidRDefault="00BB100C" w:rsidP="00BB100C">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w:t>
            </w:r>
          </w:p>
        </w:tc>
        <w:tc>
          <w:tcPr>
            <w:tcW w:w="4608" w:type="dxa"/>
            <w:shd w:val="clear" w:color="auto" w:fill="E8E8E8"/>
          </w:tcPr>
          <w:p w14:paraId="55C43142" w14:textId="64D8E0BE" w:rsidR="00BB100C" w:rsidRPr="00D30847" w:rsidRDefault="00BB100C" w:rsidP="00BB100C">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100% of</w:t>
            </w:r>
            <w:r w:rsidR="001C377F"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budget</w:t>
            </w:r>
            <w:r w:rsidR="001C377F"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users</w:t>
            </w:r>
            <w:r w:rsidR="001C377F"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apply</w:t>
            </w:r>
            <w:r w:rsidR="001C377F"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new</w:t>
            </w:r>
            <w:r w:rsidR="001C377F"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accounting</w:t>
            </w:r>
            <w:r w:rsidR="001C377F" w:rsidRPr="00D30847">
              <w:rPr>
                <w:rFonts w:eastAsia="Times New Roman" w:cs="Calibri"/>
                <w:color w:val="202124"/>
                <w:sz w:val="20"/>
                <w:szCs w:val="20"/>
                <w:lang w:val="en-GB"/>
              </w:rPr>
              <w:t xml:space="preserve"> </w:t>
            </w:r>
            <w:r w:rsidRPr="00D30847">
              <w:rPr>
                <w:rFonts w:eastAsia="Times New Roman" w:cs="Calibri"/>
                <w:color w:val="202124"/>
                <w:sz w:val="20"/>
                <w:szCs w:val="20"/>
                <w:lang w:val="en-GB"/>
              </w:rPr>
              <w:t>practices</w:t>
            </w:r>
          </w:p>
        </w:tc>
      </w:tr>
    </w:tbl>
    <w:p w14:paraId="4EAB139C" w14:textId="5F66D401" w:rsidR="009C1F26" w:rsidRPr="00D30847" w:rsidRDefault="009C1F26" w:rsidP="009C1F26">
      <w:pPr>
        <w:spacing w:after="0" w:line="240" w:lineRule="auto"/>
        <w:jc w:val="both"/>
        <w:rPr>
          <w:rFonts w:eastAsia="MS PGothic" w:cs="Calibri"/>
          <w:lang w:val="en-GB" w:eastAsia="zh-CN"/>
        </w:rPr>
      </w:pPr>
    </w:p>
    <w:p w14:paraId="5F525F6B" w14:textId="77777777" w:rsidR="009C1F26" w:rsidRPr="00D30847" w:rsidRDefault="009C1F26" w:rsidP="009C1F26">
      <w:pPr>
        <w:spacing w:after="0" w:line="240" w:lineRule="auto"/>
        <w:jc w:val="both"/>
        <w:rPr>
          <w:rFonts w:eastAsia="MS PGothic" w:cs="Calibri"/>
          <w:lang w:val="en-GB" w:eastAsia="zh-CN"/>
        </w:rPr>
      </w:pPr>
    </w:p>
    <w:p w14:paraId="00C1008A" w14:textId="04125748" w:rsidR="009C1F26" w:rsidRPr="00D30847" w:rsidRDefault="007F2986" w:rsidP="009C1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b/>
          <w:bCs/>
          <w:iCs/>
          <w:color w:val="0070C0"/>
          <w:sz w:val="24"/>
          <w:szCs w:val="24"/>
          <w:lang w:val="en-GB"/>
        </w:rPr>
      </w:pPr>
      <w:r w:rsidRPr="00D30847">
        <w:rPr>
          <w:rFonts w:cs="Calibri"/>
          <w:b/>
          <w:bCs/>
          <w:iCs/>
          <w:color w:val="0070C0"/>
          <w:sz w:val="24"/>
          <w:szCs w:val="24"/>
          <w:lang w:val="en-GB"/>
        </w:rPr>
        <w:t xml:space="preserve">Measure 1: </w:t>
      </w:r>
      <w:r w:rsidR="00D45428" w:rsidRPr="00D30847">
        <w:rPr>
          <w:rFonts w:cs="Calibri"/>
          <w:b/>
          <w:bCs/>
          <w:iCs/>
          <w:color w:val="0070C0"/>
          <w:sz w:val="24"/>
          <w:szCs w:val="24"/>
          <w:lang w:val="en-GB"/>
        </w:rPr>
        <w:t>Harmonization of the legal framework for accounting of budgets and budget users with the new  Budgets Law</w:t>
      </w:r>
    </w:p>
    <w:p w14:paraId="7F810BD9" w14:textId="77777777" w:rsidR="009C1F26" w:rsidRPr="00D30847" w:rsidRDefault="009C1F26" w:rsidP="009C1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b/>
          <w:bCs/>
          <w:iCs/>
          <w:color w:val="0070C0"/>
          <w:sz w:val="24"/>
          <w:szCs w:val="24"/>
          <w:lang w:val="en-GB"/>
        </w:rPr>
      </w:pPr>
    </w:p>
    <w:p w14:paraId="372FC7C6" w14:textId="418AB14F" w:rsidR="00BB100C" w:rsidRPr="00D30847" w:rsidRDefault="00BB100C" w:rsidP="009C1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b/>
          <w:bCs/>
          <w:iCs/>
          <w:color w:val="0070C0"/>
          <w:sz w:val="24"/>
          <w:szCs w:val="24"/>
          <w:lang w:val="en-GB"/>
        </w:rPr>
      </w:pPr>
      <w:r w:rsidRPr="00D30847">
        <w:rPr>
          <w:rFonts w:eastAsia="MS PGothic" w:cs="Calibri"/>
          <w:b/>
          <w:bCs/>
          <w:i/>
          <w:iCs/>
          <w:color w:val="4F81BD"/>
          <w:lang w:val="en-GB" w:eastAsia="zh-CN"/>
        </w:rPr>
        <w:t>Measure objective</w:t>
      </w:r>
    </w:p>
    <w:p w14:paraId="5E16583C" w14:textId="2A896A93" w:rsidR="00BB100C" w:rsidRPr="00D30847" w:rsidRDefault="00D45428" w:rsidP="00BB100C">
      <w:pPr>
        <w:keepNext/>
        <w:keepLines/>
        <w:spacing w:before="160" w:after="60" w:line="240" w:lineRule="auto"/>
        <w:jc w:val="both"/>
        <w:outlineLvl w:val="3"/>
        <w:rPr>
          <w:rFonts w:eastAsia="MS PGothic" w:cs="Calibri"/>
          <w:lang w:val="en-GB" w:eastAsia="zh-CN"/>
        </w:rPr>
      </w:pPr>
      <w:r w:rsidRPr="00D30847">
        <w:rPr>
          <w:rFonts w:cs="Calibri"/>
          <w:bCs/>
          <w:lang w:val="en-GB"/>
        </w:rPr>
        <w:t>Detecting the need for adopting a new regulatory framework for budget accounting and budget users</w:t>
      </w:r>
    </w:p>
    <w:p w14:paraId="45453CA6" w14:textId="77777777" w:rsidR="00BB100C" w:rsidRPr="00D30847" w:rsidRDefault="00BB100C" w:rsidP="00BB100C">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 xml:space="preserve">Context/Background  </w:t>
      </w:r>
    </w:p>
    <w:p w14:paraId="61454ECD" w14:textId="77777777" w:rsidR="00D45428" w:rsidRPr="00D30847" w:rsidRDefault="00D45428" w:rsidP="00D45428">
      <w:pPr>
        <w:spacing w:before="80" w:after="80" w:line="240" w:lineRule="auto"/>
        <w:jc w:val="both"/>
        <w:rPr>
          <w:rFonts w:eastAsia="MS PGothic" w:cs="Calibri"/>
          <w:lang w:val="en-GB" w:eastAsia="zh-CN"/>
        </w:rPr>
      </w:pPr>
      <w:r w:rsidRPr="00D30847">
        <w:rPr>
          <w:rFonts w:eastAsia="MS PGothic" w:cs="Calibri"/>
          <w:lang w:val="en-GB" w:eastAsia="zh-CN"/>
        </w:rPr>
        <w:t>In order to detect the need for the adoption of a new legal framework for accounting of budgets and budget users, it is necessary to revise the existing regulation (law and by-laws) for accounting of budgets and budget users in compliance with the new Budget Law.</w:t>
      </w:r>
    </w:p>
    <w:p w14:paraId="08E5E24F" w14:textId="175DF99D" w:rsidR="0089258D" w:rsidRPr="00D30847" w:rsidRDefault="0089258D" w:rsidP="00BC5453">
      <w:pPr>
        <w:spacing w:line="240" w:lineRule="auto"/>
        <w:jc w:val="both"/>
        <w:rPr>
          <w:rFonts w:eastAsia="Times New Roman" w:cs="Calibri"/>
          <w:color w:val="202124"/>
          <w:lang w:val="en-GB"/>
        </w:rPr>
      </w:pPr>
      <w:r w:rsidRPr="00D30847">
        <w:rPr>
          <w:rFonts w:eastAsia="Times New Roman" w:cs="Calibri"/>
          <w:color w:val="202124"/>
          <w:lang w:val="en-GB"/>
        </w:rPr>
        <w:t xml:space="preserve">The Financial System Department, which is responsible only for the legal framework </w:t>
      </w:r>
      <w:r w:rsidR="008F391C" w:rsidRPr="00D30847">
        <w:rPr>
          <w:rFonts w:eastAsia="Times New Roman" w:cs="Calibri"/>
          <w:color w:val="202124"/>
          <w:lang w:val="en-GB"/>
        </w:rPr>
        <w:t>(law</w:t>
      </w:r>
      <w:r w:rsidR="00D45428" w:rsidRPr="00D30847">
        <w:rPr>
          <w:rFonts w:eastAsia="Times New Roman" w:cs="Calibri"/>
          <w:color w:val="202124"/>
          <w:lang w:val="en-GB"/>
        </w:rPr>
        <w:t xml:space="preserve"> and by-law) </w:t>
      </w:r>
      <w:r w:rsidR="00D45428" w:rsidRPr="00D30847">
        <w:rPr>
          <w:rFonts w:eastAsia="MS PGothic" w:cs="Calibri"/>
          <w:lang w:val="en-GB" w:eastAsia="zh-CN"/>
        </w:rPr>
        <w:t xml:space="preserve">for accounting of budgets and budget </w:t>
      </w:r>
      <w:r w:rsidR="008F391C" w:rsidRPr="00D30847">
        <w:rPr>
          <w:rFonts w:eastAsia="MS PGothic" w:cs="Calibri"/>
          <w:lang w:val="en-GB" w:eastAsia="zh-CN"/>
        </w:rPr>
        <w:t>users</w:t>
      </w:r>
      <w:r w:rsidR="008F391C" w:rsidRPr="00D30847">
        <w:rPr>
          <w:rFonts w:eastAsia="Times New Roman" w:cs="Calibri"/>
          <w:color w:val="202124"/>
          <w:lang w:val="en-GB"/>
        </w:rPr>
        <w:t>, in</w:t>
      </w:r>
      <w:r w:rsidRPr="00D30847">
        <w:rPr>
          <w:rFonts w:eastAsia="Times New Roman" w:cs="Calibri"/>
          <w:color w:val="202124"/>
          <w:lang w:val="en-GB"/>
        </w:rPr>
        <w:t xml:space="preserve"> cooperation with the </w:t>
      </w:r>
      <w:r w:rsidR="008F391C" w:rsidRPr="00D30847">
        <w:rPr>
          <w:rFonts w:eastAsia="Times New Roman" w:cs="Calibri"/>
          <w:color w:val="202124"/>
          <w:lang w:val="en-GB"/>
        </w:rPr>
        <w:t>Department</w:t>
      </w:r>
      <w:r w:rsidR="002B6BED" w:rsidRPr="00D30847">
        <w:rPr>
          <w:rFonts w:eastAsia="Times New Roman" w:cs="Calibri"/>
          <w:color w:val="202124"/>
          <w:lang w:val="en-GB"/>
        </w:rPr>
        <w:t xml:space="preserve"> responsible for the </w:t>
      </w:r>
      <w:r w:rsidR="002B6BED" w:rsidRPr="00D30847">
        <w:rPr>
          <w:rFonts w:eastAsia="Times New Roman" w:cs="Calibri"/>
          <w:color w:val="202124"/>
          <w:lang w:val="en-GB"/>
        </w:rPr>
        <w:lastRenderedPageBreak/>
        <w:t>implementation of the regulation (Treasury Department and Budget Department)</w:t>
      </w:r>
      <w:r w:rsidR="002B6BED" w:rsidRPr="00D30847">
        <w:rPr>
          <w:rFonts w:cs="Calibri"/>
          <w:color w:val="202124"/>
          <w:lang w:val="en-GB"/>
        </w:rPr>
        <w:t xml:space="preserve"> </w:t>
      </w:r>
      <w:r w:rsidRPr="00D30847">
        <w:rPr>
          <w:rFonts w:eastAsia="Times New Roman" w:cs="Calibri"/>
          <w:color w:val="202124"/>
          <w:lang w:val="en-GB"/>
        </w:rPr>
        <w:t xml:space="preserve">will </w:t>
      </w:r>
      <w:r w:rsidR="002B6BED" w:rsidRPr="00D30847">
        <w:rPr>
          <w:rFonts w:eastAsia="Times New Roman" w:cs="Calibri"/>
          <w:color w:val="202124"/>
          <w:lang w:val="en-GB"/>
        </w:rPr>
        <w:t>revise the existing legal framework (law and by-law) in order to detect the need for the adoption of a new legal framework for accounting of budgets and budget users</w:t>
      </w:r>
      <w:r w:rsidR="002B6BED" w:rsidRPr="00D30847">
        <w:rPr>
          <w:rFonts w:cs="Calibri"/>
          <w:color w:val="202124"/>
          <w:lang w:val="en-GB"/>
        </w:rPr>
        <w:t xml:space="preserve"> </w:t>
      </w:r>
    </w:p>
    <w:p w14:paraId="1CA48DA9" w14:textId="77777777" w:rsidR="00BB100C" w:rsidRPr="00D30847" w:rsidRDefault="00BB100C" w:rsidP="00BB100C">
      <w:pPr>
        <w:spacing w:line="240" w:lineRule="auto"/>
        <w:jc w:val="both"/>
        <w:rPr>
          <w:rFonts w:cs="Calibri"/>
          <w:lang w:val="en-GB"/>
        </w:rPr>
      </w:pPr>
      <w:r w:rsidRPr="00D30847">
        <w:rPr>
          <w:rFonts w:cs="Calibri"/>
          <w:lang w:val="en-GB"/>
        </w:rPr>
        <w:t>This measure will be implemented through the following activities:</w:t>
      </w:r>
    </w:p>
    <w:p w14:paraId="496CF2FD" w14:textId="3782E75C" w:rsidR="001C377F" w:rsidRPr="00D30847" w:rsidRDefault="000D68DB" w:rsidP="00356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b/>
          <w:bCs/>
          <w:iCs/>
          <w:color w:val="0070C0"/>
          <w:lang w:val="en-GB"/>
        </w:rPr>
      </w:pPr>
      <w:r w:rsidRPr="00D30847">
        <w:rPr>
          <w:rFonts w:cs="Calibri"/>
          <w:b/>
          <w:bCs/>
          <w:iCs/>
          <w:color w:val="0070C0"/>
          <w:lang w:val="en-GB"/>
        </w:rPr>
        <w:t>Activity 1</w:t>
      </w:r>
      <w:r w:rsidR="001C377F" w:rsidRPr="00D30847">
        <w:rPr>
          <w:rFonts w:cs="Calibri"/>
          <w:b/>
          <w:bCs/>
          <w:iCs/>
          <w:color w:val="0070C0"/>
          <w:lang w:val="en-GB"/>
        </w:rPr>
        <w:t>:</w:t>
      </w:r>
      <w:r w:rsidRPr="00D30847">
        <w:rPr>
          <w:rFonts w:cs="Calibri"/>
          <w:b/>
          <w:bCs/>
          <w:iCs/>
          <w:color w:val="0070C0"/>
          <w:lang w:val="en-GB"/>
        </w:rPr>
        <w:t xml:space="preserve"> </w:t>
      </w:r>
      <w:r w:rsidR="002B6BED" w:rsidRPr="00D30847">
        <w:rPr>
          <w:rFonts w:cs="Calibri"/>
          <w:b/>
          <w:bCs/>
          <w:iCs/>
          <w:color w:val="0070C0"/>
          <w:lang w:val="en-GB"/>
        </w:rPr>
        <w:t>Revision of the existing legal framework and detecting the need for the adoption of a new regulation for accounting of budgets and budget users</w:t>
      </w:r>
      <w:r w:rsidR="007F2986" w:rsidRPr="00D30847">
        <w:rPr>
          <w:rFonts w:cs="Calibri"/>
          <w:b/>
          <w:bCs/>
          <w:iCs/>
          <w:color w:val="0070C0"/>
          <w:lang w:val="en-GB"/>
        </w:rPr>
        <w:t>;</w:t>
      </w:r>
    </w:p>
    <w:p w14:paraId="6EFD200B" w14:textId="77777777" w:rsidR="002E26BE" w:rsidRPr="00D30847" w:rsidRDefault="002E26BE" w:rsidP="00356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b/>
          <w:bCs/>
          <w:iCs/>
          <w:color w:val="0070C0"/>
          <w:sz w:val="10"/>
          <w:szCs w:val="10"/>
          <w:lang w:val="en-GB"/>
        </w:rPr>
      </w:pPr>
    </w:p>
    <w:p w14:paraId="099D32C5" w14:textId="3491B53F" w:rsidR="0037730E" w:rsidRPr="00D30847" w:rsidRDefault="001C5DAA" w:rsidP="00356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b/>
          <w:bCs/>
          <w:iCs/>
          <w:color w:val="0070C0"/>
          <w:lang w:val="en-GB"/>
        </w:rPr>
      </w:pPr>
      <w:r w:rsidRPr="00D30847">
        <w:rPr>
          <w:rFonts w:eastAsia="Times New Roman" w:cs="Calibri"/>
          <w:color w:val="202124"/>
          <w:lang w:val="en-GB"/>
        </w:rPr>
        <w:t xml:space="preserve">The purpose of this activity is </w:t>
      </w:r>
      <w:r w:rsidR="002B6BED" w:rsidRPr="00D30847">
        <w:rPr>
          <w:rFonts w:eastAsia="Times New Roman" w:cs="Calibri"/>
          <w:lang w:val="en-GB"/>
        </w:rPr>
        <w:t>t</w:t>
      </w:r>
      <w:r w:rsidR="002B6BED" w:rsidRPr="00D30847">
        <w:rPr>
          <w:rFonts w:cs="Calibri"/>
          <w:lang w:val="en-GB"/>
        </w:rPr>
        <w:t xml:space="preserve">o </w:t>
      </w:r>
      <w:r w:rsidR="002B6BED" w:rsidRPr="00D30847">
        <w:rPr>
          <w:rFonts w:eastAsia="Times New Roman" w:cs="Calibri"/>
          <w:lang w:val="en-GB"/>
        </w:rPr>
        <w:t xml:space="preserve">revise the existing legal framework for accounting of budgets and budget users in accordance with the new Budget Law in order to detect the need for the adoption of new legal framework in the field of accounting of budgets and budget </w:t>
      </w:r>
      <w:r w:rsidR="008F391C" w:rsidRPr="00D30847">
        <w:rPr>
          <w:rFonts w:eastAsia="Times New Roman" w:cs="Calibri"/>
          <w:lang w:val="en-GB"/>
        </w:rPr>
        <w:t>users.</w:t>
      </w:r>
    </w:p>
    <w:p w14:paraId="251A9B37" w14:textId="77777777" w:rsidR="0037730E" w:rsidRPr="00D30847" w:rsidRDefault="0037730E" w:rsidP="00356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b/>
          <w:bCs/>
          <w:iCs/>
          <w:color w:val="0070C0"/>
          <w:lang w:val="en-GB"/>
        </w:rPr>
      </w:pPr>
    </w:p>
    <w:p w14:paraId="7E4F87F7" w14:textId="1C4E6D9C" w:rsidR="002E26BE" w:rsidRPr="00D30847" w:rsidRDefault="001C377F" w:rsidP="00356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b/>
          <w:bCs/>
          <w:iCs/>
          <w:color w:val="0070C0"/>
          <w:sz w:val="10"/>
          <w:szCs w:val="10"/>
          <w:lang w:val="en-GB"/>
        </w:rPr>
      </w:pPr>
      <w:r w:rsidRPr="00D30847">
        <w:rPr>
          <w:rFonts w:cs="Calibri"/>
          <w:b/>
          <w:bCs/>
          <w:iCs/>
          <w:color w:val="0070C0"/>
          <w:lang w:val="en-GB"/>
        </w:rPr>
        <w:t xml:space="preserve">Activity 2: </w:t>
      </w:r>
      <w:r w:rsidR="00D30847">
        <w:rPr>
          <w:rFonts w:cs="Calibri"/>
          <w:b/>
          <w:bCs/>
          <w:iCs/>
          <w:color w:val="0070C0"/>
          <w:lang w:val="en-GB"/>
        </w:rPr>
        <w:t>Revision of the existing by</w:t>
      </w:r>
      <w:r w:rsidR="002B6BED" w:rsidRPr="00D30847">
        <w:rPr>
          <w:rFonts w:cs="Calibri"/>
          <w:b/>
          <w:bCs/>
          <w:iCs/>
          <w:color w:val="0070C0"/>
          <w:lang w:val="en-GB"/>
        </w:rPr>
        <w:t xml:space="preserve">laws and detecting the need for the adoption of a new bylaws for accounting of budgets and budget users </w:t>
      </w:r>
    </w:p>
    <w:p w14:paraId="6323C425" w14:textId="3FCF20F9" w:rsidR="001C377F" w:rsidRPr="00D30847" w:rsidRDefault="002B6BED" w:rsidP="00B739E8">
      <w:pPr>
        <w:tabs>
          <w:tab w:val="left" w:pos="1250"/>
        </w:tabs>
        <w:jc w:val="both"/>
        <w:rPr>
          <w:rFonts w:cs="Calibri"/>
          <w:lang w:val="en-GB"/>
        </w:rPr>
      </w:pPr>
      <w:r w:rsidRPr="00D30847">
        <w:rPr>
          <w:rFonts w:eastAsia="Times New Roman" w:cs="Calibri"/>
          <w:lang w:val="en-GB"/>
        </w:rPr>
        <w:t>The purpose of this activity is t</w:t>
      </w:r>
      <w:r w:rsidRPr="00D30847">
        <w:rPr>
          <w:rFonts w:cs="Calibri"/>
          <w:lang w:val="en-GB"/>
        </w:rPr>
        <w:t>o</w:t>
      </w:r>
      <w:r w:rsidR="007569D5" w:rsidRPr="00D30847">
        <w:rPr>
          <w:rFonts w:cs="Calibri"/>
          <w:lang w:val="en-GB"/>
        </w:rPr>
        <w:t xml:space="preserve"> </w:t>
      </w:r>
      <w:r w:rsidRPr="00D30847">
        <w:rPr>
          <w:rFonts w:eastAsia="Times New Roman" w:cs="Calibri"/>
          <w:lang w:val="en-GB"/>
        </w:rPr>
        <w:t>revise the existing by-laws for accounting of budgets and budget users in accordance with the new Budget Law in order to detect the need for the adoption of new by laws in the field of accounting of budgets and budget users.</w:t>
      </w:r>
    </w:p>
    <w:p w14:paraId="50BEF014" w14:textId="77777777" w:rsidR="00BB100C" w:rsidRPr="00D30847" w:rsidRDefault="00BB100C" w:rsidP="00BB100C">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BB100C" w:rsidRPr="00D30847" w14:paraId="537F473D" w14:textId="77777777" w:rsidTr="00D47668">
        <w:tc>
          <w:tcPr>
            <w:tcW w:w="2518" w:type="dxa"/>
            <w:tcBorders>
              <w:top w:val="nil"/>
              <w:bottom w:val="single" w:sz="4" w:space="0" w:color="FFFFFF"/>
            </w:tcBorders>
            <w:shd w:val="clear" w:color="auto" w:fill="002060"/>
          </w:tcPr>
          <w:p w14:paraId="480D1E3C" w14:textId="77777777" w:rsidR="00BB100C" w:rsidRPr="00D30847" w:rsidRDefault="00BB100C" w:rsidP="00BB100C">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Completed in year:</w:t>
            </w:r>
            <w:r w:rsidRPr="00D30847">
              <w:rPr>
                <w:rFonts w:eastAsia="Times New Roman" w:cs="Calibri"/>
                <w:b/>
                <w:color w:val="FFFFFF"/>
                <w:sz w:val="20"/>
                <w:szCs w:val="20"/>
                <w:lang w:val="en-GB"/>
              </w:rPr>
              <w:tab/>
            </w:r>
          </w:p>
        </w:tc>
        <w:tc>
          <w:tcPr>
            <w:tcW w:w="6246" w:type="dxa"/>
            <w:tcBorders>
              <w:top w:val="nil"/>
              <w:bottom w:val="single" w:sz="4" w:space="0" w:color="FFFFFF"/>
            </w:tcBorders>
            <w:shd w:val="clear" w:color="auto" w:fill="D9E2F3"/>
          </w:tcPr>
          <w:p w14:paraId="3A4DBE03" w14:textId="0ECFA927" w:rsidR="00BB100C" w:rsidRPr="00D30847" w:rsidRDefault="00BB100C" w:rsidP="00BB100C">
            <w:pPr>
              <w:tabs>
                <w:tab w:val="left" w:pos="1526"/>
              </w:tabs>
              <w:spacing w:after="0" w:line="240" w:lineRule="auto"/>
              <w:jc w:val="both"/>
              <w:rPr>
                <w:rFonts w:eastAsia="Times New Roman" w:cs="Calibri"/>
                <w:sz w:val="20"/>
                <w:szCs w:val="20"/>
                <w:lang w:val="en-GB"/>
              </w:rPr>
            </w:pPr>
            <w:r w:rsidRPr="00D30847">
              <w:rPr>
                <w:rFonts w:eastAsia="Times New Roman" w:cs="Calibri"/>
                <w:sz w:val="20"/>
                <w:szCs w:val="20"/>
                <w:lang w:val="en-GB"/>
              </w:rPr>
              <w:t>202</w:t>
            </w:r>
            <w:r w:rsidR="002B6BED" w:rsidRPr="00D30847">
              <w:rPr>
                <w:rFonts w:eastAsia="Times New Roman" w:cs="Calibri"/>
                <w:sz w:val="20"/>
                <w:szCs w:val="20"/>
                <w:lang w:val="en-GB"/>
              </w:rPr>
              <w:t>8</w:t>
            </w:r>
          </w:p>
        </w:tc>
      </w:tr>
      <w:tr w:rsidR="00BB100C" w:rsidRPr="00D30847" w14:paraId="5895BE02" w14:textId="77777777" w:rsidTr="00D47668">
        <w:tc>
          <w:tcPr>
            <w:tcW w:w="2518" w:type="dxa"/>
            <w:tcBorders>
              <w:top w:val="single" w:sz="4" w:space="0" w:color="FFFFFF"/>
              <w:bottom w:val="single" w:sz="4" w:space="0" w:color="FFFFFF"/>
            </w:tcBorders>
            <w:shd w:val="clear" w:color="auto" w:fill="002060"/>
          </w:tcPr>
          <w:p w14:paraId="54DCDA4F" w14:textId="77777777" w:rsidR="00BB100C" w:rsidRPr="00D30847" w:rsidRDefault="00BB100C" w:rsidP="00BB100C">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20618771" w14:textId="51B9A663" w:rsidR="00BB100C" w:rsidRPr="00D30847" w:rsidRDefault="002B6BED" w:rsidP="00AD2AD5">
            <w:pPr>
              <w:numPr>
                <w:ilvl w:val="0"/>
                <w:numId w:val="29"/>
              </w:numPr>
              <w:spacing w:after="60" w:line="240" w:lineRule="auto"/>
              <w:ind w:left="183" w:hanging="180"/>
              <w:jc w:val="both"/>
              <w:rPr>
                <w:sz w:val="20"/>
                <w:szCs w:val="20"/>
                <w:lang w:val="en-GB"/>
              </w:rPr>
            </w:pPr>
            <w:r w:rsidRPr="00D30847">
              <w:rPr>
                <w:sz w:val="20"/>
                <w:szCs w:val="20"/>
                <w:lang w:val="en-GB"/>
              </w:rPr>
              <w:t xml:space="preserve">Adopted  new legal framework (law and by-law)  for </w:t>
            </w:r>
            <w:r w:rsidRPr="00D30847">
              <w:rPr>
                <w:rFonts w:cs="Calibri"/>
                <w:bCs/>
                <w:sz w:val="20"/>
                <w:szCs w:val="20"/>
                <w:lang w:val="en-GB"/>
              </w:rPr>
              <w:t>accounting of budgets and budget users.</w:t>
            </w:r>
          </w:p>
        </w:tc>
      </w:tr>
      <w:tr w:rsidR="00BB100C" w:rsidRPr="00D30847" w14:paraId="308503D9" w14:textId="77777777" w:rsidTr="00D47668">
        <w:tc>
          <w:tcPr>
            <w:tcW w:w="2518" w:type="dxa"/>
            <w:tcBorders>
              <w:top w:val="single" w:sz="4" w:space="0" w:color="FFFFFF"/>
              <w:bottom w:val="single" w:sz="4" w:space="0" w:color="FFFFFF"/>
            </w:tcBorders>
            <w:shd w:val="clear" w:color="auto" w:fill="002060"/>
          </w:tcPr>
          <w:p w14:paraId="03A74944" w14:textId="77777777" w:rsidR="00BB100C" w:rsidRPr="00D30847" w:rsidRDefault="00BB100C" w:rsidP="00BB100C">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Cost implications:</w:t>
            </w:r>
            <w:r w:rsidRPr="00D30847">
              <w:rPr>
                <w:rFonts w:eastAsia="Times New Roman" w:cs="Calibri"/>
                <w:b/>
                <w:color w:val="FFFFFF"/>
                <w:sz w:val="20"/>
                <w:szCs w:val="20"/>
                <w:lang w:val="en-GB"/>
              </w:rPr>
              <w:tab/>
            </w:r>
          </w:p>
        </w:tc>
        <w:tc>
          <w:tcPr>
            <w:tcW w:w="6246" w:type="dxa"/>
            <w:tcBorders>
              <w:top w:val="single" w:sz="4" w:space="0" w:color="FFFFFF"/>
              <w:bottom w:val="single" w:sz="4" w:space="0" w:color="FFFFFF"/>
            </w:tcBorders>
            <w:shd w:val="clear" w:color="auto" w:fill="D9E2F3"/>
          </w:tcPr>
          <w:p w14:paraId="43B276D1" w14:textId="54236AD0" w:rsidR="00BB100C" w:rsidRPr="00D30847" w:rsidRDefault="00BB100C" w:rsidP="00BB100C">
            <w:pPr>
              <w:tabs>
                <w:tab w:val="left" w:pos="1526"/>
              </w:tabs>
              <w:spacing w:after="0" w:line="240" w:lineRule="auto"/>
              <w:jc w:val="both"/>
              <w:rPr>
                <w:rFonts w:eastAsia="Times New Roman" w:cs="Calibri"/>
                <w:sz w:val="20"/>
                <w:szCs w:val="20"/>
                <w:lang w:val="en-GB"/>
              </w:rPr>
            </w:pPr>
          </w:p>
        </w:tc>
      </w:tr>
      <w:tr w:rsidR="00BB100C" w:rsidRPr="00D30847" w14:paraId="7066CC8F" w14:textId="77777777" w:rsidTr="00D47668">
        <w:tc>
          <w:tcPr>
            <w:tcW w:w="2518" w:type="dxa"/>
            <w:tcBorders>
              <w:top w:val="single" w:sz="4" w:space="0" w:color="FFFFFF"/>
              <w:bottom w:val="single" w:sz="4" w:space="0" w:color="FFFFFF"/>
            </w:tcBorders>
            <w:shd w:val="clear" w:color="auto" w:fill="002060"/>
          </w:tcPr>
          <w:p w14:paraId="79F16017" w14:textId="77777777" w:rsidR="00BB100C" w:rsidRPr="00D30847" w:rsidRDefault="00BB100C" w:rsidP="00BB100C">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Responsible entity:</w:t>
            </w:r>
          </w:p>
        </w:tc>
        <w:tc>
          <w:tcPr>
            <w:tcW w:w="6246" w:type="dxa"/>
            <w:tcBorders>
              <w:top w:val="single" w:sz="4" w:space="0" w:color="FFFFFF"/>
              <w:bottom w:val="single" w:sz="4" w:space="0" w:color="FFFFFF"/>
            </w:tcBorders>
            <w:shd w:val="clear" w:color="auto" w:fill="D9E2F3"/>
          </w:tcPr>
          <w:p w14:paraId="3C003E67" w14:textId="76F6524E" w:rsidR="00BB100C" w:rsidRPr="00D30847" w:rsidRDefault="00BC5453" w:rsidP="00BB100C">
            <w:pPr>
              <w:tabs>
                <w:tab w:val="left" w:pos="1526"/>
              </w:tabs>
              <w:spacing w:after="0" w:line="240" w:lineRule="auto"/>
              <w:jc w:val="both"/>
              <w:rPr>
                <w:rFonts w:eastAsia="Times New Roman" w:cs="Calibri"/>
                <w:sz w:val="20"/>
                <w:szCs w:val="20"/>
                <w:lang w:val="en-GB"/>
              </w:rPr>
            </w:pPr>
            <w:r w:rsidRPr="00D30847">
              <w:rPr>
                <w:rFonts w:eastAsia="Times New Roman" w:cs="Calibri"/>
                <w:sz w:val="20"/>
                <w:szCs w:val="20"/>
                <w:lang w:val="en-GB"/>
              </w:rPr>
              <w:t>Ministry of Finance -, Treasury Department, Budget Department</w:t>
            </w:r>
            <w:r w:rsidR="0089258D" w:rsidRPr="00D30847">
              <w:rPr>
                <w:rFonts w:eastAsia="Times New Roman" w:cs="Calibri"/>
                <w:sz w:val="20"/>
                <w:szCs w:val="20"/>
                <w:lang w:val="en-GB"/>
              </w:rPr>
              <w:t>, Financial System Department</w:t>
            </w:r>
          </w:p>
        </w:tc>
      </w:tr>
      <w:tr w:rsidR="00BB100C" w:rsidRPr="00D30847" w14:paraId="4ECB5055" w14:textId="77777777" w:rsidTr="00D47668">
        <w:tc>
          <w:tcPr>
            <w:tcW w:w="2518" w:type="dxa"/>
            <w:tcBorders>
              <w:top w:val="single" w:sz="4" w:space="0" w:color="FFFFFF"/>
              <w:bottom w:val="nil"/>
            </w:tcBorders>
            <w:shd w:val="clear" w:color="auto" w:fill="002060"/>
          </w:tcPr>
          <w:p w14:paraId="32C26D4E" w14:textId="77777777" w:rsidR="00BB100C" w:rsidRPr="00D30847" w:rsidRDefault="00BB100C" w:rsidP="00BB100C">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Risk:</w:t>
            </w:r>
          </w:p>
        </w:tc>
        <w:tc>
          <w:tcPr>
            <w:tcW w:w="6246" w:type="dxa"/>
            <w:tcBorders>
              <w:top w:val="single" w:sz="4" w:space="0" w:color="FFFFFF"/>
              <w:bottom w:val="nil"/>
            </w:tcBorders>
            <w:shd w:val="clear" w:color="auto" w:fill="D9E2F3"/>
          </w:tcPr>
          <w:p w14:paraId="67E81DC7" w14:textId="77777777" w:rsidR="00BB100C" w:rsidRPr="00D30847" w:rsidRDefault="00A66D36" w:rsidP="00AD2AD5">
            <w:pPr>
              <w:numPr>
                <w:ilvl w:val="0"/>
                <w:numId w:val="29"/>
              </w:numPr>
              <w:spacing w:after="60" w:line="240" w:lineRule="auto"/>
              <w:ind w:left="183" w:hanging="183"/>
              <w:jc w:val="both"/>
              <w:rPr>
                <w:rFonts w:eastAsia="Times New Roman" w:cs="Calibri"/>
                <w:sz w:val="20"/>
                <w:szCs w:val="20"/>
                <w:lang w:val="en-GB"/>
              </w:rPr>
            </w:pPr>
            <w:r w:rsidRPr="00D30847">
              <w:rPr>
                <w:sz w:val="20"/>
                <w:szCs w:val="20"/>
                <w:lang w:val="en-GB"/>
              </w:rPr>
              <w:t>Insufficient human capacities for realization of this activity</w:t>
            </w:r>
            <w:r w:rsidR="00BB100C" w:rsidRPr="00D30847">
              <w:rPr>
                <w:sz w:val="20"/>
                <w:szCs w:val="20"/>
                <w:lang w:val="en-GB"/>
              </w:rPr>
              <w:t>.</w:t>
            </w:r>
          </w:p>
        </w:tc>
      </w:tr>
    </w:tbl>
    <w:p w14:paraId="77307355" w14:textId="77777777" w:rsidR="002B6BED" w:rsidRPr="00D30847" w:rsidRDefault="002B6BED" w:rsidP="00BB100C">
      <w:pPr>
        <w:spacing w:line="240" w:lineRule="auto"/>
        <w:jc w:val="both"/>
        <w:rPr>
          <w:rFonts w:cs="Calibri"/>
          <w:b/>
          <w:color w:val="C00000"/>
          <w:lang w:val="en-GB"/>
        </w:rPr>
      </w:pPr>
    </w:p>
    <w:p w14:paraId="0E944F9A" w14:textId="77777777" w:rsidR="002B6BED" w:rsidRPr="00D30847" w:rsidRDefault="00BB100C" w:rsidP="002B6BED">
      <w:pPr>
        <w:rPr>
          <w:rFonts w:eastAsia="MS PGothic" w:cs="Calibri"/>
          <w:b/>
          <w:sz w:val="20"/>
          <w:szCs w:val="20"/>
          <w:lang w:val="en-GB" w:eastAsia="zh-CN"/>
        </w:rPr>
      </w:pPr>
      <w:r w:rsidRPr="00D30847">
        <w:rPr>
          <w:rFonts w:eastAsia="Times New Roman" w:cs="Calibri"/>
          <w:b/>
          <w:bCs/>
          <w:color w:val="000000"/>
          <w:kern w:val="32"/>
          <w:lang w:val="en-GB" w:eastAsia="en-GB"/>
        </w:rPr>
        <w:t> </w:t>
      </w:r>
      <w:r w:rsidR="002B6BED" w:rsidRPr="00D30847">
        <w:rPr>
          <w:rFonts w:cs="Calibri"/>
          <w:b/>
          <w:bCs/>
          <w:iCs/>
          <w:color w:val="0070C0"/>
          <w:sz w:val="24"/>
          <w:szCs w:val="24"/>
          <w:lang w:val="en-GB"/>
        </w:rPr>
        <w:t>Measure 2:</w:t>
      </w:r>
      <w:r w:rsidR="002B6BED" w:rsidRPr="00D30847">
        <w:rPr>
          <w:rFonts w:eastAsia="Times New Roman" w:cs="Calibri"/>
          <w:b/>
          <w:bCs/>
          <w:color w:val="000000"/>
          <w:kern w:val="32"/>
          <w:lang w:val="en-GB" w:eastAsia="en-GB"/>
        </w:rPr>
        <w:t> </w:t>
      </w:r>
      <w:r w:rsidR="002B6BED" w:rsidRPr="00D30847">
        <w:rPr>
          <w:rFonts w:cs="Calibri"/>
          <w:b/>
          <w:bCs/>
          <w:iCs/>
          <w:color w:val="0070C0"/>
          <w:sz w:val="24"/>
          <w:szCs w:val="24"/>
          <w:lang w:val="en-GB"/>
        </w:rPr>
        <w:t>Strengthening the accounting system of budgets and budget users by building of capacities of accountants employed in the public sector</w:t>
      </w:r>
    </w:p>
    <w:p w14:paraId="6ABE86DB" w14:textId="77777777" w:rsidR="002B6BED" w:rsidRPr="00D30847" w:rsidRDefault="002B6BED" w:rsidP="002B6BED">
      <w:pPr>
        <w:spacing w:before="80" w:after="80"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2A487D71" w14:textId="77777777" w:rsidR="002B6BED" w:rsidRPr="00D30847" w:rsidRDefault="002B6BED" w:rsidP="002B6BED">
      <w:pPr>
        <w:spacing w:after="0" w:line="240" w:lineRule="auto"/>
        <w:rPr>
          <w:rFonts w:eastAsia="MS PGothic" w:cs="Calibri"/>
          <w:lang w:val="en-GB" w:eastAsia="zh-CN"/>
        </w:rPr>
      </w:pPr>
      <w:r w:rsidRPr="00D30847">
        <w:rPr>
          <w:rFonts w:eastAsia="MS PGothic" w:cs="Calibri"/>
          <w:lang w:val="en-GB" w:eastAsia="zh-CN"/>
        </w:rPr>
        <w:t>Improved financial reporting of budgets and budget users through training of accountants employed in the public sector for legal framework of ​​accounting of budgets and budget users</w:t>
      </w:r>
    </w:p>
    <w:p w14:paraId="3A011185" w14:textId="77777777" w:rsidR="002B6BED" w:rsidRPr="00D30847" w:rsidRDefault="002B6BED" w:rsidP="002B6BED">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 xml:space="preserve">Context/Background  </w:t>
      </w:r>
    </w:p>
    <w:p w14:paraId="560A015E" w14:textId="68603101" w:rsidR="002B6BED" w:rsidRPr="00D30847" w:rsidRDefault="002B6BED" w:rsidP="002B6BED">
      <w:pPr>
        <w:jc w:val="both"/>
        <w:rPr>
          <w:rFonts w:eastAsia="MS PGothic" w:cs="Calibri"/>
          <w:lang w:val="en-GB" w:eastAsia="zh-CN"/>
        </w:rPr>
      </w:pPr>
      <w:r w:rsidRPr="00D30847">
        <w:rPr>
          <w:rFonts w:eastAsia="MS PGothic" w:cs="Calibri"/>
          <w:lang w:val="en-GB" w:eastAsia="zh-CN"/>
        </w:rPr>
        <w:t xml:space="preserve">In order to Improved financial reporting of budgets and budget users, it is </w:t>
      </w:r>
      <w:r w:rsidR="008F391C" w:rsidRPr="00D30847">
        <w:rPr>
          <w:rFonts w:eastAsia="MS PGothic" w:cs="Calibri"/>
          <w:lang w:val="en-GB" w:eastAsia="zh-CN"/>
        </w:rPr>
        <w:t>necessary building</w:t>
      </w:r>
      <w:r w:rsidRPr="00D30847">
        <w:rPr>
          <w:rFonts w:eastAsia="MS PGothic" w:cs="Calibri"/>
          <w:lang w:val="en-GB" w:eastAsia="zh-CN"/>
        </w:rPr>
        <w:t xml:space="preserve"> the capacities of accountants employed in the public sector.</w:t>
      </w:r>
      <w:r w:rsidRPr="00D30847">
        <w:rPr>
          <w:rFonts w:eastAsia="Times New Roman" w:cs="Calibri"/>
          <w:color w:val="202124"/>
          <w:lang w:val="en-GB"/>
        </w:rPr>
        <w:t xml:space="preserve"> The Financial System Department, Treasury Department and Budget Department in cooperation with </w:t>
      </w:r>
      <w:r w:rsidR="008F391C" w:rsidRPr="00D30847">
        <w:rPr>
          <w:rFonts w:eastAsia="Times New Roman" w:cs="Calibri"/>
          <w:color w:val="202124"/>
          <w:lang w:val="en-GB"/>
        </w:rPr>
        <w:t>Public</w:t>
      </w:r>
      <w:r w:rsidRPr="00D30847">
        <w:rPr>
          <w:rFonts w:eastAsia="Times New Roman" w:cs="Calibri"/>
          <w:color w:val="202124"/>
          <w:lang w:val="en-GB"/>
        </w:rPr>
        <w:t xml:space="preserve"> Finance Academy will organize </w:t>
      </w:r>
      <w:r w:rsidR="008F391C" w:rsidRPr="00D30847">
        <w:rPr>
          <w:rFonts w:eastAsia="Times New Roman" w:cs="Calibri"/>
          <w:color w:val="202124"/>
          <w:lang w:val="en-GB"/>
        </w:rPr>
        <w:t>training</w:t>
      </w:r>
      <w:r w:rsidRPr="00D30847">
        <w:rPr>
          <w:rFonts w:eastAsia="Times New Roman" w:cs="Calibri"/>
          <w:color w:val="202124"/>
          <w:lang w:val="en-GB"/>
        </w:rPr>
        <w:t xml:space="preserve"> for the accountants employed in public sector.</w:t>
      </w:r>
    </w:p>
    <w:p w14:paraId="3628595F" w14:textId="77777777" w:rsidR="009C1F26" w:rsidRPr="00D30847" w:rsidRDefault="002B6BED" w:rsidP="009C1F26">
      <w:pPr>
        <w:spacing w:line="240" w:lineRule="auto"/>
        <w:jc w:val="both"/>
        <w:rPr>
          <w:rFonts w:cs="Calibri"/>
          <w:lang w:val="en-GB"/>
        </w:rPr>
      </w:pPr>
      <w:r w:rsidRPr="00D30847">
        <w:rPr>
          <w:rFonts w:cs="Calibri"/>
          <w:lang w:val="en-GB"/>
        </w:rPr>
        <w:t>This measure will be implemented through the following activities:</w:t>
      </w:r>
    </w:p>
    <w:p w14:paraId="1AF3BF6E" w14:textId="77777777" w:rsidR="009C1F26" w:rsidRPr="00D30847" w:rsidRDefault="002B6BED" w:rsidP="009C1F26">
      <w:pPr>
        <w:spacing w:line="240" w:lineRule="auto"/>
        <w:jc w:val="both"/>
        <w:rPr>
          <w:rFonts w:cs="Calibri"/>
          <w:lang w:val="en-GB"/>
        </w:rPr>
      </w:pPr>
      <w:r w:rsidRPr="00D30847">
        <w:rPr>
          <w:rFonts w:cs="Calibri"/>
          <w:b/>
          <w:bCs/>
          <w:iCs/>
          <w:color w:val="0070C0"/>
          <w:lang w:val="en-GB"/>
        </w:rPr>
        <w:t>Activity 1: Training for accountants employed in the public for to the legal framework for accounting of budgets and budget users</w:t>
      </w:r>
    </w:p>
    <w:p w14:paraId="5575566E" w14:textId="2D9A7E80" w:rsidR="002B6BED" w:rsidRPr="00D30847" w:rsidRDefault="002B6BED" w:rsidP="009C1F26">
      <w:pPr>
        <w:spacing w:line="240" w:lineRule="auto"/>
        <w:jc w:val="both"/>
        <w:rPr>
          <w:rFonts w:cs="Calibri"/>
          <w:lang w:val="en-GB"/>
        </w:rPr>
      </w:pPr>
      <w:r w:rsidRPr="00D30847">
        <w:rPr>
          <w:rFonts w:eastAsia="Times New Roman" w:cs="Calibri"/>
          <w:color w:val="202124"/>
          <w:lang w:val="en-GB"/>
        </w:rPr>
        <w:t>The purpose of this activity is</w:t>
      </w:r>
      <w:r w:rsidRPr="00D30847">
        <w:rPr>
          <w:rFonts w:eastAsia="Times New Roman" w:cs="Calibri"/>
          <w:lang w:val="en-GB"/>
        </w:rPr>
        <w:t xml:space="preserve"> t</w:t>
      </w:r>
      <w:r w:rsidRPr="00D30847">
        <w:rPr>
          <w:rFonts w:cs="Calibri"/>
          <w:lang w:val="en-GB"/>
        </w:rPr>
        <w:t>o</w:t>
      </w:r>
      <w:r w:rsidRPr="00D30847">
        <w:rPr>
          <w:rFonts w:ascii="inherit" w:eastAsia="Times New Roman" w:hAnsi="inherit" w:cs="Courier New"/>
          <w:color w:val="1F1F1F"/>
          <w:sz w:val="42"/>
          <w:szCs w:val="42"/>
          <w:lang w:val="en-GB"/>
        </w:rPr>
        <w:t xml:space="preserve"> </w:t>
      </w:r>
      <w:r w:rsidRPr="00D30847">
        <w:rPr>
          <w:rFonts w:cs="Calibri"/>
          <w:lang w:val="en-GB"/>
        </w:rPr>
        <w:t>provide training for the legal framework of accounting for budgets and budget users. The training is intended for accountants employed in the public sector.</w:t>
      </w:r>
    </w:p>
    <w:p w14:paraId="1181AD81" w14:textId="4842CE95" w:rsidR="002B6BED" w:rsidRPr="00D30847" w:rsidRDefault="002B6BED" w:rsidP="002B6BED">
      <w:pPr>
        <w:keepNext/>
        <w:keepLines/>
        <w:spacing w:before="160" w:after="60" w:line="240" w:lineRule="auto"/>
        <w:jc w:val="both"/>
        <w:outlineLvl w:val="3"/>
        <w:rPr>
          <w:rFonts w:eastAsia="MS PGothic" w:cs="Calibri"/>
          <w:b/>
          <w:bCs/>
          <w:i/>
          <w:iCs/>
          <w:color w:val="4F81BD"/>
          <w:lang w:val="en-GB" w:eastAsia="zh-CN"/>
        </w:rPr>
      </w:pPr>
      <w:r w:rsidRPr="00D30847">
        <w:rPr>
          <w:rFonts w:cs="Calibri"/>
          <w:b/>
          <w:bCs/>
          <w:iCs/>
          <w:color w:val="0070C0"/>
          <w:lang w:val="en-GB"/>
        </w:rPr>
        <w:lastRenderedPageBreak/>
        <w:t xml:space="preserve">Activity 2: Training for accountants employed in the public for to the </w:t>
      </w:r>
      <w:r w:rsidR="008F391C" w:rsidRPr="00D30847">
        <w:rPr>
          <w:rFonts w:cs="Calibri"/>
          <w:b/>
          <w:bCs/>
          <w:iCs/>
          <w:color w:val="0070C0"/>
          <w:lang w:val="en-GB"/>
        </w:rPr>
        <w:t>bylaws</w:t>
      </w:r>
      <w:r w:rsidRPr="00D30847">
        <w:rPr>
          <w:rFonts w:cs="Calibri"/>
          <w:b/>
          <w:bCs/>
          <w:iCs/>
          <w:color w:val="0070C0"/>
          <w:lang w:val="en-GB"/>
        </w:rPr>
        <w:t xml:space="preserve"> for accounting of budgets and budget users</w:t>
      </w:r>
    </w:p>
    <w:p w14:paraId="36E9E4C9" w14:textId="37E5D61C" w:rsidR="002B6BED" w:rsidRPr="00D30847" w:rsidRDefault="002B6BED" w:rsidP="002B6BED">
      <w:pPr>
        <w:keepNext/>
        <w:keepLines/>
        <w:spacing w:before="160" w:after="60" w:line="240" w:lineRule="auto"/>
        <w:jc w:val="both"/>
        <w:outlineLvl w:val="3"/>
        <w:rPr>
          <w:rFonts w:eastAsia="MS PGothic" w:cs="Calibri"/>
          <w:b/>
          <w:bCs/>
          <w:i/>
          <w:iCs/>
          <w:color w:val="4F81BD"/>
          <w:lang w:val="en-GB" w:eastAsia="zh-CN"/>
        </w:rPr>
      </w:pPr>
      <w:r w:rsidRPr="00D30847">
        <w:rPr>
          <w:rFonts w:eastAsia="Times New Roman" w:cs="Calibri"/>
          <w:color w:val="202124"/>
          <w:lang w:val="en-GB"/>
        </w:rPr>
        <w:t>The purpose of this activity is</w:t>
      </w:r>
      <w:r w:rsidRPr="00D30847">
        <w:rPr>
          <w:rFonts w:eastAsia="Times New Roman" w:cs="Calibri"/>
          <w:lang w:val="en-GB"/>
        </w:rPr>
        <w:t xml:space="preserve"> t</w:t>
      </w:r>
      <w:r w:rsidRPr="00D30847">
        <w:rPr>
          <w:rFonts w:cs="Calibri"/>
          <w:lang w:val="en-GB"/>
        </w:rPr>
        <w:t>o</w:t>
      </w:r>
      <w:r w:rsidRPr="00D30847">
        <w:rPr>
          <w:rFonts w:ascii="inherit" w:eastAsia="Times New Roman" w:hAnsi="inherit" w:cs="Courier New"/>
          <w:color w:val="1F1F1F"/>
          <w:sz w:val="42"/>
          <w:szCs w:val="42"/>
          <w:lang w:val="en-GB"/>
        </w:rPr>
        <w:t xml:space="preserve"> </w:t>
      </w:r>
      <w:r w:rsidRPr="00D30847">
        <w:rPr>
          <w:rFonts w:cs="Calibri"/>
          <w:lang w:val="en-GB"/>
        </w:rPr>
        <w:t xml:space="preserve">provide training for </w:t>
      </w:r>
      <w:r w:rsidR="008F391C" w:rsidRPr="00D30847">
        <w:rPr>
          <w:rFonts w:cs="Calibri"/>
          <w:lang w:val="en-GB"/>
        </w:rPr>
        <w:t>the by</w:t>
      </w:r>
      <w:r w:rsidRPr="00D30847">
        <w:rPr>
          <w:rFonts w:cs="Calibri"/>
          <w:lang w:val="en-GB"/>
        </w:rPr>
        <w:t>-laws of accounting for budgets and budget users. The training is intended for accountants employed in the public sector.</w:t>
      </w:r>
    </w:p>
    <w:p w14:paraId="45FAD254" w14:textId="77777777" w:rsidR="002B6BED" w:rsidRPr="00D30847" w:rsidRDefault="002B6BED" w:rsidP="002B6BED">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Implementation</w:t>
      </w:r>
    </w:p>
    <w:tbl>
      <w:tblPr>
        <w:tblpPr w:leftFromText="180" w:rightFromText="180" w:vertAnchor="text" w:horzAnchor="margin" w:tblpY="111"/>
        <w:tblW w:w="0" w:type="auto"/>
        <w:tblBorders>
          <w:insideH w:val="single" w:sz="4" w:space="0" w:color="FFFFFF"/>
        </w:tblBorders>
        <w:tblLayout w:type="fixed"/>
        <w:tblLook w:val="0080" w:firstRow="0" w:lastRow="0" w:firstColumn="1" w:lastColumn="0" w:noHBand="0" w:noVBand="0"/>
      </w:tblPr>
      <w:tblGrid>
        <w:gridCol w:w="2518"/>
        <w:gridCol w:w="6246"/>
      </w:tblGrid>
      <w:tr w:rsidR="002B6BED" w:rsidRPr="00D30847" w14:paraId="3E35FAB3" w14:textId="77777777" w:rsidTr="007F1B89">
        <w:tc>
          <w:tcPr>
            <w:tcW w:w="2518" w:type="dxa"/>
            <w:tcBorders>
              <w:top w:val="nil"/>
              <w:bottom w:val="single" w:sz="4" w:space="0" w:color="FFFFFF"/>
            </w:tcBorders>
            <w:shd w:val="clear" w:color="auto" w:fill="002060"/>
          </w:tcPr>
          <w:p w14:paraId="4263BC27" w14:textId="77777777" w:rsidR="002B6BED" w:rsidRPr="00D30847" w:rsidRDefault="002B6BED" w:rsidP="002B6BED">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Completed in year:</w:t>
            </w:r>
            <w:r w:rsidRPr="00D30847">
              <w:rPr>
                <w:rFonts w:eastAsia="Times New Roman" w:cs="Calibri"/>
                <w:b/>
                <w:color w:val="FFFFFF"/>
                <w:sz w:val="20"/>
                <w:szCs w:val="20"/>
                <w:lang w:val="en-GB"/>
              </w:rPr>
              <w:tab/>
            </w:r>
          </w:p>
        </w:tc>
        <w:tc>
          <w:tcPr>
            <w:tcW w:w="6246" w:type="dxa"/>
            <w:tcBorders>
              <w:top w:val="nil"/>
              <w:bottom w:val="single" w:sz="4" w:space="0" w:color="FFFFFF"/>
            </w:tcBorders>
            <w:shd w:val="clear" w:color="auto" w:fill="D9E2F3"/>
          </w:tcPr>
          <w:p w14:paraId="073603A1" w14:textId="77777777" w:rsidR="002B6BED" w:rsidRPr="00D30847" w:rsidRDefault="002B6BED" w:rsidP="002B6BED">
            <w:pPr>
              <w:tabs>
                <w:tab w:val="left" w:pos="1526"/>
              </w:tabs>
              <w:spacing w:after="0" w:line="240" w:lineRule="auto"/>
              <w:jc w:val="both"/>
              <w:rPr>
                <w:rFonts w:eastAsia="Times New Roman" w:cs="Calibri"/>
                <w:sz w:val="20"/>
                <w:szCs w:val="20"/>
                <w:lang w:val="en-GB"/>
              </w:rPr>
            </w:pPr>
            <w:r w:rsidRPr="00D30847">
              <w:rPr>
                <w:rFonts w:eastAsia="Times New Roman" w:cs="Calibri"/>
                <w:sz w:val="20"/>
                <w:szCs w:val="20"/>
                <w:lang w:val="en-GB"/>
              </w:rPr>
              <w:t>2028</w:t>
            </w:r>
          </w:p>
        </w:tc>
      </w:tr>
      <w:tr w:rsidR="002B6BED" w:rsidRPr="00D30847" w14:paraId="0E332ED8" w14:textId="77777777" w:rsidTr="007F1B89">
        <w:tc>
          <w:tcPr>
            <w:tcW w:w="2518" w:type="dxa"/>
            <w:tcBorders>
              <w:top w:val="single" w:sz="4" w:space="0" w:color="FFFFFF"/>
              <w:bottom w:val="single" w:sz="4" w:space="0" w:color="FFFFFF"/>
            </w:tcBorders>
            <w:shd w:val="clear" w:color="auto" w:fill="002060"/>
          </w:tcPr>
          <w:p w14:paraId="37DF7C3F" w14:textId="77777777" w:rsidR="002B6BED" w:rsidRPr="00D30847" w:rsidRDefault="002B6BED" w:rsidP="002B6BED">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13AE40DA" w14:textId="77777777" w:rsidR="002B6BED" w:rsidRPr="00D30847" w:rsidRDefault="002B6BED" w:rsidP="002B6BED">
            <w:pPr>
              <w:numPr>
                <w:ilvl w:val="0"/>
                <w:numId w:val="29"/>
              </w:numPr>
              <w:spacing w:after="60" w:line="240" w:lineRule="auto"/>
              <w:ind w:left="183" w:hanging="180"/>
              <w:jc w:val="both"/>
              <w:rPr>
                <w:sz w:val="20"/>
                <w:szCs w:val="20"/>
                <w:lang w:val="en-GB"/>
              </w:rPr>
            </w:pPr>
          </w:p>
          <w:p w14:paraId="1EFA9502" w14:textId="77777777" w:rsidR="002B6BED" w:rsidRPr="00D30847" w:rsidRDefault="002B6BED" w:rsidP="002B6BED">
            <w:pPr>
              <w:spacing w:after="60" w:line="240" w:lineRule="auto"/>
              <w:jc w:val="both"/>
              <w:rPr>
                <w:sz w:val="20"/>
                <w:szCs w:val="20"/>
                <w:lang w:val="en-GB"/>
              </w:rPr>
            </w:pPr>
            <w:r w:rsidRPr="00D30847">
              <w:rPr>
                <w:sz w:val="20"/>
                <w:szCs w:val="20"/>
                <w:lang w:val="en-GB"/>
              </w:rPr>
              <w:t>Conducted training for accountants in the public sector</w:t>
            </w:r>
          </w:p>
        </w:tc>
      </w:tr>
      <w:tr w:rsidR="002B6BED" w:rsidRPr="00D30847" w14:paraId="353A8685" w14:textId="77777777" w:rsidTr="007F1B89">
        <w:tc>
          <w:tcPr>
            <w:tcW w:w="2518" w:type="dxa"/>
            <w:tcBorders>
              <w:top w:val="single" w:sz="4" w:space="0" w:color="FFFFFF"/>
              <w:bottom w:val="single" w:sz="4" w:space="0" w:color="FFFFFF"/>
            </w:tcBorders>
            <w:shd w:val="clear" w:color="auto" w:fill="002060"/>
          </w:tcPr>
          <w:p w14:paraId="5C98C206" w14:textId="77777777" w:rsidR="002B6BED" w:rsidRPr="00D30847" w:rsidRDefault="002B6BED" w:rsidP="002B6BED">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Cost implications:</w:t>
            </w:r>
            <w:r w:rsidRPr="00D30847">
              <w:rPr>
                <w:rFonts w:eastAsia="Times New Roman" w:cs="Calibri"/>
                <w:b/>
                <w:color w:val="FFFFFF"/>
                <w:sz w:val="20"/>
                <w:szCs w:val="20"/>
                <w:lang w:val="en-GB"/>
              </w:rPr>
              <w:tab/>
            </w:r>
          </w:p>
        </w:tc>
        <w:tc>
          <w:tcPr>
            <w:tcW w:w="6246" w:type="dxa"/>
            <w:tcBorders>
              <w:top w:val="single" w:sz="4" w:space="0" w:color="FFFFFF"/>
              <w:bottom w:val="single" w:sz="4" w:space="0" w:color="FFFFFF"/>
            </w:tcBorders>
            <w:shd w:val="clear" w:color="auto" w:fill="D9E2F3"/>
          </w:tcPr>
          <w:p w14:paraId="6B584ACD" w14:textId="77777777" w:rsidR="002B6BED" w:rsidRPr="00D30847" w:rsidRDefault="002B6BED" w:rsidP="002B6BED">
            <w:pPr>
              <w:tabs>
                <w:tab w:val="left" w:pos="1526"/>
              </w:tabs>
              <w:spacing w:after="0" w:line="240" w:lineRule="auto"/>
              <w:jc w:val="both"/>
              <w:rPr>
                <w:rFonts w:eastAsia="Times New Roman" w:cs="Calibri"/>
                <w:sz w:val="20"/>
                <w:szCs w:val="20"/>
                <w:lang w:val="en-GB"/>
              </w:rPr>
            </w:pPr>
          </w:p>
        </w:tc>
      </w:tr>
      <w:tr w:rsidR="002B6BED" w:rsidRPr="00D30847" w14:paraId="271CF638" w14:textId="77777777" w:rsidTr="007F1B89">
        <w:tc>
          <w:tcPr>
            <w:tcW w:w="2518" w:type="dxa"/>
            <w:tcBorders>
              <w:top w:val="single" w:sz="4" w:space="0" w:color="FFFFFF"/>
              <w:bottom w:val="single" w:sz="4" w:space="0" w:color="FFFFFF"/>
            </w:tcBorders>
            <w:shd w:val="clear" w:color="auto" w:fill="002060"/>
          </w:tcPr>
          <w:p w14:paraId="21477376" w14:textId="77777777" w:rsidR="002B6BED" w:rsidRPr="00D30847" w:rsidRDefault="002B6BED" w:rsidP="002B6BED">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Responsible entity:</w:t>
            </w:r>
          </w:p>
        </w:tc>
        <w:tc>
          <w:tcPr>
            <w:tcW w:w="6246" w:type="dxa"/>
            <w:tcBorders>
              <w:top w:val="single" w:sz="4" w:space="0" w:color="FFFFFF"/>
              <w:bottom w:val="single" w:sz="4" w:space="0" w:color="FFFFFF"/>
            </w:tcBorders>
            <w:shd w:val="clear" w:color="auto" w:fill="D9E2F3"/>
          </w:tcPr>
          <w:p w14:paraId="4D2532DC" w14:textId="1EBC7C32" w:rsidR="002B6BED" w:rsidRPr="00D30847" w:rsidRDefault="002B6BED" w:rsidP="002B6BED">
            <w:pPr>
              <w:tabs>
                <w:tab w:val="left" w:pos="1526"/>
              </w:tabs>
              <w:spacing w:after="0" w:line="240" w:lineRule="auto"/>
              <w:jc w:val="both"/>
              <w:rPr>
                <w:rFonts w:eastAsia="Times New Roman" w:cs="Calibri"/>
                <w:sz w:val="20"/>
                <w:szCs w:val="20"/>
                <w:lang w:val="en-GB"/>
              </w:rPr>
            </w:pPr>
            <w:r w:rsidRPr="00D30847">
              <w:rPr>
                <w:rFonts w:eastAsia="Times New Roman" w:cs="Calibri"/>
                <w:sz w:val="20"/>
                <w:szCs w:val="20"/>
                <w:lang w:val="en-GB"/>
              </w:rPr>
              <w:t xml:space="preserve">Ministry of Finance -, Treasury Department, Budget Department, Financial System </w:t>
            </w:r>
            <w:r w:rsidR="008F391C" w:rsidRPr="00D30847">
              <w:rPr>
                <w:rFonts w:eastAsia="Times New Roman" w:cs="Calibri"/>
                <w:sz w:val="20"/>
                <w:szCs w:val="20"/>
                <w:lang w:val="en-GB"/>
              </w:rPr>
              <w:t>Department, Public</w:t>
            </w:r>
            <w:r w:rsidRPr="00D30847">
              <w:rPr>
                <w:rFonts w:eastAsia="Times New Roman" w:cs="Calibri"/>
                <w:sz w:val="20"/>
                <w:szCs w:val="20"/>
                <w:lang w:val="en-GB"/>
              </w:rPr>
              <w:t xml:space="preserve"> Finance Academy</w:t>
            </w:r>
          </w:p>
        </w:tc>
      </w:tr>
      <w:tr w:rsidR="002B6BED" w:rsidRPr="00D30847" w14:paraId="70184F67" w14:textId="77777777" w:rsidTr="007F1B89">
        <w:tc>
          <w:tcPr>
            <w:tcW w:w="2518" w:type="dxa"/>
            <w:tcBorders>
              <w:top w:val="single" w:sz="4" w:space="0" w:color="FFFFFF"/>
              <w:bottom w:val="nil"/>
            </w:tcBorders>
            <w:shd w:val="clear" w:color="auto" w:fill="002060"/>
          </w:tcPr>
          <w:p w14:paraId="1D1E8316" w14:textId="77777777" w:rsidR="002B6BED" w:rsidRPr="00D30847" w:rsidRDefault="002B6BED" w:rsidP="002B6BED">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Risk:</w:t>
            </w:r>
          </w:p>
        </w:tc>
        <w:tc>
          <w:tcPr>
            <w:tcW w:w="6246" w:type="dxa"/>
            <w:tcBorders>
              <w:top w:val="single" w:sz="4" w:space="0" w:color="FFFFFF"/>
              <w:bottom w:val="nil"/>
            </w:tcBorders>
            <w:shd w:val="clear" w:color="auto" w:fill="D9E2F3"/>
          </w:tcPr>
          <w:p w14:paraId="36979412" w14:textId="77777777" w:rsidR="002B6BED" w:rsidRPr="00D30847" w:rsidRDefault="002B6BED" w:rsidP="002B6BED">
            <w:pPr>
              <w:numPr>
                <w:ilvl w:val="0"/>
                <w:numId w:val="29"/>
              </w:numPr>
              <w:spacing w:after="60" w:line="240" w:lineRule="auto"/>
              <w:ind w:left="183" w:hanging="183"/>
              <w:jc w:val="both"/>
              <w:rPr>
                <w:rFonts w:eastAsia="Times New Roman" w:cs="Calibri"/>
                <w:sz w:val="20"/>
                <w:szCs w:val="20"/>
                <w:lang w:val="en-GB"/>
              </w:rPr>
            </w:pPr>
            <w:r w:rsidRPr="00D30847">
              <w:rPr>
                <w:sz w:val="20"/>
                <w:szCs w:val="20"/>
                <w:lang w:val="en-GB"/>
              </w:rPr>
              <w:t>Insufficient human capacities for realization of this activity.</w:t>
            </w:r>
          </w:p>
        </w:tc>
      </w:tr>
    </w:tbl>
    <w:p w14:paraId="26F9408B" w14:textId="77777777" w:rsidR="00B0049E" w:rsidRPr="00D30847" w:rsidRDefault="00B0049E" w:rsidP="00907ACD">
      <w:pPr>
        <w:pStyle w:val="Heading1"/>
        <w:rPr>
          <w:rFonts w:ascii="Calibri" w:hAnsi="Calibri" w:cs="Calibri"/>
          <w:color w:val="0070C0"/>
          <w:sz w:val="28"/>
          <w:szCs w:val="28"/>
          <w:lang w:val="en-GB"/>
        </w:rPr>
      </w:pPr>
    </w:p>
    <w:p w14:paraId="4E82CB72" w14:textId="77777777" w:rsidR="00B0049E" w:rsidRPr="00D30847" w:rsidRDefault="00B0049E" w:rsidP="00907ACD">
      <w:pPr>
        <w:pStyle w:val="Heading1"/>
        <w:rPr>
          <w:rFonts w:ascii="Calibri" w:hAnsi="Calibri" w:cs="Calibri"/>
          <w:color w:val="0070C0"/>
          <w:sz w:val="28"/>
          <w:szCs w:val="28"/>
          <w:lang w:val="en-GB"/>
        </w:rPr>
      </w:pPr>
    </w:p>
    <w:p w14:paraId="7F08584E" w14:textId="77777777" w:rsidR="00B0049E" w:rsidRPr="00D30847" w:rsidRDefault="00B0049E" w:rsidP="00907ACD">
      <w:pPr>
        <w:pStyle w:val="Heading1"/>
        <w:rPr>
          <w:rFonts w:ascii="Calibri" w:hAnsi="Calibri" w:cs="Calibri"/>
          <w:color w:val="0070C0"/>
          <w:sz w:val="28"/>
          <w:szCs w:val="28"/>
          <w:lang w:val="en-GB"/>
        </w:rPr>
      </w:pPr>
    </w:p>
    <w:p w14:paraId="2AB333FC" w14:textId="77777777" w:rsidR="00B0049E" w:rsidRPr="00D30847" w:rsidRDefault="00B0049E" w:rsidP="00907ACD">
      <w:pPr>
        <w:pStyle w:val="Heading1"/>
        <w:rPr>
          <w:rFonts w:ascii="Calibri" w:hAnsi="Calibri" w:cs="Calibri"/>
          <w:color w:val="0070C0"/>
          <w:sz w:val="28"/>
          <w:szCs w:val="28"/>
          <w:lang w:val="en-GB"/>
        </w:rPr>
      </w:pPr>
    </w:p>
    <w:p w14:paraId="5C60E717" w14:textId="77777777" w:rsidR="00B0049E" w:rsidRPr="00D30847" w:rsidRDefault="00B0049E" w:rsidP="00907ACD">
      <w:pPr>
        <w:pStyle w:val="Heading1"/>
        <w:rPr>
          <w:rFonts w:ascii="Calibri" w:hAnsi="Calibri" w:cs="Calibri"/>
          <w:color w:val="0070C0"/>
          <w:sz w:val="28"/>
          <w:szCs w:val="28"/>
          <w:lang w:val="en-GB"/>
        </w:rPr>
      </w:pPr>
    </w:p>
    <w:p w14:paraId="47610567" w14:textId="77777777" w:rsidR="00B0049E" w:rsidRPr="00D30847" w:rsidRDefault="00B0049E" w:rsidP="00907ACD">
      <w:pPr>
        <w:pStyle w:val="Heading1"/>
        <w:rPr>
          <w:rFonts w:ascii="Calibri" w:hAnsi="Calibri" w:cs="Calibri"/>
          <w:color w:val="0070C0"/>
          <w:sz w:val="28"/>
          <w:szCs w:val="28"/>
          <w:lang w:val="en-GB"/>
        </w:rPr>
      </w:pPr>
    </w:p>
    <w:p w14:paraId="10CE8819" w14:textId="77777777" w:rsidR="00B0049E" w:rsidRPr="00D30847" w:rsidRDefault="00B0049E" w:rsidP="00907ACD">
      <w:pPr>
        <w:pStyle w:val="Heading1"/>
        <w:rPr>
          <w:rFonts w:ascii="Calibri" w:hAnsi="Calibri" w:cs="Calibri"/>
          <w:color w:val="0070C0"/>
          <w:sz w:val="28"/>
          <w:szCs w:val="28"/>
          <w:lang w:val="en-GB"/>
        </w:rPr>
      </w:pPr>
    </w:p>
    <w:p w14:paraId="0456801C" w14:textId="77777777" w:rsidR="00B0049E" w:rsidRPr="00D30847" w:rsidRDefault="00B0049E" w:rsidP="00907ACD">
      <w:pPr>
        <w:pStyle w:val="Heading1"/>
        <w:rPr>
          <w:rFonts w:ascii="Calibri" w:hAnsi="Calibri" w:cs="Calibri"/>
          <w:color w:val="0070C0"/>
          <w:sz w:val="28"/>
          <w:szCs w:val="28"/>
          <w:lang w:val="en-GB"/>
        </w:rPr>
      </w:pPr>
    </w:p>
    <w:p w14:paraId="36CE21AF" w14:textId="77777777" w:rsidR="00B0049E" w:rsidRPr="00D30847" w:rsidRDefault="00B0049E" w:rsidP="00907ACD">
      <w:pPr>
        <w:pStyle w:val="Heading1"/>
        <w:rPr>
          <w:rFonts w:ascii="Calibri" w:hAnsi="Calibri" w:cs="Calibri"/>
          <w:color w:val="0070C0"/>
          <w:sz w:val="28"/>
          <w:szCs w:val="28"/>
          <w:lang w:val="en-GB"/>
        </w:rPr>
      </w:pPr>
    </w:p>
    <w:p w14:paraId="19D709DF" w14:textId="77777777" w:rsidR="00B0049E" w:rsidRPr="00D30847" w:rsidRDefault="00B0049E" w:rsidP="00907ACD">
      <w:pPr>
        <w:pStyle w:val="Heading1"/>
        <w:rPr>
          <w:rFonts w:ascii="Calibri" w:hAnsi="Calibri" w:cs="Calibri"/>
          <w:color w:val="0070C0"/>
          <w:sz w:val="28"/>
          <w:szCs w:val="28"/>
          <w:lang w:val="en-GB"/>
        </w:rPr>
      </w:pPr>
    </w:p>
    <w:p w14:paraId="3B77C3EC" w14:textId="77777777" w:rsidR="00B0049E" w:rsidRPr="00D30847" w:rsidRDefault="00B0049E" w:rsidP="00907ACD">
      <w:pPr>
        <w:pStyle w:val="Heading1"/>
        <w:rPr>
          <w:rFonts w:ascii="Calibri" w:hAnsi="Calibri" w:cs="Calibri"/>
          <w:color w:val="0070C0"/>
          <w:sz w:val="28"/>
          <w:szCs w:val="28"/>
          <w:lang w:val="en-GB"/>
        </w:rPr>
      </w:pPr>
    </w:p>
    <w:p w14:paraId="3BA4FC86" w14:textId="77777777" w:rsidR="00B0049E" w:rsidRPr="00D30847" w:rsidRDefault="00B0049E" w:rsidP="00B0049E">
      <w:pPr>
        <w:rPr>
          <w:lang w:val="en-GB"/>
        </w:rPr>
      </w:pPr>
    </w:p>
    <w:p w14:paraId="00F28721" w14:textId="77777777" w:rsidR="00B0049E" w:rsidRPr="00D30847" w:rsidRDefault="00B0049E" w:rsidP="00B0049E">
      <w:pPr>
        <w:rPr>
          <w:lang w:val="en-GB"/>
        </w:rPr>
      </w:pPr>
    </w:p>
    <w:p w14:paraId="13E8D93C" w14:textId="77777777" w:rsidR="00B0049E" w:rsidRPr="00D30847" w:rsidRDefault="00B0049E" w:rsidP="00B0049E">
      <w:pPr>
        <w:rPr>
          <w:lang w:val="en-GB"/>
        </w:rPr>
      </w:pPr>
    </w:p>
    <w:p w14:paraId="1C8DAE5C" w14:textId="77777777" w:rsidR="00B0049E" w:rsidRPr="00D30847" w:rsidRDefault="00B0049E" w:rsidP="00B0049E">
      <w:pPr>
        <w:rPr>
          <w:lang w:val="en-GB"/>
        </w:rPr>
      </w:pPr>
    </w:p>
    <w:p w14:paraId="3D2E4215" w14:textId="77777777" w:rsidR="00B0049E" w:rsidRPr="00D30847" w:rsidRDefault="00B0049E" w:rsidP="00B0049E">
      <w:pPr>
        <w:rPr>
          <w:lang w:val="en-GB"/>
        </w:rPr>
      </w:pPr>
    </w:p>
    <w:p w14:paraId="01FDDDCB" w14:textId="0DACDBC5" w:rsidR="00907ACD" w:rsidRPr="00D30847" w:rsidRDefault="00907ACD" w:rsidP="00907ACD">
      <w:pPr>
        <w:pStyle w:val="Heading1"/>
        <w:rPr>
          <w:rFonts w:cs="Calibri"/>
          <w:b w:val="0"/>
          <w:bCs w:val="0"/>
          <w:color w:val="0070C0"/>
          <w:sz w:val="28"/>
          <w:szCs w:val="28"/>
          <w:lang w:val="en-GB"/>
        </w:rPr>
      </w:pPr>
      <w:bookmarkStart w:id="39" w:name="_Toc187841811"/>
      <w:r w:rsidRPr="00D30847">
        <w:rPr>
          <w:rFonts w:ascii="Calibri" w:hAnsi="Calibri" w:cs="Calibri"/>
          <w:color w:val="0070C0"/>
          <w:sz w:val="28"/>
          <w:szCs w:val="28"/>
          <w:lang w:val="en-GB"/>
        </w:rPr>
        <w:lastRenderedPageBreak/>
        <w:t>Priority 4: Public finance management at local level</w:t>
      </w:r>
      <w:bookmarkEnd w:id="39"/>
      <w:r w:rsidRPr="00D30847">
        <w:rPr>
          <w:rFonts w:ascii="Calibri" w:hAnsi="Calibri" w:cs="Calibri"/>
          <w:color w:val="0070C0"/>
          <w:sz w:val="28"/>
          <w:szCs w:val="28"/>
          <w:lang w:val="en-GB"/>
        </w:rPr>
        <w:t> </w:t>
      </w:r>
    </w:p>
    <w:p w14:paraId="0332762A" w14:textId="77777777" w:rsidR="00907ACD" w:rsidRPr="00D30847" w:rsidRDefault="00907ACD" w:rsidP="00907ACD">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Objective</w:t>
      </w:r>
    </w:p>
    <w:p w14:paraId="41EBCC54" w14:textId="77777777" w:rsidR="00907ACD" w:rsidRPr="00D30847" w:rsidRDefault="00907ACD" w:rsidP="00907ACD">
      <w:pPr>
        <w:spacing w:before="80" w:after="80" w:line="240" w:lineRule="auto"/>
        <w:jc w:val="both"/>
        <w:rPr>
          <w:rFonts w:eastAsia="Times New Roman" w:cs="Calibri"/>
          <w:color w:val="202124"/>
          <w:lang w:val="en-GB"/>
        </w:rPr>
      </w:pPr>
      <w:r w:rsidRPr="00D30847">
        <w:rPr>
          <w:rFonts w:eastAsia="Times New Roman" w:cs="Calibri"/>
          <w:color w:val="202124"/>
          <w:lang w:val="en-GB"/>
        </w:rPr>
        <w:t>Strengthened, stable and responsible financial performance of municipalities and strengthened financial discipline, improved transparency and accountability at the local level.</w:t>
      </w:r>
    </w:p>
    <w:p w14:paraId="0E0A7D4B" w14:textId="77777777" w:rsidR="00907ACD" w:rsidRPr="00D30847" w:rsidRDefault="00907ACD" w:rsidP="00907ACD">
      <w:pPr>
        <w:spacing w:before="80" w:after="80" w:line="240" w:lineRule="auto"/>
        <w:jc w:val="both"/>
        <w:rPr>
          <w:rFonts w:eastAsia="Times New Roman" w:cs="Calibri"/>
          <w:color w:val="202124"/>
          <w:lang w:val="en-GB"/>
        </w:rPr>
      </w:pPr>
      <w:r w:rsidRPr="00D30847">
        <w:rPr>
          <w:rFonts w:eastAsia="Times New Roman" w:cs="Calibri"/>
          <w:color w:val="202124"/>
          <w:lang w:val="en-GB"/>
        </w:rPr>
        <w:t>The objective of this priority will be achieved through the following measures and activities:</w:t>
      </w:r>
    </w:p>
    <w:p w14:paraId="43755CB8" w14:textId="77777777" w:rsidR="00907ACD" w:rsidRPr="00D30847" w:rsidRDefault="00907ACD" w:rsidP="00907ACD">
      <w:pPr>
        <w:spacing w:before="80" w:after="80" w:line="240" w:lineRule="auto"/>
        <w:jc w:val="both"/>
        <w:rPr>
          <w:rFonts w:eastAsia="Times New Roman" w:cs="Calibri"/>
          <w:color w:val="202124"/>
          <w:lang w:val="en-GB"/>
        </w:rPr>
      </w:pPr>
    </w:p>
    <w:tbl>
      <w:tblPr>
        <w:tblW w:w="8140" w:type="dxa"/>
        <w:tblLook w:val="01E0" w:firstRow="1" w:lastRow="1" w:firstColumn="1" w:lastColumn="1" w:noHBand="0" w:noVBand="0"/>
      </w:tblPr>
      <w:tblGrid>
        <w:gridCol w:w="1714"/>
        <w:gridCol w:w="6426"/>
      </w:tblGrid>
      <w:tr w:rsidR="00907ACD" w:rsidRPr="00D30847" w14:paraId="78F80C52" w14:textId="77777777" w:rsidTr="001D2A62">
        <w:tc>
          <w:tcPr>
            <w:tcW w:w="1714" w:type="dxa"/>
            <w:shd w:val="clear" w:color="auto" w:fill="auto"/>
          </w:tcPr>
          <w:p w14:paraId="0872DAB6" w14:textId="77777777" w:rsidR="00907ACD" w:rsidRPr="00D30847" w:rsidRDefault="00907ACD" w:rsidP="001D2A62">
            <w:pPr>
              <w:spacing w:line="240" w:lineRule="auto"/>
              <w:jc w:val="both"/>
              <w:rPr>
                <w:rFonts w:cs="Calibri"/>
                <w:lang w:val="en-GB"/>
              </w:rPr>
            </w:pPr>
            <w:r w:rsidRPr="00D30847">
              <w:rPr>
                <w:rFonts w:eastAsia="Times New Roman" w:cs="Calibri"/>
                <w:b/>
                <w:color w:val="202124"/>
                <w:lang w:val="en-GB"/>
              </w:rPr>
              <w:t>Measure 1:</w:t>
            </w:r>
          </w:p>
        </w:tc>
        <w:tc>
          <w:tcPr>
            <w:tcW w:w="6426" w:type="dxa"/>
            <w:shd w:val="clear" w:color="auto" w:fill="auto"/>
          </w:tcPr>
          <w:p w14:paraId="393D1FC1" w14:textId="77777777" w:rsidR="00907ACD" w:rsidRPr="00D30847" w:rsidRDefault="00907ACD" w:rsidP="001D2A62">
            <w:pPr>
              <w:spacing w:line="240" w:lineRule="auto"/>
              <w:jc w:val="both"/>
              <w:rPr>
                <w:rFonts w:cs="Calibri"/>
                <w:lang w:val="en-GB"/>
              </w:rPr>
            </w:pPr>
            <w:r w:rsidRPr="00D30847">
              <w:rPr>
                <w:rFonts w:eastAsia="Times New Roman" w:cs="Calibri"/>
                <w:b/>
                <w:lang w:val="en-GB"/>
              </w:rPr>
              <w:t xml:space="preserve">Improving budget planning of local self-government units </w:t>
            </w:r>
          </w:p>
        </w:tc>
      </w:tr>
      <w:tr w:rsidR="00907ACD" w:rsidRPr="00D30847" w14:paraId="5F8D015C" w14:textId="77777777" w:rsidTr="001D2A62">
        <w:tc>
          <w:tcPr>
            <w:tcW w:w="1714" w:type="dxa"/>
            <w:shd w:val="clear" w:color="auto" w:fill="auto"/>
          </w:tcPr>
          <w:p w14:paraId="5EFDA47E" w14:textId="77777777" w:rsidR="00907ACD" w:rsidRPr="00D30847" w:rsidRDefault="00907ACD" w:rsidP="001D2A62">
            <w:pPr>
              <w:spacing w:line="240" w:lineRule="auto"/>
              <w:jc w:val="both"/>
              <w:rPr>
                <w:rFonts w:cs="Calibri"/>
                <w:lang w:val="en-GB"/>
              </w:rPr>
            </w:pPr>
            <w:r w:rsidRPr="00D30847">
              <w:rPr>
                <w:rFonts w:eastAsia="Times New Roman" w:cs="Calibri"/>
                <w:color w:val="202124"/>
                <w:lang w:val="en-GB"/>
              </w:rPr>
              <w:t>Activity 1:</w:t>
            </w:r>
          </w:p>
        </w:tc>
        <w:tc>
          <w:tcPr>
            <w:tcW w:w="6426" w:type="dxa"/>
            <w:shd w:val="clear" w:color="auto" w:fill="auto"/>
          </w:tcPr>
          <w:p w14:paraId="439C559B" w14:textId="6CC05D2B" w:rsidR="00907ACD" w:rsidRPr="00D30847" w:rsidRDefault="002F500A" w:rsidP="001D2A62">
            <w:pPr>
              <w:spacing w:line="240" w:lineRule="auto"/>
              <w:jc w:val="both"/>
              <w:rPr>
                <w:rFonts w:cs="Calibri"/>
                <w:lang w:val="en-GB"/>
              </w:rPr>
            </w:pPr>
            <w:r w:rsidRPr="00D30847">
              <w:rPr>
                <w:rFonts w:cs="Calibri"/>
                <w:lang w:val="en-GB"/>
              </w:rPr>
              <w:t>Adoption</w:t>
            </w:r>
            <w:r w:rsidR="00907ACD" w:rsidRPr="00D30847">
              <w:rPr>
                <w:rFonts w:cs="Calibri"/>
                <w:lang w:val="en-GB"/>
              </w:rPr>
              <w:t xml:space="preserve"> of a new Law on Financing Local Government Units;</w:t>
            </w:r>
          </w:p>
        </w:tc>
      </w:tr>
      <w:tr w:rsidR="00907ACD" w:rsidRPr="00D30847" w14:paraId="435CC665" w14:textId="77777777" w:rsidTr="001D2A62">
        <w:tc>
          <w:tcPr>
            <w:tcW w:w="1714" w:type="dxa"/>
            <w:shd w:val="clear" w:color="auto" w:fill="auto"/>
          </w:tcPr>
          <w:p w14:paraId="3F7A0F66" w14:textId="77777777" w:rsidR="00907ACD" w:rsidRPr="00D30847" w:rsidRDefault="00907ACD" w:rsidP="001D2A62">
            <w:pPr>
              <w:spacing w:line="240" w:lineRule="auto"/>
              <w:jc w:val="both"/>
              <w:rPr>
                <w:rFonts w:cs="Calibri"/>
                <w:lang w:val="en-GB"/>
              </w:rPr>
            </w:pPr>
            <w:r w:rsidRPr="00D30847">
              <w:rPr>
                <w:rFonts w:eastAsia="Times New Roman" w:cs="Calibri"/>
                <w:color w:val="202124"/>
                <w:lang w:val="en-GB"/>
              </w:rPr>
              <w:t>Activity 2:</w:t>
            </w:r>
          </w:p>
        </w:tc>
        <w:tc>
          <w:tcPr>
            <w:tcW w:w="6426" w:type="dxa"/>
            <w:shd w:val="clear" w:color="auto" w:fill="auto"/>
          </w:tcPr>
          <w:p w14:paraId="48AD81E3" w14:textId="77777777" w:rsidR="00907ACD" w:rsidRPr="00D30847" w:rsidRDefault="00907ACD" w:rsidP="001D2A62">
            <w:pPr>
              <w:spacing w:line="240" w:lineRule="auto"/>
              <w:jc w:val="both"/>
              <w:rPr>
                <w:rFonts w:cs="Calibri"/>
                <w:lang w:val="en-GB"/>
              </w:rPr>
            </w:pPr>
            <w:r w:rsidRPr="00D30847">
              <w:rPr>
                <w:rFonts w:cs="Calibri"/>
                <w:lang w:val="en-GB"/>
              </w:rPr>
              <w:t>Preparation of by-laws of the new Law on financing of local self-government units</w:t>
            </w:r>
          </w:p>
        </w:tc>
      </w:tr>
      <w:tr w:rsidR="00907ACD" w:rsidRPr="00D30847" w14:paraId="2F393A8F" w14:textId="77777777" w:rsidTr="001D2A62">
        <w:trPr>
          <w:trHeight w:val="407"/>
        </w:trPr>
        <w:tc>
          <w:tcPr>
            <w:tcW w:w="1714" w:type="dxa"/>
            <w:shd w:val="clear" w:color="auto" w:fill="auto"/>
          </w:tcPr>
          <w:p w14:paraId="5933DDDE" w14:textId="77777777" w:rsidR="00907ACD" w:rsidRPr="00D30847" w:rsidRDefault="00907ACD" w:rsidP="001D2A62">
            <w:pPr>
              <w:spacing w:after="0"/>
              <w:jc w:val="both"/>
              <w:rPr>
                <w:rFonts w:eastAsia="Times New Roman" w:cs="Calibri"/>
                <w:color w:val="202124"/>
                <w:lang w:val="en-GB"/>
              </w:rPr>
            </w:pPr>
            <w:r w:rsidRPr="00D30847">
              <w:rPr>
                <w:rFonts w:eastAsia="Times New Roman" w:cs="Calibri"/>
                <w:color w:val="202124"/>
                <w:lang w:val="en-GB"/>
              </w:rPr>
              <w:t>Activity 3:</w:t>
            </w:r>
          </w:p>
          <w:p w14:paraId="35D36AEF" w14:textId="77777777" w:rsidR="00907ACD" w:rsidRPr="00D30847" w:rsidRDefault="00907ACD" w:rsidP="001D2A62">
            <w:pPr>
              <w:spacing w:after="0"/>
              <w:jc w:val="both"/>
              <w:rPr>
                <w:rFonts w:eastAsia="Times New Roman" w:cs="Calibri"/>
                <w:color w:val="202124"/>
                <w:lang w:val="en-GB"/>
              </w:rPr>
            </w:pPr>
          </w:p>
          <w:p w14:paraId="0ABA3223" w14:textId="77777777" w:rsidR="00907ACD" w:rsidRPr="00D30847" w:rsidRDefault="00907ACD" w:rsidP="001D2A62">
            <w:pPr>
              <w:spacing w:after="0"/>
              <w:jc w:val="both"/>
              <w:rPr>
                <w:rFonts w:eastAsia="Times New Roman" w:cs="Calibri"/>
                <w:color w:val="202124"/>
                <w:lang w:val="en-GB"/>
              </w:rPr>
            </w:pPr>
            <w:r w:rsidRPr="00D30847">
              <w:rPr>
                <w:rFonts w:eastAsia="Times New Roman" w:cs="Calibri"/>
                <w:color w:val="202124"/>
                <w:lang w:val="en-GB"/>
              </w:rPr>
              <w:t>Activity 4:</w:t>
            </w:r>
          </w:p>
          <w:p w14:paraId="24221DFE" w14:textId="77777777" w:rsidR="00907ACD" w:rsidRPr="00D30847" w:rsidRDefault="00907ACD" w:rsidP="001D2A62">
            <w:pPr>
              <w:spacing w:line="240" w:lineRule="auto"/>
              <w:jc w:val="both"/>
              <w:rPr>
                <w:rFonts w:cs="Calibri"/>
                <w:lang w:val="en-GB"/>
              </w:rPr>
            </w:pPr>
          </w:p>
        </w:tc>
        <w:tc>
          <w:tcPr>
            <w:tcW w:w="6426" w:type="dxa"/>
            <w:shd w:val="clear" w:color="auto" w:fill="auto"/>
          </w:tcPr>
          <w:p w14:paraId="4BE5525E" w14:textId="77777777" w:rsidR="00907ACD" w:rsidRPr="00D30847" w:rsidRDefault="00907ACD" w:rsidP="001D2A62">
            <w:pPr>
              <w:tabs>
                <w:tab w:val="left" w:pos="1250"/>
              </w:tabs>
              <w:spacing w:after="0"/>
              <w:jc w:val="both"/>
              <w:rPr>
                <w:rFonts w:eastAsia="Times New Roman" w:cs="Calibri"/>
                <w:color w:val="202124"/>
                <w:lang w:val="en-GB"/>
              </w:rPr>
            </w:pPr>
            <w:bookmarkStart w:id="40" w:name="_Hlk184387902"/>
            <w:r w:rsidRPr="00D30847">
              <w:rPr>
                <w:rFonts w:eastAsia="Times New Roman" w:cs="Calibri"/>
                <w:color w:val="202124"/>
                <w:lang w:val="en-GB"/>
              </w:rPr>
              <w:t>Medium-term budget planning</w:t>
            </w:r>
          </w:p>
          <w:bookmarkEnd w:id="40"/>
          <w:p w14:paraId="3795C9B9" w14:textId="77777777" w:rsidR="00907ACD" w:rsidRPr="00D30847" w:rsidRDefault="00907ACD" w:rsidP="001D2A62">
            <w:pPr>
              <w:tabs>
                <w:tab w:val="left" w:pos="1250"/>
              </w:tabs>
              <w:spacing w:after="0"/>
              <w:jc w:val="both"/>
              <w:rPr>
                <w:rFonts w:eastAsia="Times New Roman" w:cs="Calibri"/>
                <w:color w:val="202124"/>
                <w:lang w:val="en-GB"/>
              </w:rPr>
            </w:pPr>
          </w:p>
          <w:p w14:paraId="0868956D" w14:textId="77777777" w:rsidR="00907ACD" w:rsidRPr="00D30847" w:rsidRDefault="00907ACD" w:rsidP="001D2A62">
            <w:pPr>
              <w:spacing w:line="240" w:lineRule="auto"/>
              <w:jc w:val="both"/>
              <w:rPr>
                <w:rFonts w:cs="Calibri"/>
                <w:color w:val="212121"/>
                <w:shd w:val="clear" w:color="auto" w:fill="FFFFFF"/>
                <w:lang w:val="en-GB"/>
              </w:rPr>
            </w:pPr>
            <w:bookmarkStart w:id="41" w:name="_Hlk184387978"/>
            <w:r w:rsidRPr="00D30847">
              <w:rPr>
                <w:rFonts w:cs="Calibri"/>
                <w:color w:val="212121"/>
                <w:shd w:val="clear" w:color="auto" w:fill="FFFFFF"/>
                <w:lang w:val="en-GB"/>
              </w:rPr>
              <w:t>Training to strengthen the capacities of municipal employees for realistic planning of municipal revenues and expenditures;</w:t>
            </w:r>
            <w:bookmarkEnd w:id="41"/>
          </w:p>
        </w:tc>
      </w:tr>
      <w:tr w:rsidR="00907ACD" w:rsidRPr="00D30847" w14:paraId="5267D294" w14:textId="77777777" w:rsidTr="001D2A62">
        <w:tc>
          <w:tcPr>
            <w:tcW w:w="1714" w:type="dxa"/>
            <w:shd w:val="clear" w:color="auto" w:fill="auto"/>
          </w:tcPr>
          <w:p w14:paraId="4188501F" w14:textId="77777777" w:rsidR="00907ACD" w:rsidRPr="00D30847" w:rsidRDefault="00907ACD" w:rsidP="001D2A62">
            <w:pPr>
              <w:spacing w:line="240" w:lineRule="auto"/>
              <w:jc w:val="both"/>
              <w:rPr>
                <w:rFonts w:cs="Calibri"/>
                <w:lang w:val="en-GB"/>
              </w:rPr>
            </w:pPr>
            <w:r w:rsidRPr="00D30847">
              <w:rPr>
                <w:rFonts w:eastAsia="Times New Roman" w:cs="Calibri"/>
                <w:b/>
                <w:color w:val="202124"/>
                <w:lang w:val="en-GB"/>
              </w:rPr>
              <w:t>Measure 2:</w:t>
            </w:r>
          </w:p>
        </w:tc>
        <w:tc>
          <w:tcPr>
            <w:tcW w:w="6426" w:type="dxa"/>
            <w:shd w:val="clear" w:color="auto" w:fill="auto"/>
          </w:tcPr>
          <w:p w14:paraId="25769CBD" w14:textId="77777777" w:rsidR="00907ACD" w:rsidRPr="00D30847" w:rsidRDefault="00907ACD" w:rsidP="001D2A62">
            <w:pPr>
              <w:spacing w:line="240" w:lineRule="auto"/>
              <w:jc w:val="both"/>
              <w:rPr>
                <w:rFonts w:cs="Calibri"/>
                <w:lang w:val="en-GB"/>
              </w:rPr>
            </w:pPr>
            <w:bookmarkStart w:id="42" w:name="_Hlk184885681"/>
            <w:r w:rsidRPr="00D30847">
              <w:rPr>
                <w:rFonts w:eastAsia="Times New Roman" w:cs="Calibri"/>
                <w:b/>
                <w:lang w:val="en-GB"/>
              </w:rPr>
              <w:t>Financial discipline, better transparency and accountability of local government</w:t>
            </w:r>
            <w:bookmarkEnd w:id="42"/>
          </w:p>
        </w:tc>
      </w:tr>
      <w:tr w:rsidR="00907ACD" w:rsidRPr="00D30847" w14:paraId="4DDA88C2" w14:textId="77777777" w:rsidTr="00E32BC1">
        <w:trPr>
          <w:trHeight w:val="1008"/>
        </w:trPr>
        <w:tc>
          <w:tcPr>
            <w:tcW w:w="1714" w:type="dxa"/>
            <w:shd w:val="clear" w:color="auto" w:fill="auto"/>
          </w:tcPr>
          <w:p w14:paraId="74066263" w14:textId="77777777" w:rsidR="00907ACD" w:rsidRPr="00D30847" w:rsidRDefault="00907ACD" w:rsidP="001D2A62">
            <w:pPr>
              <w:spacing w:line="240" w:lineRule="auto"/>
              <w:jc w:val="both"/>
              <w:rPr>
                <w:rFonts w:cs="Calibri"/>
                <w:lang w:val="en-GB"/>
              </w:rPr>
            </w:pPr>
            <w:r w:rsidRPr="00D30847">
              <w:rPr>
                <w:rFonts w:cs="Calibri"/>
                <w:lang w:val="en-GB"/>
              </w:rPr>
              <w:t>Activity 1:</w:t>
            </w:r>
          </w:p>
          <w:p w14:paraId="739AD8C9" w14:textId="4567E7F1" w:rsidR="00907ACD" w:rsidRPr="00D30847" w:rsidRDefault="00907ACD" w:rsidP="001D2A62">
            <w:pPr>
              <w:spacing w:line="240" w:lineRule="auto"/>
              <w:jc w:val="both"/>
              <w:rPr>
                <w:rFonts w:cs="Calibri"/>
                <w:lang w:val="en-GB"/>
              </w:rPr>
            </w:pPr>
            <w:r w:rsidRPr="00D30847">
              <w:rPr>
                <w:rFonts w:cs="Calibri"/>
                <w:lang w:val="en-GB"/>
              </w:rPr>
              <w:t>Activity 2:</w:t>
            </w:r>
          </w:p>
        </w:tc>
        <w:tc>
          <w:tcPr>
            <w:tcW w:w="6426" w:type="dxa"/>
            <w:shd w:val="clear" w:color="auto" w:fill="auto"/>
          </w:tcPr>
          <w:p w14:paraId="167B91AE" w14:textId="77777777" w:rsidR="00907ACD" w:rsidRPr="00D30847" w:rsidRDefault="00907ACD" w:rsidP="001D2A62">
            <w:pPr>
              <w:spacing w:line="240" w:lineRule="auto"/>
              <w:jc w:val="both"/>
              <w:rPr>
                <w:rFonts w:cs="Calibri"/>
                <w:lang w:val="en-GB"/>
              </w:rPr>
            </w:pPr>
            <w:r w:rsidRPr="00D30847">
              <w:rPr>
                <w:rFonts w:cs="Calibri"/>
                <w:lang w:val="en-GB"/>
              </w:rPr>
              <w:t>Preparation of a financial instability procedure</w:t>
            </w:r>
          </w:p>
          <w:p w14:paraId="1D908F6A" w14:textId="77777777" w:rsidR="00907ACD" w:rsidRPr="00D30847" w:rsidRDefault="00907ACD" w:rsidP="001D2A62">
            <w:pPr>
              <w:spacing w:line="240" w:lineRule="auto"/>
              <w:jc w:val="both"/>
              <w:rPr>
                <w:rFonts w:cs="Calibri"/>
                <w:lang w:val="en-GB"/>
              </w:rPr>
            </w:pPr>
            <w:r w:rsidRPr="00D30847">
              <w:rPr>
                <w:rFonts w:cs="Calibri"/>
                <w:lang w:val="en-GB"/>
              </w:rPr>
              <w:t>Monitoring the transparency of municipalities</w:t>
            </w:r>
          </w:p>
        </w:tc>
      </w:tr>
    </w:tbl>
    <w:p w14:paraId="668F3685" w14:textId="1F2B7C90" w:rsidR="00977078" w:rsidRPr="00D30847" w:rsidRDefault="00977078" w:rsidP="00907ACD">
      <w:pPr>
        <w:spacing w:before="80" w:after="80" w:line="240" w:lineRule="auto"/>
        <w:jc w:val="both"/>
        <w:rPr>
          <w:rFonts w:eastAsia="Times New Roman" w:cs="Calibri"/>
          <w:color w:val="202124"/>
          <w:lang w:val="en-GB"/>
        </w:rPr>
      </w:pPr>
      <w:r w:rsidRPr="00D30847">
        <w:rPr>
          <w:rFonts w:cs="Calibri"/>
          <w:b/>
          <w:bCs/>
          <w:i/>
          <w:iCs/>
          <w:color w:val="4F81BD"/>
          <w:lang w:val="en-GB"/>
        </w:rPr>
        <w:t>Outcome</w:t>
      </w:r>
    </w:p>
    <w:p w14:paraId="53BD5D9B" w14:textId="378AE565" w:rsidR="00907ACD" w:rsidRPr="00D30847" w:rsidRDefault="00907ACD" w:rsidP="00907ACD">
      <w:pPr>
        <w:spacing w:before="80" w:after="80" w:line="240" w:lineRule="auto"/>
        <w:jc w:val="both"/>
        <w:rPr>
          <w:rFonts w:eastAsia="Times New Roman" w:cs="Calibri"/>
          <w:color w:val="202124"/>
          <w:lang w:val="en-GB"/>
        </w:rPr>
      </w:pPr>
      <w:r w:rsidRPr="00D30847">
        <w:rPr>
          <w:rFonts w:eastAsia="Times New Roman" w:cs="Calibri"/>
          <w:color w:val="202124"/>
          <w:lang w:val="en-GB"/>
        </w:rPr>
        <w:t>More realistic planning of municipal budgets, improved targeted spending of funds and increased financial discipline, transparency and accountability of municipalities.</w:t>
      </w:r>
    </w:p>
    <w:p w14:paraId="4BC91DDB" w14:textId="77777777" w:rsidR="00B739E8" w:rsidRPr="00D30847" w:rsidRDefault="00B739E8" w:rsidP="00907ACD">
      <w:pPr>
        <w:spacing w:before="80" w:after="80" w:line="240" w:lineRule="auto"/>
        <w:jc w:val="both"/>
        <w:rPr>
          <w:rFonts w:eastAsia="Times New Roman" w:cs="Calibri"/>
          <w:color w:val="202124"/>
          <w:lang w:val="en-GB"/>
        </w:rPr>
      </w:pPr>
    </w:p>
    <w:p w14:paraId="4445D7EA" w14:textId="77777777" w:rsidR="00907ACD" w:rsidRPr="00D30847" w:rsidRDefault="00907ACD" w:rsidP="00907ACD">
      <w:pPr>
        <w:spacing w:line="240" w:lineRule="auto"/>
        <w:jc w:val="both"/>
        <w:rPr>
          <w:rFonts w:cs="Calibri"/>
          <w:b/>
          <w:bCs/>
          <w:i/>
          <w:iCs/>
          <w:color w:val="4F81BD"/>
          <w:lang w:val="en-GB"/>
        </w:rPr>
      </w:pPr>
      <w:r w:rsidRPr="00D30847">
        <w:rPr>
          <w:rFonts w:cs="Calibri"/>
          <w:b/>
          <w:bCs/>
          <w:i/>
          <w:iCs/>
          <w:color w:val="4F81BD"/>
          <w:lang w:val="en-GB"/>
        </w:rPr>
        <w:t>Outcome indicators</w:t>
      </w:r>
    </w:p>
    <w:p w14:paraId="46790253" w14:textId="77777777" w:rsidR="00907ACD" w:rsidRPr="00D30847" w:rsidRDefault="00907ACD" w:rsidP="00907ACD">
      <w:pPr>
        <w:spacing w:after="120" w:line="240" w:lineRule="auto"/>
        <w:jc w:val="both"/>
        <w:rPr>
          <w:rFonts w:cs="Calibri"/>
          <w:lang w:val="en-GB"/>
        </w:rPr>
      </w:pPr>
      <w:r w:rsidRPr="00D30847">
        <w:rPr>
          <w:rFonts w:cs="Calibri"/>
          <w:lang w:val="en-GB"/>
        </w:rPr>
        <w:t>1. Percentage of increase in municipal revenues;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907ACD" w:rsidRPr="00D30847" w14:paraId="25F4274F" w14:textId="77777777" w:rsidTr="001D2A62">
        <w:trPr>
          <w:trHeight w:val="395"/>
        </w:trPr>
        <w:tc>
          <w:tcPr>
            <w:tcW w:w="4608" w:type="dxa"/>
            <w:shd w:val="clear" w:color="auto" w:fill="E8E8E8"/>
          </w:tcPr>
          <w:p w14:paraId="2B5B0D95" w14:textId="77777777" w:rsidR="00907ACD" w:rsidRPr="00D30847" w:rsidRDefault="00907ACD" w:rsidP="001D2A62">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2023</w:t>
            </w:r>
          </w:p>
        </w:tc>
        <w:tc>
          <w:tcPr>
            <w:tcW w:w="4608" w:type="dxa"/>
            <w:shd w:val="clear" w:color="auto" w:fill="E8E8E8"/>
          </w:tcPr>
          <w:p w14:paraId="5F24E864" w14:textId="77777777" w:rsidR="00907ACD" w:rsidRPr="00D30847" w:rsidRDefault="00907ACD" w:rsidP="001D2A62">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2028</w:t>
            </w:r>
          </w:p>
        </w:tc>
      </w:tr>
      <w:tr w:rsidR="00907ACD" w:rsidRPr="00D30847" w14:paraId="3F52A32E" w14:textId="77777777" w:rsidTr="001D2A62">
        <w:trPr>
          <w:trHeight w:val="278"/>
        </w:trPr>
        <w:tc>
          <w:tcPr>
            <w:tcW w:w="4608" w:type="dxa"/>
            <w:shd w:val="clear" w:color="auto" w:fill="E8E8E8"/>
          </w:tcPr>
          <w:p w14:paraId="2294D984" w14:textId="77777777" w:rsidR="00907ACD" w:rsidRPr="00D30847" w:rsidRDefault="00907ACD" w:rsidP="001D2A62">
            <w:pPr>
              <w:tabs>
                <w:tab w:val="left" w:pos="933"/>
              </w:tabs>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89.2% realized revenues compared to planned</w:t>
            </w:r>
          </w:p>
        </w:tc>
        <w:tc>
          <w:tcPr>
            <w:tcW w:w="4608" w:type="dxa"/>
            <w:shd w:val="clear" w:color="auto" w:fill="E8E8E8"/>
          </w:tcPr>
          <w:p w14:paraId="4369724C" w14:textId="77777777" w:rsidR="00907ACD" w:rsidRPr="00D30847" w:rsidRDefault="00907ACD" w:rsidP="001D2A62">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95%</w:t>
            </w:r>
          </w:p>
        </w:tc>
      </w:tr>
    </w:tbl>
    <w:p w14:paraId="604ADFD2" w14:textId="77777777" w:rsidR="00907ACD" w:rsidRPr="00D30847" w:rsidRDefault="00907ACD" w:rsidP="00907ACD">
      <w:pPr>
        <w:spacing w:after="120" w:line="240" w:lineRule="auto"/>
        <w:jc w:val="both"/>
        <w:rPr>
          <w:rFonts w:cs="Calibri"/>
          <w:lang w:val="en-GB"/>
        </w:rPr>
      </w:pPr>
    </w:p>
    <w:p w14:paraId="33795966" w14:textId="77777777" w:rsidR="00907ACD" w:rsidRPr="00D30847" w:rsidRDefault="00907ACD" w:rsidP="00907ACD">
      <w:pPr>
        <w:spacing w:after="120" w:line="240" w:lineRule="auto"/>
        <w:jc w:val="both"/>
        <w:rPr>
          <w:rFonts w:cs="Calibri"/>
          <w:lang w:val="en-GB"/>
        </w:rPr>
      </w:pPr>
      <w:r w:rsidRPr="00D30847">
        <w:rPr>
          <w:rFonts w:cs="Calibri"/>
          <w:lang w:val="en-GB"/>
        </w:rPr>
        <w:t>2. Percentage of municipalities that have published financial documents (annual, semi-annual and quarterly reports) on their websites.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907ACD" w:rsidRPr="00D30847" w14:paraId="143E88CE" w14:textId="77777777" w:rsidTr="001D2A62">
        <w:trPr>
          <w:trHeight w:val="395"/>
        </w:trPr>
        <w:tc>
          <w:tcPr>
            <w:tcW w:w="4510" w:type="dxa"/>
            <w:shd w:val="clear" w:color="auto" w:fill="E8E8E8"/>
          </w:tcPr>
          <w:p w14:paraId="51677D4A" w14:textId="77777777" w:rsidR="00907ACD" w:rsidRPr="00D30847" w:rsidRDefault="00907ACD" w:rsidP="001D2A62">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2023</w:t>
            </w:r>
          </w:p>
        </w:tc>
        <w:tc>
          <w:tcPr>
            <w:tcW w:w="4506" w:type="dxa"/>
            <w:shd w:val="clear" w:color="auto" w:fill="E8E8E8"/>
          </w:tcPr>
          <w:p w14:paraId="0A3E548E" w14:textId="77777777" w:rsidR="00907ACD" w:rsidRPr="00D30847" w:rsidRDefault="00907ACD" w:rsidP="001D2A62">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2028</w:t>
            </w:r>
          </w:p>
        </w:tc>
      </w:tr>
      <w:tr w:rsidR="00907ACD" w:rsidRPr="00D30847" w14:paraId="359AF146" w14:textId="77777777" w:rsidTr="001D2A62">
        <w:trPr>
          <w:trHeight w:val="278"/>
        </w:trPr>
        <w:tc>
          <w:tcPr>
            <w:tcW w:w="4510" w:type="dxa"/>
            <w:shd w:val="clear" w:color="auto" w:fill="E8E8E8"/>
          </w:tcPr>
          <w:p w14:paraId="3E1309AC" w14:textId="77777777" w:rsidR="00907ACD" w:rsidRPr="00D30847" w:rsidRDefault="00907ACD" w:rsidP="001D2A62">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75% </w:t>
            </w:r>
          </w:p>
        </w:tc>
        <w:tc>
          <w:tcPr>
            <w:tcW w:w="4506" w:type="dxa"/>
            <w:shd w:val="clear" w:color="auto" w:fill="E8E8E8"/>
          </w:tcPr>
          <w:p w14:paraId="7B66E638" w14:textId="77777777" w:rsidR="00907ACD" w:rsidRPr="00D30847" w:rsidRDefault="00907ACD" w:rsidP="001D2A62">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90%</w:t>
            </w:r>
          </w:p>
        </w:tc>
      </w:tr>
    </w:tbl>
    <w:p w14:paraId="315B1066" w14:textId="77777777" w:rsidR="00907ACD" w:rsidRPr="00D30847" w:rsidRDefault="00907ACD" w:rsidP="00907ACD">
      <w:pPr>
        <w:spacing w:before="360" w:line="240" w:lineRule="auto"/>
        <w:jc w:val="both"/>
        <w:rPr>
          <w:rFonts w:cs="Calibri"/>
          <w:b/>
          <w:color w:val="0070C0"/>
          <w:sz w:val="24"/>
          <w:szCs w:val="24"/>
          <w:lang w:val="en-GB"/>
        </w:rPr>
      </w:pPr>
      <w:bookmarkStart w:id="43" w:name="_Hlk184885632"/>
      <w:r w:rsidRPr="00D30847">
        <w:rPr>
          <w:rFonts w:cs="Calibri"/>
          <w:b/>
          <w:color w:val="0070C0"/>
          <w:sz w:val="24"/>
          <w:szCs w:val="24"/>
          <w:lang w:val="en-GB"/>
        </w:rPr>
        <w:t>Measure 1: Improving budget planning of local self-government units</w:t>
      </w:r>
    </w:p>
    <w:p w14:paraId="0D90D8AC" w14:textId="77777777" w:rsidR="00907ACD" w:rsidRPr="00D30847" w:rsidRDefault="00907ACD" w:rsidP="00907ACD">
      <w:pPr>
        <w:spacing w:line="240" w:lineRule="auto"/>
        <w:jc w:val="both"/>
        <w:rPr>
          <w:rFonts w:cs="Calibri"/>
          <w:b/>
          <w:bCs/>
          <w:i/>
          <w:iCs/>
          <w:color w:val="4F81BD"/>
          <w:lang w:val="en-GB"/>
        </w:rPr>
      </w:pPr>
      <w:bookmarkStart w:id="44" w:name="_Hlk184885778"/>
      <w:bookmarkEnd w:id="43"/>
      <w:r w:rsidRPr="00D30847">
        <w:rPr>
          <w:rFonts w:cs="Calibri"/>
          <w:b/>
          <w:bCs/>
          <w:i/>
          <w:iCs/>
          <w:color w:val="4F81BD"/>
          <w:lang w:val="en-GB"/>
        </w:rPr>
        <w:t>Measure objective</w:t>
      </w:r>
    </w:p>
    <w:bookmarkEnd w:id="44"/>
    <w:p w14:paraId="077BEE55" w14:textId="7D8B39DD" w:rsidR="00907ACD" w:rsidRPr="00D30847" w:rsidRDefault="00907ACD" w:rsidP="00907ACD">
      <w:pPr>
        <w:spacing w:line="240" w:lineRule="auto"/>
        <w:jc w:val="both"/>
        <w:rPr>
          <w:lang w:val="en-GB"/>
        </w:rPr>
      </w:pPr>
      <w:r w:rsidRPr="00D30847">
        <w:rPr>
          <w:lang w:val="en-GB"/>
        </w:rPr>
        <w:t>Realistic budget planning of local self-government units allows for realistic planning of expenditures, but at the same time limits them from undertaking obligations for activities for which funds are not provided in the budget for the current year and for the following years.</w:t>
      </w:r>
    </w:p>
    <w:p w14:paraId="3872FA83" w14:textId="77777777" w:rsidR="00907ACD" w:rsidRPr="00D30847" w:rsidRDefault="00907ACD" w:rsidP="00907ACD">
      <w:pPr>
        <w:spacing w:line="240" w:lineRule="auto"/>
        <w:jc w:val="both"/>
        <w:rPr>
          <w:rFonts w:eastAsia="MS PGothic" w:cs="Calibri"/>
          <w:b/>
          <w:bCs/>
          <w:i/>
          <w:iCs/>
          <w:color w:val="4F81BD"/>
          <w:lang w:val="en-GB" w:eastAsia="zh-CN"/>
        </w:rPr>
      </w:pPr>
      <w:bookmarkStart w:id="45" w:name="_Hlk184885935"/>
      <w:r w:rsidRPr="00D30847">
        <w:rPr>
          <w:rFonts w:eastAsia="MS PGothic" w:cs="Calibri"/>
          <w:b/>
          <w:bCs/>
          <w:i/>
          <w:iCs/>
          <w:color w:val="4F81BD"/>
          <w:lang w:val="en-GB" w:eastAsia="zh-CN"/>
        </w:rPr>
        <w:lastRenderedPageBreak/>
        <w:t>Context/Background</w:t>
      </w:r>
    </w:p>
    <w:bookmarkEnd w:id="45"/>
    <w:p w14:paraId="2E013FF1" w14:textId="77777777" w:rsidR="00907ACD" w:rsidRPr="00D30847" w:rsidRDefault="00907ACD" w:rsidP="00907ACD">
      <w:pPr>
        <w:spacing w:line="240" w:lineRule="auto"/>
        <w:jc w:val="both"/>
        <w:rPr>
          <w:lang w:val="en-GB"/>
        </w:rPr>
      </w:pPr>
      <w:r w:rsidRPr="00D30847">
        <w:rPr>
          <w:lang w:val="en-GB"/>
        </w:rPr>
        <w:t>The Ministry of Finance has concluded that unrealistic budget planning of local government units, i.e. overly optimistic revenue planning, is one of the reasons why local government units create outstanding liabilities in previous years. The Law on Financing Local Government Units regulates that municipal revenues in the basic budget can be planned with an increase of 10% of the average of the revenues generated in the last three years. In the event that the municipality realizes 75% of the planned own revenues in the basic budget by the third quarter, it will be able to additionally increase revenues by another 20%. This rule will apply from 2025, and in 2023 it is planned to increase revenues by 20% and an additional 10% after the third quarter, and in 2024 it will amount to 15% and an additional 15% after the third quarter.</w:t>
      </w:r>
    </w:p>
    <w:p w14:paraId="00FEDDEA" w14:textId="103CC9EA" w:rsidR="00907ACD" w:rsidRPr="00D30847" w:rsidRDefault="00907ACD" w:rsidP="00907ACD">
      <w:pPr>
        <w:keepNext/>
        <w:keepLines/>
        <w:spacing w:before="240" w:after="60" w:line="240" w:lineRule="auto"/>
        <w:jc w:val="both"/>
        <w:outlineLvl w:val="3"/>
        <w:rPr>
          <w:rFonts w:eastAsia="MS PGothic" w:cs="Calibri"/>
          <w:b/>
          <w:bCs/>
          <w:iCs/>
          <w:color w:val="0070C0"/>
          <w:lang w:val="en-GB" w:eastAsia="zh-CN"/>
        </w:rPr>
      </w:pPr>
      <w:r w:rsidRPr="00D30847">
        <w:rPr>
          <w:rFonts w:eastAsia="MS PGothic" w:cs="Calibri"/>
          <w:b/>
          <w:bCs/>
          <w:iCs/>
          <w:color w:val="0070C0"/>
          <w:lang w:val="en-GB" w:eastAsia="zh-CN"/>
        </w:rPr>
        <w:t xml:space="preserve">Activity 1: </w:t>
      </w:r>
      <w:r w:rsidR="002F500A" w:rsidRPr="00D30847">
        <w:rPr>
          <w:rFonts w:eastAsia="MS PGothic" w:cs="Calibri"/>
          <w:b/>
          <w:bCs/>
          <w:iCs/>
          <w:color w:val="0070C0"/>
          <w:lang w:val="en-GB" w:eastAsia="zh-CN"/>
        </w:rPr>
        <w:t>Adoption</w:t>
      </w:r>
      <w:r w:rsidRPr="00D30847">
        <w:rPr>
          <w:rFonts w:eastAsia="MS PGothic" w:cs="Calibri"/>
          <w:b/>
          <w:bCs/>
          <w:iCs/>
          <w:color w:val="0070C0"/>
          <w:lang w:val="en-GB" w:eastAsia="zh-CN"/>
        </w:rPr>
        <w:t xml:space="preserve"> of a new Law on Financing Local Government Units</w:t>
      </w:r>
    </w:p>
    <w:p w14:paraId="4C9419EC" w14:textId="77777777" w:rsidR="00907ACD" w:rsidRPr="00D30847" w:rsidRDefault="00907ACD" w:rsidP="00907ACD">
      <w:pPr>
        <w:spacing w:line="240" w:lineRule="auto"/>
        <w:jc w:val="both"/>
        <w:rPr>
          <w:rFonts w:cs="Calibri"/>
          <w:lang w:val="en-GB"/>
        </w:rPr>
      </w:pPr>
      <w:r w:rsidRPr="00D30847">
        <w:rPr>
          <w:rFonts w:cs="Calibri"/>
          <w:lang w:val="en-GB"/>
        </w:rPr>
        <w:t xml:space="preserve">Law on Financing Local Government Units regulates the financial operations of municipalities, i.e. it includes: sources of financing, determination and collection of revenues, procedure and conditions related to borrowing, budget process - budget planning and execution, annual account of the municipal budget, accounting, control and auditing, actions in case of financial instability, implementation of fiscal decentralization and supervision. </w:t>
      </w:r>
    </w:p>
    <w:p w14:paraId="68B34A40" w14:textId="77777777" w:rsidR="00907ACD" w:rsidRPr="00D30847" w:rsidRDefault="00907ACD" w:rsidP="00907ACD">
      <w:pPr>
        <w:spacing w:line="240" w:lineRule="auto"/>
        <w:jc w:val="both"/>
        <w:rPr>
          <w:rFonts w:cs="Calibri"/>
          <w:lang w:val="en-GB"/>
        </w:rPr>
      </w:pPr>
      <w:r w:rsidRPr="00D30847">
        <w:rPr>
          <w:rFonts w:cs="Calibri"/>
          <w:lang w:val="en-GB"/>
        </w:rPr>
        <w:t xml:space="preserve">Taking into account that the new Budget Law was adopted in 2022, with most of the provisions coming into force from 2025, there is a need to harmonize the Law on financing of local self-government units with the provisions of the new Organic Budget Law. Therefore, there is a need for: </w:t>
      </w:r>
    </w:p>
    <w:p w14:paraId="4134648C" w14:textId="77777777" w:rsidR="00907ACD" w:rsidRPr="00D30847" w:rsidRDefault="00907ACD" w:rsidP="00907ACD">
      <w:pPr>
        <w:pStyle w:val="ListParagraph"/>
        <w:numPr>
          <w:ilvl w:val="0"/>
          <w:numId w:val="80"/>
        </w:numPr>
        <w:spacing w:after="0" w:line="240" w:lineRule="auto"/>
        <w:rPr>
          <w:rFonts w:cs="Calibri"/>
        </w:rPr>
      </w:pPr>
      <w:r w:rsidRPr="00D30847">
        <w:rPr>
          <w:rFonts w:cs="Calibri"/>
        </w:rPr>
        <w:t>Identifying the provisions of the Law on Financing Local Government Units, which should be harmonized with the provisions in the draft Organic Budget Law;</w:t>
      </w:r>
    </w:p>
    <w:p w14:paraId="12022CE6" w14:textId="77777777" w:rsidR="00907ACD" w:rsidRPr="00D30847" w:rsidRDefault="00907ACD" w:rsidP="00907ACD">
      <w:pPr>
        <w:pStyle w:val="ListParagraph"/>
        <w:numPr>
          <w:ilvl w:val="0"/>
          <w:numId w:val="80"/>
        </w:numPr>
        <w:spacing w:after="0" w:line="240" w:lineRule="auto"/>
        <w:rPr>
          <w:rFonts w:cs="Calibri"/>
        </w:rPr>
      </w:pPr>
      <w:r w:rsidRPr="00D30847">
        <w:rPr>
          <w:rFonts w:cs="Calibri"/>
        </w:rPr>
        <w:t>Consultations with the municipalities, the Association of Local Government Units, ministries, experts and the broader public about the amendments that would be proposed;</w:t>
      </w:r>
    </w:p>
    <w:p w14:paraId="78812574" w14:textId="77777777" w:rsidR="00907ACD" w:rsidRPr="00D30847" w:rsidRDefault="00907ACD" w:rsidP="00907ACD">
      <w:pPr>
        <w:pStyle w:val="ListParagraph"/>
        <w:numPr>
          <w:ilvl w:val="0"/>
          <w:numId w:val="80"/>
        </w:numPr>
        <w:spacing w:after="0" w:line="240" w:lineRule="auto"/>
        <w:rPr>
          <w:rFonts w:cs="Calibri"/>
        </w:rPr>
      </w:pPr>
      <w:r w:rsidRPr="00D30847">
        <w:rPr>
          <w:rFonts w:cs="Calibri"/>
        </w:rPr>
        <w:t>Preparation of a new law and submission to the assembly for adoption</w:t>
      </w:r>
    </w:p>
    <w:p w14:paraId="0D86D24C" w14:textId="77777777" w:rsidR="00907ACD" w:rsidRPr="00D30847" w:rsidRDefault="00907ACD" w:rsidP="00907ACD">
      <w:pPr>
        <w:spacing w:line="240" w:lineRule="auto"/>
        <w:jc w:val="both"/>
        <w:rPr>
          <w:lang w:val="en-GB"/>
        </w:rPr>
      </w:pPr>
    </w:p>
    <w:p w14:paraId="083E6A88" w14:textId="77777777" w:rsidR="00907ACD" w:rsidRPr="00D30847" w:rsidRDefault="00907ACD" w:rsidP="00907ACD">
      <w:pPr>
        <w:spacing w:line="240" w:lineRule="auto"/>
        <w:jc w:val="both"/>
        <w:rPr>
          <w:rFonts w:cs="Calibri"/>
          <w:color w:val="0070C0"/>
          <w:lang w:val="en-GB"/>
        </w:rPr>
      </w:pPr>
      <w:bookmarkStart w:id="46" w:name="_Hlk184387877"/>
      <w:r w:rsidRPr="00D30847">
        <w:rPr>
          <w:rFonts w:eastAsia="MS PGothic" w:cs="Calibri"/>
          <w:b/>
          <w:bCs/>
          <w:iCs/>
          <w:color w:val="0070C0"/>
          <w:lang w:val="en-GB" w:eastAsia="zh-CN"/>
        </w:rPr>
        <w:t>Activity 2: Preparation of by-laws of the new Law on financing of local self-government units</w:t>
      </w:r>
      <w:bookmarkEnd w:id="46"/>
    </w:p>
    <w:p w14:paraId="5D898A5E" w14:textId="77777777" w:rsidR="00907ACD" w:rsidRPr="00D30847" w:rsidRDefault="00907ACD" w:rsidP="00907ACD">
      <w:pPr>
        <w:spacing w:line="240" w:lineRule="auto"/>
        <w:jc w:val="both"/>
        <w:rPr>
          <w:rFonts w:cs="Calibri"/>
          <w:lang w:val="en-GB"/>
        </w:rPr>
      </w:pPr>
      <w:r w:rsidRPr="00D30847">
        <w:rPr>
          <w:rFonts w:cs="Calibri"/>
          <w:lang w:val="en-GB"/>
        </w:rPr>
        <w:t>After the adoption of the new law on financing the local self-government units, the by-laws necessary for the implementation of the law will be prepared</w:t>
      </w:r>
    </w:p>
    <w:p w14:paraId="008E2360" w14:textId="77777777" w:rsidR="00907ACD" w:rsidRPr="00D30847" w:rsidRDefault="00907ACD" w:rsidP="00907ACD">
      <w:pPr>
        <w:tabs>
          <w:tab w:val="left" w:pos="1250"/>
        </w:tabs>
        <w:spacing w:after="0"/>
        <w:jc w:val="both"/>
        <w:rPr>
          <w:rFonts w:eastAsia="Times New Roman" w:cs="Calibri"/>
          <w:color w:val="202124"/>
          <w:lang w:val="en-GB"/>
        </w:rPr>
      </w:pPr>
      <w:r w:rsidRPr="00D30847">
        <w:rPr>
          <w:rFonts w:eastAsia="MS PGothic" w:cs="Calibri"/>
          <w:b/>
          <w:bCs/>
          <w:iCs/>
          <w:color w:val="0070C0"/>
          <w:lang w:val="en-GB" w:eastAsia="zh-CN"/>
        </w:rPr>
        <w:t>Activity 3: Medium-term budget planning</w:t>
      </w:r>
    </w:p>
    <w:p w14:paraId="67EFCA94" w14:textId="77777777" w:rsidR="00907ACD" w:rsidRPr="00D30847" w:rsidRDefault="00907ACD" w:rsidP="00907ACD">
      <w:pPr>
        <w:spacing w:line="240" w:lineRule="auto"/>
        <w:jc w:val="both"/>
        <w:rPr>
          <w:lang w:val="en-GB"/>
        </w:rPr>
      </w:pPr>
      <w:r w:rsidRPr="00D30847">
        <w:rPr>
          <w:lang w:val="en-GB"/>
        </w:rPr>
        <w:t>Medium-term budget planning needs to take into account future activities, projects and initiatives that need to be implemented in the coming period and to be aligned with realistic revenue projections. Local government units need to determine realistic projections of the funds needed to implement the transferred competencies and cover the obligations assumed from previous years, as well as the implementation of new activities and the realization of capital projects in the coming medium-term period.</w:t>
      </w:r>
    </w:p>
    <w:p w14:paraId="753B6C27" w14:textId="77777777" w:rsidR="00907ACD" w:rsidRPr="00D30847" w:rsidRDefault="00907ACD" w:rsidP="00907ACD">
      <w:pPr>
        <w:spacing w:line="240" w:lineRule="auto"/>
        <w:jc w:val="both"/>
        <w:rPr>
          <w:lang w:val="en-GB"/>
        </w:rPr>
      </w:pPr>
      <w:r w:rsidRPr="00D30847">
        <w:rPr>
          <w:lang w:val="en-GB"/>
        </w:rPr>
        <w:t>This activity is expected to provide realistic projections of revenues and expenditures in the coming period, taking into account the positive legal regulations and to enable realistic projections of the fiscal capacity of municipalities.</w:t>
      </w:r>
    </w:p>
    <w:p w14:paraId="03B0F80D" w14:textId="77777777" w:rsidR="00907ACD" w:rsidRPr="00D30847" w:rsidRDefault="00907ACD" w:rsidP="00907ACD">
      <w:pPr>
        <w:tabs>
          <w:tab w:val="left" w:pos="1250"/>
        </w:tabs>
        <w:spacing w:after="0"/>
        <w:jc w:val="both"/>
        <w:rPr>
          <w:rFonts w:eastAsia="MS PGothic" w:cs="Calibri"/>
          <w:b/>
          <w:bCs/>
          <w:iCs/>
          <w:color w:val="0070C0"/>
          <w:lang w:val="en-GB" w:eastAsia="zh-CN"/>
        </w:rPr>
      </w:pPr>
      <w:bookmarkStart w:id="47" w:name="_Hlk184886047"/>
      <w:r w:rsidRPr="00D30847">
        <w:rPr>
          <w:rFonts w:eastAsia="MS PGothic" w:cs="Calibri"/>
          <w:b/>
          <w:bCs/>
          <w:iCs/>
          <w:color w:val="0070C0"/>
          <w:lang w:val="en-GB" w:eastAsia="zh-CN"/>
        </w:rPr>
        <w:t>Activity 4: Training to strengthen the capacities of municipal employees for realistic planning of municipal revenues and expenditures;</w:t>
      </w:r>
    </w:p>
    <w:bookmarkEnd w:id="47"/>
    <w:p w14:paraId="3728C325" w14:textId="77777777" w:rsidR="00907ACD" w:rsidRPr="00D30847" w:rsidRDefault="00907ACD" w:rsidP="00907ACD">
      <w:pPr>
        <w:tabs>
          <w:tab w:val="left" w:pos="1250"/>
        </w:tabs>
        <w:spacing w:after="0"/>
        <w:jc w:val="both"/>
        <w:rPr>
          <w:rFonts w:eastAsia="MS PGothic" w:cs="Calibri"/>
          <w:b/>
          <w:bCs/>
          <w:iCs/>
          <w:color w:val="0070C0"/>
          <w:lang w:val="en-GB" w:eastAsia="zh-CN"/>
        </w:rPr>
      </w:pPr>
    </w:p>
    <w:p w14:paraId="31D333AA" w14:textId="77777777" w:rsidR="00907ACD" w:rsidRPr="00D30847" w:rsidRDefault="00907ACD" w:rsidP="00907ACD">
      <w:pPr>
        <w:tabs>
          <w:tab w:val="left" w:pos="1250"/>
        </w:tabs>
        <w:spacing w:after="0"/>
        <w:jc w:val="both"/>
        <w:rPr>
          <w:rFonts w:eastAsia="Times New Roman" w:cs="Calibri"/>
          <w:color w:val="202124"/>
          <w:lang w:val="en-GB"/>
        </w:rPr>
      </w:pPr>
      <w:r w:rsidRPr="00D30847">
        <w:rPr>
          <w:rFonts w:eastAsia="Times New Roman" w:cs="Calibri"/>
          <w:color w:val="202124"/>
          <w:lang w:val="en-GB"/>
        </w:rPr>
        <w:t xml:space="preserve">With the implementation of the new Law on Budgets and the adoption of a new Law on Financing Local Self-Government Units, it is necessary to strengthen the capacities of municipal employees through training on changes in the regulations and preparation of municipal budgets and budgets of budget users, medium-term budget planning and determination of performance indicators. The </w:t>
      </w:r>
      <w:r w:rsidRPr="00D30847">
        <w:rPr>
          <w:rFonts w:eastAsia="Times New Roman" w:cs="Calibri"/>
          <w:color w:val="202124"/>
          <w:lang w:val="en-GB"/>
        </w:rPr>
        <w:lastRenderedPageBreak/>
        <w:t>training will ensure better planning of revenues and expenditures, proper distribution of municipal expenditures according to programs and sub-programs, and at the same time, through realistic planning of the municipal budget, greater realization of revenues and expenditures will be ensured.</w:t>
      </w:r>
    </w:p>
    <w:p w14:paraId="0E71D6B4" w14:textId="77777777" w:rsidR="00907ACD" w:rsidRPr="00D30847" w:rsidRDefault="00907ACD" w:rsidP="00907ACD">
      <w:pPr>
        <w:keepNext/>
        <w:keepLines/>
        <w:spacing w:before="160" w:after="60" w:line="240" w:lineRule="auto"/>
        <w:jc w:val="both"/>
        <w:outlineLvl w:val="3"/>
        <w:rPr>
          <w:rFonts w:eastAsia="MS PGothic" w:cs="Calibri"/>
          <w:b/>
          <w:bCs/>
          <w:i/>
          <w:iCs/>
          <w:color w:val="4F81BD"/>
          <w:lang w:val="en-GB" w:eastAsia="zh-CN"/>
        </w:rPr>
      </w:pPr>
      <w:bookmarkStart w:id="48" w:name="_Hlk184886343"/>
      <w:r w:rsidRPr="00D30847">
        <w:rPr>
          <w:rFonts w:eastAsia="MS PGothic" w:cs="Calibri"/>
          <w:b/>
          <w:bCs/>
          <w:i/>
          <w:iCs/>
          <w:color w:val="4F81BD"/>
          <w:lang w:val="en-GB" w:eastAsia="zh-CN"/>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907ACD" w:rsidRPr="00D30847" w14:paraId="3DC8BE0C" w14:textId="77777777" w:rsidTr="001D2A62">
        <w:tc>
          <w:tcPr>
            <w:tcW w:w="2518" w:type="dxa"/>
            <w:tcBorders>
              <w:top w:val="nil"/>
              <w:bottom w:val="single" w:sz="4" w:space="0" w:color="FFFFFF"/>
            </w:tcBorders>
            <w:shd w:val="clear" w:color="auto" w:fill="002060"/>
          </w:tcPr>
          <w:p w14:paraId="404677FB" w14:textId="77777777" w:rsidR="00907ACD" w:rsidRPr="00D30847" w:rsidRDefault="00907ACD" w:rsidP="001D2A62">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Completed in year:</w:t>
            </w:r>
            <w:r w:rsidRPr="00D30847">
              <w:rPr>
                <w:rFonts w:eastAsia="Times New Roman" w:cs="Calibri"/>
                <w:b/>
                <w:color w:val="FFFFFF"/>
                <w:sz w:val="20"/>
                <w:szCs w:val="20"/>
                <w:lang w:val="en-GB"/>
              </w:rPr>
              <w:tab/>
            </w:r>
          </w:p>
        </w:tc>
        <w:tc>
          <w:tcPr>
            <w:tcW w:w="6246" w:type="dxa"/>
            <w:tcBorders>
              <w:top w:val="nil"/>
              <w:bottom w:val="single" w:sz="4" w:space="0" w:color="FFFFFF"/>
            </w:tcBorders>
            <w:shd w:val="clear" w:color="auto" w:fill="D9E2F3"/>
          </w:tcPr>
          <w:p w14:paraId="6A75A1B0" w14:textId="77777777" w:rsidR="00907ACD" w:rsidRPr="00D30847" w:rsidRDefault="00907ACD" w:rsidP="001D2A62">
            <w:pPr>
              <w:tabs>
                <w:tab w:val="left" w:pos="1526"/>
              </w:tabs>
              <w:spacing w:after="0" w:line="240" w:lineRule="auto"/>
              <w:jc w:val="both"/>
              <w:rPr>
                <w:rFonts w:eastAsia="Times New Roman" w:cs="Calibri"/>
                <w:sz w:val="20"/>
                <w:szCs w:val="20"/>
                <w:lang w:val="en-GB"/>
              </w:rPr>
            </w:pPr>
            <w:r w:rsidRPr="00D30847">
              <w:rPr>
                <w:rFonts w:eastAsia="Times New Roman" w:cs="Calibri"/>
                <w:sz w:val="20"/>
                <w:szCs w:val="20"/>
                <w:lang w:val="en-GB"/>
              </w:rPr>
              <w:t>2028</w:t>
            </w:r>
          </w:p>
        </w:tc>
      </w:tr>
      <w:tr w:rsidR="00907ACD" w:rsidRPr="00D30847" w14:paraId="752E60A9" w14:textId="77777777" w:rsidTr="001D2A62">
        <w:tc>
          <w:tcPr>
            <w:tcW w:w="2518" w:type="dxa"/>
            <w:tcBorders>
              <w:top w:val="single" w:sz="4" w:space="0" w:color="FFFFFF"/>
              <w:bottom w:val="single" w:sz="4" w:space="0" w:color="FFFFFF"/>
            </w:tcBorders>
            <w:shd w:val="clear" w:color="auto" w:fill="002060"/>
          </w:tcPr>
          <w:p w14:paraId="592F956B" w14:textId="77777777" w:rsidR="00907ACD" w:rsidRPr="00D30847" w:rsidRDefault="00907ACD" w:rsidP="001D2A62">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11841984" w14:textId="77777777" w:rsidR="00907ACD" w:rsidRPr="00D30847" w:rsidRDefault="00907ACD" w:rsidP="00907ACD">
            <w:pPr>
              <w:pStyle w:val="ListParagraph"/>
              <w:numPr>
                <w:ilvl w:val="0"/>
                <w:numId w:val="78"/>
              </w:numPr>
              <w:spacing w:after="60" w:line="240" w:lineRule="auto"/>
              <w:ind w:left="637" w:hanging="284"/>
              <w:rPr>
                <w:sz w:val="20"/>
                <w:szCs w:val="20"/>
              </w:rPr>
            </w:pPr>
            <w:r w:rsidRPr="00D30847">
              <w:rPr>
                <w:sz w:val="20"/>
                <w:szCs w:val="20"/>
              </w:rPr>
              <w:t>New Law on Financing of Local Self-Government Units;</w:t>
            </w:r>
          </w:p>
          <w:p w14:paraId="13D3A929" w14:textId="77777777" w:rsidR="00907ACD" w:rsidRPr="00D30847" w:rsidRDefault="00907ACD" w:rsidP="00907ACD">
            <w:pPr>
              <w:pStyle w:val="ListParagraph"/>
              <w:numPr>
                <w:ilvl w:val="0"/>
                <w:numId w:val="78"/>
              </w:numPr>
              <w:spacing w:after="60" w:line="240" w:lineRule="auto"/>
              <w:ind w:left="637" w:hanging="284"/>
              <w:rPr>
                <w:sz w:val="20"/>
                <w:szCs w:val="20"/>
              </w:rPr>
            </w:pPr>
            <w:r w:rsidRPr="00D30847">
              <w:rPr>
                <w:sz w:val="20"/>
                <w:szCs w:val="20"/>
              </w:rPr>
              <w:t>By-laws for the new Law on Financing of Local Self-Government Units:</w:t>
            </w:r>
          </w:p>
          <w:p w14:paraId="3A0D32F5" w14:textId="77777777" w:rsidR="00907ACD" w:rsidRPr="00D30847" w:rsidRDefault="00907ACD" w:rsidP="00907ACD">
            <w:pPr>
              <w:pStyle w:val="ListParagraph"/>
              <w:numPr>
                <w:ilvl w:val="0"/>
                <w:numId w:val="78"/>
              </w:numPr>
              <w:spacing w:after="60" w:line="240" w:lineRule="auto"/>
              <w:ind w:left="637" w:hanging="284"/>
              <w:rPr>
                <w:sz w:val="20"/>
                <w:szCs w:val="20"/>
              </w:rPr>
            </w:pPr>
            <w:r w:rsidRPr="00D30847">
              <w:rPr>
                <w:sz w:val="20"/>
                <w:szCs w:val="20"/>
              </w:rPr>
              <w:t>All municipalities have medium-term budget planning</w:t>
            </w:r>
          </w:p>
          <w:p w14:paraId="2768A929" w14:textId="77777777" w:rsidR="00907ACD" w:rsidRPr="00D30847" w:rsidRDefault="00907ACD" w:rsidP="00907ACD">
            <w:pPr>
              <w:pStyle w:val="ListParagraph"/>
              <w:numPr>
                <w:ilvl w:val="0"/>
                <w:numId w:val="78"/>
              </w:numPr>
              <w:spacing w:after="60" w:line="240" w:lineRule="auto"/>
              <w:ind w:left="637" w:hanging="284"/>
              <w:rPr>
                <w:sz w:val="20"/>
                <w:szCs w:val="20"/>
              </w:rPr>
            </w:pPr>
            <w:r w:rsidRPr="00D30847">
              <w:rPr>
                <w:sz w:val="20"/>
                <w:szCs w:val="20"/>
              </w:rPr>
              <w:t>Number of trained employees in LSGUs</w:t>
            </w:r>
          </w:p>
        </w:tc>
      </w:tr>
      <w:tr w:rsidR="00907ACD" w:rsidRPr="00D30847" w14:paraId="5ABE15D4" w14:textId="77777777" w:rsidTr="001D2A62">
        <w:tc>
          <w:tcPr>
            <w:tcW w:w="2518" w:type="dxa"/>
            <w:tcBorders>
              <w:top w:val="single" w:sz="4" w:space="0" w:color="FFFFFF"/>
              <w:bottom w:val="single" w:sz="4" w:space="0" w:color="FFFFFF"/>
            </w:tcBorders>
            <w:shd w:val="clear" w:color="auto" w:fill="002060"/>
          </w:tcPr>
          <w:p w14:paraId="0F3F1A46" w14:textId="77777777" w:rsidR="00907ACD" w:rsidRPr="00D30847" w:rsidRDefault="00907ACD" w:rsidP="001D2A62">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Cost implications:</w:t>
            </w:r>
            <w:r w:rsidRPr="00D30847">
              <w:rPr>
                <w:rFonts w:eastAsia="Times New Roman" w:cs="Calibri"/>
                <w:b/>
                <w:color w:val="FFFFFF"/>
                <w:sz w:val="20"/>
                <w:szCs w:val="20"/>
                <w:lang w:val="en-GB"/>
              </w:rPr>
              <w:tab/>
            </w:r>
          </w:p>
        </w:tc>
        <w:tc>
          <w:tcPr>
            <w:tcW w:w="6246" w:type="dxa"/>
            <w:tcBorders>
              <w:top w:val="single" w:sz="4" w:space="0" w:color="FFFFFF"/>
              <w:bottom w:val="single" w:sz="4" w:space="0" w:color="FFFFFF"/>
            </w:tcBorders>
            <w:shd w:val="clear" w:color="auto" w:fill="D9E2F3"/>
          </w:tcPr>
          <w:p w14:paraId="02DFB20C" w14:textId="48BEF874" w:rsidR="00907ACD" w:rsidRPr="00D30847" w:rsidRDefault="0003240F" w:rsidP="001D2A62">
            <w:pPr>
              <w:tabs>
                <w:tab w:val="left" w:pos="1526"/>
              </w:tabs>
              <w:spacing w:after="0" w:line="240" w:lineRule="auto"/>
              <w:jc w:val="both"/>
              <w:rPr>
                <w:rFonts w:eastAsia="Times New Roman" w:cs="Calibri"/>
                <w:sz w:val="20"/>
                <w:szCs w:val="20"/>
                <w:lang w:val="en-GB"/>
              </w:rPr>
            </w:pPr>
            <w:r w:rsidRPr="00D30847">
              <w:rPr>
                <w:rFonts w:eastAsia="Times New Roman" w:cs="Calibri"/>
                <w:sz w:val="20"/>
                <w:szCs w:val="20"/>
                <w:lang w:val="en-GB"/>
              </w:rPr>
              <w:t>27.000 euro</w:t>
            </w:r>
          </w:p>
        </w:tc>
      </w:tr>
      <w:tr w:rsidR="00907ACD" w:rsidRPr="00D30847" w14:paraId="42D00EF0" w14:textId="77777777" w:rsidTr="001D2A62">
        <w:tc>
          <w:tcPr>
            <w:tcW w:w="2518" w:type="dxa"/>
            <w:tcBorders>
              <w:top w:val="single" w:sz="4" w:space="0" w:color="FFFFFF"/>
              <w:bottom w:val="single" w:sz="4" w:space="0" w:color="FFFFFF"/>
            </w:tcBorders>
            <w:shd w:val="clear" w:color="auto" w:fill="002060"/>
          </w:tcPr>
          <w:p w14:paraId="49584AF2" w14:textId="77777777" w:rsidR="00907ACD" w:rsidRPr="00D30847" w:rsidRDefault="00907ACD" w:rsidP="001D2A62">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Responsible entity:</w:t>
            </w:r>
          </w:p>
        </w:tc>
        <w:tc>
          <w:tcPr>
            <w:tcW w:w="6246" w:type="dxa"/>
            <w:tcBorders>
              <w:top w:val="single" w:sz="4" w:space="0" w:color="FFFFFF"/>
              <w:bottom w:val="single" w:sz="4" w:space="0" w:color="FFFFFF"/>
            </w:tcBorders>
            <w:shd w:val="clear" w:color="auto" w:fill="D9E2F3"/>
          </w:tcPr>
          <w:p w14:paraId="5B400A18" w14:textId="16515333" w:rsidR="00907ACD" w:rsidRPr="00D30847" w:rsidRDefault="00D30847" w:rsidP="001D2A62">
            <w:pPr>
              <w:tabs>
                <w:tab w:val="left" w:pos="1526"/>
              </w:tabs>
              <w:spacing w:after="0" w:line="240" w:lineRule="auto"/>
              <w:jc w:val="both"/>
              <w:rPr>
                <w:rFonts w:eastAsia="Times New Roman" w:cs="Calibri"/>
                <w:sz w:val="20"/>
                <w:szCs w:val="20"/>
                <w:lang w:val="en-GB"/>
              </w:rPr>
            </w:pPr>
            <w:r>
              <w:rPr>
                <w:rFonts w:eastAsia="Times New Roman" w:cs="Calibri"/>
                <w:sz w:val="20"/>
                <w:szCs w:val="20"/>
                <w:lang w:val="en-GB"/>
              </w:rPr>
              <w:t>Ministry of</w:t>
            </w:r>
            <w:r w:rsidR="00907ACD" w:rsidRPr="00D30847">
              <w:rPr>
                <w:rFonts w:eastAsia="Times New Roman" w:cs="Calibri"/>
                <w:sz w:val="20"/>
                <w:szCs w:val="20"/>
                <w:lang w:val="en-GB"/>
              </w:rPr>
              <w:t xml:space="preserve"> finance- Budgets and funds Department</w:t>
            </w:r>
          </w:p>
        </w:tc>
      </w:tr>
      <w:tr w:rsidR="00907ACD" w:rsidRPr="00D30847" w14:paraId="34BB87C5" w14:textId="77777777" w:rsidTr="001D2A62">
        <w:tc>
          <w:tcPr>
            <w:tcW w:w="2518" w:type="dxa"/>
            <w:tcBorders>
              <w:top w:val="single" w:sz="4" w:space="0" w:color="FFFFFF"/>
              <w:bottom w:val="nil"/>
            </w:tcBorders>
            <w:shd w:val="clear" w:color="auto" w:fill="002060"/>
          </w:tcPr>
          <w:p w14:paraId="42D9ED52" w14:textId="77777777" w:rsidR="00907ACD" w:rsidRPr="00D30847" w:rsidRDefault="00907ACD" w:rsidP="001D2A62">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Risk:</w:t>
            </w:r>
          </w:p>
        </w:tc>
        <w:tc>
          <w:tcPr>
            <w:tcW w:w="6246" w:type="dxa"/>
            <w:tcBorders>
              <w:top w:val="single" w:sz="4" w:space="0" w:color="FFFFFF"/>
              <w:bottom w:val="nil"/>
            </w:tcBorders>
            <w:shd w:val="clear" w:color="auto" w:fill="D9E2F3"/>
          </w:tcPr>
          <w:p w14:paraId="3D723E5A" w14:textId="77777777" w:rsidR="00907ACD" w:rsidRPr="00D30847" w:rsidRDefault="00907ACD" w:rsidP="00907ACD">
            <w:pPr>
              <w:pStyle w:val="ListParagraph"/>
              <w:numPr>
                <w:ilvl w:val="0"/>
                <w:numId w:val="79"/>
              </w:numPr>
              <w:spacing w:after="60" w:line="240" w:lineRule="auto"/>
              <w:ind w:left="637" w:hanging="284"/>
              <w:rPr>
                <w:sz w:val="20"/>
                <w:szCs w:val="20"/>
              </w:rPr>
            </w:pPr>
            <w:r w:rsidRPr="00D30847">
              <w:rPr>
                <w:sz w:val="20"/>
                <w:szCs w:val="20"/>
              </w:rPr>
              <w:t>Insufficient human capacity to implement planned activities</w:t>
            </w:r>
          </w:p>
          <w:p w14:paraId="62CEDB2F" w14:textId="77777777" w:rsidR="00907ACD" w:rsidRPr="00D30847" w:rsidRDefault="00907ACD" w:rsidP="00907ACD">
            <w:pPr>
              <w:pStyle w:val="ListParagraph"/>
              <w:numPr>
                <w:ilvl w:val="0"/>
                <w:numId w:val="79"/>
              </w:numPr>
              <w:spacing w:after="60" w:line="240" w:lineRule="auto"/>
              <w:ind w:left="637" w:hanging="284"/>
              <w:rPr>
                <w:rFonts w:eastAsia="Times New Roman" w:cs="Calibri"/>
                <w:sz w:val="20"/>
                <w:szCs w:val="20"/>
              </w:rPr>
            </w:pPr>
            <w:r w:rsidRPr="00D30847">
              <w:rPr>
                <w:sz w:val="20"/>
                <w:szCs w:val="20"/>
              </w:rPr>
              <w:t>Delay in the adoption of laws and bylaws</w:t>
            </w:r>
          </w:p>
        </w:tc>
      </w:tr>
    </w:tbl>
    <w:p w14:paraId="19546769" w14:textId="77777777" w:rsidR="00907ACD" w:rsidRPr="00D30847" w:rsidRDefault="00907ACD" w:rsidP="00907ACD">
      <w:pPr>
        <w:spacing w:line="240" w:lineRule="auto"/>
        <w:jc w:val="both"/>
        <w:rPr>
          <w:lang w:val="en-GB"/>
        </w:rPr>
      </w:pPr>
    </w:p>
    <w:bookmarkEnd w:id="48"/>
    <w:p w14:paraId="560FEEA0" w14:textId="77777777" w:rsidR="00907ACD" w:rsidRPr="00D30847" w:rsidRDefault="00907ACD" w:rsidP="00907ACD">
      <w:pPr>
        <w:spacing w:before="360" w:line="240" w:lineRule="auto"/>
        <w:jc w:val="both"/>
        <w:rPr>
          <w:rFonts w:cs="Calibri"/>
          <w:b/>
          <w:color w:val="0070C0"/>
          <w:sz w:val="24"/>
          <w:szCs w:val="24"/>
          <w:lang w:val="en-GB"/>
        </w:rPr>
      </w:pPr>
      <w:r w:rsidRPr="00D30847">
        <w:rPr>
          <w:rFonts w:cs="Calibri"/>
          <w:b/>
          <w:color w:val="0070C0"/>
          <w:sz w:val="24"/>
          <w:szCs w:val="24"/>
          <w:lang w:val="en-GB"/>
        </w:rPr>
        <w:t>Measure 2: Financial discipline, better transparency and accountability of local government</w:t>
      </w:r>
    </w:p>
    <w:p w14:paraId="3C4254E7" w14:textId="77777777" w:rsidR="00907ACD" w:rsidRPr="00D30847" w:rsidRDefault="00907ACD" w:rsidP="00B0049E">
      <w:pPr>
        <w:spacing w:line="240" w:lineRule="auto"/>
        <w:jc w:val="both"/>
        <w:rPr>
          <w:rFonts w:cs="Calibri"/>
          <w:b/>
          <w:bCs/>
          <w:i/>
          <w:iCs/>
          <w:color w:val="4F81BD"/>
          <w:lang w:val="en-GB"/>
        </w:rPr>
      </w:pPr>
      <w:r w:rsidRPr="00D30847">
        <w:rPr>
          <w:rFonts w:cs="Calibri"/>
          <w:b/>
          <w:bCs/>
          <w:i/>
          <w:iCs/>
          <w:color w:val="4F81BD"/>
          <w:lang w:val="en-GB"/>
        </w:rPr>
        <w:t>Measure objective</w:t>
      </w:r>
    </w:p>
    <w:p w14:paraId="35FE310E" w14:textId="3360E68E" w:rsidR="00B739E8" w:rsidRPr="00D30847" w:rsidRDefault="00907ACD" w:rsidP="00B0049E">
      <w:pPr>
        <w:spacing w:line="240" w:lineRule="auto"/>
        <w:jc w:val="both"/>
        <w:rPr>
          <w:lang w:val="en-GB"/>
        </w:rPr>
      </w:pPr>
      <w:r w:rsidRPr="00D30847">
        <w:rPr>
          <w:lang w:val="en-GB"/>
        </w:rPr>
        <w:t xml:space="preserve">Financial discipline enables the timely </w:t>
      </w:r>
      <w:r w:rsidR="002F500A" w:rsidRPr="00D30847">
        <w:rPr>
          <w:lang w:val="en-GB"/>
        </w:rPr>
        <w:t>fulfilment</w:t>
      </w:r>
      <w:r w:rsidRPr="00D30847">
        <w:rPr>
          <w:lang w:val="en-GB"/>
        </w:rPr>
        <w:t xml:space="preserve"> of financial obligations undertaken by local self-government units in accordance with legal regulations. Timely publication of financial data increases the transparency and accountability of municipalities and makes their work visible to the wider public. This enables timely information to the public, but on the other hand, it increases the possibility of greater citizen participation in the creation of local policies.</w:t>
      </w:r>
    </w:p>
    <w:p w14:paraId="7CED5ED7" w14:textId="6137D549" w:rsidR="00907ACD" w:rsidRPr="00D30847" w:rsidRDefault="00907ACD" w:rsidP="00B0049E">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Context/Background</w:t>
      </w:r>
    </w:p>
    <w:p w14:paraId="395C6307" w14:textId="77777777" w:rsidR="00907ACD" w:rsidRPr="00D30847" w:rsidRDefault="00907ACD" w:rsidP="00B0049E">
      <w:pPr>
        <w:spacing w:line="240" w:lineRule="auto"/>
        <w:jc w:val="both"/>
        <w:rPr>
          <w:lang w:val="en-GB"/>
        </w:rPr>
      </w:pPr>
      <w:r w:rsidRPr="00D30847">
        <w:rPr>
          <w:lang w:val="en-GB"/>
        </w:rPr>
        <w:t xml:space="preserve">Unrealistic planning of municipal budgets contributes to municipalities creating high amounts of overdue and unpaid liabilities. These liabilities disrupt the normal functioning of municipalities and lead to financial instability. The Law on Financing of Local Self-Government Units regulates financial instability, the conditions for its occurrence, the measures and activities for overcoming financial instability and its cessation. </w:t>
      </w:r>
    </w:p>
    <w:p w14:paraId="1C45BAC2" w14:textId="53D46556" w:rsidR="00907ACD" w:rsidRPr="00D30847" w:rsidRDefault="00907ACD" w:rsidP="00B0049E">
      <w:pPr>
        <w:spacing w:line="240" w:lineRule="auto"/>
        <w:jc w:val="both"/>
        <w:rPr>
          <w:lang w:val="en-GB"/>
        </w:rPr>
      </w:pPr>
      <w:r w:rsidRPr="00D30847">
        <w:rPr>
          <w:lang w:val="en-GB"/>
        </w:rPr>
        <w:t>In terms of transparency and accountability, municipalities, despite having a legal obligation to publish financial data, still have municipalities that do not publish them on their websites.</w:t>
      </w:r>
      <w:bookmarkStart w:id="49" w:name="_Hlk184886185"/>
    </w:p>
    <w:p w14:paraId="203CB6D9" w14:textId="446EC501" w:rsidR="00907ACD" w:rsidRPr="00D30847" w:rsidRDefault="00907ACD" w:rsidP="00B0049E">
      <w:pPr>
        <w:tabs>
          <w:tab w:val="left" w:pos="1250"/>
        </w:tabs>
        <w:spacing w:line="240" w:lineRule="auto"/>
        <w:jc w:val="both"/>
        <w:rPr>
          <w:rFonts w:eastAsia="MS PGothic" w:cs="Calibri"/>
          <w:b/>
          <w:bCs/>
          <w:iCs/>
          <w:color w:val="0070C0"/>
          <w:lang w:val="en-GB" w:eastAsia="zh-CN"/>
        </w:rPr>
      </w:pPr>
      <w:r w:rsidRPr="00D30847">
        <w:rPr>
          <w:rFonts w:eastAsia="MS PGothic" w:cs="Calibri"/>
          <w:b/>
          <w:bCs/>
          <w:iCs/>
          <w:color w:val="0070C0"/>
          <w:lang w:val="en-GB" w:eastAsia="zh-CN"/>
        </w:rPr>
        <w:t>Activity 1: Preparation of a financial instability procedure</w:t>
      </w:r>
      <w:bookmarkEnd w:id="49"/>
    </w:p>
    <w:p w14:paraId="206B3D82" w14:textId="71A5F66C" w:rsidR="00907ACD" w:rsidRPr="00D30847" w:rsidRDefault="00907ACD" w:rsidP="00B0049E">
      <w:pPr>
        <w:tabs>
          <w:tab w:val="left" w:pos="1250"/>
        </w:tabs>
        <w:spacing w:line="240" w:lineRule="auto"/>
        <w:jc w:val="both"/>
        <w:rPr>
          <w:lang w:val="en-GB"/>
        </w:rPr>
      </w:pPr>
      <w:r w:rsidRPr="00D30847">
        <w:rPr>
          <w:lang w:val="en-GB"/>
        </w:rPr>
        <w:t>The Law on Financing Local Self-Government Units regulates financial instability. Considering that the procedure is quite complex, in order to consistently apply the provisions of the Law, there is a need to develop a procedure that will enable employees of the Ministry of Finance to act and follow it.</w:t>
      </w:r>
    </w:p>
    <w:p w14:paraId="6027A337" w14:textId="16407893" w:rsidR="00907ACD" w:rsidRPr="00D30847" w:rsidRDefault="00907ACD" w:rsidP="00B0049E">
      <w:pPr>
        <w:tabs>
          <w:tab w:val="left" w:pos="1250"/>
        </w:tabs>
        <w:spacing w:line="240" w:lineRule="auto"/>
        <w:jc w:val="both"/>
        <w:rPr>
          <w:rFonts w:eastAsia="MS PGothic" w:cs="Calibri"/>
          <w:b/>
          <w:bCs/>
          <w:iCs/>
          <w:color w:val="0070C0"/>
          <w:lang w:val="en-GB" w:eastAsia="zh-CN"/>
        </w:rPr>
      </w:pPr>
      <w:r w:rsidRPr="00D30847">
        <w:rPr>
          <w:rFonts w:eastAsia="MS PGothic" w:cs="Calibri"/>
          <w:b/>
          <w:bCs/>
          <w:iCs/>
          <w:color w:val="0070C0"/>
          <w:lang w:val="en-GB" w:eastAsia="zh-CN"/>
        </w:rPr>
        <w:t>Activity 2: Monitoring the transparency of municipalities</w:t>
      </w:r>
    </w:p>
    <w:p w14:paraId="6BAD66CB" w14:textId="77777777" w:rsidR="00907ACD" w:rsidRPr="00D30847" w:rsidRDefault="00907ACD" w:rsidP="00B0049E">
      <w:pPr>
        <w:tabs>
          <w:tab w:val="left" w:pos="1250"/>
        </w:tabs>
        <w:spacing w:line="240" w:lineRule="auto"/>
        <w:jc w:val="both"/>
        <w:rPr>
          <w:lang w:val="en-GB"/>
        </w:rPr>
      </w:pPr>
      <w:r w:rsidRPr="00D30847">
        <w:rPr>
          <w:lang w:val="en-GB"/>
        </w:rPr>
        <w:t>Increased transparency in the work of municipalities is one of the prerequisites for ensuring legal, targeted and purposeful use of public funds to achieve the goals of growth and development of municipalities, as well as efficient provision of services to citizens and improvement of the quality of life in the respective municipalities.</w:t>
      </w:r>
    </w:p>
    <w:p w14:paraId="764D7693" w14:textId="77777777" w:rsidR="00907ACD" w:rsidRPr="00D30847" w:rsidRDefault="00907ACD" w:rsidP="00B0049E">
      <w:pPr>
        <w:tabs>
          <w:tab w:val="left" w:pos="1250"/>
        </w:tabs>
        <w:spacing w:line="240" w:lineRule="auto"/>
        <w:jc w:val="both"/>
        <w:rPr>
          <w:lang w:val="en-GB"/>
        </w:rPr>
      </w:pPr>
      <w:r w:rsidRPr="00D30847">
        <w:rPr>
          <w:lang w:val="en-GB"/>
        </w:rPr>
        <w:t>Increasing transparency in the work of municipalities primarily refers to strengthening the fiscal responsibility of municipalities, timely involvement of the general public in the creation of municipal policies and informing about the work done. The implementation of this activity includes:</w:t>
      </w:r>
    </w:p>
    <w:p w14:paraId="14CAD6EC" w14:textId="77777777" w:rsidR="00907ACD" w:rsidRPr="00D30847" w:rsidRDefault="00907ACD" w:rsidP="00B0049E">
      <w:pPr>
        <w:pStyle w:val="ListParagraph"/>
        <w:numPr>
          <w:ilvl w:val="0"/>
          <w:numId w:val="79"/>
        </w:numPr>
        <w:tabs>
          <w:tab w:val="left" w:pos="1250"/>
        </w:tabs>
        <w:spacing w:after="200"/>
        <w:ind w:left="993" w:hanging="284"/>
      </w:pPr>
      <w:r w:rsidRPr="00D30847">
        <w:lastRenderedPageBreak/>
        <w:t>determining the financial data that the municipality is obliged to publish on its website</w:t>
      </w:r>
    </w:p>
    <w:p w14:paraId="44A3D667" w14:textId="77777777" w:rsidR="00907ACD" w:rsidRPr="00D30847" w:rsidRDefault="00907ACD" w:rsidP="00B0049E">
      <w:pPr>
        <w:pStyle w:val="ListParagraph"/>
        <w:numPr>
          <w:ilvl w:val="0"/>
          <w:numId w:val="79"/>
        </w:numPr>
        <w:tabs>
          <w:tab w:val="left" w:pos="1250"/>
        </w:tabs>
        <w:spacing w:after="200"/>
        <w:ind w:left="993" w:hanging="284"/>
      </w:pPr>
      <w:r w:rsidRPr="00D30847">
        <w:t>determining the number of financial data that are published on the websites of municipalities, timely and regular publication of the data,</w:t>
      </w:r>
    </w:p>
    <w:p w14:paraId="5C650FDF" w14:textId="77777777" w:rsidR="00907ACD" w:rsidRPr="00D30847" w:rsidRDefault="00907ACD" w:rsidP="00B0049E">
      <w:pPr>
        <w:pStyle w:val="ListParagraph"/>
        <w:numPr>
          <w:ilvl w:val="0"/>
          <w:numId w:val="79"/>
        </w:numPr>
        <w:tabs>
          <w:tab w:val="left" w:pos="1250"/>
        </w:tabs>
        <w:spacing w:after="200"/>
        <w:ind w:left="993" w:hanging="284"/>
      </w:pPr>
      <w:r w:rsidRPr="00D30847">
        <w:t>taking measures and activities to increase the transparency of municipalities.</w:t>
      </w:r>
    </w:p>
    <w:p w14:paraId="2C1ED1C7" w14:textId="77777777" w:rsidR="00907ACD" w:rsidRPr="00D30847" w:rsidRDefault="00907ACD" w:rsidP="00907ACD">
      <w:pPr>
        <w:tabs>
          <w:tab w:val="left" w:pos="1250"/>
        </w:tabs>
        <w:spacing w:after="0"/>
        <w:jc w:val="both"/>
        <w:rPr>
          <w:lang w:val="en-GB"/>
        </w:rPr>
      </w:pPr>
    </w:p>
    <w:p w14:paraId="35628B1F" w14:textId="77777777" w:rsidR="00907ACD" w:rsidRPr="00D30847" w:rsidRDefault="00907ACD" w:rsidP="00907ACD">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907ACD" w:rsidRPr="00D30847" w14:paraId="4F043359" w14:textId="77777777" w:rsidTr="001D2A62">
        <w:tc>
          <w:tcPr>
            <w:tcW w:w="2518" w:type="dxa"/>
            <w:tcBorders>
              <w:top w:val="nil"/>
              <w:bottom w:val="single" w:sz="4" w:space="0" w:color="FFFFFF"/>
            </w:tcBorders>
            <w:shd w:val="clear" w:color="auto" w:fill="002060"/>
          </w:tcPr>
          <w:p w14:paraId="207FF736" w14:textId="77777777" w:rsidR="00907ACD" w:rsidRPr="00D30847" w:rsidRDefault="00907ACD" w:rsidP="001D2A62">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Completed in year:</w:t>
            </w:r>
            <w:r w:rsidRPr="00D30847">
              <w:rPr>
                <w:rFonts w:eastAsia="Times New Roman" w:cs="Calibri"/>
                <w:b/>
                <w:color w:val="FFFFFF"/>
                <w:sz w:val="20"/>
                <w:szCs w:val="20"/>
                <w:lang w:val="en-GB"/>
              </w:rPr>
              <w:tab/>
            </w:r>
          </w:p>
        </w:tc>
        <w:tc>
          <w:tcPr>
            <w:tcW w:w="6246" w:type="dxa"/>
            <w:tcBorders>
              <w:top w:val="nil"/>
              <w:bottom w:val="single" w:sz="4" w:space="0" w:color="FFFFFF"/>
            </w:tcBorders>
            <w:shd w:val="clear" w:color="auto" w:fill="D9E2F3"/>
          </w:tcPr>
          <w:p w14:paraId="683B8903" w14:textId="77777777" w:rsidR="00907ACD" w:rsidRPr="00D30847" w:rsidRDefault="00907ACD" w:rsidP="001D2A62">
            <w:pPr>
              <w:tabs>
                <w:tab w:val="left" w:pos="1526"/>
              </w:tabs>
              <w:spacing w:after="0" w:line="240" w:lineRule="auto"/>
              <w:jc w:val="both"/>
              <w:rPr>
                <w:rFonts w:eastAsia="Times New Roman" w:cs="Calibri"/>
                <w:sz w:val="20"/>
                <w:szCs w:val="20"/>
                <w:lang w:val="en-GB"/>
              </w:rPr>
            </w:pPr>
            <w:r w:rsidRPr="00D30847">
              <w:rPr>
                <w:rFonts w:eastAsia="Times New Roman" w:cs="Calibri"/>
                <w:sz w:val="20"/>
                <w:szCs w:val="20"/>
                <w:lang w:val="en-GB"/>
              </w:rPr>
              <w:t>2028</w:t>
            </w:r>
          </w:p>
        </w:tc>
      </w:tr>
      <w:tr w:rsidR="00907ACD" w:rsidRPr="00D30847" w14:paraId="56D7CA72" w14:textId="77777777" w:rsidTr="001D2A62">
        <w:tc>
          <w:tcPr>
            <w:tcW w:w="2518" w:type="dxa"/>
            <w:tcBorders>
              <w:top w:val="single" w:sz="4" w:space="0" w:color="FFFFFF"/>
              <w:bottom w:val="single" w:sz="4" w:space="0" w:color="FFFFFF"/>
            </w:tcBorders>
            <w:shd w:val="clear" w:color="auto" w:fill="002060"/>
          </w:tcPr>
          <w:p w14:paraId="6F32AF73" w14:textId="77777777" w:rsidR="00907ACD" w:rsidRPr="00D30847" w:rsidRDefault="00907ACD" w:rsidP="001D2A62">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0681D1FB" w14:textId="77777777" w:rsidR="00907ACD" w:rsidRPr="00D30847" w:rsidRDefault="00907ACD" w:rsidP="00907ACD">
            <w:pPr>
              <w:pStyle w:val="ListParagraph"/>
              <w:numPr>
                <w:ilvl w:val="0"/>
                <w:numId w:val="78"/>
              </w:numPr>
              <w:spacing w:after="60" w:line="240" w:lineRule="auto"/>
              <w:ind w:left="498" w:hanging="284"/>
              <w:rPr>
                <w:sz w:val="20"/>
                <w:szCs w:val="20"/>
              </w:rPr>
            </w:pPr>
            <w:r w:rsidRPr="00D30847">
              <w:rPr>
                <w:sz w:val="20"/>
                <w:szCs w:val="20"/>
              </w:rPr>
              <w:t>Adopted procedures for declaring financial instability procedures</w:t>
            </w:r>
          </w:p>
          <w:p w14:paraId="3D613FC2" w14:textId="77777777" w:rsidR="00907ACD" w:rsidRPr="00D30847" w:rsidRDefault="00907ACD" w:rsidP="00907ACD">
            <w:pPr>
              <w:pStyle w:val="ListParagraph"/>
              <w:numPr>
                <w:ilvl w:val="0"/>
                <w:numId w:val="78"/>
              </w:numPr>
              <w:spacing w:after="60" w:line="240" w:lineRule="auto"/>
              <w:ind w:left="498" w:hanging="284"/>
              <w:rPr>
                <w:sz w:val="20"/>
                <w:szCs w:val="20"/>
              </w:rPr>
            </w:pPr>
            <w:r w:rsidRPr="00D30847">
              <w:rPr>
                <w:sz w:val="20"/>
                <w:szCs w:val="20"/>
              </w:rPr>
              <w:t xml:space="preserve"> All municipalities publish financial data</w:t>
            </w:r>
          </w:p>
        </w:tc>
      </w:tr>
      <w:tr w:rsidR="00907ACD" w:rsidRPr="00D30847" w14:paraId="77BE3300" w14:textId="77777777" w:rsidTr="001D2A62">
        <w:tc>
          <w:tcPr>
            <w:tcW w:w="2518" w:type="dxa"/>
            <w:tcBorders>
              <w:top w:val="single" w:sz="4" w:space="0" w:color="FFFFFF"/>
              <w:bottom w:val="single" w:sz="4" w:space="0" w:color="FFFFFF"/>
            </w:tcBorders>
            <w:shd w:val="clear" w:color="auto" w:fill="002060"/>
          </w:tcPr>
          <w:p w14:paraId="2F7E5081" w14:textId="77777777" w:rsidR="00907ACD" w:rsidRPr="00D30847" w:rsidRDefault="00907ACD" w:rsidP="001D2A62">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Cost implications:</w:t>
            </w:r>
            <w:r w:rsidRPr="00D30847">
              <w:rPr>
                <w:rFonts w:eastAsia="Times New Roman" w:cs="Calibri"/>
                <w:b/>
                <w:color w:val="FFFFFF"/>
                <w:sz w:val="20"/>
                <w:szCs w:val="20"/>
                <w:lang w:val="en-GB"/>
              </w:rPr>
              <w:tab/>
            </w:r>
          </w:p>
        </w:tc>
        <w:tc>
          <w:tcPr>
            <w:tcW w:w="6246" w:type="dxa"/>
            <w:tcBorders>
              <w:top w:val="single" w:sz="4" w:space="0" w:color="FFFFFF"/>
              <w:bottom w:val="single" w:sz="4" w:space="0" w:color="FFFFFF"/>
            </w:tcBorders>
            <w:shd w:val="clear" w:color="auto" w:fill="D9E2F3"/>
          </w:tcPr>
          <w:p w14:paraId="1BE33D95" w14:textId="77777777" w:rsidR="00907ACD" w:rsidRPr="00D30847" w:rsidRDefault="00907ACD" w:rsidP="001D2A62">
            <w:pPr>
              <w:tabs>
                <w:tab w:val="left" w:pos="1526"/>
              </w:tabs>
              <w:spacing w:after="0" w:line="240" w:lineRule="auto"/>
              <w:jc w:val="both"/>
              <w:rPr>
                <w:rFonts w:eastAsia="Times New Roman" w:cs="Calibri"/>
                <w:sz w:val="20"/>
                <w:szCs w:val="20"/>
                <w:lang w:val="en-GB"/>
              </w:rPr>
            </w:pPr>
          </w:p>
        </w:tc>
      </w:tr>
      <w:tr w:rsidR="00907ACD" w:rsidRPr="00D30847" w14:paraId="002E0CDD" w14:textId="77777777" w:rsidTr="001D2A62">
        <w:tc>
          <w:tcPr>
            <w:tcW w:w="2518" w:type="dxa"/>
            <w:tcBorders>
              <w:top w:val="single" w:sz="4" w:space="0" w:color="FFFFFF"/>
              <w:bottom w:val="single" w:sz="4" w:space="0" w:color="FFFFFF"/>
            </w:tcBorders>
            <w:shd w:val="clear" w:color="auto" w:fill="002060"/>
          </w:tcPr>
          <w:p w14:paraId="56B777D7" w14:textId="77777777" w:rsidR="00907ACD" w:rsidRPr="00D30847" w:rsidRDefault="00907ACD" w:rsidP="001D2A62">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Responsible entity:</w:t>
            </w:r>
          </w:p>
        </w:tc>
        <w:tc>
          <w:tcPr>
            <w:tcW w:w="6246" w:type="dxa"/>
            <w:tcBorders>
              <w:top w:val="single" w:sz="4" w:space="0" w:color="FFFFFF"/>
              <w:bottom w:val="single" w:sz="4" w:space="0" w:color="FFFFFF"/>
            </w:tcBorders>
            <w:shd w:val="clear" w:color="auto" w:fill="D9E2F3"/>
          </w:tcPr>
          <w:p w14:paraId="577D6239" w14:textId="7F5FEB4C" w:rsidR="00907ACD" w:rsidRPr="00D30847" w:rsidRDefault="002F500A" w:rsidP="001D2A62">
            <w:pPr>
              <w:tabs>
                <w:tab w:val="left" w:pos="1526"/>
              </w:tabs>
              <w:spacing w:after="0" w:line="240" w:lineRule="auto"/>
              <w:jc w:val="both"/>
              <w:rPr>
                <w:rFonts w:eastAsia="Times New Roman" w:cs="Calibri"/>
                <w:sz w:val="20"/>
                <w:szCs w:val="20"/>
                <w:lang w:val="en-GB"/>
              </w:rPr>
            </w:pPr>
            <w:r w:rsidRPr="00D30847">
              <w:rPr>
                <w:rFonts w:eastAsia="Times New Roman" w:cs="Calibri"/>
                <w:sz w:val="20"/>
                <w:szCs w:val="20"/>
                <w:lang w:val="en-GB"/>
              </w:rPr>
              <w:t>Ministry of F</w:t>
            </w:r>
            <w:r w:rsidR="00907ACD" w:rsidRPr="00D30847">
              <w:rPr>
                <w:rFonts w:eastAsia="Times New Roman" w:cs="Calibri"/>
                <w:sz w:val="20"/>
                <w:szCs w:val="20"/>
                <w:lang w:val="en-GB"/>
              </w:rPr>
              <w:t>inance- Budgets and funds Department</w:t>
            </w:r>
          </w:p>
        </w:tc>
      </w:tr>
      <w:tr w:rsidR="00907ACD" w:rsidRPr="00D30847" w14:paraId="72F396A0" w14:textId="77777777" w:rsidTr="001D2A62">
        <w:tc>
          <w:tcPr>
            <w:tcW w:w="2518" w:type="dxa"/>
            <w:tcBorders>
              <w:top w:val="single" w:sz="4" w:space="0" w:color="FFFFFF"/>
              <w:bottom w:val="nil"/>
            </w:tcBorders>
            <w:shd w:val="clear" w:color="auto" w:fill="002060"/>
          </w:tcPr>
          <w:p w14:paraId="01B019D6" w14:textId="77777777" w:rsidR="00907ACD" w:rsidRPr="00D30847" w:rsidRDefault="00907ACD" w:rsidP="001D2A62">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Risk:</w:t>
            </w:r>
          </w:p>
        </w:tc>
        <w:tc>
          <w:tcPr>
            <w:tcW w:w="6246" w:type="dxa"/>
            <w:tcBorders>
              <w:top w:val="single" w:sz="4" w:space="0" w:color="FFFFFF"/>
              <w:bottom w:val="nil"/>
            </w:tcBorders>
            <w:shd w:val="clear" w:color="auto" w:fill="D9E2F3"/>
          </w:tcPr>
          <w:p w14:paraId="5BDBC5EA" w14:textId="77777777" w:rsidR="00907ACD" w:rsidRPr="00D30847" w:rsidRDefault="00907ACD" w:rsidP="00907ACD">
            <w:pPr>
              <w:pStyle w:val="ListParagraph"/>
              <w:numPr>
                <w:ilvl w:val="0"/>
                <w:numId w:val="79"/>
              </w:numPr>
              <w:spacing w:after="60" w:line="240" w:lineRule="auto"/>
              <w:ind w:left="498" w:hanging="284"/>
              <w:rPr>
                <w:sz w:val="20"/>
                <w:szCs w:val="20"/>
              </w:rPr>
            </w:pPr>
            <w:r w:rsidRPr="00D30847">
              <w:rPr>
                <w:sz w:val="20"/>
                <w:szCs w:val="20"/>
              </w:rPr>
              <w:t>Insufficient interest of top management,</w:t>
            </w:r>
          </w:p>
          <w:p w14:paraId="19447971" w14:textId="77777777" w:rsidR="00907ACD" w:rsidRPr="00D30847" w:rsidRDefault="00907ACD" w:rsidP="00907ACD">
            <w:pPr>
              <w:pStyle w:val="ListParagraph"/>
              <w:numPr>
                <w:ilvl w:val="0"/>
                <w:numId w:val="79"/>
              </w:numPr>
              <w:spacing w:after="60" w:line="240" w:lineRule="auto"/>
              <w:ind w:left="498" w:hanging="284"/>
              <w:rPr>
                <w:rFonts w:eastAsia="Times New Roman" w:cs="Calibri"/>
                <w:sz w:val="20"/>
                <w:szCs w:val="20"/>
              </w:rPr>
            </w:pPr>
            <w:r w:rsidRPr="00D30847">
              <w:rPr>
                <w:sz w:val="20"/>
                <w:szCs w:val="20"/>
              </w:rPr>
              <w:t>Insufficient human capacity to implement the planned activities.</w:t>
            </w:r>
          </w:p>
        </w:tc>
      </w:tr>
    </w:tbl>
    <w:p w14:paraId="05E66945" w14:textId="77777777" w:rsidR="00907ACD" w:rsidRPr="00D30847" w:rsidRDefault="00907ACD" w:rsidP="00907ACD">
      <w:pPr>
        <w:spacing w:line="240" w:lineRule="auto"/>
        <w:jc w:val="both"/>
        <w:rPr>
          <w:lang w:val="en-GB"/>
        </w:rPr>
      </w:pPr>
    </w:p>
    <w:p w14:paraId="73613A54" w14:textId="77777777" w:rsidR="00907ACD" w:rsidRPr="00D30847" w:rsidRDefault="00907ACD" w:rsidP="00907ACD">
      <w:pPr>
        <w:tabs>
          <w:tab w:val="left" w:pos="1250"/>
        </w:tabs>
        <w:spacing w:after="0"/>
        <w:jc w:val="both"/>
        <w:rPr>
          <w:lang w:val="en-GB"/>
        </w:rPr>
      </w:pPr>
    </w:p>
    <w:p w14:paraId="107E6519" w14:textId="77777777" w:rsidR="00907ACD" w:rsidRPr="00D30847" w:rsidRDefault="00907ACD" w:rsidP="00BB100C">
      <w:pPr>
        <w:keepNext/>
        <w:spacing w:before="240" w:after="60" w:line="240" w:lineRule="auto"/>
        <w:jc w:val="both"/>
        <w:outlineLvl w:val="0"/>
        <w:rPr>
          <w:rFonts w:eastAsia="Times New Roman" w:cs="Calibri"/>
          <w:b/>
          <w:bCs/>
          <w:color w:val="000000"/>
          <w:kern w:val="32"/>
          <w:lang w:val="en-GB" w:eastAsia="en-GB"/>
        </w:rPr>
      </w:pPr>
    </w:p>
    <w:p w14:paraId="7A6EC431" w14:textId="3DBFF9C7" w:rsidR="003C20E4" w:rsidRPr="00D30847" w:rsidRDefault="00BB100C" w:rsidP="00CE2DF4">
      <w:pPr>
        <w:pStyle w:val="Heading1"/>
        <w:rPr>
          <w:rFonts w:ascii="Calibri" w:hAnsi="Calibri" w:cs="Calibri"/>
          <w:color w:val="2F5496"/>
          <w:lang w:val="en-GB"/>
        </w:rPr>
      </w:pPr>
      <w:r w:rsidRPr="00D30847">
        <w:rPr>
          <w:rFonts w:ascii="Calibri" w:eastAsia="Calibri" w:hAnsi="Calibri"/>
          <w:b w:val="0"/>
          <w:bCs w:val="0"/>
          <w:color w:val="000000"/>
          <w:kern w:val="0"/>
          <w:sz w:val="22"/>
          <w:szCs w:val="22"/>
          <w:lang w:val="en-GB" w:eastAsia="en-GB"/>
        </w:rPr>
        <w:br w:type="page"/>
      </w:r>
      <w:bookmarkStart w:id="50" w:name="_Toc187841812"/>
      <w:r w:rsidR="00522D07" w:rsidRPr="00D30847">
        <w:rPr>
          <w:rFonts w:ascii="Calibri" w:hAnsi="Calibri" w:cs="Calibri"/>
          <w:color w:val="2F5496"/>
          <w:lang w:val="en-GB"/>
        </w:rPr>
        <w:lastRenderedPageBreak/>
        <w:t>PILLAR IV - Public procurement</w:t>
      </w:r>
      <w:bookmarkEnd w:id="50"/>
    </w:p>
    <w:p w14:paraId="08DE18E5" w14:textId="60803136" w:rsidR="00A669F0" w:rsidRPr="00D30847" w:rsidRDefault="002F500A" w:rsidP="00B739E8">
      <w:pPr>
        <w:spacing w:line="240" w:lineRule="auto"/>
        <w:jc w:val="both"/>
        <w:rPr>
          <w:rFonts w:eastAsia="MS PGothic"/>
          <w:b/>
          <w:bCs/>
          <w:color w:val="4F81BD"/>
          <w:lang w:val="en-GB" w:eastAsia="zh-CN"/>
        </w:rPr>
      </w:pPr>
      <w:r w:rsidRPr="00D30847">
        <w:rPr>
          <w:rFonts w:eastAsia="MS PGothic"/>
          <w:b/>
          <w:bCs/>
          <w:color w:val="4F81BD"/>
          <w:lang w:val="en-GB" w:eastAsia="zh-CN"/>
        </w:rPr>
        <w:t>Introduction</w:t>
      </w:r>
    </w:p>
    <w:p w14:paraId="1AB3EE1C" w14:textId="77777777" w:rsidR="00C5299E" w:rsidRPr="00D30847" w:rsidRDefault="00C5299E" w:rsidP="008023E8">
      <w:pPr>
        <w:spacing w:line="240" w:lineRule="auto"/>
        <w:jc w:val="both"/>
        <w:rPr>
          <w:b/>
          <w:bCs/>
          <w:lang w:val="en-GB"/>
        </w:rPr>
      </w:pPr>
      <w:r w:rsidRPr="00D30847">
        <w:rPr>
          <w:lang w:val="en-GB"/>
        </w:rPr>
        <w:t>Public procurement has the key role in enabling economic and societal growth and delivering quality public services to the citizens. Public procurement system has to secure that the public funds are spent in efficient, transparent, reasonable and fair manner.</w:t>
      </w:r>
    </w:p>
    <w:p w14:paraId="03C26744" w14:textId="36A74466" w:rsidR="00C5299E" w:rsidRPr="00D30847" w:rsidRDefault="00C5299E" w:rsidP="008023E8">
      <w:pPr>
        <w:spacing w:line="240" w:lineRule="auto"/>
        <w:jc w:val="both"/>
        <w:rPr>
          <w:b/>
          <w:bCs/>
          <w:lang w:val="en-GB"/>
        </w:rPr>
      </w:pPr>
      <w:r w:rsidRPr="00D30847">
        <w:rPr>
          <w:lang w:val="en-GB"/>
        </w:rPr>
        <w:t>In 202</w:t>
      </w:r>
      <w:r w:rsidR="00A669F0" w:rsidRPr="00D30847">
        <w:rPr>
          <w:lang w:val="en-GB"/>
        </w:rPr>
        <w:t>3</w:t>
      </w:r>
      <w:r w:rsidRPr="00D30847">
        <w:rPr>
          <w:lang w:val="en-GB"/>
        </w:rPr>
        <w:t xml:space="preserve">, the public procurement market in Republic of North Macedonia amounted to </w:t>
      </w:r>
      <w:r w:rsidR="00A669F0" w:rsidRPr="00D30847">
        <w:rPr>
          <w:lang w:val="en-GB"/>
        </w:rPr>
        <w:t>10</w:t>
      </w:r>
      <w:r w:rsidRPr="00D30847">
        <w:rPr>
          <w:lang w:val="en-GB"/>
        </w:rPr>
        <w:t>.</w:t>
      </w:r>
      <w:r w:rsidR="00A669F0" w:rsidRPr="00D30847">
        <w:rPr>
          <w:lang w:val="en-GB"/>
        </w:rPr>
        <w:t>9</w:t>
      </w:r>
      <w:r w:rsidRPr="00D30847">
        <w:rPr>
          <w:lang w:val="en-GB"/>
        </w:rPr>
        <w:t xml:space="preserve">% of the country’s GDP. The proportion of the overall value of public procurement awarded to SMEs is </w:t>
      </w:r>
      <w:r w:rsidR="00A669F0" w:rsidRPr="00D30847">
        <w:rPr>
          <w:lang w:val="en-GB"/>
        </w:rPr>
        <w:t>54</w:t>
      </w:r>
      <w:r w:rsidRPr="00D30847">
        <w:rPr>
          <w:lang w:val="en-GB"/>
        </w:rPr>
        <w:t>%.</w:t>
      </w:r>
    </w:p>
    <w:p w14:paraId="54004CEE" w14:textId="6086E62E" w:rsidR="00C5299E" w:rsidRPr="00D30847" w:rsidRDefault="00C5299E" w:rsidP="008023E8">
      <w:pPr>
        <w:spacing w:line="240" w:lineRule="auto"/>
        <w:jc w:val="both"/>
        <w:rPr>
          <w:b/>
          <w:bCs/>
          <w:lang w:val="en-GB"/>
        </w:rPr>
      </w:pPr>
      <w:r w:rsidRPr="00D30847">
        <w:rPr>
          <w:lang w:val="en-GB"/>
        </w:rPr>
        <w:t>It remains crucial requirement for the country to</w:t>
      </w:r>
      <w:r w:rsidR="00F50612" w:rsidRPr="00D30847">
        <w:rPr>
          <w:lang w:val="en-GB"/>
        </w:rPr>
        <w:t xml:space="preserve"> further improve the functionin</w:t>
      </w:r>
      <w:r w:rsidRPr="00D30847">
        <w:rPr>
          <w:lang w:val="en-GB"/>
        </w:rPr>
        <w:t>g of the public procurement system aiming to secure duly implementation of the Law for public procurement (LPP) and legal consistency for all parties in the system, leading to better public finance management.</w:t>
      </w:r>
    </w:p>
    <w:p w14:paraId="2A942D44" w14:textId="5670A1F5" w:rsidR="00C5299E" w:rsidRPr="00D30847" w:rsidRDefault="00C5299E" w:rsidP="008023E8">
      <w:pPr>
        <w:spacing w:line="240" w:lineRule="auto"/>
        <w:jc w:val="both"/>
        <w:rPr>
          <w:b/>
          <w:bCs/>
          <w:lang w:val="en-GB"/>
        </w:rPr>
      </w:pPr>
      <w:r w:rsidRPr="00D30847">
        <w:rPr>
          <w:lang w:val="en-GB"/>
        </w:rPr>
        <w:t xml:space="preserve">Priorities within this pillar are covering the main fields of public procurement, enabling developing and monitoring of specific target measures. There are the following </w:t>
      </w:r>
      <w:r w:rsidR="00EF7030" w:rsidRPr="00D30847">
        <w:rPr>
          <w:lang w:val="en-GB"/>
        </w:rPr>
        <w:t>two</w:t>
      </w:r>
      <w:r w:rsidRPr="00D30847">
        <w:rPr>
          <w:lang w:val="en-GB"/>
        </w:rPr>
        <w:t xml:space="preserve"> priorities:</w:t>
      </w:r>
    </w:p>
    <w:p w14:paraId="11994546" w14:textId="77777777" w:rsidR="00C5299E" w:rsidRPr="00D30847" w:rsidRDefault="00C5299E" w:rsidP="008023E8">
      <w:pPr>
        <w:pStyle w:val="ListParagraph"/>
        <w:numPr>
          <w:ilvl w:val="0"/>
          <w:numId w:val="68"/>
        </w:numPr>
        <w:spacing w:after="200" w:line="240" w:lineRule="auto"/>
        <w:rPr>
          <w:b/>
        </w:rPr>
      </w:pPr>
      <w:r w:rsidRPr="00D30847">
        <w:rPr>
          <w:rFonts w:cs="Calibri"/>
          <w:b/>
          <w:color w:val="2C2825"/>
          <w:shd w:val="clear" w:color="auto" w:fill="FFFFFF"/>
        </w:rPr>
        <w:t xml:space="preserve">Priority 1: </w:t>
      </w:r>
      <w:r w:rsidRPr="00D30847">
        <w:rPr>
          <w:b/>
          <w:bCs/>
        </w:rPr>
        <w:t>Public procurement policy</w:t>
      </w:r>
    </w:p>
    <w:p w14:paraId="4003516A" w14:textId="02D83DEF" w:rsidR="00C5299E" w:rsidRPr="00D30847" w:rsidRDefault="00C5299E" w:rsidP="008023E8">
      <w:pPr>
        <w:pStyle w:val="ListParagraph"/>
        <w:numPr>
          <w:ilvl w:val="0"/>
          <w:numId w:val="68"/>
        </w:numPr>
        <w:spacing w:after="200" w:line="240" w:lineRule="auto"/>
        <w:rPr>
          <w:b/>
          <w:bCs/>
        </w:rPr>
      </w:pPr>
      <w:r w:rsidRPr="00D30847">
        <w:rPr>
          <w:rFonts w:cs="Calibri"/>
          <w:b/>
          <w:color w:val="2C2825"/>
          <w:shd w:val="clear" w:color="auto" w:fill="FFFFFF"/>
        </w:rPr>
        <w:t>Priority 2:</w:t>
      </w:r>
      <w:r w:rsidRPr="00D30847">
        <w:rPr>
          <w:b/>
          <w:bCs/>
        </w:rPr>
        <w:t xml:space="preserve"> Public private </w:t>
      </w:r>
      <w:r w:rsidR="00F50612" w:rsidRPr="00D30847">
        <w:rPr>
          <w:b/>
          <w:bCs/>
        </w:rPr>
        <w:t>partnership and</w:t>
      </w:r>
      <w:r w:rsidR="006A55CA" w:rsidRPr="00D30847">
        <w:rPr>
          <w:b/>
          <w:bCs/>
        </w:rPr>
        <w:t xml:space="preserve"> Concessions on goods of general interest</w:t>
      </w:r>
    </w:p>
    <w:p w14:paraId="5F133365" w14:textId="7BE9519E" w:rsidR="00912FD7" w:rsidRPr="00D30847" w:rsidRDefault="00912FD7" w:rsidP="008023E8">
      <w:pPr>
        <w:spacing w:line="240" w:lineRule="auto"/>
        <w:jc w:val="both"/>
        <w:rPr>
          <w:lang w:val="en-GB"/>
        </w:rPr>
      </w:pPr>
      <w:r w:rsidRPr="00D30847">
        <w:rPr>
          <w:rFonts w:cs="Calibri"/>
          <w:b/>
          <w:color w:val="2C2825"/>
          <w:shd w:val="clear" w:color="auto" w:fill="FFFFFF"/>
          <w:lang w:val="en-GB"/>
        </w:rPr>
        <w:t>Priority 1</w:t>
      </w:r>
      <w:r w:rsidRPr="00D30847">
        <w:rPr>
          <w:b/>
          <w:lang w:val="en-GB"/>
        </w:rPr>
        <w:t>:</w:t>
      </w:r>
      <w:r w:rsidR="00F50612" w:rsidRPr="00D30847">
        <w:rPr>
          <w:b/>
          <w:lang w:val="en-GB"/>
        </w:rPr>
        <w:t xml:space="preserve"> </w:t>
      </w:r>
      <w:r w:rsidR="00C5299E" w:rsidRPr="00D30847">
        <w:rPr>
          <w:b/>
          <w:lang w:val="en-GB"/>
        </w:rPr>
        <w:t>Public procurement policy</w:t>
      </w:r>
    </w:p>
    <w:p w14:paraId="7EA79F1A" w14:textId="6D7CC5D1" w:rsidR="00C5299E" w:rsidRPr="00D30847" w:rsidRDefault="00912FD7" w:rsidP="008023E8">
      <w:pPr>
        <w:spacing w:line="240" w:lineRule="auto"/>
        <w:jc w:val="both"/>
        <w:rPr>
          <w:b/>
          <w:bCs/>
          <w:lang w:val="en-GB"/>
        </w:rPr>
      </w:pPr>
      <w:r w:rsidRPr="00D30847">
        <w:rPr>
          <w:lang w:val="en-GB"/>
        </w:rPr>
        <w:t>T</w:t>
      </w:r>
      <w:r w:rsidR="00C5299E" w:rsidRPr="00D30847">
        <w:rPr>
          <w:lang w:val="en-GB"/>
        </w:rPr>
        <w:t xml:space="preserve">his priority is under the competence of Public procurement bureau. It is focused on developing measures for better implementation of the LPP, improved procurement process and inducing </w:t>
      </w:r>
      <w:r w:rsidR="00F50612" w:rsidRPr="00D30847">
        <w:rPr>
          <w:lang w:val="en-GB"/>
        </w:rPr>
        <w:t>competition</w:t>
      </w:r>
      <w:r w:rsidR="00EA2E6F" w:rsidRPr="00D30847">
        <w:rPr>
          <w:lang w:val="en-GB"/>
        </w:rPr>
        <w:t>.</w:t>
      </w:r>
      <w:r w:rsidR="00F50612" w:rsidRPr="00D30847">
        <w:rPr>
          <w:lang w:val="en-GB"/>
        </w:rPr>
        <w:t xml:space="preserve"> </w:t>
      </w:r>
    </w:p>
    <w:p w14:paraId="7F8F9A7C" w14:textId="351CA88A" w:rsidR="00912FD7" w:rsidRPr="00D30847" w:rsidRDefault="00912FD7" w:rsidP="008023E8">
      <w:pPr>
        <w:spacing w:line="240" w:lineRule="auto"/>
        <w:jc w:val="both"/>
        <w:rPr>
          <w:b/>
          <w:bCs/>
          <w:lang w:val="en-GB"/>
        </w:rPr>
      </w:pPr>
      <w:r w:rsidRPr="00D30847">
        <w:rPr>
          <w:rFonts w:cs="Calibri"/>
          <w:b/>
          <w:color w:val="2C2825"/>
          <w:shd w:val="clear" w:color="auto" w:fill="FFFFFF"/>
          <w:lang w:val="en-GB"/>
        </w:rPr>
        <w:t xml:space="preserve">Priority </w:t>
      </w:r>
      <w:r w:rsidR="00F50612" w:rsidRPr="00D30847">
        <w:rPr>
          <w:rFonts w:cs="Calibri"/>
          <w:b/>
          <w:color w:val="2C2825"/>
          <w:shd w:val="clear" w:color="auto" w:fill="FFFFFF"/>
          <w:lang w:val="en-GB"/>
        </w:rPr>
        <w:t>2:</w:t>
      </w:r>
      <w:r w:rsidR="00F50612" w:rsidRPr="00D30847">
        <w:rPr>
          <w:b/>
          <w:bCs/>
          <w:lang w:val="en-GB"/>
        </w:rPr>
        <w:t xml:space="preserve"> Public</w:t>
      </w:r>
      <w:r w:rsidR="00C5299E" w:rsidRPr="00D30847">
        <w:rPr>
          <w:b/>
          <w:bCs/>
          <w:lang w:val="en-GB"/>
        </w:rPr>
        <w:t xml:space="preserve"> private </w:t>
      </w:r>
      <w:r w:rsidR="00F50612" w:rsidRPr="00D30847">
        <w:rPr>
          <w:b/>
          <w:bCs/>
          <w:lang w:val="en-GB"/>
        </w:rPr>
        <w:t>partnership and</w:t>
      </w:r>
      <w:r w:rsidRPr="00D30847">
        <w:rPr>
          <w:b/>
          <w:bCs/>
          <w:lang w:val="en-GB"/>
        </w:rPr>
        <w:t xml:space="preserve"> Concessions on goods of general interest</w:t>
      </w:r>
    </w:p>
    <w:p w14:paraId="43267292" w14:textId="5373093A" w:rsidR="00C5299E" w:rsidRPr="00D30847" w:rsidRDefault="00912FD7" w:rsidP="008023E8">
      <w:pPr>
        <w:spacing w:line="240" w:lineRule="auto"/>
        <w:jc w:val="both"/>
        <w:rPr>
          <w:b/>
          <w:bCs/>
          <w:lang w:val="en-GB"/>
        </w:rPr>
      </w:pPr>
      <w:r w:rsidRPr="00D30847">
        <w:rPr>
          <w:bCs/>
          <w:lang w:val="en-GB"/>
        </w:rPr>
        <w:t>T</w:t>
      </w:r>
      <w:r w:rsidR="00C5299E" w:rsidRPr="00D30847">
        <w:rPr>
          <w:bCs/>
          <w:lang w:val="en-GB"/>
        </w:rPr>
        <w:t xml:space="preserve">his priority is under the competence of Ministry of </w:t>
      </w:r>
      <w:r w:rsidR="00A669F0" w:rsidRPr="00D30847">
        <w:rPr>
          <w:bCs/>
          <w:lang w:val="en-GB"/>
        </w:rPr>
        <w:t xml:space="preserve">energy, mining and mineral </w:t>
      </w:r>
      <w:r w:rsidR="002F500A" w:rsidRPr="00D30847">
        <w:rPr>
          <w:bCs/>
          <w:lang w:val="en-GB"/>
        </w:rPr>
        <w:t>resources and</w:t>
      </w:r>
      <w:r w:rsidR="00C5299E" w:rsidRPr="00D30847">
        <w:rPr>
          <w:bCs/>
          <w:lang w:val="en-GB"/>
        </w:rPr>
        <w:t xml:space="preserve"> it is focused on </w:t>
      </w:r>
      <w:r w:rsidR="00F50612" w:rsidRPr="00D30847">
        <w:rPr>
          <w:bCs/>
          <w:lang w:val="en-GB"/>
        </w:rPr>
        <w:t>increasing</w:t>
      </w:r>
      <w:r w:rsidR="00C5299E" w:rsidRPr="00D30847">
        <w:rPr>
          <w:bCs/>
          <w:lang w:val="en-GB"/>
        </w:rPr>
        <w:t xml:space="preserve"> transparency and unified approach of all public partners in the implementation of public-private partnership projects, as well as improved quality and success in the implementation of public-private partnership projects</w:t>
      </w:r>
      <w:r w:rsidRPr="00D30847">
        <w:rPr>
          <w:b/>
          <w:bCs/>
          <w:lang w:val="en-GB"/>
        </w:rPr>
        <w:t>.</w:t>
      </w:r>
    </w:p>
    <w:p w14:paraId="350617B1" w14:textId="77777777" w:rsidR="00C5299E" w:rsidRPr="00D30847" w:rsidRDefault="00C5299E" w:rsidP="00D144DD">
      <w:pPr>
        <w:spacing w:line="240" w:lineRule="auto"/>
        <w:jc w:val="both"/>
        <w:rPr>
          <w:rFonts w:eastAsia="MS PGothic"/>
          <w:b/>
          <w:bCs/>
          <w:color w:val="4F81BD"/>
          <w:lang w:val="en-GB" w:eastAsia="zh-CN"/>
        </w:rPr>
      </w:pPr>
    </w:p>
    <w:p w14:paraId="45C7B42C" w14:textId="77777777" w:rsidR="00C5299E" w:rsidRPr="00D30847" w:rsidRDefault="00C5299E" w:rsidP="00D144DD">
      <w:pPr>
        <w:spacing w:line="240" w:lineRule="auto"/>
        <w:jc w:val="both"/>
        <w:rPr>
          <w:rFonts w:eastAsia="MS PGothic"/>
          <w:b/>
          <w:bCs/>
          <w:color w:val="4F81BD"/>
          <w:lang w:val="en-GB" w:eastAsia="zh-CN"/>
        </w:rPr>
      </w:pPr>
    </w:p>
    <w:p w14:paraId="1957D1C8" w14:textId="77777777" w:rsidR="004718D6" w:rsidRPr="00D30847" w:rsidRDefault="004718D6" w:rsidP="004718D6">
      <w:pPr>
        <w:pStyle w:val="Heading1"/>
        <w:rPr>
          <w:rFonts w:ascii="Calibri" w:eastAsia="Calibri" w:hAnsi="Calibri"/>
          <w:b w:val="0"/>
          <w:bCs w:val="0"/>
          <w:kern w:val="0"/>
          <w:sz w:val="22"/>
          <w:szCs w:val="22"/>
          <w:lang w:val="en-GB"/>
        </w:rPr>
      </w:pPr>
    </w:p>
    <w:p w14:paraId="5917984E" w14:textId="77777777" w:rsidR="004718D6" w:rsidRPr="00D30847" w:rsidRDefault="004718D6" w:rsidP="004718D6">
      <w:pPr>
        <w:pStyle w:val="Heading1"/>
        <w:rPr>
          <w:rFonts w:ascii="Calibri" w:eastAsia="Calibri" w:hAnsi="Calibri"/>
          <w:b w:val="0"/>
          <w:bCs w:val="0"/>
          <w:kern w:val="0"/>
          <w:sz w:val="22"/>
          <w:szCs w:val="22"/>
          <w:lang w:val="en-GB"/>
        </w:rPr>
      </w:pPr>
    </w:p>
    <w:p w14:paraId="793AE071" w14:textId="77777777" w:rsidR="00522D07" w:rsidRPr="00D30847" w:rsidRDefault="00522D07" w:rsidP="00F26F49">
      <w:pPr>
        <w:pStyle w:val="Heading1"/>
        <w:rPr>
          <w:rFonts w:ascii="Calibri" w:hAnsi="Calibri" w:cs="Calibri"/>
          <w:color w:val="0070C0"/>
          <w:sz w:val="28"/>
          <w:szCs w:val="28"/>
          <w:lang w:val="en-GB"/>
        </w:rPr>
      </w:pPr>
      <w:r w:rsidRPr="00D30847">
        <w:rPr>
          <w:lang w:val="en-GB"/>
        </w:rPr>
        <w:br w:type="page"/>
      </w:r>
      <w:bookmarkStart w:id="51" w:name="_Toc187841813"/>
      <w:r w:rsidRPr="00D30847">
        <w:rPr>
          <w:rFonts w:ascii="Calibri" w:hAnsi="Calibri" w:cs="Calibri"/>
          <w:color w:val="0070C0"/>
          <w:sz w:val="28"/>
          <w:szCs w:val="28"/>
          <w:lang w:val="en-GB"/>
        </w:rPr>
        <w:lastRenderedPageBreak/>
        <w:t>Priority 1: Public Procurement Policy</w:t>
      </w:r>
      <w:bookmarkEnd w:id="51"/>
    </w:p>
    <w:p w14:paraId="62C155C5" w14:textId="77777777" w:rsidR="00522D07" w:rsidRPr="00D30847" w:rsidRDefault="00522D07"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Objective</w:t>
      </w:r>
    </w:p>
    <w:p w14:paraId="153FF887" w14:textId="77777777" w:rsidR="00A669F0" w:rsidRPr="00D30847" w:rsidRDefault="00A669F0" w:rsidP="00A669F0">
      <w:pPr>
        <w:spacing w:line="240" w:lineRule="auto"/>
        <w:jc w:val="both"/>
        <w:rPr>
          <w:rFonts w:cs="Calibri"/>
          <w:lang w:val="en-GB"/>
        </w:rPr>
      </w:pPr>
      <w:r w:rsidRPr="00D30847">
        <w:rPr>
          <w:rFonts w:cs="Calibri"/>
          <w:lang w:val="en-GB"/>
        </w:rPr>
        <w:t xml:space="preserve">The objective of the priority is securing public procurement system which enables economic, efficient and effective spending of public funds, as well as inducing competition and market access possibilities for SMEs. </w:t>
      </w:r>
    </w:p>
    <w:p w14:paraId="0AF8F8CE" w14:textId="3A02255F" w:rsidR="004718D6" w:rsidRPr="00D30847" w:rsidRDefault="004718D6" w:rsidP="004718D6">
      <w:pPr>
        <w:spacing w:line="240" w:lineRule="auto"/>
        <w:jc w:val="both"/>
        <w:rPr>
          <w:rFonts w:cs="Calibri"/>
          <w:lang w:val="en-GB"/>
        </w:rPr>
      </w:pPr>
      <w:r w:rsidRPr="00D30847">
        <w:rPr>
          <w:rFonts w:cs="Calibri"/>
          <w:lang w:val="en-GB"/>
        </w:rPr>
        <w:t>The objective of this priority will be achieved through the following measure and activities:</w:t>
      </w:r>
    </w:p>
    <w:tbl>
      <w:tblPr>
        <w:tblW w:w="8360" w:type="dxa"/>
        <w:tblInd w:w="-90" w:type="dxa"/>
        <w:tblLook w:val="01E0" w:firstRow="1" w:lastRow="1" w:firstColumn="1" w:lastColumn="1" w:noHBand="0" w:noVBand="0"/>
      </w:tblPr>
      <w:tblGrid>
        <w:gridCol w:w="1936"/>
        <w:gridCol w:w="6424"/>
      </w:tblGrid>
      <w:tr w:rsidR="004718D6" w:rsidRPr="00D30847" w14:paraId="35F1E4C6" w14:textId="77777777" w:rsidTr="008023E8">
        <w:tc>
          <w:tcPr>
            <w:tcW w:w="1936" w:type="dxa"/>
            <w:shd w:val="clear" w:color="auto" w:fill="auto"/>
          </w:tcPr>
          <w:p w14:paraId="0C6DB747" w14:textId="77777777" w:rsidR="004718D6" w:rsidRPr="00D30847" w:rsidRDefault="004718D6" w:rsidP="004876E4">
            <w:pPr>
              <w:spacing w:after="0" w:line="360" w:lineRule="auto"/>
              <w:rPr>
                <w:rFonts w:cs="Calibri"/>
                <w:b/>
                <w:lang w:val="en-GB"/>
              </w:rPr>
            </w:pPr>
            <w:r w:rsidRPr="00D30847">
              <w:rPr>
                <w:rFonts w:cs="Calibri"/>
                <w:b/>
                <w:lang w:val="en-GB"/>
              </w:rPr>
              <w:t>Measure 1:</w:t>
            </w:r>
          </w:p>
        </w:tc>
        <w:tc>
          <w:tcPr>
            <w:tcW w:w="6424" w:type="dxa"/>
            <w:shd w:val="clear" w:color="auto" w:fill="auto"/>
          </w:tcPr>
          <w:p w14:paraId="681CDA5C" w14:textId="61FBB85C" w:rsidR="004718D6" w:rsidRPr="00D30847" w:rsidRDefault="00B1410F" w:rsidP="004876E4">
            <w:pPr>
              <w:spacing w:after="0" w:line="360" w:lineRule="auto"/>
              <w:jc w:val="both"/>
              <w:rPr>
                <w:rFonts w:cs="Calibri"/>
                <w:b/>
                <w:lang w:val="en-GB"/>
              </w:rPr>
            </w:pPr>
            <w:r w:rsidRPr="00D30847">
              <w:rPr>
                <w:rFonts w:cs="Calibri"/>
                <w:b/>
                <w:lang w:val="en-GB"/>
              </w:rPr>
              <w:t>Improving the cooperation among the key institutions in the public procurement system</w:t>
            </w:r>
          </w:p>
        </w:tc>
      </w:tr>
      <w:tr w:rsidR="004718D6" w:rsidRPr="00D30847" w14:paraId="677097E1" w14:textId="77777777" w:rsidTr="008023E8">
        <w:tc>
          <w:tcPr>
            <w:tcW w:w="1936" w:type="dxa"/>
            <w:shd w:val="clear" w:color="auto" w:fill="auto"/>
          </w:tcPr>
          <w:p w14:paraId="1BE2423E" w14:textId="4CD8DB64" w:rsidR="004718D6" w:rsidRPr="00D30847" w:rsidRDefault="004718D6" w:rsidP="004876E4">
            <w:pPr>
              <w:spacing w:after="0" w:line="360" w:lineRule="auto"/>
              <w:rPr>
                <w:rFonts w:cs="Calibri"/>
                <w:lang w:val="en-GB"/>
              </w:rPr>
            </w:pPr>
            <w:r w:rsidRPr="00D30847">
              <w:rPr>
                <w:rFonts w:cs="Calibri"/>
                <w:lang w:val="en-GB"/>
              </w:rPr>
              <w:t>Activity 1:</w:t>
            </w:r>
          </w:p>
        </w:tc>
        <w:tc>
          <w:tcPr>
            <w:tcW w:w="6424" w:type="dxa"/>
            <w:shd w:val="clear" w:color="auto" w:fill="auto"/>
          </w:tcPr>
          <w:p w14:paraId="521414D9" w14:textId="4E6985C1" w:rsidR="004718D6" w:rsidRPr="00D30847" w:rsidRDefault="00B1410F" w:rsidP="004876E4">
            <w:pPr>
              <w:spacing w:after="0" w:line="360" w:lineRule="auto"/>
              <w:jc w:val="both"/>
              <w:rPr>
                <w:rFonts w:cs="Calibri"/>
                <w:lang w:val="en-GB"/>
              </w:rPr>
            </w:pPr>
            <w:r w:rsidRPr="00D30847">
              <w:rPr>
                <w:rFonts w:cs="Calibri"/>
                <w:lang w:val="en-GB"/>
              </w:rPr>
              <w:t>Regular communication and coordination of Advisory group of the key institutions in the procurement system;</w:t>
            </w:r>
          </w:p>
        </w:tc>
      </w:tr>
      <w:tr w:rsidR="004718D6" w:rsidRPr="00D30847" w14:paraId="234DABC3" w14:textId="77777777" w:rsidTr="008023E8">
        <w:tc>
          <w:tcPr>
            <w:tcW w:w="1936" w:type="dxa"/>
            <w:shd w:val="clear" w:color="auto" w:fill="auto"/>
          </w:tcPr>
          <w:p w14:paraId="657F84C7" w14:textId="4E6E60E9" w:rsidR="004718D6" w:rsidRPr="00D30847" w:rsidRDefault="00B1410F" w:rsidP="004876E4">
            <w:pPr>
              <w:spacing w:after="0" w:line="360" w:lineRule="auto"/>
              <w:rPr>
                <w:rFonts w:cs="Calibri"/>
                <w:lang w:val="en-GB"/>
              </w:rPr>
            </w:pPr>
            <w:r w:rsidRPr="00D30847">
              <w:rPr>
                <w:rFonts w:cs="Calibri"/>
                <w:b/>
                <w:lang w:val="en-GB"/>
              </w:rPr>
              <w:t>Measure 2:</w:t>
            </w:r>
          </w:p>
        </w:tc>
        <w:tc>
          <w:tcPr>
            <w:tcW w:w="6424" w:type="dxa"/>
            <w:shd w:val="clear" w:color="auto" w:fill="auto"/>
          </w:tcPr>
          <w:p w14:paraId="6815B1AA" w14:textId="344927DF" w:rsidR="004718D6" w:rsidRPr="00D30847" w:rsidRDefault="00A669F0" w:rsidP="004876E4">
            <w:pPr>
              <w:spacing w:after="0" w:line="360" w:lineRule="auto"/>
              <w:jc w:val="both"/>
              <w:rPr>
                <w:rFonts w:cs="Calibri"/>
                <w:lang w:val="en-GB"/>
              </w:rPr>
            </w:pPr>
            <w:r w:rsidRPr="00D30847">
              <w:rPr>
                <w:rFonts w:cs="Calibri"/>
                <w:b/>
                <w:lang w:val="en-GB"/>
              </w:rPr>
              <w:t>Improved implementation of the Law on Public Procurement</w:t>
            </w:r>
          </w:p>
        </w:tc>
      </w:tr>
      <w:tr w:rsidR="004718D6" w:rsidRPr="00D30847" w14:paraId="21AE94F4" w14:textId="77777777" w:rsidTr="008023E8">
        <w:trPr>
          <w:trHeight w:val="648"/>
        </w:trPr>
        <w:tc>
          <w:tcPr>
            <w:tcW w:w="1936" w:type="dxa"/>
            <w:shd w:val="clear" w:color="auto" w:fill="auto"/>
          </w:tcPr>
          <w:p w14:paraId="5EA7B34A" w14:textId="77777777" w:rsidR="004718D6" w:rsidRPr="00D30847" w:rsidRDefault="004718D6" w:rsidP="004876E4">
            <w:pPr>
              <w:spacing w:after="0" w:line="360" w:lineRule="auto"/>
              <w:rPr>
                <w:rFonts w:cs="Calibri"/>
                <w:lang w:val="en-GB"/>
              </w:rPr>
            </w:pPr>
            <w:r w:rsidRPr="00D30847">
              <w:rPr>
                <w:rFonts w:cs="Calibri"/>
                <w:lang w:val="en-GB"/>
              </w:rPr>
              <w:t xml:space="preserve">Activity </w:t>
            </w:r>
            <w:r w:rsidR="00B1410F" w:rsidRPr="00D30847">
              <w:rPr>
                <w:rFonts w:cs="Calibri"/>
                <w:lang w:val="en-GB"/>
              </w:rPr>
              <w:t>1</w:t>
            </w:r>
            <w:r w:rsidRPr="00D30847">
              <w:rPr>
                <w:rFonts w:cs="Calibri"/>
                <w:lang w:val="en-GB"/>
              </w:rPr>
              <w:t>:</w:t>
            </w:r>
          </w:p>
          <w:p w14:paraId="75C32BFB" w14:textId="6640D49E" w:rsidR="00B1410F" w:rsidRPr="00D30847" w:rsidRDefault="00B1410F" w:rsidP="004876E4">
            <w:pPr>
              <w:spacing w:after="0" w:line="360" w:lineRule="auto"/>
              <w:rPr>
                <w:rFonts w:cs="Calibri"/>
                <w:sz w:val="10"/>
                <w:szCs w:val="10"/>
                <w:lang w:val="en-GB"/>
              </w:rPr>
            </w:pPr>
          </w:p>
        </w:tc>
        <w:tc>
          <w:tcPr>
            <w:tcW w:w="6424" w:type="dxa"/>
            <w:shd w:val="clear" w:color="auto" w:fill="auto"/>
          </w:tcPr>
          <w:p w14:paraId="5B7B3BB6" w14:textId="3E62B2B3" w:rsidR="004718D6" w:rsidRPr="00D30847" w:rsidRDefault="00467788" w:rsidP="00B739E8">
            <w:pPr>
              <w:spacing w:after="0" w:line="360" w:lineRule="auto"/>
              <w:jc w:val="both"/>
              <w:rPr>
                <w:rFonts w:cs="Calibri"/>
                <w:lang w:val="en-GB"/>
              </w:rPr>
            </w:pPr>
            <w:r w:rsidRPr="00D30847">
              <w:rPr>
                <w:rFonts w:cs="Calibri"/>
                <w:lang w:val="en-GB"/>
              </w:rPr>
              <w:t>Development of guides and tools for support of contracting authorities in improved implementation of the Law on Public Procurement</w:t>
            </w:r>
          </w:p>
        </w:tc>
      </w:tr>
      <w:tr w:rsidR="00467788" w:rsidRPr="00D30847" w:rsidDel="00AB2093" w14:paraId="3F66E26B" w14:textId="77777777" w:rsidTr="008023E8">
        <w:trPr>
          <w:trHeight w:val="423"/>
        </w:trPr>
        <w:tc>
          <w:tcPr>
            <w:tcW w:w="1936" w:type="dxa"/>
            <w:shd w:val="clear" w:color="auto" w:fill="auto"/>
          </w:tcPr>
          <w:p w14:paraId="6D88AE8D" w14:textId="1D19BF47" w:rsidR="00467788" w:rsidRPr="00D30847" w:rsidDel="00AB2093" w:rsidRDefault="00467788" w:rsidP="004876E4">
            <w:pPr>
              <w:spacing w:after="0" w:line="360" w:lineRule="auto"/>
              <w:rPr>
                <w:rFonts w:cs="Calibri"/>
                <w:lang w:val="en-GB"/>
              </w:rPr>
            </w:pPr>
            <w:r w:rsidRPr="00D30847">
              <w:rPr>
                <w:rFonts w:cs="Calibri"/>
                <w:b/>
                <w:lang w:val="en-GB"/>
              </w:rPr>
              <w:t>Measure 3</w:t>
            </w:r>
            <w:r w:rsidRPr="00D30847">
              <w:rPr>
                <w:rFonts w:cs="Calibri"/>
                <w:lang w:val="en-GB"/>
              </w:rPr>
              <w:t>:</w:t>
            </w:r>
          </w:p>
        </w:tc>
        <w:tc>
          <w:tcPr>
            <w:tcW w:w="6424" w:type="dxa"/>
            <w:shd w:val="clear" w:color="auto" w:fill="auto"/>
          </w:tcPr>
          <w:p w14:paraId="2F9D44D8" w14:textId="3616A08B" w:rsidR="00467788" w:rsidRPr="00D30847" w:rsidDel="00AB2093" w:rsidRDefault="00467788" w:rsidP="004876E4">
            <w:pPr>
              <w:spacing w:after="0" w:line="360" w:lineRule="auto"/>
              <w:jc w:val="both"/>
              <w:rPr>
                <w:rFonts w:cs="Calibri"/>
                <w:b/>
                <w:bCs/>
                <w:lang w:val="en-GB"/>
              </w:rPr>
            </w:pPr>
            <w:r w:rsidRPr="00D30847">
              <w:rPr>
                <w:rFonts w:cs="Calibri"/>
                <w:b/>
                <w:bCs/>
                <w:lang w:val="en-GB"/>
              </w:rPr>
              <w:t>Introducing new system for education within PPB</w:t>
            </w:r>
          </w:p>
        </w:tc>
      </w:tr>
      <w:tr w:rsidR="00B1410F" w:rsidRPr="00D30847" w14:paraId="74C50E15" w14:textId="77777777" w:rsidTr="008023E8">
        <w:trPr>
          <w:trHeight w:val="360"/>
        </w:trPr>
        <w:tc>
          <w:tcPr>
            <w:tcW w:w="1936" w:type="dxa"/>
            <w:shd w:val="clear" w:color="auto" w:fill="auto"/>
          </w:tcPr>
          <w:p w14:paraId="348D811D" w14:textId="6BEE911A" w:rsidR="00B1410F" w:rsidRPr="00D30847" w:rsidRDefault="00B1410F" w:rsidP="004876E4">
            <w:pPr>
              <w:spacing w:after="0" w:line="360" w:lineRule="auto"/>
              <w:rPr>
                <w:rFonts w:cs="Calibri"/>
                <w:lang w:val="en-GB"/>
              </w:rPr>
            </w:pPr>
            <w:r w:rsidRPr="00D30847">
              <w:rPr>
                <w:rFonts w:cs="Calibri"/>
                <w:lang w:val="en-GB"/>
              </w:rPr>
              <w:t>Activity 1:</w:t>
            </w:r>
          </w:p>
        </w:tc>
        <w:tc>
          <w:tcPr>
            <w:tcW w:w="6424" w:type="dxa"/>
            <w:shd w:val="clear" w:color="auto" w:fill="auto"/>
          </w:tcPr>
          <w:p w14:paraId="339EF90C" w14:textId="42F2F3CC" w:rsidR="00B1410F" w:rsidRPr="00D30847" w:rsidRDefault="00A669F0" w:rsidP="00B739E8">
            <w:pPr>
              <w:spacing w:after="0" w:line="240" w:lineRule="auto"/>
              <w:jc w:val="both"/>
              <w:rPr>
                <w:rFonts w:cs="Calibri"/>
                <w:lang w:val="en-GB"/>
              </w:rPr>
            </w:pPr>
            <w:proofErr w:type="spellStart"/>
            <w:r w:rsidRPr="00D30847">
              <w:rPr>
                <w:rFonts w:cs="Calibri"/>
                <w:lang w:val="en-GB"/>
              </w:rPr>
              <w:t>Analyzing</w:t>
            </w:r>
            <w:proofErr w:type="spellEnd"/>
            <w:r w:rsidRPr="00D30847">
              <w:rPr>
                <w:rFonts w:cs="Calibri"/>
                <w:lang w:val="en-GB"/>
              </w:rPr>
              <w:t xml:space="preserve"> the possibilities for introducing new e-tools for education</w:t>
            </w:r>
          </w:p>
        </w:tc>
      </w:tr>
    </w:tbl>
    <w:p w14:paraId="3EBEE53D" w14:textId="12D87A87" w:rsidR="00522D07" w:rsidRPr="00D30847" w:rsidRDefault="00522D07"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Outcome</w:t>
      </w:r>
    </w:p>
    <w:p w14:paraId="3C6D2256" w14:textId="77777777" w:rsidR="004718D6" w:rsidRPr="00D30847" w:rsidRDefault="004718D6" w:rsidP="004718D6">
      <w:pPr>
        <w:spacing w:line="240" w:lineRule="auto"/>
        <w:jc w:val="both"/>
        <w:rPr>
          <w:rFonts w:cs="Calibri"/>
          <w:lang w:val="en-GB"/>
        </w:rPr>
      </w:pPr>
      <w:r w:rsidRPr="00D30847">
        <w:rPr>
          <w:rFonts w:cs="Calibri"/>
          <w:lang w:val="en-GB"/>
        </w:rPr>
        <w:t>Improved public procurement process.</w:t>
      </w:r>
    </w:p>
    <w:p w14:paraId="41CB1A87" w14:textId="77777777" w:rsidR="00522D07" w:rsidRPr="00D30847" w:rsidRDefault="00522D07"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Outcome indicators</w:t>
      </w:r>
    </w:p>
    <w:p w14:paraId="27C58C5B" w14:textId="2D2982C8" w:rsidR="00522D07" w:rsidRPr="00D30847" w:rsidRDefault="004876E4" w:rsidP="004876E4">
      <w:pPr>
        <w:spacing w:line="240" w:lineRule="auto"/>
        <w:jc w:val="both"/>
        <w:rPr>
          <w:rFonts w:cs="Calibri"/>
          <w:lang w:val="en-GB"/>
        </w:rPr>
      </w:pPr>
      <w:r w:rsidRPr="00D30847">
        <w:rPr>
          <w:rFonts w:cs="Calibri"/>
          <w:lang w:val="en-GB"/>
        </w:rPr>
        <w:t xml:space="preserve">1. </w:t>
      </w:r>
      <w:r w:rsidR="00522D07" w:rsidRPr="00D30847">
        <w:rPr>
          <w:rFonts w:cs="Calibri"/>
          <w:lang w:val="en-GB"/>
        </w:rPr>
        <w:t>Percentage of one bid tenders;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4505"/>
      </w:tblGrid>
      <w:tr w:rsidR="007541EA" w:rsidRPr="00D30847" w14:paraId="23724CD1" w14:textId="77777777" w:rsidTr="00356610">
        <w:trPr>
          <w:trHeight w:val="395"/>
        </w:trPr>
        <w:tc>
          <w:tcPr>
            <w:tcW w:w="4500" w:type="dxa"/>
            <w:shd w:val="clear" w:color="auto" w:fill="E8E8E8"/>
          </w:tcPr>
          <w:p w14:paraId="60A63455" w14:textId="6DB29A37" w:rsidR="007541EA" w:rsidRPr="00D30847" w:rsidRDefault="007541EA"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7F1B89" w:rsidRPr="00D30847">
              <w:rPr>
                <w:rFonts w:eastAsia="Times New Roman" w:cs="Calibri"/>
                <w:b/>
                <w:bCs/>
                <w:i/>
                <w:iCs/>
                <w:color w:val="202124"/>
                <w:sz w:val="20"/>
                <w:szCs w:val="20"/>
                <w:lang w:val="en-GB"/>
              </w:rPr>
              <w:t>3</w:t>
            </w:r>
          </w:p>
        </w:tc>
        <w:tc>
          <w:tcPr>
            <w:tcW w:w="4608" w:type="dxa"/>
            <w:shd w:val="clear" w:color="auto" w:fill="E8E8E8"/>
          </w:tcPr>
          <w:p w14:paraId="63328056" w14:textId="77D32F95" w:rsidR="007541EA" w:rsidRPr="00D30847" w:rsidRDefault="007541EA"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7F1B89" w:rsidRPr="00D30847">
              <w:rPr>
                <w:rFonts w:eastAsia="Times New Roman" w:cs="Calibri"/>
                <w:b/>
                <w:bCs/>
                <w:i/>
                <w:iCs/>
                <w:color w:val="202124"/>
                <w:sz w:val="20"/>
                <w:szCs w:val="20"/>
                <w:lang w:val="en-GB"/>
              </w:rPr>
              <w:t>8</w:t>
            </w:r>
          </w:p>
        </w:tc>
      </w:tr>
      <w:tr w:rsidR="007541EA" w:rsidRPr="00D30847" w14:paraId="50099FAA" w14:textId="77777777" w:rsidTr="00356610">
        <w:trPr>
          <w:trHeight w:val="278"/>
        </w:trPr>
        <w:tc>
          <w:tcPr>
            <w:tcW w:w="4500" w:type="dxa"/>
            <w:shd w:val="clear" w:color="auto" w:fill="E8E8E8"/>
          </w:tcPr>
          <w:p w14:paraId="72F9C524" w14:textId="7BD54DDA" w:rsidR="007541EA" w:rsidRPr="00D30847" w:rsidRDefault="007F1B89"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31</w:t>
            </w:r>
            <w:r w:rsidR="00083A12" w:rsidRPr="00D30847">
              <w:rPr>
                <w:rFonts w:eastAsia="Times New Roman" w:cs="Calibri"/>
                <w:color w:val="202124"/>
                <w:sz w:val="20"/>
                <w:szCs w:val="20"/>
                <w:lang w:val="en-GB"/>
              </w:rPr>
              <w:t>%</w:t>
            </w:r>
          </w:p>
        </w:tc>
        <w:tc>
          <w:tcPr>
            <w:tcW w:w="4608" w:type="dxa"/>
            <w:shd w:val="clear" w:color="auto" w:fill="E8E8E8"/>
          </w:tcPr>
          <w:p w14:paraId="730CE066" w14:textId="4118A599" w:rsidR="007541EA" w:rsidRPr="00D30847" w:rsidRDefault="00083A12" w:rsidP="00BD26BA">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 </w:t>
            </w:r>
            <w:r w:rsidR="007F1B89" w:rsidRPr="00D30847">
              <w:rPr>
                <w:rFonts w:eastAsia="Times New Roman" w:cs="Calibri"/>
                <w:color w:val="202124"/>
                <w:sz w:val="20"/>
                <w:szCs w:val="20"/>
                <w:lang w:val="en-GB"/>
              </w:rPr>
              <w:t>27</w:t>
            </w:r>
            <w:r w:rsidRPr="00D30847">
              <w:rPr>
                <w:rFonts w:eastAsia="Times New Roman" w:cs="Calibri"/>
                <w:color w:val="202124"/>
                <w:sz w:val="20"/>
                <w:szCs w:val="20"/>
                <w:lang w:val="en-GB"/>
              </w:rPr>
              <w:t xml:space="preserve"> %</w:t>
            </w:r>
          </w:p>
        </w:tc>
      </w:tr>
    </w:tbl>
    <w:p w14:paraId="184AC1F1" w14:textId="77777777" w:rsidR="004876E4" w:rsidRPr="00D30847" w:rsidRDefault="004876E4" w:rsidP="004876E4">
      <w:pPr>
        <w:spacing w:line="240" w:lineRule="auto"/>
        <w:jc w:val="both"/>
        <w:rPr>
          <w:rFonts w:cs="Calibri"/>
          <w:sz w:val="4"/>
          <w:szCs w:val="4"/>
          <w:lang w:val="en-GB"/>
        </w:rPr>
      </w:pPr>
    </w:p>
    <w:p w14:paraId="3E6C198F" w14:textId="4FB61B86" w:rsidR="00522D07" w:rsidRPr="00D30847" w:rsidRDefault="004876E4" w:rsidP="004876E4">
      <w:pPr>
        <w:spacing w:line="240" w:lineRule="auto"/>
        <w:jc w:val="both"/>
        <w:rPr>
          <w:rFonts w:cs="Calibri"/>
          <w:lang w:val="en-GB"/>
        </w:rPr>
      </w:pPr>
      <w:r w:rsidRPr="00D30847">
        <w:rPr>
          <w:rFonts w:cs="Calibri"/>
          <w:lang w:val="en-GB"/>
        </w:rPr>
        <w:t xml:space="preserve">2. </w:t>
      </w:r>
      <w:r w:rsidR="00522D07" w:rsidRPr="00D30847">
        <w:rPr>
          <w:rFonts w:cs="Calibri"/>
          <w:lang w:val="en-GB"/>
        </w:rPr>
        <w:t>Percentage of cancelled procedures.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4505"/>
      </w:tblGrid>
      <w:tr w:rsidR="007541EA" w:rsidRPr="00D30847" w14:paraId="2EF58274" w14:textId="77777777" w:rsidTr="00356610">
        <w:trPr>
          <w:trHeight w:val="395"/>
        </w:trPr>
        <w:tc>
          <w:tcPr>
            <w:tcW w:w="4500" w:type="dxa"/>
            <w:shd w:val="clear" w:color="auto" w:fill="E8E8E8"/>
          </w:tcPr>
          <w:p w14:paraId="541D69D3" w14:textId="6995ACBB" w:rsidR="007541EA" w:rsidRPr="00D30847" w:rsidRDefault="007541EA"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7F1B89" w:rsidRPr="00D30847">
              <w:rPr>
                <w:rFonts w:eastAsia="Times New Roman" w:cs="Calibri"/>
                <w:b/>
                <w:bCs/>
                <w:i/>
                <w:iCs/>
                <w:color w:val="202124"/>
                <w:sz w:val="20"/>
                <w:szCs w:val="20"/>
                <w:lang w:val="en-GB"/>
              </w:rPr>
              <w:t>3</w:t>
            </w:r>
          </w:p>
        </w:tc>
        <w:tc>
          <w:tcPr>
            <w:tcW w:w="4608" w:type="dxa"/>
            <w:shd w:val="clear" w:color="auto" w:fill="E8E8E8"/>
          </w:tcPr>
          <w:p w14:paraId="0771AC8E" w14:textId="2E106D15" w:rsidR="007541EA" w:rsidRPr="00D30847" w:rsidRDefault="007541EA"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7F1B89" w:rsidRPr="00D30847">
              <w:rPr>
                <w:rFonts w:eastAsia="Times New Roman" w:cs="Calibri"/>
                <w:b/>
                <w:bCs/>
                <w:i/>
                <w:iCs/>
                <w:color w:val="202124"/>
                <w:sz w:val="20"/>
                <w:szCs w:val="20"/>
                <w:lang w:val="en-GB"/>
              </w:rPr>
              <w:t>8</w:t>
            </w:r>
          </w:p>
        </w:tc>
      </w:tr>
      <w:tr w:rsidR="007541EA" w:rsidRPr="00D30847" w14:paraId="5D7CADBB" w14:textId="77777777" w:rsidTr="00356610">
        <w:trPr>
          <w:trHeight w:val="278"/>
        </w:trPr>
        <w:tc>
          <w:tcPr>
            <w:tcW w:w="4500" w:type="dxa"/>
            <w:shd w:val="clear" w:color="auto" w:fill="E8E8E8"/>
          </w:tcPr>
          <w:p w14:paraId="1B9A5ED4" w14:textId="47358EBA" w:rsidR="007541EA" w:rsidRPr="00D30847" w:rsidRDefault="007F1B89" w:rsidP="002B77A4">
            <w:pPr>
              <w:tabs>
                <w:tab w:val="left" w:pos="1365"/>
              </w:tabs>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19</w:t>
            </w:r>
            <w:r w:rsidR="00083A12" w:rsidRPr="00D30847">
              <w:rPr>
                <w:rFonts w:eastAsia="Times New Roman" w:cs="Calibri"/>
                <w:color w:val="202124"/>
                <w:sz w:val="20"/>
                <w:szCs w:val="20"/>
                <w:lang w:val="en-GB"/>
              </w:rPr>
              <w:t>%</w:t>
            </w:r>
          </w:p>
        </w:tc>
        <w:tc>
          <w:tcPr>
            <w:tcW w:w="4608" w:type="dxa"/>
            <w:shd w:val="clear" w:color="auto" w:fill="E8E8E8"/>
          </w:tcPr>
          <w:p w14:paraId="0C34B7D2" w14:textId="6CB15613" w:rsidR="007541EA" w:rsidRPr="00D30847" w:rsidRDefault="00083A1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18 %</w:t>
            </w:r>
          </w:p>
        </w:tc>
      </w:tr>
    </w:tbl>
    <w:p w14:paraId="67CC3186" w14:textId="77777777" w:rsidR="008023E8" w:rsidRPr="00D30847" w:rsidRDefault="008023E8" w:rsidP="00E84CD0">
      <w:pPr>
        <w:spacing w:after="0" w:line="240" w:lineRule="auto"/>
        <w:jc w:val="both"/>
        <w:rPr>
          <w:rFonts w:cs="Calibri"/>
          <w:b/>
          <w:color w:val="0070C0"/>
          <w:sz w:val="24"/>
          <w:szCs w:val="24"/>
          <w:lang w:val="en-GB"/>
        </w:rPr>
      </w:pPr>
    </w:p>
    <w:p w14:paraId="64A8700B" w14:textId="131426B1" w:rsidR="00B1410F" w:rsidRPr="00D30847" w:rsidRDefault="00B1410F" w:rsidP="00B1410F">
      <w:pPr>
        <w:spacing w:after="0" w:line="240" w:lineRule="auto"/>
        <w:jc w:val="both"/>
        <w:rPr>
          <w:rFonts w:cs="Calibri"/>
          <w:b/>
          <w:color w:val="0070C0"/>
          <w:sz w:val="24"/>
          <w:szCs w:val="24"/>
          <w:lang w:val="en-GB"/>
        </w:rPr>
      </w:pPr>
      <w:r w:rsidRPr="00D30847">
        <w:rPr>
          <w:rFonts w:cs="Calibri"/>
          <w:b/>
          <w:color w:val="0070C0"/>
          <w:sz w:val="24"/>
          <w:szCs w:val="24"/>
          <w:lang w:val="en-GB"/>
        </w:rPr>
        <w:t>Measure 1:</w:t>
      </w:r>
      <w:r w:rsidR="00D47668" w:rsidRPr="00D30847">
        <w:rPr>
          <w:rFonts w:cs="Calibri"/>
          <w:b/>
          <w:color w:val="0070C0"/>
          <w:sz w:val="24"/>
          <w:szCs w:val="24"/>
          <w:lang w:val="en-GB"/>
        </w:rPr>
        <w:t xml:space="preserve"> </w:t>
      </w:r>
      <w:r w:rsidRPr="00D30847">
        <w:rPr>
          <w:rFonts w:cs="Calibri"/>
          <w:b/>
          <w:color w:val="0070C0"/>
          <w:sz w:val="24"/>
          <w:szCs w:val="24"/>
          <w:lang w:val="en-GB"/>
        </w:rPr>
        <w:t>Improving the cooperation among the key institutions in the public procurement system</w:t>
      </w:r>
    </w:p>
    <w:p w14:paraId="675B2C3A" w14:textId="77777777" w:rsidR="006B1F2A" w:rsidRPr="00D30847" w:rsidRDefault="006B1F2A" w:rsidP="00E84CD0">
      <w:pPr>
        <w:spacing w:after="0" w:line="240" w:lineRule="auto"/>
        <w:jc w:val="both"/>
        <w:rPr>
          <w:rFonts w:cs="Calibri"/>
          <w:b/>
          <w:color w:val="0070C0"/>
          <w:sz w:val="24"/>
          <w:szCs w:val="24"/>
          <w:lang w:val="en-GB"/>
        </w:rPr>
      </w:pPr>
    </w:p>
    <w:p w14:paraId="2FBC9872" w14:textId="31C89042" w:rsidR="00522D07" w:rsidRPr="00D30847" w:rsidRDefault="00522D07" w:rsidP="006B1F2A">
      <w:pPr>
        <w:spacing w:after="0"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76530C9D" w14:textId="77777777" w:rsidR="00BD26BA" w:rsidRPr="00D30847" w:rsidRDefault="00BD26BA" w:rsidP="006B1F2A">
      <w:pPr>
        <w:spacing w:after="0" w:line="240" w:lineRule="auto"/>
        <w:jc w:val="both"/>
        <w:rPr>
          <w:rFonts w:eastAsia="MS PGothic" w:cs="Calibri"/>
          <w:b/>
          <w:bCs/>
          <w:i/>
          <w:iCs/>
          <w:color w:val="4F81BD"/>
          <w:sz w:val="10"/>
          <w:szCs w:val="10"/>
          <w:lang w:val="en-GB" w:eastAsia="zh-CN"/>
        </w:rPr>
      </w:pPr>
    </w:p>
    <w:p w14:paraId="2BF29A7C" w14:textId="7DF09A6C" w:rsidR="00B739E8" w:rsidRPr="00D30847" w:rsidRDefault="00B1410F" w:rsidP="00B1410F">
      <w:pPr>
        <w:spacing w:line="240" w:lineRule="auto"/>
        <w:jc w:val="both"/>
        <w:rPr>
          <w:rFonts w:cs="Calibri"/>
          <w:lang w:val="en-GB"/>
        </w:rPr>
      </w:pPr>
      <w:r w:rsidRPr="00D30847">
        <w:rPr>
          <w:rFonts w:cs="Calibri"/>
          <w:lang w:val="en-GB"/>
        </w:rPr>
        <w:t>Timely identification of gaps and weaknesses in the implementation of PPL, aiming to prevent irregularities and support duly and uniform implementation of the law.</w:t>
      </w:r>
    </w:p>
    <w:p w14:paraId="7AFEC51E" w14:textId="77777777" w:rsidR="002F500A" w:rsidRPr="00D30847" w:rsidRDefault="002F500A" w:rsidP="00CE2DF4">
      <w:pPr>
        <w:spacing w:line="240" w:lineRule="auto"/>
        <w:jc w:val="both"/>
        <w:rPr>
          <w:rFonts w:eastAsia="MS PGothic" w:cs="Calibri"/>
          <w:b/>
          <w:bCs/>
          <w:i/>
          <w:iCs/>
          <w:color w:val="4F81BD"/>
          <w:lang w:val="en-GB" w:eastAsia="zh-CN"/>
        </w:rPr>
      </w:pPr>
    </w:p>
    <w:p w14:paraId="4E164884" w14:textId="77777777" w:rsidR="002F500A" w:rsidRPr="00D30847" w:rsidRDefault="002F500A" w:rsidP="00CE2DF4">
      <w:pPr>
        <w:spacing w:line="240" w:lineRule="auto"/>
        <w:jc w:val="both"/>
        <w:rPr>
          <w:rFonts w:eastAsia="MS PGothic" w:cs="Calibri"/>
          <w:b/>
          <w:bCs/>
          <w:i/>
          <w:iCs/>
          <w:color w:val="4F81BD"/>
          <w:lang w:val="en-GB" w:eastAsia="zh-CN"/>
        </w:rPr>
      </w:pPr>
    </w:p>
    <w:p w14:paraId="2CC24A7B" w14:textId="77777777" w:rsidR="002F500A" w:rsidRPr="00D30847" w:rsidRDefault="002F500A" w:rsidP="00CE2DF4">
      <w:pPr>
        <w:spacing w:line="240" w:lineRule="auto"/>
        <w:jc w:val="both"/>
        <w:rPr>
          <w:rFonts w:eastAsia="MS PGothic" w:cs="Calibri"/>
          <w:b/>
          <w:bCs/>
          <w:i/>
          <w:iCs/>
          <w:color w:val="4F81BD"/>
          <w:lang w:val="en-GB" w:eastAsia="zh-CN"/>
        </w:rPr>
      </w:pPr>
    </w:p>
    <w:p w14:paraId="300E35AD" w14:textId="12A706F3" w:rsidR="003C20E4" w:rsidRPr="00D30847" w:rsidRDefault="00522D07" w:rsidP="00CE2DF4">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lastRenderedPageBreak/>
        <w:t xml:space="preserve">Reference to the external assessments findings: </w:t>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496"/>
        <w:gridCol w:w="7547"/>
      </w:tblGrid>
      <w:tr w:rsidR="00522D07" w:rsidRPr="00D30847" w14:paraId="767BB1BE" w14:textId="77777777" w:rsidTr="00E32BC1">
        <w:trPr>
          <w:trHeight w:val="1754"/>
        </w:trPr>
        <w:tc>
          <w:tcPr>
            <w:tcW w:w="1496" w:type="dxa"/>
            <w:shd w:val="clear" w:color="auto" w:fill="DDDDDD"/>
          </w:tcPr>
          <w:p w14:paraId="2C2DEE24" w14:textId="77777777" w:rsidR="00B7305C" w:rsidRPr="00D30847" w:rsidRDefault="00B7305C" w:rsidP="00B7305C">
            <w:pPr>
              <w:spacing w:after="0" w:line="240" w:lineRule="auto"/>
              <w:jc w:val="both"/>
              <w:rPr>
                <w:rFonts w:cs="Calibri"/>
                <w:b/>
                <w:sz w:val="20"/>
                <w:szCs w:val="20"/>
                <w:lang w:val="en-GB"/>
              </w:rPr>
            </w:pPr>
            <w:r w:rsidRPr="00D30847">
              <w:rPr>
                <w:rFonts w:cs="Calibri"/>
                <w:b/>
                <w:sz w:val="20"/>
                <w:szCs w:val="20"/>
                <w:lang w:val="en-GB"/>
              </w:rPr>
              <w:t>SCREENING REPORT,</w:t>
            </w:r>
          </w:p>
          <w:p w14:paraId="79159435" w14:textId="12F8E51B" w:rsidR="00B7305C" w:rsidRPr="00D30847" w:rsidRDefault="00B7305C" w:rsidP="00B7305C">
            <w:pPr>
              <w:spacing w:after="0" w:line="240" w:lineRule="auto"/>
              <w:rPr>
                <w:rFonts w:cs="Calibri"/>
                <w:b/>
                <w:sz w:val="20"/>
                <w:szCs w:val="20"/>
                <w:lang w:val="en-GB"/>
              </w:rPr>
            </w:pPr>
            <w:r w:rsidRPr="00D30847">
              <w:rPr>
                <w:rFonts w:cs="Calibri"/>
                <w:b/>
                <w:sz w:val="20"/>
                <w:szCs w:val="20"/>
                <w:lang w:val="en-GB"/>
              </w:rPr>
              <w:t xml:space="preserve">Cluster </w:t>
            </w:r>
            <w:r w:rsidR="00F50612" w:rsidRPr="00D30847">
              <w:rPr>
                <w:rFonts w:cs="Calibri"/>
                <w:b/>
                <w:sz w:val="20"/>
                <w:szCs w:val="20"/>
                <w:lang w:val="en-GB"/>
              </w:rPr>
              <w:t>1 Fundamentals</w:t>
            </w:r>
            <w:r w:rsidRPr="00D30847">
              <w:rPr>
                <w:rFonts w:cs="Calibri"/>
                <w:b/>
                <w:sz w:val="20"/>
                <w:szCs w:val="20"/>
                <w:lang w:val="en-GB"/>
              </w:rPr>
              <w:t>– Public procurement</w:t>
            </w:r>
          </w:p>
          <w:p w14:paraId="4BE3B57E" w14:textId="77777777" w:rsidR="00522D07" w:rsidRPr="00D30847" w:rsidRDefault="00B7305C" w:rsidP="00B7305C">
            <w:pPr>
              <w:spacing w:line="240" w:lineRule="auto"/>
              <w:jc w:val="both"/>
              <w:rPr>
                <w:rFonts w:cs="Calibri"/>
                <w:sz w:val="20"/>
                <w:szCs w:val="20"/>
                <w:lang w:val="en-GB"/>
              </w:rPr>
            </w:pPr>
            <w:r w:rsidRPr="00D30847">
              <w:rPr>
                <w:rFonts w:cs="Calibri"/>
                <w:b/>
                <w:sz w:val="20"/>
                <w:szCs w:val="20"/>
                <w:lang w:val="en-GB"/>
              </w:rPr>
              <w:t>2023</w:t>
            </w:r>
          </w:p>
        </w:tc>
        <w:tc>
          <w:tcPr>
            <w:tcW w:w="7547" w:type="dxa"/>
            <w:shd w:val="clear" w:color="auto" w:fill="DDDDDD"/>
          </w:tcPr>
          <w:p w14:paraId="74E93E49" w14:textId="77777777" w:rsidR="00B1410F" w:rsidRPr="00D30847" w:rsidRDefault="00B1410F" w:rsidP="00B1410F">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Coordination between government stakeholders needs to be strengthened further to improve compliance with and uniform application of the law.</w:t>
            </w:r>
          </w:p>
          <w:p w14:paraId="6A4BBC17" w14:textId="330771B4" w:rsidR="006B1F2A" w:rsidRPr="00D30847" w:rsidRDefault="00B1410F" w:rsidP="00B1410F">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The internal control systems within contracting authorities need to be strengthened as the first line of defence in terms of control procedures (see measures under Chapter 32), allowing the PPB to focus on its core tasks of policy guidance, support and monitoring of the functioning of the full PP system.</w:t>
            </w:r>
          </w:p>
        </w:tc>
      </w:tr>
      <w:tr w:rsidR="00522D07" w:rsidRPr="00D30847" w14:paraId="6C7E1EE0" w14:textId="77777777" w:rsidTr="00E32BC1">
        <w:trPr>
          <w:trHeight w:val="586"/>
        </w:trPr>
        <w:tc>
          <w:tcPr>
            <w:tcW w:w="1496" w:type="dxa"/>
            <w:shd w:val="clear" w:color="auto" w:fill="DDDDDD"/>
          </w:tcPr>
          <w:p w14:paraId="025EBBBD" w14:textId="050B2818" w:rsidR="00522D07" w:rsidRPr="00D30847" w:rsidRDefault="00B7305C" w:rsidP="00BD26BA">
            <w:pPr>
              <w:spacing w:after="0" w:line="240" w:lineRule="auto"/>
              <w:rPr>
                <w:rFonts w:cs="Calibri"/>
                <w:b/>
                <w:sz w:val="20"/>
                <w:szCs w:val="20"/>
                <w:lang w:val="en-GB"/>
              </w:rPr>
            </w:pPr>
            <w:r w:rsidRPr="00D30847">
              <w:rPr>
                <w:rFonts w:cs="Calibri"/>
                <w:b/>
                <w:sz w:val="20"/>
                <w:szCs w:val="20"/>
                <w:lang w:val="en-GB"/>
              </w:rPr>
              <w:t>EC</w:t>
            </w:r>
            <w:r w:rsidR="00BD26BA" w:rsidRPr="00D30847">
              <w:rPr>
                <w:rFonts w:cs="Calibri"/>
                <w:b/>
                <w:sz w:val="20"/>
                <w:szCs w:val="20"/>
                <w:lang w:val="en-GB"/>
              </w:rPr>
              <w:t xml:space="preserve"> </w:t>
            </w:r>
            <w:r w:rsidRPr="00D30847">
              <w:rPr>
                <w:rFonts w:cs="Calibri"/>
                <w:b/>
                <w:sz w:val="20"/>
                <w:szCs w:val="20"/>
                <w:lang w:val="en-GB"/>
              </w:rPr>
              <w:t>REPORT NORTH MACEDONIA 202</w:t>
            </w:r>
            <w:r w:rsidR="007F1B89" w:rsidRPr="00D30847">
              <w:rPr>
                <w:rFonts w:cs="Calibri"/>
                <w:b/>
                <w:sz w:val="20"/>
                <w:szCs w:val="20"/>
                <w:lang w:val="en-GB"/>
              </w:rPr>
              <w:t>4</w:t>
            </w:r>
          </w:p>
        </w:tc>
        <w:tc>
          <w:tcPr>
            <w:tcW w:w="7547" w:type="dxa"/>
            <w:shd w:val="clear" w:color="auto" w:fill="DDDDDD"/>
          </w:tcPr>
          <w:p w14:paraId="1CB35243" w14:textId="77777777" w:rsidR="007F1B89" w:rsidRPr="00D30847" w:rsidRDefault="007F1B89" w:rsidP="007F1B89">
            <w:pPr>
              <w:spacing w:after="0" w:line="240" w:lineRule="auto"/>
              <w:jc w:val="both"/>
              <w:rPr>
                <w:sz w:val="18"/>
                <w:szCs w:val="18"/>
                <w:lang w:val="en-GB"/>
              </w:rPr>
            </w:pPr>
            <w:r w:rsidRPr="00D30847">
              <w:rPr>
                <w:sz w:val="18"/>
                <w:szCs w:val="18"/>
                <w:lang w:val="en-GB"/>
              </w:rPr>
              <w:t xml:space="preserve">Improve coordination among key stakeholders to fight corruption and strengthen their capacities to implement the principles of transparency, free competition, equal treatment and non-discrimination. </w:t>
            </w:r>
          </w:p>
          <w:p w14:paraId="273D0F3B" w14:textId="640E454B" w:rsidR="00522D07" w:rsidRPr="00D30847" w:rsidRDefault="00522D07" w:rsidP="00BD26BA">
            <w:pPr>
              <w:spacing w:after="0" w:line="240" w:lineRule="auto"/>
              <w:jc w:val="both"/>
              <w:rPr>
                <w:rFonts w:eastAsia="Times New Roman" w:cs="Calibri"/>
                <w:color w:val="202124"/>
                <w:sz w:val="20"/>
                <w:szCs w:val="20"/>
                <w:lang w:val="en-GB"/>
              </w:rPr>
            </w:pPr>
          </w:p>
        </w:tc>
      </w:tr>
      <w:tr w:rsidR="00522D07" w:rsidRPr="00D30847" w14:paraId="2EF85710" w14:textId="77777777" w:rsidTr="00E32BC1">
        <w:tc>
          <w:tcPr>
            <w:tcW w:w="1496" w:type="dxa"/>
            <w:shd w:val="clear" w:color="auto" w:fill="DDDDDD"/>
          </w:tcPr>
          <w:p w14:paraId="3D736C6A" w14:textId="008925C0" w:rsidR="00522D07" w:rsidRPr="00D30847" w:rsidRDefault="00B7305C" w:rsidP="00E84CD0">
            <w:pPr>
              <w:spacing w:line="240" w:lineRule="auto"/>
              <w:jc w:val="both"/>
              <w:rPr>
                <w:rFonts w:cs="Calibri"/>
                <w:b/>
                <w:sz w:val="20"/>
                <w:szCs w:val="20"/>
                <w:lang w:val="en-GB"/>
              </w:rPr>
            </w:pPr>
            <w:r w:rsidRPr="00D30847">
              <w:rPr>
                <w:rFonts w:cs="Calibri"/>
                <w:b/>
                <w:sz w:val="20"/>
                <w:szCs w:val="20"/>
                <w:lang w:val="en-GB"/>
              </w:rPr>
              <w:t>SIGMA 2021</w:t>
            </w:r>
          </w:p>
        </w:tc>
        <w:tc>
          <w:tcPr>
            <w:tcW w:w="7547" w:type="dxa"/>
            <w:shd w:val="clear" w:color="auto" w:fill="DDDDDD"/>
          </w:tcPr>
          <w:p w14:paraId="6A981EFB" w14:textId="77777777" w:rsidR="00B1410F" w:rsidRPr="00D30847" w:rsidRDefault="00B1410F" w:rsidP="00B1410F">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Public procurement operations comply with the basic principles of equal treatment, non-discrimination, proportionality and transparency. However, the introduction of the new PPL in 2019 which is substantially compliant with the 2014 EU Directives and introduces flexibilities, has had minimal practical impact. Old habits have not changed and the levels of competition have not shown marked improvement. The continued extremely high number of awards based on the lowest price using e-auctions, and the limited use of centralised procurement means that the most efficient use of public funds is unlikely. Contract management remains a significant area for improvement.</w:t>
            </w:r>
          </w:p>
          <w:p w14:paraId="413BD21C" w14:textId="68E96A6F" w:rsidR="00522D07" w:rsidRPr="00D30847" w:rsidRDefault="00B1410F" w:rsidP="00B1410F">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There has been a decline in active co-operation among institutions to co-ordinate the interpretation of procurement legislation, contributing to uncertainty as to the application of the legal framework in practice.</w:t>
            </w:r>
          </w:p>
        </w:tc>
      </w:tr>
      <w:tr w:rsidR="00B7305C" w:rsidRPr="00D30847" w14:paraId="1D3745B0" w14:textId="77777777" w:rsidTr="00756293">
        <w:trPr>
          <w:trHeight w:val="863"/>
        </w:trPr>
        <w:tc>
          <w:tcPr>
            <w:tcW w:w="1496" w:type="dxa"/>
            <w:shd w:val="clear" w:color="auto" w:fill="DDDDDD"/>
          </w:tcPr>
          <w:p w14:paraId="4A598350" w14:textId="67A2CA2C" w:rsidR="00B7305C" w:rsidRPr="00D30847" w:rsidRDefault="00B7305C" w:rsidP="00B7305C">
            <w:pPr>
              <w:spacing w:line="240" w:lineRule="auto"/>
              <w:jc w:val="both"/>
              <w:rPr>
                <w:rFonts w:cs="Calibri"/>
                <w:b/>
                <w:sz w:val="20"/>
                <w:szCs w:val="20"/>
                <w:lang w:val="en-GB"/>
              </w:rPr>
            </w:pPr>
            <w:r w:rsidRPr="00D30847">
              <w:rPr>
                <w:rFonts w:cs="Calibri"/>
                <w:b/>
                <w:sz w:val="20"/>
                <w:szCs w:val="20"/>
                <w:lang w:val="en-GB"/>
              </w:rPr>
              <w:t>EU</w:t>
            </w:r>
          </w:p>
        </w:tc>
        <w:tc>
          <w:tcPr>
            <w:tcW w:w="7547" w:type="dxa"/>
            <w:shd w:val="clear" w:color="auto" w:fill="DDDDDD"/>
          </w:tcPr>
          <w:p w14:paraId="62F62900" w14:textId="77777777" w:rsidR="00B1410F" w:rsidRPr="00D30847" w:rsidRDefault="00B1410F" w:rsidP="00B1410F">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Improve the co-ordination among key players in public procurement and strengthen their capacities and independence to implement the principles of transparency, free competition, equal treatment and non-discrimination;</w:t>
            </w:r>
          </w:p>
          <w:p w14:paraId="5C7C0777" w14:textId="235704A5" w:rsidR="00B7305C" w:rsidRPr="00D30847" w:rsidRDefault="00B7305C" w:rsidP="00B1410F">
            <w:pPr>
              <w:spacing w:after="0" w:line="240" w:lineRule="auto"/>
              <w:jc w:val="both"/>
              <w:rPr>
                <w:rFonts w:eastAsia="Times New Roman" w:cs="Calibri"/>
                <w:color w:val="202124"/>
                <w:sz w:val="20"/>
                <w:szCs w:val="20"/>
                <w:lang w:val="en-GB"/>
              </w:rPr>
            </w:pPr>
          </w:p>
        </w:tc>
      </w:tr>
    </w:tbl>
    <w:p w14:paraId="6C79222A" w14:textId="77777777" w:rsidR="00522D07" w:rsidRPr="00D30847" w:rsidRDefault="00522D07"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Context / Background</w:t>
      </w:r>
    </w:p>
    <w:p w14:paraId="0AB7B39F" w14:textId="77777777" w:rsidR="00B1410F" w:rsidRPr="00D30847" w:rsidRDefault="00B1410F" w:rsidP="00B1410F">
      <w:pPr>
        <w:spacing w:line="240" w:lineRule="auto"/>
        <w:jc w:val="both"/>
        <w:rPr>
          <w:rFonts w:cs="Calibri"/>
          <w:lang w:val="en-GB"/>
        </w:rPr>
      </w:pPr>
      <w:r w:rsidRPr="00D30847">
        <w:rPr>
          <w:rFonts w:cs="Calibri"/>
          <w:lang w:val="en-GB"/>
        </w:rPr>
        <w:t xml:space="preserve">Cooperation among the key institutions in the public procurement system is regulated with the Advisory group. </w:t>
      </w:r>
    </w:p>
    <w:p w14:paraId="4472943B" w14:textId="1C312535" w:rsidR="00B1410F" w:rsidRPr="00D30847" w:rsidRDefault="00B1410F" w:rsidP="00B1410F">
      <w:pPr>
        <w:spacing w:line="240" w:lineRule="auto"/>
        <w:jc w:val="both"/>
        <w:rPr>
          <w:rFonts w:cs="Calibri"/>
          <w:lang w:val="en-GB"/>
        </w:rPr>
      </w:pPr>
      <w:r w:rsidRPr="00D30847">
        <w:rPr>
          <w:rFonts w:cs="Calibri"/>
          <w:lang w:val="en-GB"/>
        </w:rPr>
        <w:t xml:space="preserve">The Advisory group is already established and functional. It is composed by representatives of PPB, SAC, SAO, SCPC, CPC and </w:t>
      </w:r>
      <w:r w:rsidR="007F1B89" w:rsidRPr="00D30847">
        <w:rPr>
          <w:rFonts w:cs="Calibri"/>
          <w:lang w:val="en-GB"/>
        </w:rPr>
        <w:t>MEММR.</w:t>
      </w:r>
    </w:p>
    <w:p w14:paraId="7AAD817C" w14:textId="19ADD4D5" w:rsidR="00B1410F" w:rsidRPr="00D30847" w:rsidRDefault="00B1410F" w:rsidP="00B1410F">
      <w:pPr>
        <w:spacing w:line="240" w:lineRule="auto"/>
        <w:jc w:val="both"/>
        <w:rPr>
          <w:rFonts w:cs="Calibri"/>
          <w:lang w:val="en-GB"/>
        </w:rPr>
      </w:pPr>
      <w:r w:rsidRPr="00D30847">
        <w:rPr>
          <w:rFonts w:cs="Calibri"/>
          <w:lang w:val="en-GB"/>
        </w:rPr>
        <w:t>The intention is coordination and cooperation among the key institutions in the public procurement system on regular basis, which will enable timely identification of gaps and irregular implementation of LPP as well as preventing</w:t>
      </w:r>
      <w:r w:rsidR="00B730AD" w:rsidRPr="00D30847">
        <w:rPr>
          <w:rFonts w:cs="Calibri"/>
          <w:lang w:val="en-GB"/>
        </w:rPr>
        <w:t xml:space="preserve"> irregularities</w:t>
      </w:r>
      <w:r w:rsidRPr="00D30847">
        <w:rPr>
          <w:rFonts w:cs="Calibri"/>
          <w:lang w:val="en-GB"/>
        </w:rPr>
        <w:t>, and support for duly and uniform implementation of the law.</w:t>
      </w:r>
    </w:p>
    <w:p w14:paraId="4BA9BB16" w14:textId="77777777" w:rsidR="00B1410F" w:rsidRPr="00D30847" w:rsidRDefault="00B1410F" w:rsidP="00B1410F">
      <w:pPr>
        <w:keepNext/>
        <w:keepLines/>
        <w:spacing w:before="160" w:after="60" w:line="240" w:lineRule="auto"/>
        <w:jc w:val="both"/>
        <w:outlineLvl w:val="3"/>
        <w:rPr>
          <w:rFonts w:eastAsia="MS PGothic" w:cs="Calibri"/>
          <w:b/>
          <w:bCs/>
          <w:iCs/>
          <w:color w:val="0070C0"/>
          <w:lang w:val="en-GB" w:eastAsia="zh-CN"/>
        </w:rPr>
      </w:pPr>
      <w:r w:rsidRPr="00D30847">
        <w:rPr>
          <w:rFonts w:eastAsia="MS PGothic" w:cs="Calibri"/>
          <w:b/>
          <w:bCs/>
          <w:iCs/>
          <w:color w:val="0070C0"/>
          <w:lang w:val="en-GB" w:eastAsia="zh-CN"/>
        </w:rPr>
        <w:t xml:space="preserve">Activity 1: Regular communication and coordination of Advisory group of the key institutions in the procurement system </w:t>
      </w:r>
    </w:p>
    <w:p w14:paraId="1492A1C2" w14:textId="5C9EC5CB" w:rsidR="00B1410F" w:rsidRPr="00D30847" w:rsidRDefault="00B1410F" w:rsidP="00B1410F">
      <w:pPr>
        <w:spacing w:line="240" w:lineRule="auto"/>
        <w:jc w:val="both"/>
        <w:rPr>
          <w:rFonts w:cs="Calibri"/>
          <w:lang w:val="en-GB"/>
        </w:rPr>
      </w:pPr>
      <w:r w:rsidRPr="00D30847">
        <w:rPr>
          <w:rFonts w:cs="Calibri"/>
          <w:lang w:val="en-GB"/>
        </w:rPr>
        <w:t>Maintaining regular and quality cooperation and coordination for identification of gaps and irregular implementation of LPP and support for duly and uniform implementation of the law.</w:t>
      </w:r>
    </w:p>
    <w:p w14:paraId="5216D2FD" w14:textId="0F9792CD" w:rsidR="00B1410F" w:rsidRPr="00D30847" w:rsidRDefault="00B1410F" w:rsidP="00B1410F">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Implementation</w:t>
      </w:r>
    </w:p>
    <w:tbl>
      <w:tblPr>
        <w:tblW w:w="0" w:type="auto"/>
        <w:tblBorders>
          <w:insideH w:val="single" w:sz="4" w:space="0" w:color="FFFFFF"/>
        </w:tblBorders>
        <w:tblLayout w:type="fixed"/>
        <w:tblLook w:val="0080" w:firstRow="0" w:lastRow="0" w:firstColumn="1" w:lastColumn="0" w:noHBand="0" w:noVBand="0"/>
      </w:tblPr>
      <w:tblGrid>
        <w:gridCol w:w="3119"/>
        <w:gridCol w:w="5719"/>
      </w:tblGrid>
      <w:tr w:rsidR="00B1410F" w:rsidRPr="00D30847" w14:paraId="4C515B78" w14:textId="77777777" w:rsidTr="00E22978">
        <w:tc>
          <w:tcPr>
            <w:tcW w:w="3119" w:type="dxa"/>
            <w:tcBorders>
              <w:top w:val="nil"/>
              <w:bottom w:val="single" w:sz="4" w:space="0" w:color="FFFFFF"/>
            </w:tcBorders>
            <w:shd w:val="clear" w:color="auto" w:fill="002060"/>
          </w:tcPr>
          <w:p w14:paraId="0BA7984B" w14:textId="77777777" w:rsidR="00B1410F" w:rsidRPr="00D30847" w:rsidRDefault="00B1410F" w:rsidP="00241538">
            <w:pPr>
              <w:spacing w:line="240" w:lineRule="auto"/>
              <w:jc w:val="both"/>
              <w:rPr>
                <w:rFonts w:cs="Calibri"/>
                <w:b/>
                <w:sz w:val="20"/>
                <w:szCs w:val="20"/>
                <w:lang w:val="en-GB"/>
              </w:rPr>
            </w:pPr>
            <w:r w:rsidRPr="00D30847">
              <w:rPr>
                <w:rFonts w:cs="Calibri"/>
                <w:b/>
                <w:sz w:val="20"/>
                <w:szCs w:val="20"/>
                <w:lang w:val="en-GB"/>
              </w:rPr>
              <w:t>Completed in year:</w:t>
            </w:r>
            <w:r w:rsidRPr="00D30847">
              <w:rPr>
                <w:rFonts w:cs="Calibri"/>
                <w:b/>
                <w:sz w:val="20"/>
                <w:szCs w:val="20"/>
                <w:lang w:val="en-GB"/>
              </w:rPr>
              <w:tab/>
            </w:r>
          </w:p>
        </w:tc>
        <w:tc>
          <w:tcPr>
            <w:tcW w:w="5719" w:type="dxa"/>
            <w:tcBorders>
              <w:top w:val="nil"/>
              <w:bottom w:val="single" w:sz="4" w:space="0" w:color="FFFFFF"/>
            </w:tcBorders>
            <w:shd w:val="clear" w:color="auto" w:fill="D9E2F3"/>
          </w:tcPr>
          <w:p w14:paraId="378A3649" w14:textId="246D16B5" w:rsidR="00B1410F" w:rsidRPr="00D30847" w:rsidRDefault="00B1410F" w:rsidP="00241538">
            <w:pPr>
              <w:spacing w:line="240" w:lineRule="auto"/>
              <w:jc w:val="both"/>
              <w:rPr>
                <w:rFonts w:cs="Calibri"/>
                <w:sz w:val="20"/>
                <w:szCs w:val="20"/>
                <w:lang w:val="en-GB"/>
              </w:rPr>
            </w:pPr>
            <w:r w:rsidRPr="00D30847">
              <w:rPr>
                <w:rFonts w:eastAsia="Times New Roman" w:cs="Calibri"/>
                <w:color w:val="202124"/>
                <w:sz w:val="20"/>
                <w:szCs w:val="20"/>
                <w:lang w:val="en-GB"/>
              </w:rPr>
              <w:t>202</w:t>
            </w:r>
            <w:r w:rsidR="007F1B89" w:rsidRPr="00D30847">
              <w:rPr>
                <w:rFonts w:eastAsia="Times New Roman" w:cs="Calibri"/>
                <w:color w:val="202124"/>
                <w:sz w:val="20"/>
                <w:szCs w:val="20"/>
                <w:lang w:val="en-GB"/>
              </w:rPr>
              <w:t>8</w:t>
            </w:r>
          </w:p>
        </w:tc>
      </w:tr>
      <w:tr w:rsidR="00B1410F" w:rsidRPr="00D30847" w14:paraId="1536D258" w14:textId="77777777" w:rsidTr="00E22978">
        <w:trPr>
          <w:trHeight w:val="296"/>
        </w:trPr>
        <w:tc>
          <w:tcPr>
            <w:tcW w:w="3119" w:type="dxa"/>
            <w:tcBorders>
              <w:top w:val="single" w:sz="4" w:space="0" w:color="FFFFFF"/>
              <w:bottom w:val="single" w:sz="4" w:space="0" w:color="FFFFFF"/>
            </w:tcBorders>
            <w:shd w:val="clear" w:color="auto" w:fill="002060"/>
          </w:tcPr>
          <w:p w14:paraId="682EF956" w14:textId="77777777" w:rsidR="00B1410F" w:rsidRPr="00D30847" w:rsidRDefault="00B1410F" w:rsidP="00241538">
            <w:pPr>
              <w:spacing w:line="240" w:lineRule="auto"/>
              <w:jc w:val="both"/>
              <w:rPr>
                <w:rFonts w:cs="Calibri"/>
                <w:b/>
                <w:sz w:val="20"/>
                <w:szCs w:val="20"/>
                <w:lang w:val="en-GB"/>
              </w:rPr>
            </w:pPr>
            <w:r w:rsidRPr="00D30847">
              <w:rPr>
                <w:rFonts w:cs="Calibri"/>
                <w:b/>
                <w:sz w:val="20"/>
                <w:szCs w:val="20"/>
                <w:lang w:val="en-GB"/>
              </w:rPr>
              <w:t>Deliverables:</w:t>
            </w:r>
          </w:p>
        </w:tc>
        <w:tc>
          <w:tcPr>
            <w:tcW w:w="5719" w:type="dxa"/>
            <w:tcBorders>
              <w:top w:val="single" w:sz="4" w:space="0" w:color="FFFFFF"/>
              <w:bottom w:val="single" w:sz="4" w:space="0" w:color="FFFFFF"/>
            </w:tcBorders>
            <w:shd w:val="clear" w:color="auto" w:fill="D9E2F3"/>
          </w:tcPr>
          <w:p w14:paraId="09DA4286" w14:textId="221A43D3" w:rsidR="00B1410F" w:rsidRPr="00D30847" w:rsidRDefault="00B1410F" w:rsidP="004876E4">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Working meetings at regular basis</w:t>
            </w:r>
            <w:r w:rsidR="008B6B3B" w:rsidRPr="00D30847">
              <w:rPr>
                <w:rFonts w:eastAsia="Times New Roman" w:cs="Calibri"/>
                <w:color w:val="202124"/>
                <w:sz w:val="20"/>
                <w:szCs w:val="20"/>
                <w:lang w:val="en-GB"/>
              </w:rPr>
              <w:t>.</w:t>
            </w:r>
          </w:p>
        </w:tc>
      </w:tr>
      <w:tr w:rsidR="00B1410F" w:rsidRPr="00D30847" w14:paraId="3749F241" w14:textId="77777777" w:rsidTr="00E22978">
        <w:tc>
          <w:tcPr>
            <w:tcW w:w="3119" w:type="dxa"/>
            <w:tcBorders>
              <w:top w:val="single" w:sz="4" w:space="0" w:color="FFFFFF"/>
              <w:bottom w:val="single" w:sz="4" w:space="0" w:color="FFFFFF"/>
            </w:tcBorders>
            <w:shd w:val="clear" w:color="auto" w:fill="002060"/>
          </w:tcPr>
          <w:p w14:paraId="73302E44" w14:textId="77777777" w:rsidR="00B1410F" w:rsidRPr="00D30847" w:rsidRDefault="00B1410F" w:rsidP="00241538">
            <w:pPr>
              <w:spacing w:line="240" w:lineRule="auto"/>
              <w:jc w:val="both"/>
              <w:rPr>
                <w:rFonts w:cs="Calibri"/>
                <w:b/>
                <w:sz w:val="20"/>
                <w:szCs w:val="20"/>
                <w:lang w:val="en-GB"/>
              </w:rPr>
            </w:pPr>
            <w:r w:rsidRPr="00D30847">
              <w:rPr>
                <w:rFonts w:cs="Calibri"/>
                <w:b/>
                <w:sz w:val="20"/>
                <w:szCs w:val="20"/>
                <w:lang w:val="en-GB"/>
              </w:rPr>
              <w:t>Cost implications:</w:t>
            </w:r>
          </w:p>
        </w:tc>
        <w:tc>
          <w:tcPr>
            <w:tcW w:w="5719" w:type="dxa"/>
            <w:tcBorders>
              <w:top w:val="single" w:sz="4" w:space="0" w:color="FFFFFF"/>
              <w:bottom w:val="single" w:sz="4" w:space="0" w:color="FFFFFF"/>
            </w:tcBorders>
            <w:shd w:val="clear" w:color="auto" w:fill="D9E2F3"/>
          </w:tcPr>
          <w:p w14:paraId="1A6BDEAA" w14:textId="77777777" w:rsidR="00B1410F" w:rsidRPr="00D30847" w:rsidRDefault="00B1410F" w:rsidP="00241538">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w:t>
            </w:r>
          </w:p>
        </w:tc>
      </w:tr>
      <w:tr w:rsidR="00B1410F" w:rsidRPr="00D30847" w14:paraId="5782EFB7" w14:textId="77777777" w:rsidTr="00E22978">
        <w:tc>
          <w:tcPr>
            <w:tcW w:w="3119" w:type="dxa"/>
            <w:tcBorders>
              <w:top w:val="single" w:sz="4" w:space="0" w:color="FFFFFF"/>
              <w:bottom w:val="single" w:sz="4" w:space="0" w:color="FFFFFF"/>
            </w:tcBorders>
            <w:shd w:val="clear" w:color="auto" w:fill="002060"/>
          </w:tcPr>
          <w:p w14:paraId="2ADF80EE" w14:textId="77777777" w:rsidR="00B1410F" w:rsidRPr="00D30847" w:rsidRDefault="00B1410F" w:rsidP="00241538">
            <w:pPr>
              <w:spacing w:line="240" w:lineRule="auto"/>
              <w:jc w:val="both"/>
              <w:rPr>
                <w:rFonts w:cs="Calibri"/>
                <w:b/>
                <w:sz w:val="20"/>
                <w:szCs w:val="20"/>
                <w:lang w:val="en-GB"/>
              </w:rPr>
            </w:pPr>
            <w:r w:rsidRPr="00D30847">
              <w:rPr>
                <w:rFonts w:cs="Calibri"/>
                <w:b/>
                <w:sz w:val="20"/>
                <w:szCs w:val="20"/>
                <w:lang w:val="en-GB"/>
              </w:rPr>
              <w:t xml:space="preserve">Responsible entity: </w:t>
            </w:r>
          </w:p>
        </w:tc>
        <w:tc>
          <w:tcPr>
            <w:tcW w:w="5719" w:type="dxa"/>
            <w:tcBorders>
              <w:top w:val="single" w:sz="4" w:space="0" w:color="FFFFFF"/>
              <w:bottom w:val="single" w:sz="4" w:space="0" w:color="FFFFFF"/>
            </w:tcBorders>
            <w:shd w:val="clear" w:color="auto" w:fill="D9E2F3"/>
          </w:tcPr>
          <w:p w14:paraId="5B61F1B7" w14:textId="080CD6EE" w:rsidR="00B1410F" w:rsidRPr="00D30847" w:rsidRDefault="00B1410F" w:rsidP="00241538">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SAC, SAO, CPC, SCPC, M</w:t>
            </w:r>
            <w:r w:rsidR="007F1B89" w:rsidRPr="00D30847">
              <w:rPr>
                <w:rFonts w:eastAsia="Times New Roman" w:cs="Calibri"/>
                <w:color w:val="202124"/>
                <w:sz w:val="20"/>
                <w:szCs w:val="20"/>
                <w:lang w:val="en-GB"/>
              </w:rPr>
              <w:t>EMMR</w:t>
            </w:r>
          </w:p>
        </w:tc>
      </w:tr>
      <w:tr w:rsidR="00B1410F" w:rsidRPr="00D30847" w14:paraId="17CADD76" w14:textId="77777777" w:rsidTr="00E22978">
        <w:trPr>
          <w:trHeight w:val="503"/>
        </w:trPr>
        <w:tc>
          <w:tcPr>
            <w:tcW w:w="3119" w:type="dxa"/>
            <w:tcBorders>
              <w:top w:val="single" w:sz="4" w:space="0" w:color="FFFFFF"/>
              <w:bottom w:val="nil"/>
            </w:tcBorders>
            <w:shd w:val="clear" w:color="auto" w:fill="002060"/>
          </w:tcPr>
          <w:p w14:paraId="55333172" w14:textId="77777777" w:rsidR="00B1410F" w:rsidRPr="00D30847" w:rsidRDefault="00B1410F" w:rsidP="00241538">
            <w:pPr>
              <w:spacing w:line="240" w:lineRule="auto"/>
              <w:jc w:val="both"/>
              <w:rPr>
                <w:rFonts w:cs="Calibri"/>
                <w:b/>
                <w:sz w:val="20"/>
                <w:szCs w:val="20"/>
                <w:lang w:val="en-GB"/>
              </w:rPr>
            </w:pPr>
            <w:r w:rsidRPr="00D30847">
              <w:rPr>
                <w:rFonts w:cs="Calibri"/>
                <w:b/>
                <w:sz w:val="20"/>
                <w:szCs w:val="20"/>
                <w:lang w:val="en-GB"/>
              </w:rPr>
              <w:lastRenderedPageBreak/>
              <w:t>Risk:</w:t>
            </w:r>
          </w:p>
        </w:tc>
        <w:tc>
          <w:tcPr>
            <w:tcW w:w="5719" w:type="dxa"/>
            <w:tcBorders>
              <w:top w:val="single" w:sz="4" w:space="0" w:color="FFFFFF"/>
              <w:bottom w:val="nil"/>
            </w:tcBorders>
            <w:shd w:val="clear" w:color="auto" w:fill="D9E2F3"/>
          </w:tcPr>
          <w:p w14:paraId="4887AB7E" w14:textId="4AB11115" w:rsidR="00B1410F" w:rsidRPr="00D30847" w:rsidRDefault="00BA14A7" w:rsidP="00A30E6E">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 </w:t>
            </w:r>
            <w:r w:rsidR="00B1410F" w:rsidRPr="00D30847">
              <w:rPr>
                <w:rFonts w:eastAsia="Times New Roman" w:cs="Calibri"/>
                <w:color w:val="202124"/>
                <w:sz w:val="20"/>
                <w:szCs w:val="20"/>
                <w:lang w:val="en-GB"/>
              </w:rPr>
              <w:t>Inappropriate detecting of the weaknesses in the system and the issues for improvement</w:t>
            </w:r>
            <w:r w:rsidR="008B6B3B" w:rsidRPr="00D30847">
              <w:rPr>
                <w:rFonts w:eastAsia="Times New Roman" w:cs="Calibri"/>
                <w:color w:val="202124"/>
                <w:sz w:val="20"/>
                <w:szCs w:val="20"/>
                <w:lang w:val="en-GB"/>
              </w:rPr>
              <w:t>.</w:t>
            </w:r>
          </w:p>
        </w:tc>
      </w:tr>
    </w:tbl>
    <w:p w14:paraId="5C1779C6" w14:textId="77777777" w:rsidR="00B1410F" w:rsidRPr="00D30847" w:rsidRDefault="00B1410F" w:rsidP="00B1410F">
      <w:pPr>
        <w:spacing w:line="240" w:lineRule="auto"/>
        <w:jc w:val="both"/>
        <w:rPr>
          <w:rFonts w:cs="Calibri"/>
          <w:lang w:val="en-GB"/>
        </w:rPr>
      </w:pPr>
    </w:p>
    <w:p w14:paraId="5FD56B88" w14:textId="5593916C" w:rsidR="00537425" w:rsidRPr="00D30847" w:rsidRDefault="00A30E6E" w:rsidP="008023E8">
      <w:pPr>
        <w:keepNext/>
        <w:keepLines/>
        <w:spacing w:after="60" w:line="240" w:lineRule="auto"/>
        <w:jc w:val="both"/>
        <w:outlineLvl w:val="3"/>
        <w:rPr>
          <w:rFonts w:eastAsia="MS PGothic" w:cs="Calibri"/>
          <w:b/>
          <w:bCs/>
          <w:iCs/>
          <w:color w:val="0070C0"/>
          <w:lang w:val="en-GB" w:eastAsia="zh-CN"/>
        </w:rPr>
      </w:pPr>
      <w:r w:rsidRPr="00D30847">
        <w:rPr>
          <w:rFonts w:eastAsia="MS PGothic" w:cs="Calibri"/>
          <w:b/>
          <w:bCs/>
          <w:iCs/>
          <w:color w:val="0070C0"/>
          <w:lang w:val="en-GB" w:eastAsia="zh-CN"/>
        </w:rPr>
        <w:t>Measure</w:t>
      </w:r>
      <w:r w:rsidR="00522D07" w:rsidRPr="00D30847">
        <w:rPr>
          <w:rFonts w:eastAsia="MS PGothic" w:cs="Calibri"/>
          <w:b/>
          <w:bCs/>
          <w:iCs/>
          <w:color w:val="0070C0"/>
          <w:lang w:val="en-GB" w:eastAsia="zh-CN"/>
        </w:rPr>
        <w:t xml:space="preserve"> 2: </w:t>
      </w:r>
      <w:r w:rsidR="007F1B89" w:rsidRPr="00D30847">
        <w:rPr>
          <w:rFonts w:eastAsia="MS PGothic" w:cs="Calibri"/>
          <w:b/>
          <w:bCs/>
          <w:iCs/>
          <w:color w:val="0070C0"/>
          <w:lang w:val="en-GB" w:eastAsia="zh-CN"/>
        </w:rPr>
        <w:t xml:space="preserve">Improved </w:t>
      </w:r>
      <w:r w:rsidR="00D30847" w:rsidRPr="00D30847">
        <w:rPr>
          <w:rFonts w:eastAsia="MS PGothic" w:cs="Calibri"/>
          <w:b/>
          <w:bCs/>
          <w:iCs/>
          <w:color w:val="0070C0"/>
          <w:lang w:val="en-GB" w:eastAsia="zh-CN"/>
        </w:rPr>
        <w:t>implementation of</w:t>
      </w:r>
      <w:r w:rsidR="007F1B89" w:rsidRPr="00D30847">
        <w:rPr>
          <w:rFonts w:eastAsia="MS PGothic" w:cs="Calibri"/>
          <w:b/>
          <w:bCs/>
          <w:iCs/>
          <w:color w:val="0070C0"/>
          <w:lang w:val="en-GB" w:eastAsia="zh-CN"/>
        </w:rPr>
        <w:t xml:space="preserve"> the Law on Public Procurement</w:t>
      </w:r>
    </w:p>
    <w:p w14:paraId="45BA5B00" w14:textId="77777777" w:rsidR="00A30E6E" w:rsidRPr="00D30847" w:rsidRDefault="00A30E6E" w:rsidP="008023E8">
      <w:pPr>
        <w:keepNext/>
        <w:keepLines/>
        <w:spacing w:after="60" w:line="240" w:lineRule="auto"/>
        <w:jc w:val="both"/>
        <w:outlineLvl w:val="3"/>
        <w:rPr>
          <w:rFonts w:eastAsia="MS PGothic" w:cs="Calibri"/>
          <w:b/>
          <w:bCs/>
          <w:iCs/>
          <w:color w:val="0070C0"/>
          <w:sz w:val="10"/>
          <w:szCs w:val="10"/>
          <w:lang w:val="en-GB" w:eastAsia="zh-CN"/>
        </w:rPr>
      </w:pPr>
    </w:p>
    <w:p w14:paraId="0548EF1F" w14:textId="77777777" w:rsidR="00A30E6E" w:rsidRPr="00D30847" w:rsidRDefault="00A30E6E" w:rsidP="008023E8">
      <w:pPr>
        <w:spacing w:after="0"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5A0A213F" w14:textId="77777777" w:rsidR="00A30E6E" w:rsidRPr="00D30847" w:rsidRDefault="00A30E6E" w:rsidP="008023E8">
      <w:pPr>
        <w:spacing w:after="0" w:line="240" w:lineRule="auto"/>
        <w:jc w:val="both"/>
        <w:rPr>
          <w:rFonts w:eastAsia="MS PGothic" w:cs="Calibri"/>
          <w:b/>
          <w:bCs/>
          <w:i/>
          <w:iCs/>
          <w:color w:val="4F81BD"/>
          <w:sz w:val="10"/>
          <w:szCs w:val="10"/>
          <w:lang w:val="en-GB" w:eastAsia="zh-CN"/>
        </w:rPr>
      </w:pPr>
    </w:p>
    <w:p w14:paraId="51AA63CF" w14:textId="23023641" w:rsidR="00A30E6E" w:rsidRPr="00D30847" w:rsidRDefault="007F1B89" w:rsidP="008023E8">
      <w:pPr>
        <w:spacing w:line="240" w:lineRule="auto"/>
        <w:jc w:val="both"/>
        <w:rPr>
          <w:rFonts w:cs="Calibri"/>
          <w:bCs/>
          <w:lang w:val="en-GB"/>
        </w:rPr>
      </w:pPr>
      <w:r w:rsidRPr="00D30847">
        <w:rPr>
          <w:rFonts w:cs="Calibri"/>
          <w:bCs/>
          <w:lang w:val="en-GB"/>
        </w:rPr>
        <w:t xml:space="preserve">Utilization of the opportunities introduced by </w:t>
      </w:r>
      <w:r w:rsidR="002F500A" w:rsidRPr="00D30847">
        <w:rPr>
          <w:rFonts w:cs="Calibri"/>
          <w:bCs/>
          <w:lang w:val="en-GB"/>
        </w:rPr>
        <w:t>LPP aiming</w:t>
      </w:r>
      <w:r w:rsidRPr="00D30847">
        <w:rPr>
          <w:rFonts w:cs="Calibri"/>
          <w:bCs/>
          <w:lang w:val="en-GB"/>
        </w:rPr>
        <w:t xml:space="preserve"> to secure efficiency, economy and competitiveness in public procurement.</w:t>
      </w:r>
    </w:p>
    <w:p w14:paraId="55C0C269" w14:textId="6F8B3215" w:rsidR="00A30E6E" w:rsidRPr="00D30847" w:rsidRDefault="00A30E6E" w:rsidP="00A30E6E">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 xml:space="preserve">Reference to the external assessments findings: </w:t>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496"/>
        <w:gridCol w:w="7547"/>
      </w:tblGrid>
      <w:tr w:rsidR="00A30E6E" w:rsidRPr="00D30847" w14:paraId="398A0C67" w14:textId="77777777" w:rsidTr="00241538">
        <w:trPr>
          <w:trHeight w:val="586"/>
        </w:trPr>
        <w:tc>
          <w:tcPr>
            <w:tcW w:w="1496" w:type="dxa"/>
            <w:shd w:val="clear" w:color="auto" w:fill="DDDDDD"/>
          </w:tcPr>
          <w:p w14:paraId="773BC40F" w14:textId="77777777" w:rsidR="00A30E6E" w:rsidRPr="00D30847" w:rsidRDefault="00A30E6E" w:rsidP="00241538">
            <w:pPr>
              <w:spacing w:after="0" w:line="240" w:lineRule="auto"/>
              <w:jc w:val="both"/>
              <w:rPr>
                <w:rFonts w:cs="Calibri"/>
                <w:b/>
                <w:sz w:val="20"/>
                <w:szCs w:val="20"/>
                <w:lang w:val="en-GB"/>
              </w:rPr>
            </w:pPr>
            <w:r w:rsidRPr="00D30847">
              <w:rPr>
                <w:rFonts w:cs="Calibri"/>
                <w:b/>
                <w:sz w:val="20"/>
                <w:szCs w:val="20"/>
                <w:lang w:val="en-GB"/>
              </w:rPr>
              <w:t>SCREENING REPORT,</w:t>
            </w:r>
          </w:p>
          <w:p w14:paraId="4ADD5DB2" w14:textId="77777777" w:rsidR="00A30E6E" w:rsidRPr="00D30847" w:rsidRDefault="00A30E6E" w:rsidP="00241538">
            <w:pPr>
              <w:spacing w:after="0" w:line="240" w:lineRule="auto"/>
              <w:rPr>
                <w:rFonts w:cs="Calibri"/>
                <w:b/>
                <w:sz w:val="20"/>
                <w:szCs w:val="20"/>
                <w:lang w:val="en-GB"/>
              </w:rPr>
            </w:pPr>
            <w:r w:rsidRPr="00D30847">
              <w:rPr>
                <w:rFonts w:cs="Calibri"/>
                <w:b/>
                <w:sz w:val="20"/>
                <w:szCs w:val="20"/>
                <w:lang w:val="en-GB"/>
              </w:rPr>
              <w:t>Cluster 1 Fundamentals– Public procurement</w:t>
            </w:r>
          </w:p>
          <w:p w14:paraId="29606562" w14:textId="77777777" w:rsidR="00A30E6E" w:rsidRPr="00D30847" w:rsidRDefault="00A30E6E" w:rsidP="00241538">
            <w:pPr>
              <w:spacing w:line="240" w:lineRule="auto"/>
              <w:jc w:val="both"/>
              <w:rPr>
                <w:rFonts w:cs="Calibri"/>
                <w:sz w:val="20"/>
                <w:szCs w:val="20"/>
                <w:lang w:val="en-GB"/>
              </w:rPr>
            </w:pPr>
            <w:r w:rsidRPr="00D30847">
              <w:rPr>
                <w:rFonts w:cs="Calibri"/>
                <w:b/>
                <w:sz w:val="20"/>
                <w:szCs w:val="20"/>
                <w:lang w:val="en-GB"/>
              </w:rPr>
              <w:t>2023</w:t>
            </w:r>
          </w:p>
        </w:tc>
        <w:tc>
          <w:tcPr>
            <w:tcW w:w="7547" w:type="dxa"/>
            <w:shd w:val="clear" w:color="auto" w:fill="DDDDDD"/>
          </w:tcPr>
          <w:p w14:paraId="71E169E0" w14:textId="77777777" w:rsidR="007F1B89" w:rsidRPr="00D30847" w:rsidRDefault="007F1B89" w:rsidP="007F1B89">
            <w:pPr>
              <w:spacing w:after="120" w:line="240" w:lineRule="auto"/>
              <w:jc w:val="both"/>
              <w:rPr>
                <w:sz w:val="20"/>
                <w:szCs w:val="20"/>
                <w:lang w:val="en-GB"/>
              </w:rPr>
            </w:pPr>
            <w:r w:rsidRPr="00D30847">
              <w:rPr>
                <w:sz w:val="20"/>
                <w:szCs w:val="20"/>
                <w:lang w:val="en-GB"/>
              </w:rPr>
              <w:t xml:space="preserve">Further efforts are needed to improve the effective implementation of the 2019 PPL. The level of competition remains limited, as well as the use of MEAT award criterion. </w:t>
            </w:r>
          </w:p>
          <w:p w14:paraId="6FA79BE7" w14:textId="77777777" w:rsidR="007F1B89" w:rsidRPr="00D30847" w:rsidRDefault="007F1B89" w:rsidP="007F1B89">
            <w:pPr>
              <w:spacing w:after="120" w:line="240" w:lineRule="auto"/>
              <w:jc w:val="both"/>
              <w:rPr>
                <w:sz w:val="20"/>
                <w:szCs w:val="20"/>
                <w:lang w:val="en-GB"/>
              </w:rPr>
            </w:pPr>
            <w:r w:rsidRPr="00D30847">
              <w:rPr>
                <w:sz w:val="20"/>
                <w:szCs w:val="20"/>
                <w:lang w:val="en-GB"/>
              </w:rPr>
              <w:t>The high cancellation rate and the poor use of the e-market system for low value contracts demonstrates the need to further strengthen the capacities and build the confidence of the contracting authorities. Support to contracting authorities needs to be strengthened. The PPB needs to ensure that guidance - including manuals, model tender documents and contract–models – is comprehensive, up to date, aligned with the PPL, as well as pedagogical and practical.</w:t>
            </w:r>
          </w:p>
          <w:p w14:paraId="0BB4FE3C" w14:textId="65B9FAC5" w:rsidR="00A30E6E" w:rsidRPr="00D30847" w:rsidRDefault="007F1B89" w:rsidP="00241538">
            <w:pPr>
              <w:spacing w:after="0" w:line="240" w:lineRule="auto"/>
              <w:jc w:val="both"/>
              <w:rPr>
                <w:rFonts w:eastAsia="Times New Roman" w:cs="Calibri"/>
                <w:color w:val="202124"/>
                <w:sz w:val="20"/>
                <w:szCs w:val="20"/>
                <w:lang w:val="en-GB"/>
              </w:rPr>
            </w:pPr>
            <w:r w:rsidRPr="00D30847">
              <w:rPr>
                <w:sz w:val="20"/>
                <w:szCs w:val="20"/>
                <w:lang w:val="en-GB"/>
              </w:rPr>
              <w:t>Contracting authorities need support and training on implementing the PPL, in particular on the use of the MEAT criterion.</w:t>
            </w:r>
          </w:p>
        </w:tc>
      </w:tr>
      <w:tr w:rsidR="00A30E6E" w:rsidRPr="00D30847" w14:paraId="77D01925" w14:textId="77777777" w:rsidTr="00241538">
        <w:trPr>
          <w:trHeight w:val="586"/>
        </w:trPr>
        <w:tc>
          <w:tcPr>
            <w:tcW w:w="1496" w:type="dxa"/>
            <w:shd w:val="clear" w:color="auto" w:fill="DDDDDD"/>
          </w:tcPr>
          <w:p w14:paraId="000AA5A3" w14:textId="2AD6366D" w:rsidR="00A30E6E" w:rsidRPr="00D30847" w:rsidRDefault="00A30E6E" w:rsidP="00241538">
            <w:pPr>
              <w:spacing w:after="0" w:line="240" w:lineRule="auto"/>
              <w:rPr>
                <w:rFonts w:cs="Calibri"/>
                <w:b/>
                <w:sz w:val="20"/>
                <w:szCs w:val="20"/>
                <w:lang w:val="en-GB"/>
              </w:rPr>
            </w:pPr>
            <w:r w:rsidRPr="00D30847">
              <w:rPr>
                <w:rFonts w:cs="Calibri"/>
                <w:b/>
                <w:sz w:val="20"/>
                <w:szCs w:val="20"/>
                <w:lang w:val="en-GB"/>
              </w:rPr>
              <w:t>EC REPORT NORTH MACEDONIA 202</w:t>
            </w:r>
            <w:r w:rsidR="007F1B89" w:rsidRPr="00D30847">
              <w:rPr>
                <w:rFonts w:cs="Calibri"/>
                <w:b/>
                <w:sz w:val="20"/>
                <w:szCs w:val="20"/>
                <w:lang w:val="en-GB"/>
              </w:rPr>
              <w:t>4</w:t>
            </w:r>
          </w:p>
        </w:tc>
        <w:tc>
          <w:tcPr>
            <w:tcW w:w="7547" w:type="dxa"/>
            <w:shd w:val="clear" w:color="auto" w:fill="DDDDDD"/>
          </w:tcPr>
          <w:p w14:paraId="07156729" w14:textId="77777777" w:rsidR="007F1B89" w:rsidRPr="00D30847" w:rsidRDefault="007F1B89" w:rsidP="007F1B89">
            <w:pPr>
              <w:spacing w:before="120" w:after="120" w:line="240" w:lineRule="auto"/>
              <w:jc w:val="both"/>
              <w:rPr>
                <w:sz w:val="20"/>
                <w:szCs w:val="20"/>
                <w:lang w:val="en-GB"/>
              </w:rPr>
            </w:pPr>
            <w:r w:rsidRPr="00D30847">
              <w:rPr>
                <w:sz w:val="20"/>
                <w:szCs w:val="20"/>
                <w:lang w:val="en-GB"/>
              </w:rPr>
              <w:t xml:space="preserve">Competition in public procurement remains limited. </w:t>
            </w:r>
          </w:p>
          <w:p w14:paraId="5B2333C9" w14:textId="77777777" w:rsidR="007F1B89" w:rsidRPr="00D30847" w:rsidRDefault="007F1B89" w:rsidP="007F1B89">
            <w:pPr>
              <w:spacing w:before="120" w:after="120" w:line="240" w:lineRule="auto"/>
              <w:jc w:val="both"/>
              <w:rPr>
                <w:sz w:val="20"/>
                <w:szCs w:val="20"/>
                <w:lang w:val="en-GB"/>
              </w:rPr>
            </w:pPr>
            <w:r w:rsidRPr="00D30847">
              <w:rPr>
                <w:sz w:val="20"/>
                <w:szCs w:val="20"/>
                <w:lang w:val="en-GB"/>
              </w:rPr>
              <w:t xml:space="preserve">Despite the publication on the use of qualitative award criteria, the use of most economically advantageous tender (MEAT) as an award criterion is still limited. In 2023 only 1 336 procurement notices out of 24 005 procurement notices applied MEAT criteria (5.6%). In terms of value, only 9% of the tenders used MEAT criteria. Further training and guidelines on the application of MEAT needs to be organised. </w:t>
            </w:r>
          </w:p>
          <w:p w14:paraId="70868015" w14:textId="77777777" w:rsidR="007F1B89" w:rsidRPr="00D30847" w:rsidRDefault="007F1B89" w:rsidP="007F1B89">
            <w:pPr>
              <w:spacing w:before="120" w:after="120" w:line="240" w:lineRule="auto"/>
              <w:jc w:val="both"/>
              <w:rPr>
                <w:sz w:val="20"/>
                <w:szCs w:val="20"/>
                <w:highlight w:val="yellow"/>
                <w:lang w:val="en-GB"/>
              </w:rPr>
            </w:pPr>
            <w:r w:rsidRPr="00D30847">
              <w:rPr>
                <w:sz w:val="20"/>
                <w:szCs w:val="20"/>
                <w:lang w:val="en-GB"/>
              </w:rPr>
              <w:t>In 2023, a total of 258 low-value procurements were awarded through the E-market.</w:t>
            </w:r>
          </w:p>
          <w:p w14:paraId="33810601" w14:textId="5B80D634" w:rsidR="00A30E6E" w:rsidRPr="00D30847" w:rsidRDefault="00A30E6E" w:rsidP="00241538">
            <w:pPr>
              <w:spacing w:after="0" w:line="240" w:lineRule="auto"/>
              <w:jc w:val="both"/>
              <w:rPr>
                <w:rFonts w:eastAsia="Times New Roman" w:cs="Calibri"/>
                <w:color w:val="202124"/>
                <w:sz w:val="20"/>
                <w:szCs w:val="20"/>
                <w:lang w:val="en-GB"/>
              </w:rPr>
            </w:pPr>
          </w:p>
        </w:tc>
      </w:tr>
      <w:tr w:rsidR="00A30E6E" w:rsidRPr="00D30847" w14:paraId="745BFB41" w14:textId="77777777" w:rsidTr="00241538">
        <w:tc>
          <w:tcPr>
            <w:tcW w:w="1496" w:type="dxa"/>
            <w:shd w:val="clear" w:color="auto" w:fill="DDDDDD"/>
          </w:tcPr>
          <w:p w14:paraId="0561A48B" w14:textId="7913F790" w:rsidR="00A30E6E" w:rsidRPr="00D30847" w:rsidRDefault="00A30E6E" w:rsidP="00241538">
            <w:pPr>
              <w:spacing w:line="240" w:lineRule="auto"/>
              <w:jc w:val="both"/>
              <w:rPr>
                <w:rFonts w:cs="Calibri"/>
                <w:b/>
                <w:sz w:val="20"/>
                <w:szCs w:val="20"/>
                <w:lang w:val="en-GB"/>
              </w:rPr>
            </w:pPr>
            <w:r w:rsidRPr="00D30847">
              <w:rPr>
                <w:rFonts w:cs="Calibri"/>
                <w:b/>
                <w:sz w:val="20"/>
                <w:szCs w:val="20"/>
                <w:lang w:val="en-GB"/>
              </w:rPr>
              <w:t>SIGMA 2021</w:t>
            </w:r>
          </w:p>
        </w:tc>
        <w:tc>
          <w:tcPr>
            <w:tcW w:w="7547" w:type="dxa"/>
            <w:shd w:val="clear" w:color="auto" w:fill="DDDDDD"/>
          </w:tcPr>
          <w:p w14:paraId="1D80E19D" w14:textId="44805BB1" w:rsidR="00A30E6E" w:rsidRPr="00D30847" w:rsidRDefault="007F1B89" w:rsidP="00241538">
            <w:pPr>
              <w:spacing w:line="240" w:lineRule="auto"/>
              <w:jc w:val="both"/>
              <w:rPr>
                <w:rFonts w:eastAsia="Times New Roman" w:cs="Calibri"/>
                <w:color w:val="202124"/>
                <w:sz w:val="20"/>
                <w:szCs w:val="20"/>
                <w:lang w:val="en-GB"/>
              </w:rPr>
            </w:pPr>
            <w:r w:rsidRPr="00D30847">
              <w:rPr>
                <w:sz w:val="20"/>
                <w:szCs w:val="20"/>
                <w:lang w:val="en-GB"/>
              </w:rPr>
              <w:t>Under previous procurement legislation, there was a legal requirement to use the lowest-price award criterion in most circumstances (only a few exceptions were allowed). In 2018, for example, 99% of competitive procedures used the lowest-price criterion only. This was identified as a major weakness of the public procurement system in the 2017 and 2019 SIGMA monitoring reports, together with the mandatory use of e-auctions, as this is unlikely to ensure the economic, efficient and effective use of public funds. The PPL requires that the public contract be awarded on the basis of the most economically advantageous tender, in line with the 2014 EU Directives, and e-auctions are no longer mandatory. However, in practice, the lowest price remains the dominant criterion for award, used in 96% of the procurement procedures in 2020. Use of e-auctions also remains high, being applied in 92% of the procurement procedures in 2020.</w:t>
            </w:r>
          </w:p>
        </w:tc>
      </w:tr>
    </w:tbl>
    <w:p w14:paraId="4A0D31C9" w14:textId="77777777" w:rsidR="00A30E6E" w:rsidRPr="00D30847" w:rsidRDefault="00A30E6E" w:rsidP="00A30E6E">
      <w:pPr>
        <w:spacing w:line="240" w:lineRule="auto"/>
        <w:jc w:val="both"/>
        <w:rPr>
          <w:rFonts w:eastAsia="MS PGothic" w:cs="Calibri"/>
          <w:b/>
          <w:bCs/>
          <w:i/>
          <w:iCs/>
          <w:color w:val="4F81BD"/>
          <w:lang w:val="en-GB" w:eastAsia="zh-CN"/>
        </w:rPr>
      </w:pPr>
    </w:p>
    <w:p w14:paraId="2C6CAE4F" w14:textId="77777777" w:rsidR="00A30E6E" w:rsidRPr="00D30847" w:rsidRDefault="00A30E6E" w:rsidP="00A30E6E">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lastRenderedPageBreak/>
        <w:t>Context / Background</w:t>
      </w:r>
    </w:p>
    <w:p w14:paraId="34202DFB" w14:textId="11858902" w:rsidR="007F1B89" w:rsidRPr="00D30847" w:rsidRDefault="007F1B89" w:rsidP="007F1B89">
      <w:pPr>
        <w:keepNext/>
        <w:keepLines/>
        <w:spacing w:before="160" w:after="60" w:line="240" w:lineRule="auto"/>
        <w:jc w:val="both"/>
        <w:outlineLvl w:val="3"/>
        <w:rPr>
          <w:rFonts w:cs="Calibri"/>
          <w:lang w:val="en-GB"/>
        </w:rPr>
      </w:pPr>
      <w:r w:rsidRPr="00D30847">
        <w:rPr>
          <w:rFonts w:cs="Calibri"/>
          <w:lang w:val="en-GB"/>
        </w:rPr>
        <w:t xml:space="preserve">Although the Law on Public Procurement (24/19) introduced more possibilities in the implementation of LPP, including the optional use of e-auctions and the lowest price as </w:t>
      </w:r>
      <w:r w:rsidR="002F500A" w:rsidRPr="00D30847">
        <w:rPr>
          <w:rFonts w:cs="Calibri"/>
          <w:lang w:val="en-GB"/>
        </w:rPr>
        <w:t>an award criterion</w:t>
      </w:r>
      <w:r w:rsidRPr="00D30847">
        <w:rPr>
          <w:rFonts w:cs="Calibri"/>
          <w:lang w:val="en-GB"/>
        </w:rPr>
        <w:t xml:space="preserve">, their use in practice remains limited. The use of the E-market for low-value procurements, which is intended to enable efficient and swift </w:t>
      </w:r>
      <w:r w:rsidR="002F500A" w:rsidRPr="00D30847">
        <w:rPr>
          <w:rFonts w:cs="Calibri"/>
          <w:lang w:val="en-GB"/>
        </w:rPr>
        <w:t>fulfilment</w:t>
      </w:r>
      <w:r w:rsidRPr="00D30847">
        <w:rPr>
          <w:rFonts w:cs="Calibri"/>
          <w:lang w:val="en-GB"/>
        </w:rPr>
        <w:t xml:space="preserve"> of low-value needs with minimal resources, is also still limited. The Public Procurement Bureau will undertake various activities to support contracting authorities in utilizing the opportunities provided by the Law, aiming to secure efficiency, economy, and competitiveness in public procurement. </w:t>
      </w:r>
    </w:p>
    <w:p w14:paraId="39E94879" w14:textId="77777777" w:rsidR="007F1B89" w:rsidRPr="00D30847" w:rsidRDefault="007F1B89" w:rsidP="007F1B89">
      <w:pPr>
        <w:keepNext/>
        <w:keepLines/>
        <w:spacing w:before="160" w:after="60" w:line="240" w:lineRule="auto"/>
        <w:jc w:val="both"/>
        <w:outlineLvl w:val="3"/>
        <w:rPr>
          <w:rFonts w:eastAsia="MS PGothic" w:cs="Calibri"/>
          <w:b/>
          <w:bCs/>
          <w:iCs/>
          <w:color w:val="0070C0"/>
          <w:lang w:val="en-GB" w:eastAsia="zh-CN"/>
        </w:rPr>
      </w:pPr>
      <w:r w:rsidRPr="00D30847">
        <w:rPr>
          <w:rFonts w:eastAsia="MS PGothic" w:cs="Calibri"/>
          <w:b/>
          <w:bCs/>
          <w:iCs/>
          <w:color w:val="0070C0"/>
          <w:lang w:val="en-GB" w:eastAsia="zh-CN"/>
        </w:rPr>
        <w:t>Activity 1: Development of guides and tools for support of contracting authorities in improved implementation of the Law on Public Procurement.</w:t>
      </w:r>
    </w:p>
    <w:p w14:paraId="2A8E2F29" w14:textId="77777777" w:rsidR="007F1B89" w:rsidRPr="00D30847" w:rsidRDefault="007F1B89" w:rsidP="007F1B89">
      <w:pPr>
        <w:keepNext/>
        <w:keepLines/>
        <w:spacing w:before="160" w:after="60" w:line="240" w:lineRule="auto"/>
        <w:jc w:val="both"/>
        <w:outlineLvl w:val="3"/>
        <w:rPr>
          <w:rFonts w:cs="Calibri"/>
          <w:lang w:val="en-GB"/>
        </w:rPr>
      </w:pPr>
      <w:r w:rsidRPr="00D30847">
        <w:rPr>
          <w:rFonts w:cs="Calibri"/>
          <w:lang w:val="en-GB"/>
        </w:rPr>
        <w:t>In 2025, the PPB will undertake various activities to encourage and support contracting authorities in the improved implementation of the Law on Public Procurement regarding the use of e-auction, aiming to reduce its use. This activity should result in anticipating the risks related to e-auctions use, justified use of e-auctions and well-grounded choice of procedures which will include e-auctions.</w:t>
      </w:r>
    </w:p>
    <w:p w14:paraId="5CBFC4FA" w14:textId="46C4D42C" w:rsidR="00A30E6E" w:rsidRPr="00D30847" w:rsidRDefault="00A30E6E" w:rsidP="00A30E6E">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Implementation</w:t>
      </w:r>
    </w:p>
    <w:tbl>
      <w:tblPr>
        <w:tblW w:w="0" w:type="auto"/>
        <w:tblBorders>
          <w:insideH w:val="single" w:sz="4" w:space="0" w:color="FFFFFF"/>
        </w:tblBorders>
        <w:tblLayout w:type="fixed"/>
        <w:tblLook w:val="0080" w:firstRow="0" w:lastRow="0" w:firstColumn="1" w:lastColumn="0" w:noHBand="0" w:noVBand="0"/>
      </w:tblPr>
      <w:tblGrid>
        <w:gridCol w:w="3119"/>
        <w:gridCol w:w="5719"/>
      </w:tblGrid>
      <w:tr w:rsidR="00A30E6E" w:rsidRPr="00D30847" w14:paraId="59023A97" w14:textId="77777777" w:rsidTr="003A2F75">
        <w:trPr>
          <w:trHeight w:val="243"/>
        </w:trPr>
        <w:tc>
          <w:tcPr>
            <w:tcW w:w="3119" w:type="dxa"/>
            <w:tcBorders>
              <w:top w:val="nil"/>
              <w:bottom w:val="single" w:sz="4" w:space="0" w:color="FFFFFF"/>
            </w:tcBorders>
            <w:shd w:val="clear" w:color="auto" w:fill="002060"/>
          </w:tcPr>
          <w:p w14:paraId="4FE61B90" w14:textId="77777777" w:rsidR="00A30E6E" w:rsidRPr="00D30847" w:rsidRDefault="00A30E6E" w:rsidP="00A30E6E">
            <w:pPr>
              <w:spacing w:line="240" w:lineRule="auto"/>
              <w:jc w:val="both"/>
              <w:rPr>
                <w:rFonts w:cs="Calibri"/>
                <w:b/>
                <w:sz w:val="20"/>
                <w:szCs w:val="20"/>
                <w:lang w:val="en-GB"/>
              </w:rPr>
            </w:pPr>
            <w:r w:rsidRPr="00D30847">
              <w:rPr>
                <w:rFonts w:cs="Calibri"/>
                <w:b/>
                <w:sz w:val="20"/>
                <w:szCs w:val="20"/>
                <w:lang w:val="en-GB"/>
              </w:rPr>
              <w:t>Completed in year:</w:t>
            </w:r>
            <w:r w:rsidRPr="00D30847">
              <w:rPr>
                <w:rFonts w:cs="Calibri"/>
                <w:b/>
                <w:sz w:val="20"/>
                <w:szCs w:val="20"/>
                <w:lang w:val="en-GB"/>
              </w:rPr>
              <w:tab/>
            </w:r>
          </w:p>
        </w:tc>
        <w:tc>
          <w:tcPr>
            <w:tcW w:w="5719" w:type="dxa"/>
            <w:tcBorders>
              <w:top w:val="nil"/>
              <w:bottom w:val="single" w:sz="4" w:space="0" w:color="FFFFFF"/>
            </w:tcBorders>
            <w:shd w:val="clear" w:color="auto" w:fill="D9E2F3"/>
          </w:tcPr>
          <w:p w14:paraId="49BC547E" w14:textId="6845B5E8" w:rsidR="00A30E6E" w:rsidRPr="00D30847" w:rsidRDefault="00A30E6E" w:rsidP="00A30E6E">
            <w:pPr>
              <w:spacing w:line="240" w:lineRule="auto"/>
              <w:jc w:val="both"/>
              <w:rPr>
                <w:rFonts w:cs="Calibri"/>
                <w:sz w:val="20"/>
                <w:szCs w:val="20"/>
                <w:lang w:val="en-GB"/>
              </w:rPr>
            </w:pPr>
            <w:r w:rsidRPr="00D30847">
              <w:rPr>
                <w:rFonts w:eastAsia="Times New Roman" w:cs="Calibri"/>
                <w:color w:val="202124"/>
                <w:sz w:val="20"/>
                <w:szCs w:val="20"/>
                <w:lang w:val="en-GB"/>
              </w:rPr>
              <w:t>202</w:t>
            </w:r>
            <w:r w:rsidR="007F1B89" w:rsidRPr="00D30847">
              <w:rPr>
                <w:rFonts w:eastAsia="Times New Roman" w:cs="Calibri"/>
                <w:color w:val="202124"/>
                <w:sz w:val="20"/>
                <w:szCs w:val="20"/>
                <w:lang w:val="en-GB"/>
              </w:rPr>
              <w:t>5</w:t>
            </w:r>
          </w:p>
        </w:tc>
      </w:tr>
      <w:tr w:rsidR="00A30E6E" w:rsidRPr="00D30847" w14:paraId="42592415" w14:textId="77777777" w:rsidTr="003A2F75">
        <w:trPr>
          <w:trHeight w:val="332"/>
        </w:trPr>
        <w:tc>
          <w:tcPr>
            <w:tcW w:w="3119" w:type="dxa"/>
            <w:tcBorders>
              <w:top w:val="single" w:sz="4" w:space="0" w:color="FFFFFF"/>
              <w:bottom w:val="single" w:sz="4" w:space="0" w:color="FFFFFF"/>
            </w:tcBorders>
            <w:shd w:val="clear" w:color="auto" w:fill="002060"/>
          </w:tcPr>
          <w:p w14:paraId="458EA45F" w14:textId="77777777" w:rsidR="00A30E6E" w:rsidRPr="00D30847" w:rsidRDefault="00A30E6E" w:rsidP="00A30E6E">
            <w:pPr>
              <w:spacing w:line="240" w:lineRule="auto"/>
              <w:jc w:val="both"/>
              <w:rPr>
                <w:rFonts w:cs="Calibri"/>
                <w:b/>
                <w:sz w:val="20"/>
                <w:szCs w:val="20"/>
                <w:lang w:val="en-GB"/>
              </w:rPr>
            </w:pPr>
            <w:r w:rsidRPr="00D30847">
              <w:rPr>
                <w:rFonts w:cs="Calibri"/>
                <w:b/>
                <w:sz w:val="20"/>
                <w:szCs w:val="20"/>
                <w:lang w:val="en-GB"/>
              </w:rPr>
              <w:t>Deliverables:</w:t>
            </w:r>
          </w:p>
        </w:tc>
        <w:tc>
          <w:tcPr>
            <w:tcW w:w="5719" w:type="dxa"/>
            <w:tcBorders>
              <w:top w:val="single" w:sz="4" w:space="0" w:color="FFFFFF"/>
              <w:bottom w:val="single" w:sz="4" w:space="0" w:color="FFFFFF"/>
            </w:tcBorders>
            <w:shd w:val="clear" w:color="auto" w:fill="D9E2F3"/>
          </w:tcPr>
          <w:p w14:paraId="58EFB47E" w14:textId="77777777" w:rsidR="007F1B89" w:rsidRPr="00D30847" w:rsidRDefault="007F1B89" w:rsidP="007F1B89">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Prepared Action Plan for the implementation of activities aimed at reducing the use of e-auctions in 2025;</w:t>
            </w:r>
          </w:p>
          <w:p w14:paraId="0C44B179" w14:textId="55607FF0" w:rsidR="00A30E6E" w:rsidRPr="00D30847" w:rsidRDefault="007F1B89" w:rsidP="007F1B89">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Prepared Information for the Government of the Republic of North Macedonia (</w:t>
            </w:r>
            <w:proofErr w:type="spellStart"/>
            <w:r w:rsidRPr="00D30847">
              <w:rPr>
                <w:rFonts w:eastAsia="Times New Roman" w:cs="Calibri"/>
                <w:color w:val="202124"/>
                <w:sz w:val="20"/>
                <w:szCs w:val="20"/>
                <w:lang w:val="en-GB"/>
              </w:rPr>
              <w:t>GoRNM</w:t>
            </w:r>
            <w:proofErr w:type="spellEnd"/>
            <w:r w:rsidRPr="00D30847">
              <w:rPr>
                <w:rFonts w:eastAsia="Times New Roman" w:cs="Calibri"/>
                <w:color w:val="202124"/>
                <w:sz w:val="20"/>
                <w:szCs w:val="20"/>
                <w:lang w:val="en-GB"/>
              </w:rPr>
              <w:t>) on the requirement for reducing the use of e-auctions, with draft recommendations.</w:t>
            </w:r>
          </w:p>
        </w:tc>
      </w:tr>
      <w:tr w:rsidR="00A30E6E" w:rsidRPr="00D30847" w14:paraId="22DD844E" w14:textId="77777777" w:rsidTr="003A2F75">
        <w:trPr>
          <w:trHeight w:val="341"/>
        </w:trPr>
        <w:tc>
          <w:tcPr>
            <w:tcW w:w="3119" w:type="dxa"/>
            <w:tcBorders>
              <w:top w:val="single" w:sz="4" w:space="0" w:color="FFFFFF"/>
              <w:bottom w:val="single" w:sz="4" w:space="0" w:color="FFFFFF"/>
            </w:tcBorders>
            <w:shd w:val="clear" w:color="auto" w:fill="002060"/>
          </w:tcPr>
          <w:p w14:paraId="70CA0B26" w14:textId="77777777" w:rsidR="00A30E6E" w:rsidRPr="00D30847" w:rsidRDefault="00A30E6E" w:rsidP="00A30E6E">
            <w:pPr>
              <w:spacing w:line="240" w:lineRule="auto"/>
              <w:jc w:val="both"/>
              <w:rPr>
                <w:rFonts w:cs="Calibri"/>
                <w:b/>
                <w:sz w:val="20"/>
                <w:szCs w:val="20"/>
                <w:lang w:val="en-GB"/>
              </w:rPr>
            </w:pPr>
            <w:r w:rsidRPr="00D30847">
              <w:rPr>
                <w:rFonts w:cs="Calibri"/>
                <w:b/>
                <w:sz w:val="20"/>
                <w:szCs w:val="20"/>
                <w:lang w:val="en-GB"/>
              </w:rPr>
              <w:t>Cost implications:</w:t>
            </w:r>
          </w:p>
        </w:tc>
        <w:tc>
          <w:tcPr>
            <w:tcW w:w="5719" w:type="dxa"/>
            <w:tcBorders>
              <w:top w:val="single" w:sz="4" w:space="0" w:color="FFFFFF"/>
              <w:bottom w:val="single" w:sz="4" w:space="0" w:color="FFFFFF"/>
            </w:tcBorders>
            <w:shd w:val="clear" w:color="auto" w:fill="D9E2F3"/>
          </w:tcPr>
          <w:p w14:paraId="121AA2A0" w14:textId="77777777" w:rsidR="00A30E6E" w:rsidRPr="00D30847" w:rsidRDefault="00A30E6E" w:rsidP="00A30E6E">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w:t>
            </w:r>
          </w:p>
        </w:tc>
      </w:tr>
      <w:tr w:rsidR="00A30E6E" w:rsidRPr="00D30847" w14:paraId="014168B1" w14:textId="77777777" w:rsidTr="003A2F75">
        <w:trPr>
          <w:trHeight w:val="323"/>
        </w:trPr>
        <w:tc>
          <w:tcPr>
            <w:tcW w:w="3119" w:type="dxa"/>
            <w:tcBorders>
              <w:top w:val="single" w:sz="4" w:space="0" w:color="FFFFFF"/>
              <w:bottom w:val="single" w:sz="4" w:space="0" w:color="FFFFFF"/>
            </w:tcBorders>
            <w:shd w:val="clear" w:color="auto" w:fill="002060"/>
          </w:tcPr>
          <w:p w14:paraId="2729764F" w14:textId="77777777" w:rsidR="00A30E6E" w:rsidRPr="00D30847" w:rsidRDefault="00A30E6E" w:rsidP="00A30E6E">
            <w:pPr>
              <w:spacing w:line="240" w:lineRule="auto"/>
              <w:jc w:val="both"/>
              <w:rPr>
                <w:rFonts w:cs="Calibri"/>
                <w:b/>
                <w:sz w:val="20"/>
                <w:szCs w:val="20"/>
                <w:lang w:val="en-GB"/>
              </w:rPr>
            </w:pPr>
            <w:r w:rsidRPr="00D30847">
              <w:rPr>
                <w:rFonts w:cs="Calibri"/>
                <w:b/>
                <w:sz w:val="20"/>
                <w:szCs w:val="20"/>
                <w:lang w:val="en-GB"/>
              </w:rPr>
              <w:t xml:space="preserve">Responsible entity: </w:t>
            </w:r>
          </w:p>
        </w:tc>
        <w:tc>
          <w:tcPr>
            <w:tcW w:w="5719" w:type="dxa"/>
            <w:tcBorders>
              <w:top w:val="single" w:sz="4" w:space="0" w:color="FFFFFF"/>
              <w:bottom w:val="single" w:sz="4" w:space="0" w:color="FFFFFF"/>
            </w:tcBorders>
            <w:shd w:val="clear" w:color="auto" w:fill="D9E2F3"/>
          </w:tcPr>
          <w:p w14:paraId="7CAC8398" w14:textId="72190149" w:rsidR="00A30E6E" w:rsidRPr="00D30847" w:rsidRDefault="007F1B89" w:rsidP="00A30E6E">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PPB, </w:t>
            </w:r>
            <w:proofErr w:type="spellStart"/>
            <w:r w:rsidRPr="00D30847">
              <w:rPr>
                <w:rFonts w:eastAsia="Times New Roman" w:cs="Calibri"/>
                <w:color w:val="202124"/>
                <w:sz w:val="20"/>
                <w:szCs w:val="20"/>
                <w:lang w:val="en-GB"/>
              </w:rPr>
              <w:t>GoRNM</w:t>
            </w:r>
            <w:proofErr w:type="spellEnd"/>
            <w:r w:rsidRPr="00D30847" w:rsidDel="009469AA">
              <w:rPr>
                <w:rFonts w:eastAsia="Times New Roman" w:cs="Calibri"/>
                <w:color w:val="202124"/>
                <w:sz w:val="20"/>
                <w:szCs w:val="20"/>
                <w:lang w:val="en-GB"/>
              </w:rPr>
              <w:t xml:space="preserve"> </w:t>
            </w:r>
            <w:r w:rsidRPr="00D30847">
              <w:rPr>
                <w:rFonts w:eastAsia="Times New Roman" w:cs="Calibri"/>
                <w:color w:val="202124"/>
                <w:sz w:val="20"/>
                <w:szCs w:val="20"/>
                <w:lang w:val="en-GB"/>
              </w:rPr>
              <w:t xml:space="preserve"> </w:t>
            </w:r>
          </w:p>
        </w:tc>
      </w:tr>
      <w:tr w:rsidR="00A30E6E" w:rsidRPr="00D30847" w14:paraId="24FAE6A3" w14:textId="77777777" w:rsidTr="003A2F75">
        <w:trPr>
          <w:trHeight w:val="323"/>
        </w:trPr>
        <w:tc>
          <w:tcPr>
            <w:tcW w:w="3119" w:type="dxa"/>
            <w:tcBorders>
              <w:top w:val="single" w:sz="4" w:space="0" w:color="FFFFFF"/>
              <w:bottom w:val="nil"/>
            </w:tcBorders>
            <w:shd w:val="clear" w:color="auto" w:fill="002060"/>
          </w:tcPr>
          <w:p w14:paraId="4559F530" w14:textId="77777777" w:rsidR="00A30E6E" w:rsidRPr="00D30847" w:rsidRDefault="00A30E6E" w:rsidP="00A30E6E">
            <w:pPr>
              <w:spacing w:line="240" w:lineRule="auto"/>
              <w:jc w:val="both"/>
              <w:rPr>
                <w:rFonts w:cs="Calibri"/>
                <w:b/>
                <w:sz w:val="20"/>
                <w:szCs w:val="20"/>
                <w:lang w:val="en-GB"/>
              </w:rPr>
            </w:pPr>
            <w:r w:rsidRPr="00D30847">
              <w:rPr>
                <w:rFonts w:cs="Calibri"/>
                <w:b/>
                <w:sz w:val="20"/>
                <w:szCs w:val="20"/>
                <w:lang w:val="en-GB"/>
              </w:rPr>
              <w:t>Risk:</w:t>
            </w:r>
          </w:p>
        </w:tc>
        <w:tc>
          <w:tcPr>
            <w:tcW w:w="5719" w:type="dxa"/>
            <w:tcBorders>
              <w:top w:val="single" w:sz="4" w:space="0" w:color="FFFFFF"/>
              <w:bottom w:val="nil"/>
            </w:tcBorders>
            <w:shd w:val="clear" w:color="auto" w:fill="D9E2F3"/>
          </w:tcPr>
          <w:p w14:paraId="272016B2" w14:textId="44534B53" w:rsidR="00A30E6E" w:rsidRPr="00D30847" w:rsidRDefault="007F1B89" w:rsidP="00A30E6E">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 Insufficient awareness among contracting authorities, resistance to change established practices in the implementation of the Public Procurement Law.</w:t>
            </w:r>
          </w:p>
          <w:p w14:paraId="15136AF5" w14:textId="77777777" w:rsidR="00A30E6E" w:rsidRPr="00D30847" w:rsidRDefault="00A30E6E" w:rsidP="00A30E6E">
            <w:pPr>
              <w:spacing w:after="0" w:line="240" w:lineRule="auto"/>
              <w:ind w:left="425"/>
              <w:jc w:val="both"/>
              <w:rPr>
                <w:rFonts w:eastAsia="Times New Roman" w:cs="Calibri"/>
                <w:color w:val="202124"/>
                <w:sz w:val="20"/>
                <w:szCs w:val="20"/>
                <w:lang w:val="en-GB"/>
              </w:rPr>
            </w:pPr>
          </w:p>
        </w:tc>
      </w:tr>
    </w:tbl>
    <w:p w14:paraId="0996114D" w14:textId="77777777" w:rsidR="00762D49" w:rsidRPr="00D30847" w:rsidRDefault="00762D49" w:rsidP="00A30E6E">
      <w:pPr>
        <w:keepNext/>
        <w:keepLines/>
        <w:spacing w:before="160" w:after="60" w:line="240" w:lineRule="auto"/>
        <w:jc w:val="both"/>
        <w:outlineLvl w:val="3"/>
        <w:rPr>
          <w:rFonts w:cs="Calibri"/>
          <w:lang w:val="en-GB"/>
        </w:rPr>
      </w:pPr>
    </w:p>
    <w:p w14:paraId="34457536" w14:textId="16A7CAF5" w:rsidR="00A30E6E" w:rsidRPr="00D30847" w:rsidRDefault="00A30E6E" w:rsidP="008023E8">
      <w:pPr>
        <w:spacing w:line="240" w:lineRule="auto"/>
        <w:jc w:val="both"/>
        <w:rPr>
          <w:rFonts w:cs="Calibri"/>
          <w:b/>
          <w:color w:val="0070C0"/>
          <w:sz w:val="24"/>
          <w:szCs w:val="24"/>
          <w:lang w:val="en-GB"/>
        </w:rPr>
      </w:pPr>
      <w:r w:rsidRPr="00D30847">
        <w:rPr>
          <w:rFonts w:cs="Calibri"/>
          <w:b/>
          <w:color w:val="0070C0"/>
          <w:sz w:val="24"/>
          <w:szCs w:val="24"/>
          <w:lang w:val="en-GB"/>
        </w:rPr>
        <w:t>Measure 3: Introducing new system for education within PPB</w:t>
      </w:r>
    </w:p>
    <w:p w14:paraId="31ADF8C3" w14:textId="06EE10DE" w:rsidR="00A30E6E" w:rsidRPr="00D30847" w:rsidRDefault="00A30E6E" w:rsidP="008023E8">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7A2D2821" w14:textId="77777777" w:rsidR="00A30E6E" w:rsidRPr="00D30847" w:rsidRDefault="00A30E6E" w:rsidP="008023E8">
      <w:pPr>
        <w:spacing w:line="240" w:lineRule="auto"/>
        <w:jc w:val="both"/>
        <w:rPr>
          <w:rFonts w:cs="Calibri"/>
          <w:lang w:val="en-GB"/>
        </w:rPr>
      </w:pPr>
      <w:r w:rsidRPr="00D30847">
        <w:rPr>
          <w:rFonts w:cs="Calibri"/>
          <w:bCs/>
          <w:lang w:val="en-GB"/>
        </w:rPr>
        <w:t>Improve the knowledge and skills of public procurement officers.</w:t>
      </w:r>
    </w:p>
    <w:p w14:paraId="26C38E35" w14:textId="77777777" w:rsidR="00A30E6E" w:rsidRPr="00D30847" w:rsidRDefault="00A30E6E" w:rsidP="008023E8">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 xml:space="preserve">Reference to the external assessments findings: </w:t>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496"/>
        <w:gridCol w:w="7547"/>
      </w:tblGrid>
      <w:tr w:rsidR="00A30E6E" w:rsidRPr="00D30847" w14:paraId="1E689395" w14:textId="77777777" w:rsidTr="00241538">
        <w:trPr>
          <w:trHeight w:val="586"/>
        </w:trPr>
        <w:tc>
          <w:tcPr>
            <w:tcW w:w="1470" w:type="dxa"/>
            <w:shd w:val="clear" w:color="auto" w:fill="DDDDDD"/>
          </w:tcPr>
          <w:p w14:paraId="7800AD5D" w14:textId="77777777" w:rsidR="00A30E6E" w:rsidRPr="00D30847" w:rsidRDefault="00A30E6E" w:rsidP="00A30E6E">
            <w:pPr>
              <w:spacing w:after="0" w:line="240" w:lineRule="auto"/>
              <w:jc w:val="both"/>
              <w:rPr>
                <w:rFonts w:cs="Calibri"/>
                <w:b/>
                <w:sz w:val="20"/>
                <w:szCs w:val="20"/>
                <w:lang w:val="en-GB"/>
              </w:rPr>
            </w:pPr>
            <w:r w:rsidRPr="00D30847">
              <w:rPr>
                <w:rFonts w:cs="Calibri"/>
                <w:b/>
                <w:sz w:val="20"/>
                <w:szCs w:val="20"/>
                <w:lang w:val="en-GB"/>
              </w:rPr>
              <w:t>SCREENING REPORT,</w:t>
            </w:r>
          </w:p>
          <w:p w14:paraId="4D07C1CB" w14:textId="77777777" w:rsidR="00A30E6E" w:rsidRPr="00D30847" w:rsidRDefault="00A30E6E" w:rsidP="00A30E6E">
            <w:pPr>
              <w:spacing w:after="0" w:line="240" w:lineRule="auto"/>
              <w:rPr>
                <w:rFonts w:cs="Calibri"/>
                <w:b/>
                <w:sz w:val="20"/>
                <w:szCs w:val="20"/>
                <w:lang w:val="en-GB"/>
              </w:rPr>
            </w:pPr>
            <w:r w:rsidRPr="00D30847">
              <w:rPr>
                <w:rFonts w:cs="Calibri"/>
                <w:b/>
                <w:sz w:val="20"/>
                <w:szCs w:val="20"/>
                <w:lang w:val="en-GB"/>
              </w:rPr>
              <w:t>Cluster 1 Fundamentals– Public procurement</w:t>
            </w:r>
          </w:p>
          <w:p w14:paraId="3DA27013" w14:textId="77777777" w:rsidR="00A30E6E" w:rsidRPr="00D30847" w:rsidRDefault="00A30E6E" w:rsidP="00A30E6E">
            <w:pPr>
              <w:spacing w:line="240" w:lineRule="auto"/>
              <w:jc w:val="both"/>
              <w:rPr>
                <w:rFonts w:cs="Calibri"/>
                <w:sz w:val="20"/>
                <w:szCs w:val="20"/>
                <w:lang w:val="en-GB"/>
              </w:rPr>
            </w:pPr>
            <w:r w:rsidRPr="00D30847">
              <w:rPr>
                <w:rFonts w:cs="Calibri"/>
                <w:b/>
                <w:sz w:val="20"/>
                <w:szCs w:val="20"/>
                <w:lang w:val="en-GB"/>
              </w:rPr>
              <w:t>2023</w:t>
            </w:r>
          </w:p>
        </w:tc>
        <w:tc>
          <w:tcPr>
            <w:tcW w:w="7573" w:type="dxa"/>
            <w:shd w:val="clear" w:color="auto" w:fill="DDDDDD"/>
          </w:tcPr>
          <w:p w14:paraId="1BB24EE3" w14:textId="77777777" w:rsidR="00A30E6E" w:rsidRPr="00D30847" w:rsidRDefault="00A30E6E" w:rsidP="00A30E6E">
            <w:pPr>
              <w:spacing w:after="0" w:line="240" w:lineRule="auto"/>
              <w:jc w:val="both"/>
              <w:rPr>
                <w:sz w:val="20"/>
                <w:szCs w:val="20"/>
                <w:lang w:val="en-GB"/>
              </w:rPr>
            </w:pPr>
            <w:r w:rsidRPr="00D30847">
              <w:rPr>
                <w:rFonts w:eastAsia="Times New Roman" w:cs="Calibri"/>
                <w:color w:val="202124"/>
                <w:sz w:val="20"/>
                <w:szCs w:val="20"/>
                <w:lang w:val="en-GB"/>
              </w:rPr>
              <w:t>Support to contracting authorities on implementing the PPL, in particular on the use of the MEAT criterion, and training for contracting authorities and entities needs to be improved and expanded under a reviewed certification programme</w:t>
            </w:r>
          </w:p>
          <w:p w14:paraId="228926F8" w14:textId="77777777" w:rsidR="00A30E6E" w:rsidRPr="00D30847" w:rsidRDefault="00A30E6E" w:rsidP="00A30E6E">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Continuous training of staff at the contracting authorities and entities and economic operators must be ensured. The training curriculum should also address practical aspects of the application of the Law.</w:t>
            </w:r>
          </w:p>
          <w:p w14:paraId="02A8BD08" w14:textId="477C1E8D" w:rsidR="00A30E6E" w:rsidRPr="00D30847" w:rsidRDefault="00A30E6E" w:rsidP="00A30E6E">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North Macedonia needs to increase efforts to prevent corruption, by improving the functioning of the overall system to increase competition, compliance and </w:t>
            </w:r>
            <w:r w:rsidR="002F500A" w:rsidRPr="00D30847">
              <w:rPr>
                <w:rFonts w:eastAsia="Times New Roman" w:cs="Calibri"/>
                <w:color w:val="202124"/>
                <w:sz w:val="20"/>
                <w:szCs w:val="20"/>
                <w:lang w:val="en-GB"/>
              </w:rPr>
              <w:t>professionalization</w:t>
            </w:r>
            <w:r w:rsidRPr="00D30847">
              <w:rPr>
                <w:rFonts w:eastAsia="Times New Roman" w:cs="Calibri"/>
                <w:color w:val="202124"/>
                <w:sz w:val="20"/>
                <w:szCs w:val="20"/>
                <w:lang w:val="en-GB"/>
              </w:rPr>
              <w:t>. It should focus on increasing staffing and training at the PPB, the SAC and the contracting authorities and on strengthening the institutional set-up for overseeing concessions and PPPs.</w:t>
            </w:r>
          </w:p>
        </w:tc>
      </w:tr>
      <w:tr w:rsidR="00A30E6E" w:rsidRPr="00D30847" w14:paraId="0441E4E2" w14:textId="77777777" w:rsidTr="00241538">
        <w:trPr>
          <w:trHeight w:val="586"/>
        </w:trPr>
        <w:tc>
          <w:tcPr>
            <w:tcW w:w="1470" w:type="dxa"/>
            <w:shd w:val="clear" w:color="auto" w:fill="DDDDDD"/>
          </w:tcPr>
          <w:p w14:paraId="2CF26D09" w14:textId="405FA1F3" w:rsidR="00A30E6E" w:rsidRPr="00D30847" w:rsidRDefault="00A30E6E" w:rsidP="00A30E6E">
            <w:pPr>
              <w:spacing w:after="0" w:line="240" w:lineRule="auto"/>
              <w:rPr>
                <w:rFonts w:cs="Calibri"/>
                <w:b/>
                <w:sz w:val="20"/>
                <w:szCs w:val="20"/>
                <w:lang w:val="en-GB"/>
              </w:rPr>
            </w:pPr>
            <w:r w:rsidRPr="00D30847">
              <w:rPr>
                <w:rFonts w:cs="Calibri"/>
                <w:b/>
                <w:sz w:val="20"/>
                <w:szCs w:val="20"/>
                <w:lang w:val="en-GB"/>
              </w:rPr>
              <w:t xml:space="preserve">EC REPORT NORTH </w:t>
            </w:r>
            <w:r w:rsidRPr="00D30847">
              <w:rPr>
                <w:rFonts w:cs="Calibri"/>
                <w:b/>
                <w:sz w:val="20"/>
                <w:szCs w:val="20"/>
                <w:lang w:val="en-GB"/>
              </w:rPr>
              <w:lastRenderedPageBreak/>
              <w:t>MACEDONIA 202</w:t>
            </w:r>
            <w:r w:rsidR="00AB2093" w:rsidRPr="00D30847">
              <w:rPr>
                <w:rFonts w:cs="Calibri"/>
                <w:b/>
                <w:sz w:val="20"/>
                <w:szCs w:val="20"/>
                <w:lang w:val="en-GB"/>
              </w:rPr>
              <w:t>4</w:t>
            </w:r>
          </w:p>
        </w:tc>
        <w:tc>
          <w:tcPr>
            <w:tcW w:w="7573" w:type="dxa"/>
            <w:shd w:val="clear" w:color="auto" w:fill="DDDDDD"/>
          </w:tcPr>
          <w:p w14:paraId="20269C2B" w14:textId="63CDEEBC" w:rsidR="00A30E6E" w:rsidRPr="00D30847" w:rsidRDefault="00AB2093" w:rsidP="00A30E6E">
            <w:pPr>
              <w:spacing w:after="0" w:line="240" w:lineRule="auto"/>
              <w:jc w:val="both"/>
              <w:rPr>
                <w:rFonts w:eastAsia="Times New Roman" w:cs="Calibri"/>
                <w:color w:val="202124"/>
                <w:sz w:val="20"/>
                <w:szCs w:val="20"/>
                <w:lang w:val="en-GB"/>
              </w:rPr>
            </w:pPr>
            <w:r w:rsidRPr="00D30847">
              <w:rPr>
                <w:sz w:val="20"/>
                <w:szCs w:val="20"/>
                <w:lang w:val="en-GB"/>
              </w:rPr>
              <w:lastRenderedPageBreak/>
              <w:t>The capacity to manage public procurement processes</w:t>
            </w:r>
            <w:r w:rsidRPr="00D30847">
              <w:rPr>
                <w:b/>
                <w:bCs/>
                <w:sz w:val="20"/>
                <w:szCs w:val="20"/>
                <w:lang w:val="en-GB"/>
              </w:rPr>
              <w:t xml:space="preserve"> </w:t>
            </w:r>
            <w:r w:rsidRPr="00D30847">
              <w:rPr>
                <w:sz w:val="20"/>
                <w:szCs w:val="20"/>
                <w:lang w:val="en-GB"/>
              </w:rPr>
              <w:t xml:space="preserve">needs to be further enhanced, especially at the local level, in order to ensure a more coherent approach in procurement cycle management. The quality of tender documentation remains a challenge for smaller </w:t>
            </w:r>
            <w:r w:rsidRPr="00D30847">
              <w:rPr>
                <w:sz w:val="20"/>
                <w:szCs w:val="20"/>
                <w:lang w:val="en-GB"/>
              </w:rPr>
              <w:lastRenderedPageBreak/>
              <w:t>contracting authorities. At the end of 2023 there were 1 142 certified public procurement officers.</w:t>
            </w:r>
          </w:p>
        </w:tc>
      </w:tr>
      <w:tr w:rsidR="00A30E6E" w:rsidRPr="00D30847" w14:paraId="72B20C77" w14:textId="77777777" w:rsidTr="00241538">
        <w:tc>
          <w:tcPr>
            <w:tcW w:w="1470" w:type="dxa"/>
            <w:shd w:val="clear" w:color="auto" w:fill="DDDDDD"/>
          </w:tcPr>
          <w:p w14:paraId="6EF65B9C" w14:textId="01C5E05D" w:rsidR="00A30E6E" w:rsidRPr="00D30847" w:rsidRDefault="00A30E6E" w:rsidP="00A30E6E">
            <w:pPr>
              <w:spacing w:line="240" w:lineRule="auto"/>
              <w:jc w:val="both"/>
              <w:rPr>
                <w:rFonts w:cs="Calibri"/>
                <w:b/>
                <w:sz w:val="20"/>
                <w:szCs w:val="20"/>
                <w:lang w:val="en-GB"/>
              </w:rPr>
            </w:pPr>
            <w:r w:rsidRPr="00D30847">
              <w:rPr>
                <w:rFonts w:cs="Calibri"/>
                <w:b/>
                <w:sz w:val="20"/>
                <w:szCs w:val="20"/>
                <w:lang w:val="en-GB"/>
              </w:rPr>
              <w:lastRenderedPageBreak/>
              <w:t>SIGMA 2021</w:t>
            </w:r>
          </w:p>
        </w:tc>
        <w:tc>
          <w:tcPr>
            <w:tcW w:w="7573" w:type="dxa"/>
            <w:shd w:val="clear" w:color="auto" w:fill="DDDDDD"/>
          </w:tcPr>
          <w:p w14:paraId="7C2561A2" w14:textId="77777777" w:rsidR="00A30E6E" w:rsidRPr="00D30847" w:rsidRDefault="00A30E6E" w:rsidP="00A30E6E">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Public procurement operations comply with the basic principles of equal treatment, non-discrimination, proportionality and transparency. However, the introduction of the new PPL in 2019 which is substantially compliant with the 2014 EU Directives and introduces flexibilities, has had minimal practical impact. Old habits have not changed and the levels of competition have not shown marked improvement. The continued extremely high number of awards based on the lowest price using e-auctions, and the limited use of centralised procurement means that the most efficient use of public funds is unlikely. Contract management remains a significant area for improvement.</w:t>
            </w:r>
          </w:p>
          <w:p w14:paraId="411F8EB2" w14:textId="77777777" w:rsidR="00A30E6E" w:rsidRPr="00D30847" w:rsidRDefault="00A30E6E" w:rsidP="00A30E6E">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The PPB has continued to deliver certification training and publish guidance, despite challenges presented by the pandemic, but the focus in training is on legal compliance. Practical guidelines, tools and training, have not been fully updated or aligned with the new PPL. </w:t>
            </w:r>
          </w:p>
        </w:tc>
      </w:tr>
      <w:tr w:rsidR="00A30E6E" w:rsidRPr="00D30847" w14:paraId="027486BB" w14:textId="77777777" w:rsidTr="00241538">
        <w:tc>
          <w:tcPr>
            <w:tcW w:w="1470" w:type="dxa"/>
            <w:shd w:val="clear" w:color="auto" w:fill="DDDDDD"/>
          </w:tcPr>
          <w:p w14:paraId="33952E36" w14:textId="1F3CF64D" w:rsidR="00A30E6E" w:rsidRPr="00D30847" w:rsidRDefault="00A30E6E" w:rsidP="00A30E6E">
            <w:pPr>
              <w:spacing w:line="240" w:lineRule="auto"/>
              <w:jc w:val="both"/>
              <w:rPr>
                <w:rFonts w:cs="Calibri"/>
                <w:b/>
                <w:sz w:val="20"/>
                <w:szCs w:val="20"/>
                <w:lang w:val="en-GB"/>
              </w:rPr>
            </w:pPr>
            <w:r w:rsidRPr="00D30847">
              <w:rPr>
                <w:rFonts w:cs="Calibri"/>
                <w:b/>
                <w:sz w:val="20"/>
                <w:szCs w:val="20"/>
                <w:lang w:val="en-GB"/>
              </w:rPr>
              <w:t>PEFA 2021</w:t>
            </w:r>
          </w:p>
        </w:tc>
        <w:tc>
          <w:tcPr>
            <w:tcW w:w="7573" w:type="dxa"/>
            <w:shd w:val="clear" w:color="auto" w:fill="DDDDDD"/>
          </w:tcPr>
          <w:p w14:paraId="7D1AA68E" w14:textId="77777777" w:rsidR="00A30E6E" w:rsidRPr="00D30847" w:rsidRDefault="00A30E6E" w:rsidP="00A30E6E">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Ensure continuous capacity building in public procurement through design and implementation of training plans, twinning arrangements and other capacity building   programs.</w:t>
            </w:r>
          </w:p>
        </w:tc>
      </w:tr>
      <w:tr w:rsidR="00A30E6E" w:rsidRPr="00D30847" w14:paraId="6DC8DE25" w14:textId="77777777" w:rsidTr="00241538">
        <w:tc>
          <w:tcPr>
            <w:tcW w:w="1470" w:type="dxa"/>
            <w:shd w:val="clear" w:color="auto" w:fill="DDDDDD"/>
          </w:tcPr>
          <w:p w14:paraId="4B617233" w14:textId="00C1A964" w:rsidR="00A30E6E" w:rsidRPr="00D30847" w:rsidRDefault="00A30E6E" w:rsidP="00A30E6E">
            <w:pPr>
              <w:spacing w:line="240" w:lineRule="auto"/>
              <w:jc w:val="both"/>
              <w:rPr>
                <w:rFonts w:cs="Calibri"/>
                <w:b/>
                <w:sz w:val="20"/>
                <w:szCs w:val="20"/>
                <w:lang w:val="en-GB"/>
              </w:rPr>
            </w:pPr>
            <w:r w:rsidRPr="00D30847">
              <w:rPr>
                <w:rFonts w:cs="Calibri"/>
                <w:b/>
                <w:sz w:val="20"/>
                <w:szCs w:val="20"/>
                <w:lang w:val="en-GB"/>
              </w:rPr>
              <w:t>EU</w:t>
            </w:r>
          </w:p>
        </w:tc>
        <w:tc>
          <w:tcPr>
            <w:tcW w:w="7573" w:type="dxa"/>
            <w:shd w:val="clear" w:color="auto" w:fill="DDDDDD"/>
          </w:tcPr>
          <w:p w14:paraId="7466E631" w14:textId="77777777" w:rsidR="00A30E6E" w:rsidRPr="00D30847" w:rsidRDefault="00A30E6E" w:rsidP="00A30E6E">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Ensure the efficient implementation of the public procurement legal framework, including the development and adoption of the Law on Public-Private Partnerships, the Law on Concessions and the bylaw on low-value e-marketplace;</w:t>
            </w:r>
          </w:p>
          <w:p w14:paraId="2A99EA93" w14:textId="77777777" w:rsidR="00A30E6E" w:rsidRPr="00D30847" w:rsidRDefault="00A30E6E" w:rsidP="00A30E6E">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The quality of tender documentation remains a challenge for smaller contracting authorities.</w:t>
            </w:r>
          </w:p>
        </w:tc>
      </w:tr>
    </w:tbl>
    <w:p w14:paraId="4A551F2D" w14:textId="77777777" w:rsidR="00A30E6E" w:rsidRPr="00D30847" w:rsidRDefault="00A30E6E" w:rsidP="00A30E6E">
      <w:pPr>
        <w:spacing w:after="0" w:line="240" w:lineRule="auto"/>
        <w:jc w:val="both"/>
        <w:rPr>
          <w:rFonts w:cs="Calibri"/>
          <w:b/>
          <w:color w:val="0070C0"/>
          <w:sz w:val="24"/>
          <w:szCs w:val="24"/>
          <w:lang w:val="en-GB"/>
        </w:rPr>
      </w:pPr>
    </w:p>
    <w:p w14:paraId="70083D88" w14:textId="77777777" w:rsidR="00A30E6E" w:rsidRPr="00D30847" w:rsidRDefault="00A30E6E" w:rsidP="00A30E6E">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Context / Background</w:t>
      </w:r>
    </w:p>
    <w:p w14:paraId="072D8A8A" w14:textId="77777777" w:rsidR="00A30E6E" w:rsidRPr="00D30847" w:rsidRDefault="00A30E6E" w:rsidP="00A30E6E">
      <w:pPr>
        <w:tabs>
          <w:tab w:val="left" w:pos="851"/>
        </w:tabs>
        <w:spacing w:before="120"/>
        <w:jc w:val="both"/>
        <w:rPr>
          <w:lang w:val="en-GB"/>
        </w:rPr>
      </w:pPr>
      <w:r w:rsidRPr="00D30847">
        <w:rPr>
          <w:lang w:val="en-GB"/>
        </w:rPr>
        <w:t xml:space="preserve">It is a general impression that the main weakness and challenge in public procurement is the lack of the capacity for implementation of LPP and good practices. In relation to the abovementioned, it is accepted the need for revising the concept for education of the public procurement officials through rationalisation of the training programme and creating improved, extended and more flexible programme which will contribute to strengthening the administrative capacity for duly implementation of the legal framework. </w:t>
      </w:r>
    </w:p>
    <w:p w14:paraId="7928749F" w14:textId="77777777" w:rsidR="00A30E6E" w:rsidRPr="00D30847" w:rsidRDefault="00A30E6E" w:rsidP="00A30E6E">
      <w:pPr>
        <w:spacing w:line="240" w:lineRule="auto"/>
        <w:jc w:val="both"/>
        <w:rPr>
          <w:rFonts w:cs="Calibri"/>
          <w:lang w:val="en-GB"/>
        </w:rPr>
      </w:pPr>
      <w:r w:rsidRPr="00D30847">
        <w:rPr>
          <w:lang w:val="en-GB"/>
        </w:rPr>
        <w:t xml:space="preserve">It is expected that it will contribute to developing better skills and knowledge for implementation of the legal framework, in all phases of the process, especially planning, market analysis/preliminary market consultations, preparation of tender documentation, evaluation as well as contract management.  </w:t>
      </w:r>
    </w:p>
    <w:p w14:paraId="768C33BF" w14:textId="77777777" w:rsidR="00AB2093" w:rsidRPr="00D30847" w:rsidRDefault="00AB2093" w:rsidP="00AB2093">
      <w:pPr>
        <w:spacing w:line="240" w:lineRule="auto"/>
        <w:jc w:val="both"/>
        <w:rPr>
          <w:rFonts w:eastAsia="MS PGothic" w:cs="Calibri"/>
          <w:b/>
          <w:bCs/>
          <w:iCs/>
          <w:color w:val="0070C0"/>
          <w:lang w:val="en-GB" w:eastAsia="zh-CN"/>
        </w:rPr>
      </w:pPr>
      <w:r w:rsidRPr="00D30847">
        <w:rPr>
          <w:rFonts w:eastAsia="MS PGothic" w:cs="Calibri"/>
          <w:b/>
          <w:bCs/>
          <w:iCs/>
          <w:color w:val="0070C0"/>
          <w:lang w:val="en-GB" w:eastAsia="zh-CN"/>
        </w:rPr>
        <w:t>Activity 1: Analysing the possibilities for introducing new e - tools for education</w:t>
      </w:r>
      <w:r w:rsidRPr="00D30847" w:rsidDel="00CC176D">
        <w:rPr>
          <w:rFonts w:eastAsia="MS PGothic" w:cs="Calibri"/>
          <w:b/>
          <w:bCs/>
          <w:iCs/>
          <w:color w:val="0070C0"/>
          <w:lang w:val="en-GB" w:eastAsia="zh-CN"/>
        </w:rPr>
        <w:t xml:space="preserve"> </w:t>
      </w:r>
    </w:p>
    <w:p w14:paraId="4C52106F" w14:textId="32D47FE6" w:rsidR="00AB2093" w:rsidRPr="00D30847" w:rsidRDefault="00AB2093" w:rsidP="00AB2093">
      <w:pPr>
        <w:spacing w:line="240" w:lineRule="auto"/>
        <w:jc w:val="both"/>
        <w:rPr>
          <w:lang w:val="en-GB" w:eastAsia="zh-CN"/>
        </w:rPr>
      </w:pPr>
      <w:r w:rsidRPr="00D30847">
        <w:rPr>
          <w:lang w:val="en-GB" w:eastAsia="zh-CN"/>
        </w:rPr>
        <w:t xml:space="preserve">In the </w:t>
      </w:r>
      <w:r w:rsidR="00D30847" w:rsidRPr="00D30847">
        <w:rPr>
          <w:lang w:val="en-GB" w:eastAsia="zh-CN"/>
        </w:rPr>
        <w:t>forthcoming period</w:t>
      </w:r>
      <w:r w:rsidRPr="00D30847">
        <w:rPr>
          <w:lang w:val="en-GB" w:eastAsia="zh-CN"/>
        </w:rPr>
        <w:t>, the Public Procurement Bureau will analyse the possibilities for introducing new e - tools for education and will prepare amendments to the Public Procurement Law related to legal base for the implementation.</w:t>
      </w:r>
    </w:p>
    <w:p w14:paraId="15DE331F" w14:textId="77777777" w:rsidR="00522D07" w:rsidRPr="00D30847" w:rsidRDefault="00522D07"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Implementation</w:t>
      </w:r>
    </w:p>
    <w:tbl>
      <w:tblPr>
        <w:tblW w:w="0" w:type="auto"/>
        <w:tblBorders>
          <w:insideH w:val="single" w:sz="4" w:space="0" w:color="FFFFFF"/>
        </w:tblBorders>
        <w:tblLayout w:type="fixed"/>
        <w:tblLook w:val="0080" w:firstRow="0" w:lastRow="0" w:firstColumn="1" w:lastColumn="0" w:noHBand="0" w:noVBand="0"/>
      </w:tblPr>
      <w:tblGrid>
        <w:gridCol w:w="3119"/>
        <w:gridCol w:w="5719"/>
      </w:tblGrid>
      <w:tr w:rsidR="00522D07" w:rsidRPr="00D30847" w14:paraId="4D812EAC" w14:textId="77777777" w:rsidTr="003A2F75">
        <w:trPr>
          <w:trHeight w:val="342"/>
        </w:trPr>
        <w:tc>
          <w:tcPr>
            <w:tcW w:w="3119" w:type="dxa"/>
            <w:tcBorders>
              <w:top w:val="nil"/>
              <w:bottom w:val="single" w:sz="4" w:space="0" w:color="FFFFFF"/>
            </w:tcBorders>
            <w:shd w:val="clear" w:color="auto" w:fill="002060"/>
          </w:tcPr>
          <w:p w14:paraId="085BD94C"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Completed in year:</w:t>
            </w:r>
            <w:r w:rsidRPr="00D30847">
              <w:rPr>
                <w:rFonts w:cs="Calibri"/>
                <w:b/>
                <w:sz w:val="20"/>
                <w:szCs w:val="20"/>
                <w:lang w:val="en-GB"/>
              </w:rPr>
              <w:tab/>
            </w:r>
          </w:p>
        </w:tc>
        <w:tc>
          <w:tcPr>
            <w:tcW w:w="5719" w:type="dxa"/>
            <w:tcBorders>
              <w:top w:val="nil"/>
              <w:bottom w:val="single" w:sz="4" w:space="0" w:color="FFFFFF"/>
            </w:tcBorders>
            <w:shd w:val="clear" w:color="auto" w:fill="D9E2F3"/>
          </w:tcPr>
          <w:p w14:paraId="46ABF274" w14:textId="35B903F8" w:rsidR="00522D07" w:rsidRPr="00D30847" w:rsidRDefault="006B1F2A" w:rsidP="006B1F2A">
            <w:pPr>
              <w:spacing w:line="240" w:lineRule="auto"/>
              <w:jc w:val="both"/>
              <w:rPr>
                <w:rFonts w:cs="Calibri"/>
                <w:sz w:val="20"/>
                <w:szCs w:val="20"/>
                <w:lang w:val="en-GB"/>
              </w:rPr>
            </w:pPr>
            <w:r w:rsidRPr="00D30847">
              <w:rPr>
                <w:rFonts w:eastAsia="Times New Roman" w:cs="Calibri"/>
                <w:color w:val="202124"/>
                <w:sz w:val="20"/>
                <w:szCs w:val="20"/>
                <w:lang w:val="en-GB"/>
              </w:rPr>
              <w:t>202</w:t>
            </w:r>
            <w:r w:rsidR="00AB2093" w:rsidRPr="00D30847">
              <w:rPr>
                <w:rFonts w:eastAsia="Times New Roman" w:cs="Calibri"/>
                <w:color w:val="202124"/>
                <w:sz w:val="20"/>
                <w:szCs w:val="20"/>
                <w:lang w:val="en-GB"/>
              </w:rPr>
              <w:t>5</w:t>
            </w:r>
          </w:p>
        </w:tc>
      </w:tr>
      <w:tr w:rsidR="00522D07" w:rsidRPr="00D30847" w14:paraId="4605216C" w14:textId="77777777" w:rsidTr="003A2F75">
        <w:trPr>
          <w:trHeight w:val="791"/>
        </w:trPr>
        <w:tc>
          <w:tcPr>
            <w:tcW w:w="3119" w:type="dxa"/>
            <w:tcBorders>
              <w:top w:val="single" w:sz="4" w:space="0" w:color="FFFFFF"/>
              <w:bottom w:val="single" w:sz="4" w:space="0" w:color="FFFFFF"/>
            </w:tcBorders>
            <w:shd w:val="clear" w:color="auto" w:fill="002060"/>
          </w:tcPr>
          <w:p w14:paraId="6FE850DA"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Deliverables:</w:t>
            </w:r>
          </w:p>
        </w:tc>
        <w:tc>
          <w:tcPr>
            <w:tcW w:w="5719" w:type="dxa"/>
            <w:tcBorders>
              <w:top w:val="single" w:sz="4" w:space="0" w:color="FFFFFF"/>
              <w:bottom w:val="single" w:sz="4" w:space="0" w:color="FFFFFF"/>
            </w:tcBorders>
            <w:shd w:val="clear" w:color="auto" w:fill="D9E2F3"/>
          </w:tcPr>
          <w:p w14:paraId="350D402B" w14:textId="77777777" w:rsidR="00AB2093" w:rsidRPr="00D30847" w:rsidRDefault="00AB2093" w:rsidP="00AB2093">
            <w:pPr>
              <w:numPr>
                <w:ilvl w:val="0"/>
                <w:numId w:val="18"/>
              </w:numPr>
              <w:spacing w:after="0" w:line="240" w:lineRule="auto"/>
              <w:ind w:left="212" w:hanging="238"/>
              <w:jc w:val="both"/>
              <w:rPr>
                <w:rFonts w:eastAsia="Times New Roman" w:cs="Calibri"/>
                <w:color w:val="202124"/>
                <w:sz w:val="20"/>
                <w:szCs w:val="20"/>
                <w:lang w:val="en-GB"/>
              </w:rPr>
            </w:pPr>
            <w:r w:rsidRPr="00D30847">
              <w:rPr>
                <w:rFonts w:eastAsia="Times New Roman" w:cs="Calibri"/>
                <w:color w:val="202124"/>
                <w:sz w:val="20"/>
                <w:szCs w:val="20"/>
                <w:lang w:val="en-GB"/>
              </w:rPr>
              <w:t>Analysis of electronic tools for education</w:t>
            </w:r>
            <w:r w:rsidRPr="00D30847" w:rsidDel="00127780">
              <w:rPr>
                <w:rFonts w:eastAsia="Times New Roman" w:cs="Calibri"/>
                <w:color w:val="202124"/>
                <w:sz w:val="20"/>
                <w:szCs w:val="20"/>
                <w:lang w:val="en-GB"/>
              </w:rPr>
              <w:t xml:space="preserve"> </w:t>
            </w:r>
            <w:r w:rsidRPr="00D30847">
              <w:rPr>
                <w:rFonts w:eastAsia="Times New Roman" w:cs="Calibri"/>
                <w:color w:val="202124"/>
                <w:sz w:val="20"/>
                <w:szCs w:val="20"/>
                <w:lang w:val="en-GB"/>
              </w:rPr>
              <w:t>Adopted Amendment to the Public Procurement Law related to education in public procurement;</w:t>
            </w:r>
          </w:p>
          <w:p w14:paraId="70714F89" w14:textId="27DFFBA7" w:rsidR="00522D07" w:rsidRPr="00D30847" w:rsidRDefault="00522D07" w:rsidP="00AD2AD5">
            <w:pPr>
              <w:numPr>
                <w:ilvl w:val="0"/>
                <w:numId w:val="18"/>
              </w:numPr>
              <w:spacing w:after="0" w:line="240" w:lineRule="auto"/>
              <w:ind w:left="122" w:hanging="148"/>
              <w:jc w:val="both"/>
              <w:rPr>
                <w:rFonts w:eastAsia="Times New Roman" w:cs="Calibri"/>
                <w:color w:val="202124"/>
                <w:sz w:val="20"/>
                <w:szCs w:val="20"/>
                <w:lang w:val="en-GB"/>
              </w:rPr>
            </w:pPr>
          </w:p>
        </w:tc>
      </w:tr>
      <w:tr w:rsidR="00522D07" w:rsidRPr="00D30847" w14:paraId="097AE91B" w14:textId="77777777" w:rsidTr="003A2F75">
        <w:trPr>
          <w:trHeight w:val="350"/>
        </w:trPr>
        <w:tc>
          <w:tcPr>
            <w:tcW w:w="3119" w:type="dxa"/>
            <w:tcBorders>
              <w:top w:val="single" w:sz="4" w:space="0" w:color="FFFFFF"/>
              <w:bottom w:val="single" w:sz="4" w:space="0" w:color="FFFFFF"/>
            </w:tcBorders>
            <w:shd w:val="clear" w:color="auto" w:fill="002060"/>
          </w:tcPr>
          <w:p w14:paraId="4DE00061"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Cost implications:</w:t>
            </w:r>
          </w:p>
        </w:tc>
        <w:tc>
          <w:tcPr>
            <w:tcW w:w="5719" w:type="dxa"/>
            <w:tcBorders>
              <w:top w:val="single" w:sz="4" w:space="0" w:color="FFFFFF"/>
              <w:bottom w:val="single" w:sz="4" w:space="0" w:color="FFFFFF"/>
            </w:tcBorders>
            <w:shd w:val="clear" w:color="auto" w:fill="D9E2F3"/>
          </w:tcPr>
          <w:p w14:paraId="257B6268" w14:textId="185B2056" w:rsidR="00522D07" w:rsidRPr="00D30847" w:rsidRDefault="00A30E6E" w:rsidP="00E84CD0">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w:t>
            </w:r>
          </w:p>
        </w:tc>
      </w:tr>
      <w:tr w:rsidR="00522D07" w:rsidRPr="00D30847" w14:paraId="6FC5ABB4" w14:textId="77777777" w:rsidTr="003A2F75">
        <w:tc>
          <w:tcPr>
            <w:tcW w:w="3119" w:type="dxa"/>
            <w:tcBorders>
              <w:top w:val="single" w:sz="4" w:space="0" w:color="FFFFFF"/>
              <w:bottom w:val="single" w:sz="4" w:space="0" w:color="FFFFFF"/>
            </w:tcBorders>
            <w:shd w:val="clear" w:color="auto" w:fill="002060"/>
          </w:tcPr>
          <w:p w14:paraId="4B4D6290"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lastRenderedPageBreak/>
              <w:t xml:space="preserve">Responsible entity: </w:t>
            </w:r>
          </w:p>
        </w:tc>
        <w:tc>
          <w:tcPr>
            <w:tcW w:w="5719" w:type="dxa"/>
            <w:tcBorders>
              <w:top w:val="single" w:sz="4" w:space="0" w:color="FFFFFF"/>
              <w:bottom w:val="single" w:sz="4" w:space="0" w:color="FFFFFF"/>
            </w:tcBorders>
            <w:shd w:val="clear" w:color="auto" w:fill="D9E2F3"/>
          </w:tcPr>
          <w:p w14:paraId="72CAF92A" w14:textId="7AA6A77D" w:rsidR="00522D07" w:rsidRPr="00D30847" w:rsidRDefault="00522D07" w:rsidP="00E84CD0">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PPB</w:t>
            </w:r>
            <w:r w:rsidR="006B1F2A" w:rsidRPr="00D30847">
              <w:rPr>
                <w:rFonts w:eastAsia="Times New Roman" w:cs="Calibri"/>
                <w:color w:val="202124"/>
                <w:sz w:val="20"/>
                <w:szCs w:val="20"/>
                <w:lang w:val="en-GB"/>
              </w:rPr>
              <w:t>, MF</w:t>
            </w:r>
          </w:p>
        </w:tc>
      </w:tr>
      <w:tr w:rsidR="00522D07" w:rsidRPr="00D30847" w14:paraId="4AEA781C" w14:textId="77777777" w:rsidTr="003A2F75">
        <w:trPr>
          <w:trHeight w:val="1070"/>
        </w:trPr>
        <w:tc>
          <w:tcPr>
            <w:tcW w:w="3119" w:type="dxa"/>
            <w:tcBorders>
              <w:top w:val="single" w:sz="4" w:space="0" w:color="FFFFFF"/>
              <w:bottom w:val="nil"/>
            </w:tcBorders>
            <w:shd w:val="clear" w:color="auto" w:fill="002060"/>
          </w:tcPr>
          <w:p w14:paraId="0D590484"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Risk:</w:t>
            </w:r>
          </w:p>
        </w:tc>
        <w:tc>
          <w:tcPr>
            <w:tcW w:w="5719" w:type="dxa"/>
            <w:tcBorders>
              <w:top w:val="single" w:sz="4" w:space="0" w:color="FFFFFF"/>
              <w:bottom w:val="nil"/>
            </w:tcBorders>
            <w:shd w:val="clear" w:color="auto" w:fill="D9E2F3"/>
          </w:tcPr>
          <w:p w14:paraId="78796436" w14:textId="77777777" w:rsidR="00A30E6E" w:rsidRPr="00D30847" w:rsidRDefault="00A30E6E" w:rsidP="00AD2AD5">
            <w:pPr>
              <w:numPr>
                <w:ilvl w:val="0"/>
                <w:numId w:val="19"/>
              </w:numPr>
              <w:spacing w:after="0" w:line="240" w:lineRule="auto"/>
              <w:ind w:left="212" w:hanging="147"/>
              <w:jc w:val="both"/>
              <w:rPr>
                <w:rFonts w:eastAsia="Times New Roman" w:cs="Calibri"/>
                <w:color w:val="202124"/>
                <w:sz w:val="20"/>
                <w:szCs w:val="20"/>
                <w:lang w:val="en-GB"/>
              </w:rPr>
            </w:pPr>
            <w:r w:rsidRPr="00D30847">
              <w:rPr>
                <w:rFonts w:eastAsia="Times New Roman" w:cs="Calibri"/>
                <w:color w:val="202124"/>
                <w:sz w:val="20"/>
                <w:szCs w:val="20"/>
                <w:lang w:val="en-GB"/>
              </w:rPr>
              <w:t>Adoption of Law Amending the Law on Public Procurement;</w:t>
            </w:r>
          </w:p>
          <w:p w14:paraId="64066E71" w14:textId="77777777" w:rsidR="00A30E6E" w:rsidRPr="00D30847" w:rsidRDefault="00A30E6E" w:rsidP="00AD2AD5">
            <w:pPr>
              <w:numPr>
                <w:ilvl w:val="0"/>
                <w:numId w:val="19"/>
              </w:numPr>
              <w:spacing w:after="0" w:line="240" w:lineRule="auto"/>
              <w:ind w:left="212" w:hanging="147"/>
              <w:jc w:val="both"/>
              <w:rPr>
                <w:rFonts w:eastAsia="Times New Roman" w:cs="Calibri"/>
                <w:color w:val="202124"/>
                <w:sz w:val="20"/>
                <w:szCs w:val="20"/>
                <w:lang w:val="en-GB"/>
              </w:rPr>
            </w:pPr>
            <w:r w:rsidRPr="00D30847">
              <w:rPr>
                <w:rFonts w:eastAsia="Times New Roman" w:cs="Calibri"/>
                <w:color w:val="202124"/>
                <w:sz w:val="20"/>
                <w:szCs w:val="20"/>
                <w:lang w:val="en-GB"/>
              </w:rPr>
              <w:t>Shortage of qualified trainers’</w:t>
            </w:r>
          </w:p>
          <w:p w14:paraId="65C7C495" w14:textId="77777777" w:rsidR="00A30E6E" w:rsidRPr="00D30847" w:rsidRDefault="00A30E6E" w:rsidP="00AD2AD5">
            <w:pPr>
              <w:numPr>
                <w:ilvl w:val="0"/>
                <w:numId w:val="19"/>
              </w:numPr>
              <w:spacing w:after="0" w:line="240" w:lineRule="auto"/>
              <w:ind w:left="212" w:hanging="147"/>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Low attendance to training activities; </w:t>
            </w:r>
          </w:p>
          <w:p w14:paraId="3FF8E809" w14:textId="15E28845" w:rsidR="003C20E4" w:rsidRPr="00D30847" w:rsidRDefault="00A30E6E" w:rsidP="00AD2AD5">
            <w:pPr>
              <w:numPr>
                <w:ilvl w:val="0"/>
                <w:numId w:val="19"/>
              </w:numPr>
              <w:spacing w:after="0" w:line="240" w:lineRule="auto"/>
              <w:ind w:left="212" w:hanging="147"/>
              <w:jc w:val="both"/>
              <w:rPr>
                <w:rFonts w:eastAsia="Times New Roman" w:cs="Calibri"/>
                <w:color w:val="202124"/>
                <w:sz w:val="20"/>
                <w:szCs w:val="20"/>
                <w:lang w:val="en-GB"/>
              </w:rPr>
            </w:pPr>
            <w:r w:rsidRPr="00D30847">
              <w:rPr>
                <w:rFonts w:eastAsia="Times New Roman" w:cs="Calibri"/>
                <w:color w:val="202124"/>
                <w:sz w:val="20"/>
                <w:szCs w:val="20"/>
                <w:lang w:val="en-GB"/>
              </w:rPr>
              <w:t>Leaving of competent PPB employees;</w:t>
            </w:r>
          </w:p>
        </w:tc>
      </w:tr>
    </w:tbl>
    <w:p w14:paraId="3EE7152B" w14:textId="77777777" w:rsidR="00A30E6E" w:rsidRPr="00D30847" w:rsidRDefault="00A30E6E" w:rsidP="00A30E6E">
      <w:pPr>
        <w:spacing w:after="0" w:line="240" w:lineRule="auto"/>
        <w:jc w:val="both"/>
        <w:rPr>
          <w:rFonts w:cs="Calibri"/>
          <w:b/>
          <w:color w:val="0070C0"/>
          <w:sz w:val="24"/>
          <w:szCs w:val="24"/>
          <w:lang w:val="en-GB"/>
        </w:rPr>
      </w:pPr>
    </w:p>
    <w:p w14:paraId="72744C98" w14:textId="46E5FD7D" w:rsidR="008023E8" w:rsidRDefault="008023E8" w:rsidP="00A30E6E">
      <w:pPr>
        <w:spacing w:after="0" w:line="240" w:lineRule="auto"/>
        <w:jc w:val="both"/>
        <w:rPr>
          <w:rFonts w:eastAsia="MS PGothic" w:cs="Calibri"/>
          <w:b/>
          <w:bCs/>
          <w:i/>
          <w:iCs/>
          <w:color w:val="4F81BD"/>
          <w:lang w:val="en-GB" w:eastAsia="zh-CN"/>
        </w:rPr>
      </w:pPr>
    </w:p>
    <w:p w14:paraId="003A7962" w14:textId="1DB26257" w:rsidR="00E91268" w:rsidRDefault="00E91268" w:rsidP="00A30E6E">
      <w:pPr>
        <w:spacing w:after="0" w:line="240" w:lineRule="auto"/>
        <w:jc w:val="both"/>
        <w:rPr>
          <w:rFonts w:eastAsia="MS PGothic" w:cs="Calibri"/>
          <w:b/>
          <w:bCs/>
          <w:i/>
          <w:iCs/>
          <w:color w:val="4F81BD"/>
          <w:lang w:val="en-GB" w:eastAsia="zh-CN"/>
        </w:rPr>
      </w:pPr>
    </w:p>
    <w:p w14:paraId="5F736B16" w14:textId="7D58BEF6" w:rsidR="00E91268" w:rsidRDefault="00E91268" w:rsidP="00A30E6E">
      <w:pPr>
        <w:spacing w:after="0" w:line="240" w:lineRule="auto"/>
        <w:jc w:val="both"/>
        <w:rPr>
          <w:rFonts w:eastAsia="MS PGothic" w:cs="Calibri"/>
          <w:b/>
          <w:bCs/>
          <w:i/>
          <w:iCs/>
          <w:color w:val="4F81BD"/>
          <w:lang w:val="en-GB" w:eastAsia="zh-CN"/>
        </w:rPr>
      </w:pPr>
    </w:p>
    <w:p w14:paraId="50A2D1F6" w14:textId="70AD7994" w:rsidR="00E91268" w:rsidRDefault="00E91268" w:rsidP="00A30E6E">
      <w:pPr>
        <w:spacing w:after="0" w:line="240" w:lineRule="auto"/>
        <w:jc w:val="both"/>
        <w:rPr>
          <w:rFonts w:eastAsia="MS PGothic" w:cs="Calibri"/>
          <w:b/>
          <w:bCs/>
          <w:i/>
          <w:iCs/>
          <w:color w:val="4F81BD"/>
          <w:lang w:val="en-GB" w:eastAsia="zh-CN"/>
        </w:rPr>
      </w:pPr>
    </w:p>
    <w:p w14:paraId="4A1E12EF" w14:textId="3438B630" w:rsidR="00E91268" w:rsidRDefault="00E91268" w:rsidP="00A30E6E">
      <w:pPr>
        <w:spacing w:after="0" w:line="240" w:lineRule="auto"/>
        <w:jc w:val="both"/>
        <w:rPr>
          <w:rFonts w:eastAsia="MS PGothic" w:cs="Calibri"/>
          <w:b/>
          <w:bCs/>
          <w:i/>
          <w:iCs/>
          <w:color w:val="4F81BD"/>
          <w:lang w:val="en-GB" w:eastAsia="zh-CN"/>
        </w:rPr>
      </w:pPr>
    </w:p>
    <w:p w14:paraId="7EB213EB" w14:textId="496343F2" w:rsidR="00E91268" w:rsidRDefault="00E91268" w:rsidP="00A30E6E">
      <w:pPr>
        <w:spacing w:after="0" w:line="240" w:lineRule="auto"/>
        <w:jc w:val="both"/>
        <w:rPr>
          <w:rFonts w:eastAsia="MS PGothic" w:cs="Calibri"/>
          <w:b/>
          <w:bCs/>
          <w:i/>
          <w:iCs/>
          <w:color w:val="4F81BD"/>
          <w:lang w:val="en-GB" w:eastAsia="zh-CN"/>
        </w:rPr>
      </w:pPr>
    </w:p>
    <w:p w14:paraId="00326E17" w14:textId="3A6BDAC4" w:rsidR="00E91268" w:rsidRDefault="00E91268" w:rsidP="00A30E6E">
      <w:pPr>
        <w:spacing w:after="0" w:line="240" w:lineRule="auto"/>
        <w:jc w:val="both"/>
        <w:rPr>
          <w:rFonts w:eastAsia="MS PGothic" w:cs="Calibri"/>
          <w:b/>
          <w:bCs/>
          <w:i/>
          <w:iCs/>
          <w:color w:val="4F81BD"/>
          <w:lang w:val="en-GB" w:eastAsia="zh-CN"/>
        </w:rPr>
      </w:pPr>
    </w:p>
    <w:p w14:paraId="56B45E01" w14:textId="6EDC40FA" w:rsidR="00E91268" w:rsidRDefault="00E91268" w:rsidP="00A30E6E">
      <w:pPr>
        <w:spacing w:after="0" w:line="240" w:lineRule="auto"/>
        <w:jc w:val="both"/>
        <w:rPr>
          <w:rFonts w:eastAsia="MS PGothic" w:cs="Calibri"/>
          <w:b/>
          <w:bCs/>
          <w:i/>
          <w:iCs/>
          <w:color w:val="4F81BD"/>
          <w:lang w:val="en-GB" w:eastAsia="zh-CN"/>
        </w:rPr>
      </w:pPr>
    </w:p>
    <w:p w14:paraId="12B59E60" w14:textId="1F58970E" w:rsidR="00E91268" w:rsidRDefault="00E91268" w:rsidP="00A30E6E">
      <w:pPr>
        <w:spacing w:after="0" w:line="240" w:lineRule="auto"/>
        <w:jc w:val="both"/>
        <w:rPr>
          <w:rFonts w:eastAsia="MS PGothic" w:cs="Calibri"/>
          <w:b/>
          <w:bCs/>
          <w:i/>
          <w:iCs/>
          <w:color w:val="4F81BD"/>
          <w:lang w:val="en-GB" w:eastAsia="zh-CN"/>
        </w:rPr>
      </w:pPr>
    </w:p>
    <w:p w14:paraId="24A7B041" w14:textId="0157FDBD" w:rsidR="00E91268" w:rsidRDefault="00E91268" w:rsidP="00A30E6E">
      <w:pPr>
        <w:spacing w:after="0" w:line="240" w:lineRule="auto"/>
        <w:jc w:val="both"/>
        <w:rPr>
          <w:rFonts w:eastAsia="MS PGothic" w:cs="Calibri"/>
          <w:b/>
          <w:bCs/>
          <w:i/>
          <w:iCs/>
          <w:color w:val="4F81BD"/>
          <w:lang w:val="en-GB" w:eastAsia="zh-CN"/>
        </w:rPr>
      </w:pPr>
    </w:p>
    <w:p w14:paraId="27ADE7CB" w14:textId="27900E74" w:rsidR="00E91268" w:rsidRDefault="00E91268" w:rsidP="00A30E6E">
      <w:pPr>
        <w:spacing w:after="0" w:line="240" w:lineRule="auto"/>
        <w:jc w:val="both"/>
        <w:rPr>
          <w:rFonts w:eastAsia="MS PGothic" w:cs="Calibri"/>
          <w:b/>
          <w:bCs/>
          <w:i/>
          <w:iCs/>
          <w:color w:val="4F81BD"/>
          <w:lang w:val="en-GB" w:eastAsia="zh-CN"/>
        </w:rPr>
      </w:pPr>
    </w:p>
    <w:p w14:paraId="5C8731E9" w14:textId="73BB8581" w:rsidR="00E91268" w:rsidRDefault="00E91268" w:rsidP="00A30E6E">
      <w:pPr>
        <w:spacing w:after="0" w:line="240" w:lineRule="auto"/>
        <w:jc w:val="both"/>
        <w:rPr>
          <w:rFonts w:eastAsia="MS PGothic" w:cs="Calibri"/>
          <w:b/>
          <w:bCs/>
          <w:i/>
          <w:iCs/>
          <w:color w:val="4F81BD"/>
          <w:lang w:val="en-GB" w:eastAsia="zh-CN"/>
        </w:rPr>
      </w:pPr>
    </w:p>
    <w:p w14:paraId="7BFD937B" w14:textId="55A124C3" w:rsidR="00E91268" w:rsidRDefault="00E91268" w:rsidP="00A30E6E">
      <w:pPr>
        <w:spacing w:after="0" w:line="240" w:lineRule="auto"/>
        <w:jc w:val="both"/>
        <w:rPr>
          <w:rFonts w:eastAsia="MS PGothic" w:cs="Calibri"/>
          <w:b/>
          <w:bCs/>
          <w:i/>
          <w:iCs/>
          <w:color w:val="4F81BD"/>
          <w:lang w:val="en-GB" w:eastAsia="zh-CN"/>
        </w:rPr>
      </w:pPr>
    </w:p>
    <w:p w14:paraId="220C3AC3" w14:textId="23B33350" w:rsidR="00E91268" w:rsidRDefault="00E91268" w:rsidP="00A30E6E">
      <w:pPr>
        <w:spacing w:after="0" w:line="240" w:lineRule="auto"/>
        <w:jc w:val="both"/>
        <w:rPr>
          <w:rFonts w:eastAsia="MS PGothic" w:cs="Calibri"/>
          <w:b/>
          <w:bCs/>
          <w:i/>
          <w:iCs/>
          <w:color w:val="4F81BD"/>
          <w:lang w:val="en-GB" w:eastAsia="zh-CN"/>
        </w:rPr>
      </w:pPr>
    </w:p>
    <w:p w14:paraId="2CC4531D" w14:textId="4E5E8A4E" w:rsidR="00E91268" w:rsidRDefault="00E91268" w:rsidP="00A30E6E">
      <w:pPr>
        <w:spacing w:after="0" w:line="240" w:lineRule="auto"/>
        <w:jc w:val="both"/>
        <w:rPr>
          <w:rFonts w:eastAsia="MS PGothic" w:cs="Calibri"/>
          <w:b/>
          <w:bCs/>
          <w:i/>
          <w:iCs/>
          <w:color w:val="4F81BD"/>
          <w:lang w:val="en-GB" w:eastAsia="zh-CN"/>
        </w:rPr>
      </w:pPr>
    </w:p>
    <w:p w14:paraId="1BECBBEA" w14:textId="73A8961B" w:rsidR="00E91268" w:rsidRDefault="00E91268" w:rsidP="00A30E6E">
      <w:pPr>
        <w:spacing w:after="0" w:line="240" w:lineRule="auto"/>
        <w:jc w:val="both"/>
        <w:rPr>
          <w:rFonts w:eastAsia="MS PGothic" w:cs="Calibri"/>
          <w:b/>
          <w:bCs/>
          <w:i/>
          <w:iCs/>
          <w:color w:val="4F81BD"/>
          <w:lang w:val="en-GB" w:eastAsia="zh-CN"/>
        </w:rPr>
      </w:pPr>
    </w:p>
    <w:p w14:paraId="2593825F" w14:textId="283AC736" w:rsidR="00E91268" w:rsidRDefault="00E91268" w:rsidP="00A30E6E">
      <w:pPr>
        <w:spacing w:after="0" w:line="240" w:lineRule="auto"/>
        <w:jc w:val="both"/>
        <w:rPr>
          <w:rFonts w:eastAsia="MS PGothic" w:cs="Calibri"/>
          <w:b/>
          <w:bCs/>
          <w:i/>
          <w:iCs/>
          <w:color w:val="4F81BD"/>
          <w:lang w:val="en-GB" w:eastAsia="zh-CN"/>
        </w:rPr>
      </w:pPr>
    </w:p>
    <w:p w14:paraId="71F927EC" w14:textId="74A4A4C5" w:rsidR="00E91268" w:rsidRDefault="00E91268" w:rsidP="00A30E6E">
      <w:pPr>
        <w:spacing w:after="0" w:line="240" w:lineRule="auto"/>
        <w:jc w:val="both"/>
        <w:rPr>
          <w:rFonts w:eastAsia="MS PGothic" w:cs="Calibri"/>
          <w:b/>
          <w:bCs/>
          <w:i/>
          <w:iCs/>
          <w:color w:val="4F81BD"/>
          <w:lang w:val="en-GB" w:eastAsia="zh-CN"/>
        </w:rPr>
      </w:pPr>
    </w:p>
    <w:p w14:paraId="6B5214AC" w14:textId="0AA6C6AD" w:rsidR="00E91268" w:rsidRDefault="00E91268" w:rsidP="00A30E6E">
      <w:pPr>
        <w:spacing w:after="0" w:line="240" w:lineRule="auto"/>
        <w:jc w:val="both"/>
        <w:rPr>
          <w:rFonts w:eastAsia="MS PGothic" w:cs="Calibri"/>
          <w:b/>
          <w:bCs/>
          <w:i/>
          <w:iCs/>
          <w:color w:val="4F81BD"/>
          <w:lang w:val="en-GB" w:eastAsia="zh-CN"/>
        </w:rPr>
      </w:pPr>
    </w:p>
    <w:p w14:paraId="3B20852F" w14:textId="480BAC90" w:rsidR="00E91268" w:rsidRDefault="00E91268" w:rsidP="00A30E6E">
      <w:pPr>
        <w:spacing w:after="0" w:line="240" w:lineRule="auto"/>
        <w:jc w:val="both"/>
        <w:rPr>
          <w:rFonts w:eastAsia="MS PGothic" w:cs="Calibri"/>
          <w:b/>
          <w:bCs/>
          <w:i/>
          <w:iCs/>
          <w:color w:val="4F81BD"/>
          <w:lang w:val="en-GB" w:eastAsia="zh-CN"/>
        </w:rPr>
      </w:pPr>
    </w:p>
    <w:p w14:paraId="02E7FD0A" w14:textId="31DD97D6" w:rsidR="00E91268" w:rsidRDefault="00E91268" w:rsidP="00A30E6E">
      <w:pPr>
        <w:spacing w:after="0" w:line="240" w:lineRule="auto"/>
        <w:jc w:val="both"/>
        <w:rPr>
          <w:rFonts w:eastAsia="MS PGothic" w:cs="Calibri"/>
          <w:b/>
          <w:bCs/>
          <w:i/>
          <w:iCs/>
          <w:color w:val="4F81BD"/>
          <w:lang w:val="en-GB" w:eastAsia="zh-CN"/>
        </w:rPr>
      </w:pPr>
    </w:p>
    <w:p w14:paraId="1D16B520" w14:textId="53D70E5C" w:rsidR="00E91268" w:rsidRDefault="00E91268" w:rsidP="00A30E6E">
      <w:pPr>
        <w:spacing w:after="0" w:line="240" w:lineRule="auto"/>
        <w:jc w:val="both"/>
        <w:rPr>
          <w:rFonts w:eastAsia="MS PGothic" w:cs="Calibri"/>
          <w:b/>
          <w:bCs/>
          <w:i/>
          <w:iCs/>
          <w:color w:val="4F81BD"/>
          <w:lang w:val="en-GB" w:eastAsia="zh-CN"/>
        </w:rPr>
      </w:pPr>
    </w:p>
    <w:p w14:paraId="7C4EB450" w14:textId="69D6CEAB" w:rsidR="00E91268" w:rsidRDefault="00E91268" w:rsidP="00A30E6E">
      <w:pPr>
        <w:spacing w:after="0" w:line="240" w:lineRule="auto"/>
        <w:jc w:val="both"/>
        <w:rPr>
          <w:rFonts w:eastAsia="MS PGothic" w:cs="Calibri"/>
          <w:b/>
          <w:bCs/>
          <w:i/>
          <w:iCs/>
          <w:color w:val="4F81BD"/>
          <w:lang w:val="en-GB" w:eastAsia="zh-CN"/>
        </w:rPr>
      </w:pPr>
    </w:p>
    <w:p w14:paraId="70C36443" w14:textId="14CEB472" w:rsidR="00E91268" w:rsidRDefault="00E91268" w:rsidP="00A30E6E">
      <w:pPr>
        <w:spacing w:after="0" w:line="240" w:lineRule="auto"/>
        <w:jc w:val="both"/>
        <w:rPr>
          <w:rFonts w:eastAsia="MS PGothic" w:cs="Calibri"/>
          <w:b/>
          <w:bCs/>
          <w:i/>
          <w:iCs/>
          <w:color w:val="4F81BD"/>
          <w:lang w:val="en-GB" w:eastAsia="zh-CN"/>
        </w:rPr>
      </w:pPr>
    </w:p>
    <w:p w14:paraId="58ED2373" w14:textId="609DA590" w:rsidR="00E91268" w:rsidRDefault="00E91268" w:rsidP="00A30E6E">
      <w:pPr>
        <w:spacing w:after="0" w:line="240" w:lineRule="auto"/>
        <w:jc w:val="both"/>
        <w:rPr>
          <w:rFonts w:eastAsia="MS PGothic" w:cs="Calibri"/>
          <w:b/>
          <w:bCs/>
          <w:i/>
          <w:iCs/>
          <w:color w:val="4F81BD"/>
          <w:lang w:val="en-GB" w:eastAsia="zh-CN"/>
        </w:rPr>
      </w:pPr>
    </w:p>
    <w:p w14:paraId="1AE575C8" w14:textId="378BAB1A" w:rsidR="00E91268" w:rsidRDefault="00E91268" w:rsidP="00A30E6E">
      <w:pPr>
        <w:spacing w:after="0" w:line="240" w:lineRule="auto"/>
        <w:jc w:val="both"/>
        <w:rPr>
          <w:rFonts w:eastAsia="MS PGothic" w:cs="Calibri"/>
          <w:b/>
          <w:bCs/>
          <w:i/>
          <w:iCs/>
          <w:color w:val="4F81BD"/>
          <w:lang w:val="en-GB" w:eastAsia="zh-CN"/>
        </w:rPr>
      </w:pPr>
    </w:p>
    <w:p w14:paraId="042FD9F1" w14:textId="7B67DD16" w:rsidR="00E91268" w:rsidRDefault="00E91268" w:rsidP="00A30E6E">
      <w:pPr>
        <w:spacing w:after="0" w:line="240" w:lineRule="auto"/>
        <w:jc w:val="both"/>
        <w:rPr>
          <w:rFonts w:eastAsia="MS PGothic" w:cs="Calibri"/>
          <w:b/>
          <w:bCs/>
          <w:i/>
          <w:iCs/>
          <w:color w:val="4F81BD"/>
          <w:lang w:val="en-GB" w:eastAsia="zh-CN"/>
        </w:rPr>
      </w:pPr>
    </w:p>
    <w:p w14:paraId="5A9994D0" w14:textId="01580F5B" w:rsidR="00E91268" w:rsidRDefault="00E91268" w:rsidP="00A30E6E">
      <w:pPr>
        <w:spacing w:after="0" w:line="240" w:lineRule="auto"/>
        <w:jc w:val="both"/>
        <w:rPr>
          <w:rFonts w:eastAsia="MS PGothic" w:cs="Calibri"/>
          <w:b/>
          <w:bCs/>
          <w:i/>
          <w:iCs/>
          <w:color w:val="4F81BD"/>
          <w:lang w:val="en-GB" w:eastAsia="zh-CN"/>
        </w:rPr>
      </w:pPr>
    </w:p>
    <w:p w14:paraId="2A51D7D9" w14:textId="02DA0B63" w:rsidR="00E91268" w:rsidRDefault="00E91268" w:rsidP="00A30E6E">
      <w:pPr>
        <w:spacing w:after="0" w:line="240" w:lineRule="auto"/>
        <w:jc w:val="both"/>
        <w:rPr>
          <w:rFonts w:eastAsia="MS PGothic" w:cs="Calibri"/>
          <w:b/>
          <w:bCs/>
          <w:i/>
          <w:iCs/>
          <w:color w:val="4F81BD"/>
          <w:lang w:val="en-GB" w:eastAsia="zh-CN"/>
        </w:rPr>
      </w:pPr>
    </w:p>
    <w:p w14:paraId="01F3969B" w14:textId="66604AB2" w:rsidR="00E91268" w:rsidRDefault="00E91268" w:rsidP="00A30E6E">
      <w:pPr>
        <w:spacing w:after="0" w:line="240" w:lineRule="auto"/>
        <w:jc w:val="both"/>
        <w:rPr>
          <w:rFonts w:eastAsia="MS PGothic" w:cs="Calibri"/>
          <w:b/>
          <w:bCs/>
          <w:i/>
          <w:iCs/>
          <w:color w:val="4F81BD"/>
          <w:lang w:val="en-GB" w:eastAsia="zh-CN"/>
        </w:rPr>
      </w:pPr>
    </w:p>
    <w:p w14:paraId="171E764B" w14:textId="25CF2FF5" w:rsidR="00E91268" w:rsidRDefault="00E91268" w:rsidP="00A30E6E">
      <w:pPr>
        <w:spacing w:after="0" w:line="240" w:lineRule="auto"/>
        <w:jc w:val="both"/>
        <w:rPr>
          <w:rFonts w:eastAsia="MS PGothic" w:cs="Calibri"/>
          <w:b/>
          <w:bCs/>
          <w:i/>
          <w:iCs/>
          <w:color w:val="4F81BD"/>
          <w:lang w:val="en-GB" w:eastAsia="zh-CN"/>
        </w:rPr>
      </w:pPr>
    </w:p>
    <w:p w14:paraId="186F9E00" w14:textId="33E0EC0D" w:rsidR="00E91268" w:rsidRDefault="00E91268" w:rsidP="00A30E6E">
      <w:pPr>
        <w:spacing w:after="0" w:line="240" w:lineRule="auto"/>
        <w:jc w:val="both"/>
        <w:rPr>
          <w:rFonts w:eastAsia="MS PGothic" w:cs="Calibri"/>
          <w:b/>
          <w:bCs/>
          <w:i/>
          <w:iCs/>
          <w:color w:val="4F81BD"/>
          <w:lang w:val="en-GB" w:eastAsia="zh-CN"/>
        </w:rPr>
      </w:pPr>
    </w:p>
    <w:p w14:paraId="56CC899C" w14:textId="4793B552" w:rsidR="00E91268" w:rsidRDefault="00E91268" w:rsidP="00A30E6E">
      <w:pPr>
        <w:spacing w:after="0" w:line="240" w:lineRule="auto"/>
        <w:jc w:val="both"/>
        <w:rPr>
          <w:rFonts w:eastAsia="MS PGothic" w:cs="Calibri"/>
          <w:b/>
          <w:bCs/>
          <w:i/>
          <w:iCs/>
          <w:color w:val="4F81BD"/>
          <w:lang w:val="en-GB" w:eastAsia="zh-CN"/>
        </w:rPr>
      </w:pPr>
    </w:p>
    <w:p w14:paraId="089FDB0A" w14:textId="7B2FCAA2" w:rsidR="00E91268" w:rsidRDefault="00E91268" w:rsidP="00A30E6E">
      <w:pPr>
        <w:spacing w:after="0" w:line="240" w:lineRule="auto"/>
        <w:jc w:val="both"/>
        <w:rPr>
          <w:rFonts w:eastAsia="MS PGothic" w:cs="Calibri"/>
          <w:b/>
          <w:bCs/>
          <w:i/>
          <w:iCs/>
          <w:color w:val="4F81BD"/>
          <w:lang w:val="en-GB" w:eastAsia="zh-CN"/>
        </w:rPr>
      </w:pPr>
    </w:p>
    <w:p w14:paraId="737D9D96" w14:textId="36AEA1A0" w:rsidR="00E91268" w:rsidRDefault="00E91268" w:rsidP="00A30E6E">
      <w:pPr>
        <w:spacing w:after="0" w:line="240" w:lineRule="auto"/>
        <w:jc w:val="both"/>
        <w:rPr>
          <w:rFonts w:eastAsia="MS PGothic" w:cs="Calibri"/>
          <w:b/>
          <w:bCs/>
          <w:i/>
          <w:iCs/>
          <w:color w:val="4F81BD"/>
          <w:lang w:val="en-GB" w:eastAsia="zh-CN"/>
        </w:rPr>
      </w:pPr>
    </w:p>
    <w:p w14:paraId="647B3FF4" w14:textId="20488FC3" w:rsidR="00E91268" w:rsidRDefault="00E91268" w:rsidP="00A30E6E">
      <w:pPr>
        <w:spacing w:after="0" w:line="240" w:lineRule="auto"/>
        <w:jc w:val="both"/>
        <w:rPr>
          <w:rFonts w:eastAsia="MS PGothic" w:cs="Calibri"/>
          <w:b/>
          <w:bCs/>
          <w:i/>
          <w:iCs/>
          <w:color w:val="4F81BD"/>
          <w:lang w:val="en-GB" w:eastAsia="zh-CN"/>
        </w:rPr>
      </w:pPr>
    </w:p>
    <w:p w14:paraId="1ABFEFF4" w14:textId="7D9FA06A" w:rsidR="00E91268" w:rsidRDefault="00E91268" w:rsidP="00A30E6E">
      <w:pPr>
        <w:spacing w:after="0" w:line="240" w:lineRule="auto"/>
        <w:jc w:val="both"/>
        <w:rPr>
          <w:rFonts w:eastAsia="MS PGothic" w:cs="Calibri"/>
          <w:b/>
          <w:bCs/>
          <w:i/>
          <w:iCs/>
          <w:color w:val="4F81BD"/>
          <w:lang w:val="en-GB" w:eastAsia="zh-CN"/>
        </w:rPr>
      </w:pPr>
    </w:p>
    <w:p w14:paraId="6FDA08A0" w14:textId="10603C9F" w:rsidR="00E91268" w:rsidRDefault="00E91268" w:rsidP="00A30E6E">
      <w:pPr>
        <w:spacing w:after="0" w:line="240" w:lineRule="auto"/>
        <w:jc w:val="both"/>
        <w:rPr>
          <w:rFonts w:eastAsia="MS PGothic" w:cs="Calibri"/>
          <w:b/>
          <w:bCs/>
          <w:i/>
          <w:iCs/>
          <w:color w:val="4F81BD"/>
          <w:lang w:val="en-GB" w:eastAsia="zh-CN"/>
        </w:rPr>
      </w:pPr>
    </w:p>
    <w:p w14:paraId="570263A5" w14:textId="3A91E1A1" w:rsidR="00E91268" w:rsidRDefault="00E91268" w:rsidP="00A30E6E">
      <w:pPr>
        <w:spacing w:after="0" w:line="240" w:lineRule="auto"/>
        <w:jc w:val="both"/>
        <w:rPr>
          <w:rFonts w:eastAsia="MS PGothic" w:cs="Calibri"/>
          <w:b/>
          <w:bCs/>
          <w:i/>
          <w:iCs/>
          <w:color w:val="4F81BD"/>
          <w:lang w:val="en-GB" w:eastAsia="zh-CN"/>
        </w:rPr>
      </w:pPr>
    </w:p>
    <w:p w14:paraId="0989AC51" w14:textId="6EBC0C78" w:rsidR="00E91268" w:rsidRDefault="00E91268" w:rsidP="00A30E6E">
      <w:pPr>
        <w:spacing w:after="0" w:line="240" w:lineRule="auto"/>
        <w:jc w:val="both"/>
        <w:rPr>
          <w:rFonts w:eastAsia="MS PGothic" w:cs="Calibri"/>
          <w:b/>
          <w:bCs/>
          <w:i/>
          <w:iCs/>
          <w:color w:val="4F81BD"/>
          <w:lang w:val="en-GB" w:eastAsia="zh-CN"/>
        </w:rPr>
      </w:pPr>
    </w:p>
    <w:p w14:paraId="3F3744EA" w14:textId="6D211A07" w:rsidR="00E91268" w:rsidRDefault="00E91268" w:rsidP="00A30E6E">
      <w:pPr>
        <w:spacing w:after="0" w:line="240" w:lineRule="auto"/>
        <w:jc w:val="both"/>
        <w:rPr>
          <w:rFonts w:eastAsia="MS PGothic" w:cs="Calibri"/>
          <w:b/>
          <w:bCs/>
          <w:i/>
          <w:iCs/>
          <w:color w:val="4F81BD"/>
          <w:lang w:val="en-GB" w:eastAsia="zh-CN"/>
        </w:rPr>
      </w:pPr>
    </w:p>
    <w:p w14:paraId="29F07AC7" w14:textId="1C2A754C" w:rsidR="00E91268" w:rsidRDefault="00E91268" w:rsidP="00A30E6E">
      <w:pPr>
        <w:spacing w:after="0" w:line="240" w:lineRule="auto"/>
        <w:jc w:val="both"/>
        <w:rPr>
          <w:rFonts w:eastAsia="MS PGothic" w:cs="Calibri"/>
          <w:b/>
          <w:bCs/>
          <w:i/>
          <w:iCs/>
          <w:color w:val="4F81BD"/>
          <w:lang w:val="en-GB" w:eastAsia="zh-CN"/>
        </w:rPr>
      </w:pPr>
    </w:p>
    <w:p w14:paraId="23E2B383" w14:textId="1C21B211" w:rsidR="00E91268" w:rsidRDefault="00E91268" w:rsidP="00A30E6E">
      <w:pPr>
        <w:spacing w:after="0" w:line="240" w:lineRule="auto"/>
        <w:jc w:val="both"/>
        <w:rPr>
          <w:rFonts w:eastAsia="MS PGothic" w:cs="Calibri"/>
          <w:b/>
          <w:bCs/>
          <w:i/>
          <w:iCs/>
          <w:color w:val="4F81BD"/>
          <w:lang w:val="en-GB" w:eastAsia="zh-CN"/>
        </w:rPr>
      </w:pPr>
    </w:p>
    <w:p w14:paraId="53B8F87D" w14:textId="797933FE" w:rsidR="00E91268" w:rsidRDefault="00E91268" w:rsidP="00A30E6E">
      <w:pPr>
        <w:spacing w:after="0" w:line="240" w:lineRule="auto"/>
        <w:jc w:val="both"/>
        <w:rPr>
          <w:rFonts w:eastAsia="MS PGothic" w:cs="Calibri"/>
          <w:b/>
          <w:bCs/>
          <w:i/>
          <w:iCs/>
          <w:color w:val="4F81BD"/>
          <w:lang w:val="en-GB" w:eastAsia="zh-CN"/>
        </w:rPr>
      </w:pPr>
    </w:p>
    <w:p w14:paraId="39CC7F80" w14:textId="7E834228" w:rsidR="00E91268" w:rsidRDefault="00E91268" w:rsidP="00A30E6E">
      <w:pPr>
        <w:spacing w:after="0" w:line="240" w:lineRule="auto"/>
        <w:jc w:val="both"/>
        <w:rPr>
          <w:rFonts w:eastAsia="MS PGothic" w:cs="Calibri"/>
          <w:b/>
          <w:bCs/>
          <w:i/>
          <w:iCs/>
          <w:color w:val="4F81BD"/>
          <w:lang w:val="en-GB" w:eastAsia="zh-CN"/>
        </w:rPr>
      </w:pPr>
    </w:p>
    <w:p w14:paraId="0C8DF0F2" w14:textId="79495E28" w:rsidR="00E91268" w:rsidRDefault="00E91268" w:rsidP="00A30E6E">
      <w:pPr>
        <w:spacing w:after="0" w:line="240" w:lineRule="auto"/>
        <w:jc w:val="both"/>
        <w:rPr>
          <w:rFonts w:eastAsia="MS PGothic" w:cs="Calibri"/>
          <w:b/>
          <w:bCs/>
          <w:i/>
          <w:iCs/>
          <w:color w:val="4F81BD"/>
          <w:lang w:val="en-GB" w:eastAsia="zh-CN"/>
        </w:rPr>
      </w:pPr>
    </w:p>
    <w:p w14:paraId="0EAE2B2E" w14:textId="3C272853" w:rsidR="00E91268" w:rsidRDefault="00E91268" w:rsidP="00A30E6E">
      <w:pPr>
        <w:spacing w:after="0" w:line="240" w:lineRule="auto"/>
        <w:jc w:val="both"/>
        <w:rPr>
          <w:rFonts w:eastAsia="MS PGothic" w:cs="Calibri"/>
          <w:b/>
          <w:bCs/>
          <w:i/>
          <w:iCs/>
          <w:color w:val="4F81BD"/>
          <w:lang w:val="en-GB" w:eastAsia="zh-CN"/>
        </w:rPr>
      </w:pPr>
    </w:p>
    <w:p w14:paraId="4116FB09" w14:textId="2EF86C49" w:rsidR="003C20E4" w:rsidRPr="00D30847" w:rsidRDefault="00522D07" w:rsidP="00CE2DF4">
      <w:pPr>
        <w:pStyle w:val="Heading1"/>
        <w:jc w:val="both"/>
        <w:rPr>
          <w:rFonts w:ascii="Calibri" w:hAnsi="Calibri" w:cs="Calibri"/>
          <w:color w:val="0070C0"/>
          <w:sz w:val="28"/>
          <w:szCs w:val="28"/>
          <w:lang w:val="en-GB"/>
        </w:rPr>
      </w:pPr>
      <w:bookmarkStart w:id="52" w:name="_Toc187841814"/>
      <w:r w:rsidRPr="00D30847">
        <w:rPr>
          <w:rFonts w:ascii="Calibri" w:hAnsi="Calibri" w:cs="Calibri"/>
          <w:color w:val="0070C0"/>
          <w:sz w:val="28"/>
          <w:szCs w:val="28"/>
          <w:lang w:val="en-GB"/>
        </w:rPr>
        <w:t>Priority 2:</w:t>
      </w:r>
      <w:r w:rsidR="00BA14A7" w:rsidRPr="00D30847">
        <w:rPr>
          <w:rFonts w:ascii="Calibri" w:hAnsi="Calibri" w:cs="Calibri"/>
          <w:color w:val="0070C0"/>
          <w:sz w:val="28"/>
          <w:szCs w:val="28"/>
          <w:lang w:val="en-GB"/>
        </w:rPr>
        <w:t xml:space="preserve"> </w:t>
      </w:r>
      <w:r w:rsidRPr="00D30847">
        <w:rPr>
          <w:rFonts w:ascii="Calibri" w:hAnsi="Calibri" w:cs="Calibri"/>
          <w:color w:val="0070C0"/>
          <w:sz w:val="28"/>
          <w:szCs w:val="28"/>
          <w:lang w:val="en-GB"/>
        </w:rPr>
        <w:t>Public Private Partnerships (PPPs)</w:t>
      </w:r>
      <w:r w:rsidR="005A6AD5" w:rsidRPr="00D30847">
        <w:rPr>
          <w:rFonts w:ascii="Calibri" w:hAnsi="Calibri" w:cs="Calibri"/>
          <w:color w:val="0070C0"/>
          <w:sz w:val="28"/>
          <w:szCs w:val="28"/>
          <w:lang w:val="en-GB"/>
        </w:rPr>
        <w:t xml:space="preserve"> and Concession on goods of general interest</w:t>
      </w:r>
      <w:bookmarkEnd w:id="52"/>
    </w:p>
    <w:p w14:paraId="29A96DCD" w14:textId="77777777" w:rsidR="00522D07" w:rsidRPr="00D30847" w:rsidRDefault="00522D07" w:rsidP="00E84CD0">
      <w:pPr>
        <w:spacing w:before="80" w:after="80" w:line="240" w:lineRule="auto"/>
        <w:jc w:val="both"/>
        <w:rPr>
          <w:rFonts w:cs="Calibri"/>
          <w:b/>
          <w:bCs/>
          <w:i/>
          <w:iCs/>
          <w:color w:val="4F81BD"/>
          <w:lang w:val="en-GB"/>
        </w:rPr>
      </w:pPr>
      <w:r w:rsidRPr="00D30847">
        <w:rPr>
          <w:rFonts w:cs="Calibri"/>
          <w:b/>
          <w:bCs/>
          <w:i/>
          <w:iCs/>
          <w:color w:val="4F81BD"/>
          <w:lang w:val="en-GB"/>
        </w:rPr>
        <w:t>Objective</w:t>
      </w:r>
    </w:p>
    <w:p w14:paraId="63E609AB" w14:textId="77777777" w:rsidR="00522D07" w:rsidRPr="00D30847" w:rsidRDefault="00522D07" w:rsidP="00E84CD0">
      <w:pPr>
        <w:spacing w:line="240" w:lineRule="auto"/>
        <w:jc w:val="both"/>
        <w:rPr>
          <w:rFonts w:cs="Calibri"/>
          <w:lang w:val="en-GB"/>
        </w:rPr>
      </w:pPr>
      <w:r w:rsidRPr="00D30847">
        <w:rPr>
          <w:rFonts w:cs="Calibri"/>
          <w:lang w:val="en-GB"/>
        </w:rPr>
        <w:t xml:space="preserve">The goal is through new policies in the field of public-private partnership in the Republic of North Macedonia to provide all the prerequisites in the development of an effective public-private partnership system that will enable activation of hitherto inactive funds for construction of large buildings and facilities of public interest, while stimulating competition and achieving the most value for money. </w:t>
      </w:r>
    </w:p>
    <w:p w14:paraId="0B0DC7CE" w14:textId="5BAC17A6" w:rsidR="00522D07" w:rsidRPr="00D30847" w:rsidRDefault="00522D07" w:rsidP="00E84CD0">
      <w:pPr>
        <w:spacing w:line="240" w:lineRule="auto"/>
        <w:jc w:val="both"/>
        <w:rPr>
          <w:rFonts w:cs="Calibri"/>
          <w:lang w:val="en-GB"/>
        </w:rPr>
      </w:pPr>
      <w:r w:rsidRPr="00D30847">
        <w:rPr>
          <w:rFonts w:cs="Calibri"/>
          <w:lang w:val="en-GB"/>
        </w:rPr>
        <w:t>In the Republic of North Macedonia, the granting of concessions of goods of general interest and the agreements for establishment of public-private partnership, legal protection in the procedure, as well as other issues related to the concessions of goods of general interest and the agreements for establishment of public-private partnership are regulated by Law on Concessions and Public Private Partnership ("Official Gazette of the Republic of Macedonia" No. 6/12, 144/14, 33/15, 104/15, 215/15 and "Official Gazette of the Republic of North Macedonia" No. 153/19</w:t>
      </w:r>
      <w:r w:rsidR="007658A6" w:rsidRPr="00D30847">
        <w:rPr>
          <w:rFonts w:cs="Calibri"/>
          <w:lang w:val="en-GB"/>
        </w:rPr>
        <w:t>,</w:t>
      </w:r>
      <w:r w:rsidRPr="00D30847">
        <w:rPr>
          <w:rFonts w:cs="Calibri"/>
          <w:lang w:val="en-GB"/>
        </w:rPr>
        <w:t xml:space="preserve"> 261 / 19</w:t>
      </w:r>
      <w:r w:rsidR="007658A6" w:rsidRPr="00D30847">
        <w:rPr>
          <w:rFonts w:cs="Calibri"/>
          <w:lang w:val="en-GB"/>
        </w:rPr>
        <w:t>, 89/2022  65/2023</w:t>
      </w:r>
      <w:r w:rsidR="005A6AD5" w:rsidRPr="00D30847">
        <w:rPr>
          <w:rFonts w:cs="Calibri"/>
          <w:lang w:val="en-GB"/>
        </w:rPr>
        <w:t>, 89/2022</w:t>
      </w:r>
      <w:r w:rsidR="00A843BF">
        <w:rPr>
          <w:rFonts w:cs="Calibri"/>
          <w:lang w:val="en-GB"/>
        </w:rPr>
        <w:t xml:space="preserve">, </w:t>
      </w:r>
      <w:r w:rsidR="005A6AD5" w:rsidRPr="00D30847">
        <w:rPr>
          <w:rFonts w:cs="Calibri"/>
          <w:lang w:val="en-GB"/>
        </w:rPr>
        <w:t>65/2023</w:t>
      </w:r>
      <w:r w:rsidR="00A843BF">
        <w:rPr>
          <w:rFonts w:cs="Calibri"/>
          <w:lang w:val="en-GB"/>
        </w:rPr>
        <w:t xml:space="preserve"> and 147/2024</w:t>
      </w:r>
      <w:r w:rsidR="005A6AD5" w:rsidRPr="00D30847">
        <w:rPr>
          <w:rFonts w:cs="Calibri"/>
          <w:lang w:val="en-GB"/>
        </w:rPr>
        <w:t>)</w:t>
      </w:r>
      <w:r w:rsidRPr="00D30847">
        <w:rPr>
          <w:rFonts w:cs="Calibri"/>
          <w:lang w:val="en-GB"/>
        </w:rPr>
        <w:t>. This law is based on the principles of transparency, non-discrimination, proportionality, efficiency, equal treatment and mutual recognition. With the adoption of Directive 2014/23 / EU on the award of concession contracts, which change the EU procurement rules, the need to transpose it into domestic law was imposed, i</w:t>
      </w:r>
      <w:r w:rsidR="00BD0412" w:rsidRPr="00D30847">
        <w:rPr>
          <w:rFonts w:cs="Calibri"/>
          <w:lang w:val="en-GB"/>
        </w:rPr>
        <w:t>.</w:t>
      </w:r>
      <w:r w:rsidRPr="00D30847">
        <w:rPr>
          <w:rFonts w:cs="Calibri"/>
          <w:lang w:val="en-GB"/>
        </w:rPr>
        <w:t>e</w:t>
      </w:r>
      <w:r w:rsidR="00BD0412" w:rsidRPr="00D30847">
        <w:rPr>
          <w:rFonts w:cs="Calibri"/>
          <w:lang w:val="en-GB"/>
        </w:rPr>
        <w:t>.</w:t>
      </w:r>
      <w:r w:rsidRPr="00D30847">
        <w:rPr>
          <w:rFonts w:cs="Calibri"/>
          <w:lang w:val="en-GB"/>
        </w:rPr>
        <w:t xml:space="preserve"> the need to establish clear rules for the award of contracts for establishment of a public-private partnership, which leads to greater legal certainty and free provision of services.</w:t>
      </w:r>
    </w:p>
    <w:p w14:paraId="2AB6E5C8" w14:textId="723F61E9" w:rsidR="00522D07" w:rsidRPr="00D30847" w:rsidRDefault="00522D07" w:rsidP="00E84CD0">
      <w:pPr>
        <w:spacing w:line="240" w:lineRule="auto"/>
        <w:jc w:val="both"/>
        <w:rPr>
          <w:rFonts w:cs="Calibri"/>
          <w:lang w:val="en-GB"/>
        </w:rPr>
      </w:pPr>
      <w:r w:rsidRPr="00D30847">
        <w:rPr>
          <w:rFonts w:cs="Calibri"/>
          <w:lang w:val="en-GB"/>
        </w:rPr>
        <w:t>In order to transpose the directive and establish an efficient public-private partnership system, in cooperation with and with the technical assistance of World Bank experts, a preliminary analysis of the situation in the field of public-private partnership and concessions was prepared, identifying certain weaknesses in the law</w:t>
      </w:r>
      <w:r w:rsidR="00044C9B" w:rsidRPr="00D30847">
        <w:rPr>
          <w:rFonts w:cs="Calibri"/>
          <w:lang w:val="en-GB"/>
        </w:rPr>
        <w:t>,</w:t>
      </w:r>
      <w:r w:rsidRPr="00D30847">
        <w:rPr>
          <w:rFonts w:cs="Calibri"/>
          <w:lang w:val="en-GB"/>
        </w:rPr>
        <w:t xml:space="preserve"> and the need to act through new policies in the field of public-private partnership in the Republic of North Macedonia. To this can be added the status of a partially updated register of contracts for establishing a public-private partnership (which is kept in paper form and in an excel spreadsheet), due to which it does not have complete data on all concluded contracts, because not all public partners act in accordance with the obligation to submit data for a concluded contract for establishing a public-private partnership to the Ministry of Economy</w:t>
      </w:r>
      <w:r w:rsidR="00A843BF">
        <w:rPr>
          <w:rFonts w:cs="Calibri"/>
          <w:lang w:val="en-GB"/>
        </w:rPr>
        <w:t xml:space="preserve">, which until recently was responsible for action in this area. </w:t>
      </w:r>
      <w:r w:rsidRPr="00D30847">
        <w:rPr>
          <w:rFonts w:cs="Calibri"/>
          <w:lang w:val="en-GB"/>
        </w:rPr>
        <w:t>In the process of implementation of the law, certain weaknesses have been recorded in terms of regulating the matter relating to the planning, prioritization and selection, preparation and approval of public-private partnership projects, as well as in terms of monitoring and overseeing the implementation of the procedures for awarding the contracts for establishing a public-private partnership</w:t>
      </w:r>
      <w:r w:rsidR="00A843BF">
        <w:rPr>
          <w:rFonts w:cs="Calibri"/>
          <w:lang w:val="en-GB"/>
        </w:rPr>
        <w:t xml:space="preserve"> and with that,</w:t>
      </w:r>
      <w:r w:rsidRPr="00D30847">
        <w:rPr>
          <w:rFonts w:cs="Calibri"/>
          <w:lang w:val="en-GB"/>
        </w:rPr>
        <w:t xml:space="preserve"> and in relation to the very realization of the concluded contracts, due to which there is no complete insight into the continuity and full transparency in the process of awarding and implementing the contracts for establishing a public-private partnership.</w:t>
      </w:r>
    </w:p>
    <w:p w14:paraId="3C911E55" w14:textId="57AF3324" w:rsidR="00893CDE" w:rsidRDefault="00522D07" w:rsidP="00893CDE">
      <w:pPr>
        <w:spacing w:line="240" w:lineRule="auto"/>
        <w:jc w:val="both"/>
        <w:rPr>
          <w:rFonts w:cs="Calibri"/>
          <w:lang w:val="en-GB"/>
        </w:rPr>
      </w:pPr>
      <w:r w:rsidRPr="00D30847">
        <w:rPr>
          <w:rFonts w:cs="Calibri"/>
          <w:lang w:val="en-GB"/>
        </w:rPr>
        <w:t>In direction for providing compliance with EU legislation, i</w:t>
      </w:r>
      <w:r w:rsidR="00AC5AD1" w:rsidRPr="00D30847">
        <w:rPr>
          <w:rFonts w:cs="Calibri"/>
          <w:lang w:val="en-GB"/>
        </w:rPr>
        <w:t>.</w:t>
      </w:r>
      <w:r w:rsidRPr="00D30847">
        <w:rPr>
          <w:rFonts w:cs="Calibri"/>
          <w:lang w:val="en-GB"/>
        </w:rPr>
        <w:t>e</w:t>
      </w:r>
      <w:r w:rsidR="00AC5AD1" w:rsidRPr="00D30847">
        <w:rPr>
          <w:rFonts w:cs="Calibri"/>
          <w:lang w:val="en-GB"/>
        </w:rPr>
        <w:t>.</w:t>
      </w:r>
      <w:r w:rsidRPr="00D30847">
        <w:rPr>
          <w:rFonts w:cs="Calibri"/>
          <w:lang w:val="en-GB"/>
        </w:rPr>
        <w:t xml:space="preserve"> transposition of Directive 2014/23 / EU on the award of concession agreements, as well as the creation of policies in the field of concessions and public-private partnership for preparation and implementation of quality and successful public projects, the Draft Law on Public Private Partnership </w:t>
      </w:r>
      <w:r w:rsidR="00893CDE" w:rsidRPr="00D30847">
        <w:rPr>
          <w:rFonts w:cs="Calibri"/>
          <w:lang w:val="en-GB"/>
        </w:rPr>
        <w:t xml:space="preserve">was harmonised with the recommendations from the European </w:t>
      </w:r>
      <w:r w:rsidR="00F50612" w:rsidRPr="00D30847">
        <w:rPr>
          <w:rFonts w:cs="Calibri"/>
          <w:lang w:val="en-GB"/>
        </w:rPr>
        <w:t>Commission</w:t>
      </w:r>
      <w:r w:rsidR="006A7245">
        <w:rPr>
          <w:rFonts w:cs="Calibri"/>
          <w:lang w:val="en-GB"/>
        </w:rPr>
        <w:t>,</w:t>
      </w:r>
      <w:r w:rsidR="00893CDE" w:rsidRPr="00D30847">
        <w:rPr>
          <w:rFonts w:cs="Calibri"/>
          <w:lang w:val="en-GB"/>
        </w:rPr>
        <w:t xml:space="preserve"> </w:t>
      </w:r>
      <w:r w:rsidR="006A7245" w:rsidRPr="006A7245">
        <w:rPr>
          <w:rFonts w:cs="Calibri"/>
          <w:lang w:val="en-GB"/>
        </w:rPr>
        <w:t>after which  was submitted for opinion to the relevant institutions, and is currently in the phase before being submitted to the government procedure.</w:t>
      </w:r>
    </w:p>
    <w:p w14:paraId="5A3CA3F9" w14:textId="77777777" w:rsidR="006A7245" w:rsidRPr="006A7245" w:rsidRDefault="006A7245" w:rsidP="006A7245">
      <w:pPr>
        <w:spacing w:line="240" w:lineRule="auto"/>
        <w:jc w:val="both"/>
        <w:rPr>
          <w:rFonts w:cs="Calibri"/>
          <w:lang w:val="en-GB"/>
        </w:rPr>
      </w:pPr>
      <w:r w:rsidRPr="006A7245">
        <w:rPr>
          <w:rFonts w:cs="Calibri"/>
          <w:lang w:val="en-GB"/>
        </w:rPr>
        <w:t xml:space="preserve">Considering that during the application of the existing legislation in this area, it has been found that among the involved entities there is a confusion in the perception of concessions as public-private partnerships and concessions of goods of general interest, which is reflected in the appropriate application of the rules and procedure for awarding concessions according to the type, especially since </w:t>
      </w:r>
      <w:r w:rsidRPr="006A7245">
        <w:rPr>
          <w:rFonts w:cs="Calibri"/>
          <w:lang w:val="en-GB"/>
        </w:rPr>
        <w:lastRenderedPageBreak/>
        <w:t>concessions of goods of general interest do not fall within the scope of the directive, as a special type of concession by which public entities make public wealth available to private parties for a longer period of time, without real cooperation between the parties, the need to regulate them in two separate laws has arisen.</w:t>
      </w:r>
    </w:p>
    <w:p w14:paraId="636B7872" w14:textId="77777777" w:rsidR="006A7245" w:rsidRPr="006A7245" w:rsidRDefault="006A7245" w:rsidP="006A7245">
      <w:pPr>
        <w:spacing w:line="240" w:lineRule="auto"/>
        <w:jc w:val="both"/>
        <w:rPr>
          <w:rFonts w:cs="Calibri"/>
          <w:lang w:val="en-GB"/>
        </w:rPr>
      </w:pPr>
      <w:r w:rsidRPr="006A7245">
        <w:rPr>
          <w:rFonts w:cs="Calibri"/>
          <w:lang w:val="en-GB"/>
        </w:rPr>
        <w:t>Namely, the priority is to prescribe clear rules for the awarding and implementation of concessions of goods of general interest by means of a special law, i.e. unifying and sublimating the entire process of their awarding, and by introducing a Register of Concessions of Goods of General Interest, as a single database for this type of concessions, to ensure traceability and transparency both in the preparation process and in the process of managing concessions of goods of general interest for their successful implementation, and by prescribing misdemeanour provisions for grantors in cases where they fail to act in accordance with their obligations and authorizations established by law, to ensure consistent implementation of the law.</w:t>
      </w:r>
    </w:p>
    <w:p w14:paraId="7749CF94" w14:textId="2CF8AA52" w:rsidR="006A7245" w:rsidRPr="00D30847" w:rsidRDefault="006A7245" w:rsidP="006A7245">
      <w:pPr>
        <w:spacing w:line="240" w:lineRule="auto"/>
        <w:jc w:val="both"/>
        <w:rPr>
          <w:rFonts w:cs="Calibri"/>
          <w:lang w:val="en-GB"/>
        </w:rPr>
      </w:pPr>
      <w:r w:rsidRPr="006A7245">
        <w:rPr>
          <w:rFonts w:cs="Calibri"/>
          <w:lang w:val="en-GB"/>
        </w:rPr>
        <w:t>In parallel with the Draft Law on Public Private Partnership, the Draft Law on Concession of Goods of General Interest was also prepared, which is in the phase of sending requests for opinions from the competent institutions, after which it will be submitted to the government procedure in parallel with the Draft Law on Public Private Partnership.</w:t>
      </w:r>
    </w:p>
    <w:p w14:paraId="7A387682" w14:textId="2E8F5CE4" w:rsidR="00893CDE" w:rsidRPr="00D30847" w:rsidRDefault="00893CDE" w:rsidP="00893CDE">
      <w:pPr>
        <w:spacing w:line="240" w:lineRule="auto"/>
        <w:jc w:val="both"/>
        <w:rPr>
          <w:rFonts w:cs="Calibri"/>
          <w:lang w:val="en-GB"/>
        </w:rPr>
      </w:pPr>
      <w:r w:rsidRPr="00D30847">
        <w:rPr>
          <w:rFonts w:cs="Calibri"/>
          <w:lang w:val="en-GB"/>
        </w:rPr>
        <w:t xml:space="preserve">In order to implement </w:t>
      </w:r>
      <w:r w:rsidR="00F50612" w:rsidRPr="00D30847">
        <w:rPr>
          <w:rFonts w:cs="Calibri"/>
          <w:lang w:val="en-GB"/>
        </w:rPr>
        <w:t xml:space="preserve">Measure 1 </w:t>
      </w:r>
      <w:r w:rsidRPr="00D30847">
        <w:rPr>
          <w:rFonts w:cs="Calibri"/>
          <w:lang w:val="en-GB"/>
        </w:rPr>
        <w:t xml:space="preserve">establishment of the Unique Electronic System for Public Private Partnership, it is necessary to provide financial resources in the amount up to 1.000.000 </w:t>
      </w:r>
      <w:proofErr w:type="spellStart"/>
      <w:r w:rsidR="00514D12" w:rsidRPr="00D30847">
        <w:rPr>
          <w:rFonts w:cs="Calibri"/>
          <w:lang w:val="en-GB"/>
        </w:rPr>
        <w:t>eur</w:t>
      </w:r>
      <w:proofErr w:type="spellEnd"/>
      <w:r w:rsidR="00514D12" w:rsidRPr="00D30847">
        <w:rPr>
          <w:rFonts w:cs="Calibri"/>
          <w:lang w:val="en-GB"/>
        </w:rPr>
        <w:t xml:space="preserve"> (</w:t>
      </w:r>
      <w:r w:rsidRPr="00D30847">
        <w:rPr>
          <w:rFonts w:cs="Calibri"/>
          <w:lang w:val="en-GB"/>
        </w:rPr>
        <w:t>according to the information in the technical specification for the preparation and development of the software provided by experts from the World Bank. We point out that securing of the necessary financial resources is a serious problem despite several attempts to provide them from the Budget of Republic of North Macedonia, so we need help to provide these funds from donors.</w:t>
      </w:r>
    </w:p>
    <w:p w14:paraId="63275947" w14:textId="37532381" w:rsidR="00522D07" w:rsidRPr="00D30847" w:rsidRDefault="00893CDE" w:rsidP="00E84CD0">
      <w:pPr>
        <w:spacing w:line="240" w:lineRule="auto"/>
        <w:jc w:val="both"/>
        <w:rPr>
          <w:rFonts w:cs="Calibri"/>
          <w:lang w:val="en-GB"/>
        </w:rPr>
      </w:pPr>
      <w:r w:rsidRPr="00D30847">
        <w:rPr>
          <w:rFonts w:cs="Calibri"/>
          <w:lang w:val="en-GB"/>
        </w:rPr>
        <w:t>The Law on PPP is closely related and dependent of the implementation of the UESPPP, so without the appropriate software, the law itself will remain inapplicable, which will affect the deadline for starting its application, which means that until the UESPPP is established, the law will have delayed application.</w:t>
      </w:r>
    </w:p>
    <w:p w14:paraId="14A9F142" w14:textId="77777777" w:rsidR="00A86AFB" w:rsidRPr="00D30847" w:rsidRDefault="00A86AFB" w:rsidP="00A86AFB">
      <w:pPr>
        <w:spacing w:line="240" w:lineRule="auto"/>
        <w:jc w:val="both"/>
        <w:rPr>
          <w:rFonts w:cs="Calibri"/>
          <w:lang w:val="en-GB"/>
        </w:rPr>
      </w:pPr>
      <w:r w:rsidRPr="00D30847">
        <w:rPr>
          <w:rFonts w:cs="Calibri"/>
          <w:lang w:val="en-GB"/>
        </w:rPr>
        <w:t>The goal of this priority will be achieved through the following measures and activities:</w:t>
      </w:r>
    </w:p>
    <w:tbl>
      <w:tblPr>
        <w:tblW w:w="8538" w:type="dxa"/>
        <w:tblLook w:val="01E0" w:firstRow="1" w:lastRow="1" w:firstColumn="1" w:lastColumn="1" w:noHBand="0" w:noVBand="0"/>
      </w:tblPr>
      <w:tblGrid>
        <w:gridCol w:w="2112"/>
        <w:gridCol w:w="6426"/>
      </w:tblGrid>
      <w:tr w:rsidR="00A86AFB" w:rsidRPr="00D30847" w14:paraId="34D0685A" w14:textId="77777777" w:rsidTr="008D5030">
        <w:trPr>
          <w:trHeight w:val="631"/>
        </w:trPr>
        <w:tc>
          <w:tcPr>
            <w:tcW w:w="2112" w:type="dxa"/>
            <w:shd w:val="clear" w:color="auto" w:fill="auto"/>
          </w:tcPr>
          <w:p w14:paraId="56993084" w14:textId="77777777" w:rsidR="00A86AFB" w:rsidRPr="00D30847" w:rsidRDefault="00A86AFB" w:rsidP="008D5030">
            <w:pPr>
              <w:spacing w:after="0" w:line="240" w:lineRule="auto"/>
              <w:rPr>
                <w:rFonts w:cs="Calibri"/>
                <w:b/>
                <w:lang w:val="en-GB"/>
              </w:rPr>
            </w:pPr>
            <w:r w:rsidRPr="00D30847">
              <w:rPr>
                <w:rFonts w:cs="Calibri"/>
                <w:b/>
                <w:lang w:val="en-GB"/>
              </w:rPr>
              <w:t>Measure 1:</w:t>
            </w:r>
          </w:p>
        </w:tc>
        <w:tc>
          <w:tcPr>
            <w:tcW w:w="6426" w:type="dxa"/>
            <w:shd w:val="clear" w:color="auto" w:fill="auto"/>
          </w:tcPr>
          <w:p w14:paraId="4DE712FE" w14:textId="6A789181" w:rsidR="00A86AFB" w:rsidRPr="00D30847" w:rsidRDefault="00A86AFB" w:rsidP="008D5030">
            <w:pPr>
              <w:spacing w:after="0" w:line="240" w:lineRule="auto"/>
              <w:jc w:val="both"/>
              <w:rPr>
                <w:rFonts w:cs="Calibri"/>
                <w:b/>
                <w:lang w:val="en-GB"/>
              </w:rPr>
            </w:pPr>
            <w:r w:rsidRPr="00D30847">
              <w:rPr>
                <w:rFonts w:cs="Calibri"/>
                <w:b/>
                <w:lang w:val="en-GB"/>
              </w:rPr>
              <w:t>Establishment of the Uni</w:t>
            </w:r>
            <w:r w:rsidR="00F75FBE">
              <w:rPr>
                <w:rFonts w:cs="Calibri"/>
                <w:b/>
                <w:lang w:val="en-GB"/>
              </w:rPr>
              <w:t>que</w:t>
            </w:r>
            <w:r w:rsidRPr="00D30847">
              <w:rPr>
                <w:rFonts w:cs="Calibri"/>
                <w:b/>
                <w:lang w:val="en-GB"/>
              </w:rPr>
              <w:t xml:space="preserve"> Electronic Public Private Partnership System (UESPPP) </w:t>
            </w:r>
          </w:p>
        </w:tc>
      </w:tr>
      <w:tr w:rsidR="00A86AFB" w:rsidRPr="00D30847" w14:paraId="56B6B071" w14:textId="77777777" w:rsidTr="008D5030">
        <w:trPr>
          <w:trHeight w:val="1123"/>
        </w:trPr>
        <w:tc>
          <w:tcPr>
            <w:tcW w:w="2112" w:type="dxa"/>
            <w:shd w:val="clear" w:color="auto" w:fill="auto"/>
          </w:tcPr>
          <w:p w14:paraId="3A400283" w14:textId="77777777" w:rsidR="00A86AFB" w:rsidRPr="00D30847" w:rsidRDefault="00A86AFB" w:rsidP="008D5030">
            <w:pPr>
              <w:spacing w:after="0" w:line="240" w:lineRule="auto"/>
              <w:rPr>
                <w:rFonts w:cs="Calibri"/>
                <w:lang w:val="en-GB"/>
              </w:rPr>
            </w:pPr>
            <w:r w:rsidRPr="00D30847">
              <w:rPr>
                <w:rFonts w:cs="Calibri"/>
                <w:lang w:val="en-GB"/>
              </w:rPr>
              <w:t>Activity 1:</w:t>
            </w:r>
          </w:p>
          <w:p w14:paraId="44AD2FCF" w14:textId="77777777" w:rsidR="00A86AFB" w:rsidRPr="00D30847" w:rsidRDefault="00A86AFB" w:rsidP="008D5030">
            <w:pPr>
              <w:spacing w:after="0" w:line="240" w:lineRule="auto"/>
              <w:rPr>
                <w:rFonts w:cs="Calibri"/>
                <w:lang w:val="en-GB"/>
              </w:rPr>
            </w:pPr>
          </w:p>
        </w:tc>
        <w:tc>
          <w:tcPr>
            <w:tcW w:w="6426" w:type="dxa"/>
            <w:shd w:val="clear" w:color="auto" w:fill="auto"/>
          </w:tcPr>
          <w:p w14:paraId="430FF855" w14:textId="77777777" w:rsidR="00A86AFB" w:rsidRPr="00D30847" w:rsidRDefault="00A86AFB" w:rsidP="008D5030">
            <w:pPr>
              <w:spacing w:after="0" w:line="240" w:lineRule="auto"/>
              <w:jc w:val="both"/>
              <w:rPr>
                <w:rFonts w:eastAsia="MS PGothic" w:cs="Calibri"/>
                <w:sz w:val="21"/>
                <w:szCs w:val="21"/>
                <w:lang w:val="en-GB" w:eastAsia="zh-CN"/>
              </w:rPr>
            </w:pPr>
            <w:r w:rsidRPr="00D30847">
              <w:rPr>
                <w:rFonts w:cs="Calibri"/>
                <w:bCs/>
                <w:iCs/>
                <w:lang w:val="en-GB"/>
              </w:rPr>
              <w:t>Selection of an IT company for preparation of the Improving and upgrading the UESPPP and a Register of awarded contracts for the establishment of public-private partnership</w:t>
            </w:r>
            <w:r w:rsidRPr="00D30847">
              <w:rPr>
                <w:rFonts w:eastAsia="MS PGothic" w:cs="Calibri"/>
                <w:sz w:val="21"/>
                <w:szCs w:val="21"/>
                <w:lang w:val="en-GB" w:eastAsia="zh-CN"/>
              </w:rPr>
              <w:t>;</w:t>
            </w:r>
          </w:p>
        </w:tc>
      </w:tr>
      <w:tr w:rsidR="00A86AFB" w:rsidRPr="00D30847" w14:paraId="2DC199DC" w14:textId="77777777" w:rsidTr="008D5030">
        <w:trPr>
          <w:trHeight w:val="1138"/>
        </w:trPr>
        <w:tc>
          <w:tcPr>
            <w:tcW w:w="2112" w:type="dxa"/>
            <w:shd w:val="clear" w:color="auto" w:fill="auto"/>
          </w:tcPr>
          <w:p w14:paraId="399BB78B" w14:textId="77777777" w:rsidR="00A86AFB" w:rsidRPr="00D30847" w:rsidRDefault="00A86AFB" w:rsidP="008D5030">
            <w:pPr>
              <w:spacing w:after="0" w:line="240" w:lineRule="auto"/>
              <w:rPr>
                <w:rFonts w:cs="Calibri"/>
                <w:b/>
                <w:lang w:val="en-GB"/>
              </w:rPr>
            </w:pPr>
            <w:r w:rsidRPr="00D30847">
              <w:rPr>
                <w:rFonts w:cs="Calibri"/>
                <w:lang w:val="en-GB"/>
              </w:rPr>
              <w:t>Activity 2:</w:t>
            </w:r>
          </w:p>
        </w:tc>
        <w:tc>
          <w:tcPr>
            <w:tcW w:w="6426" w:type="dxa"/>
            <w:shd w:val="clear" w:color="auto" w:fill="auto"/>
          </w:tcPr>
          <w:p w14:paraId="25DD16D4" w14:textId="77777777" w:rsidR="00A86AFB" w:rsidRPr="00D30847" w:rsidRDefault="00A86AFB" w:rsidP="008D5030">
            <w:pPr>
              <w:spacing w:after="0" w:line="240" w:lineRule="auto"/>
              <w:jc w:val="both"/>
              <w:rPr>
                <w:rFonts w:cs="Calibri"/>
                <w:b/>
                <w:lang w:val="en-GB"/>
              </w:rPr>
            </w:pPr>
            <w:r w:rsidRPr="00D30847">
              <w:rPr>
                <w:rFonts w:cs="Calibri"/>
                <w:lang w:val="en-GB"/>
              </w:rPr>
              <w:t>Preparation and implementation of the software solution for the establishment of public-private partnership and a Register of awarded contracts</w:t>
            </w:r>
            <w:r w:rsidRPr="00D30847">
              <w:rPr>
                <w:rFonts w:cs="Calibri"/>
                <w:b/>
                <w:lang w:val="en-GB"/>
              </w:rPr>
              <w:t xml:space="preserve"> </w:t>
            </w:r>
            <w:r w:rsidRPr="00D30847">
              <w:rPr>
                <w:rFonts w:cs="Calibri"/>
                <w:lang w:val="en-GB"/>
              </w:rPr>
              <w:t>the establishment of public-private partnership</w:t>
            </w:r>
            <w:r w:rsidRPr="00D30847">
              <w:rPr>
                <w:rFonts w:cs="Calibri"/>
                <w:b/>
                <w:lang w:val="en-GB"/>
              </w:rPr>
              <w:t>.</w:t>
            </w:r>
          </w:p>
        </w:tc>
      </w:tr>
      <w:tr w:rsidR="00A86AFB" w:rsidRPr="00D30847" w14:paraId="0614DBD8" w14:textId="77777777" w:rsidTr="008D5030">
        <w:trPr>
          <w:trHeight w:val="714"/>
        </w:trPr>
        <w:tc>
          <w:tcPr>
            <w:tcW w:w="2112" w:type="dxa"/>
            <w:shd w:val="clear" w:color="auto" w:fill="auto"/>
          </w:tcPr>
          <w:p w14:paraId="77385467" w14:textId="77777777" w:rsidR="00A86AFB" w:rsidRPr="00D30847" w:rsidRDefault="00A86AFB" w:rsidP="008D5030">
            <w:pPr>
              <w:spacing w:after="0" w:line="240" w:lineRule="auto"/>
              <w:rPr>
                <w:rFonts w:cs="Calibri"/>
                <w:b/>
                <w:lang w:val="en-GB"/>
              </w:rPr>
            </w:pPr>
            <w:bookmarkStart w:id="53" w:name="_Hlk89265043"/>
            <w:r w:rsidRPr="00D30847">
              <w:rPr>
                <w:rFonts w:cs="Calibri"/>
                <w:b/>
                <w:lang w:val="en-GB"/>
              </w:rPr>
              <w:t>Measure 2:</w:t>
            </w:r>
          </w:p>
        </w:tc>
        <w:tc>
          <w:tcPr>
            <w:tcW w:w="6426" w:type="dxa"/>
            <w:shd w:val="clear" w:color="auto" w:fill="auto"/>
          </w:tcPr>
          <w:p w14:paraId="470AD832" w14:textId="3444386A" w:rsidR="00A86AFB" w:rsidRPr="00D30847" w:rsidRDefault="00A86AFB" w:rsidP="008D5030">
            <w:pPr>
              <w:spacing w:after="0" w:line="240" w:lineRule="auto"/>
              <w:jc w:val="both"/>
              <w:rPr>
                <w:rFonts w:cs="Calibri"/>
                <w:b/>
                <w:lang w:val="en-GB"/>
              </w:rPr>
            </w:pPr>
            <w:r w:rsidRPr="00D30847">
              <w:rPr>
                <w:rFonts w:cs="Calibri"/>
                <w:b/>
                <w:lang w:val="en-GB"/>
              </w:rPr>
              <w:t>Completing the legal and regulatory framework in the field of public-private partnership</w:t>
            </w:r>
            <w:r w:rsidR="00982A68">
              <w:rPr>
                <w:rFonts w:cs="Calibri"/>
                <w:b/>
                <w:lang w:val="en-GB"/>
              </w:rPr>
              <w:t xml:space="preserve"> </w:t>
            </w:r>
            <w:r w:rsidR="00982A68" w:rsidRPr="00982A68">
              <w:rPr>
                <w:rFonts w:cs="Calibri"/>
                <w:b/>
                <w:lang w:val="en-GB"/>
              </w:rPr>
              <w:t>and Concession on goods of general interest</w:t>
            </w:r>
          </w:p>
        </w:tc>
      </w:tr>
      <w:tr w:rsidR="00A86AFB" w:rsidRPr="00D30847" w14:paraId="3D0293A8" w14:textId="77777777" w:rsidTr="008D5030">
        <w:trPr>
          <w:trHeight w:val="710"/>
        </w:trPr>
        <w:tc>
          <w:tcPr>
            <w:tcW w:w="2112" w:type="dxa"/>
            <w:shd w:val="clear" w:color="auto" w:fill="auto"/>
          </w:tcPr>
          <w:p w14:paraId="6942B399" w14:textId="77777777" w:rsidR="00A86AFB" w:rsidRPr="00D30847" w:rsidRDefault="00A86AFB" w:rsidP="008D5030">
            <w:pPr>
              <w:spacing w:after="0" w:line="240" w:lineRule="auto"/>
              <w:rPr>
                <w:rFonts w:cs="Calibri"/>
                <w:lang w:val="en-GB"/>
              </w:rPr>
            </w:pPr>
            <w:r w:rsidRPr="00D30847">
              <w:rPr>
                <w:rFonts w:cs="Calibri"/>
                <w:lang w:val="en-GB"/>
              </w:rPr>
              <w:t>Activity 1:</w:t>
            </w:r>
          </w:p>
        </w:tc>
        <w:tc>
          <w:tcPr>
            <w:tcW w:w="6426" w:type="dxa"/>
            <w:shd w:val="clear" w:color="auto" w:fill="auto"/>
          </w:tcPr>
          <w:p w14:paraId="3EF0F562" w14:textId="3FAC15AF" w:rsidR="00A86AFB" w:rsidRPr="00D30847" w:rsidRDefault="00A86AFB" w:rsidP="008D5030">
            <w:pPr>
              <w:spacing w:after="0" w:line="240" w:lineRule="auto"/>
              <w:jc w:val="both"/>
              <w:rPr>
                <w:rFonts w:cs="Calibri"/>
                <w:lang w:val="en-GB"/>
              </w:rPr>
            </w:pPr>
            <w:r w:rsidRPr="00D30847">
              <w:rPr>
                <w:rFonts w:cs="Calibri"/>
                <w:lang w:val="en-GB"/>
              </w:rPr>
              <w:t xml:space="preserve">Preparation  and adoption of 13 bylaws that will arise from the Law on Public Private Partnership and preparation of the </w:t>
            </w:r>
            <w:r w:rsidR="00514D12" w:rsidRPr="00D30847">
              <w:rPr>
                <w:rFonts w:cs="Calibri"/>
                <w:lang w:val="en-GB"/>
              </w:rPr>
              <w:t>Guideline</w:t>
            </w:r>
            <w:r w:rsidRPr="00D30847">
              <w:rPr>
                <w:rFonts w:cs="Calibri"/>
                <w:lang w:val="en-GB"/>
              </w:rPr>
              <w:t xml:space="preserve"> with </w:t>
            </w:r>
            <w:r w:rsidR="00514D12" w:rsidRPr="00D30847">
              <w:rPr>
                <w:rFonts w:cs="Calibri"/>
                <w:lang w:val="en-GB"/>
              </w:rPr>
              <w:t>examples</w:t>
            </w:r>
            <w:r w:rsidRPr="00D30847">
              <w:rPr>
                <w:rFonts w:cs="Calibri"/>
                <w:lang w:val="en-GB"/>
              </w:rPr>
              <w:t xml:space="preserve"> of PPP </w:t>
            </w:r>
            <w:r w:rsidR="00514D12" w:rsidRPr="00D30847">
              <w:rPr>
                <w:rFonts w:cs="Calibri"/>
                <w:lang w:val="en-GB"/>
              </w:rPr>
              <w:t>projects</w:t>
            </w:r>
          </w:p>
        </w:tc>
      </w:tr>
      <w:bookmarkEnd w:id="53"/>
      <w:tr w:rsidR="00A86AFB" w:rsidRPr="00D30847" w14:paraId="002FC0C0" w14:textId="77777777" w:rsidTr="008D5030">
        <w:trPr>
          <w:trHeight w:val="848"/>
        </w:trPr>
        <w:tc>
          <w:tcPr>
            <w:tcW w:w="2112" w:type="dxa"/>
            <w:shd w:val="clear" w:color="auto" w:fill="auto"/>
          </w:tcPr>
          <w:p w14:paraId="26E772D1" w14:textId="77777777" w:rsidR="00A86AFB" w:rsidRPr="00D30847" w:rsidRDefault="00A86AFB" w:rsidP="008D5030">
            <w:pPr>
              <w:spacing w:after="0" w:line="240" w:lineRule="auto"/>
              <w:rPr>
                <w:rFonts w:cs="Calibri"/>
                <w:lang w:val="en-GB"/>
              </w:rPr>
            </w:pPr>
            <w:r w:rsidRPr="00D30847">
              <w:rPr>
                <w:rFonts w:cs="Calibri"/>
                <w:lang w:val="en-GB"/>
              </w:rPr>
              <w:t>Activity 2:</w:t>
            </w:r>
          </w:p>
        </w:tc>
        <w:tc>
          <w:tcPr>
            <w:tcW w:w="6426" w:type="dxa"/>
            <w:shd w:val="clear" w:color="auto" w:fill="auto"/>
          </w:tcPr>
          <w:p w14:paraId="182C8D27" w14:textId="667A23E3" w:rsidR="00A86AFB" w:rsidRPr="00D30847" w:rsidRDefault="00A86AFB" w:rsidP="008D5030">
            <w:pPr>
              <w:spacing w:after="0" w:line="240" w:lineRule="auto"/>
              <w:jc w:val="both"/>
              <w:rPr>
                <w:rFonts w:cs="Calibri"/>
                <w:lang w:val="en-GB"/>
              </w:rPr>
            </w:pPr>
            <w:r w:rsidRPr="00D30847">
              <w:rPr>
                <w:rFonts w:cs="Calibri"/>
                <w:lang w:val="en-GB"/>
              </w:rPr>
              <w:t xml:space="preserve">Preparation  and adoption of </w:t>
            </w:r>
            <w:r w:rsidR="006A7245">
              <w:rPr>
                <w:rFonts w:cs="Calibri"/>
                <w:lang w:val="en-GB"/>
              </w:rPr>
              <w:t>2</w:t>
            </w:r>
            <w:r w:rsidRPr="00D30847">
              <w:rPr>
                <w:rFonts w:cs="Calibri"/>
                <w:lang w:val="en-GB"/>
              </w:rPr>
              <w:t xml:space="preserve"> bylaws that will arise from the f the Law on Concession on goods of general interest</w:t>
            </w:r>
          </w:p>
        </w:tc>
      </w:tr>
      <w:tr w:rsidR="00A86AFB" w:rsidRPr="00D30847" w14:paraId="080E6464" w14:textId="77777777" w:rsidTr="008D5030">
        <w:tc>
          <w:tcPr>
            <w:tcW w:w="2112" w:type="dxa"/>
            <w:shd w:val="clear" w:color="auto" w:fill="auto"/>
          </w:tcPr>
          <w:p w14:paraId="43024657" w14:textId="77777777" w:rsidR="00A86AFB" w:rsidRPr="00D30847" w:rsidRDefault="00A86AFB" w:rsidP="008D5030">
            <w:pPr>
              <w:spacing w:after="0" w:line="240" w:lineRule="auto"/>
              <w:rPr>
                <w:rFonts w:cs="Calibri"/>
                <w:b/>
                <w:lang w:val="en-GB"/>
              </w:rPr>
            </w:pPr>
            <w:r w:rsidRPr="00D30847">
              <w:rPr>
                <w:rFonts w:cs="Calibri"/>
                <w:b/>
                <w:lang w:val="en-GB"/>
              </w:rPr>
              <w:lastRenderedPageBreak/>
              <w:t>Measure 3:</w:t>
            </w:r>
          </w:p>
          <w:p w14:paraId="4951411D" w14:textId="77777777" w:rsidR="00A86AFB" w:rsidRPr="00D30847" w:rsidRDefault="00A86AFB" w:rsidP="008D5030">
            <w:pPr>
              <w:spacing w:after="0" w:line="240" w:lineRule="auto"/>
              <w:ind w:right="-144"/>
              <w:rPr>
                <w:rFonts w:eastAsia="Times New Roman" w:cs="Calibri"/>
                <w:lang w:val="en-GB" w:eastAsia="x-none"/>
              </w:rPr>
            </w:pPr>
          </w:p>
        </w:tc>
        <w:tc>
          <w:tcPr>
            <w:tcW w:w="6426" w:type="dxa"/>
            <w:shd w:val="clear" w:color="auto" w:fill="auto"/>
          </w:tcPr>
          <w:p w14:paraId="4D3BBEAA" w14:textId="56A292EF" w:rsidR="00A86AFB" w:rsidRPr="00D30847" w:rsidRDefault="006A7245" w:rsidP="008D5030">
            <w:pPr>
              <w:spacing w:after="0" w:line="240" w:lineRule="auto"/>
              <w:jc w:val="both"/>
              <w:rPr>
                <w:rFonts w:eastAsia="Times New Roman" w:cs="Calibri"/>
                <w:lang w:val="en-GB" w:eastAsia="x-none"/>
              </w:rPr>
            </w:pPr>
            <w:r w:rsidRPr="006A7245">
              <w:rPr>
                <w:rFonts w:cs="Calibri"/>
                <w:b/>
                <w:lang w:val="en-GB"/>
              </w:rPr>
              <w:t>Strengthening and developing the capacities of the Ministry of Energy, Mining and Mineral Resources in the area of public-private partnership.</w:t>
            </w:r>
          </w:p>
        </w:tc>
      </w:tr>
      <w:tr w:rsidR="00A86AFB" w:rsidRPr="00D30847" w14:paraId="147CA0CA" w14:textId="77777777" w:rsidTr="008D5030">
        <w:tc>
          <w:tcPr>
            <w:tcW w:w="2112" w:type="dxa"/>
            <w:shd w:val="clear" w:color="auto" w:fill="auto"/>
          </w:tcPr>
          <w:p w14:paraId="2B2E01A2" w14:textId="77777777" w:rsidR="00A86AFB" w:rsidRPr="00D30847" w:rsidRDefault="00A86AFB" w:rsidP="008D5030">
            <w:pPr>
              <w:spacing w:after="0" w:line="240" w:lineRule="auto"/>
              <w:ind w:right="-144"/>
              <w:rPr>
                <w:rFonts w:eastAsia="Times New Roman" w:cs="Calibri"/>
                <w:lang w:val="en-GB" w:eastAsia="x-none"/>
              </w:rPr>
            </w:pPr>
            <w:r w:rsidRPr="00D30847">
              <w:rPr>
                <w:rFonts w:cs="Calibri"/>
                <w:lang w:val="en-GB"/>
              </w:rPr>
              <w:t>Activity 1:</w:t>
            </w:r>
          </w:p>
        </w:tc>
        <w:tc>
          <w:tcPr>
            <w:tcW w:w="6426" w:type="dxa"/>
            <w:shd w:val="clear" w:color="auto" w:fill="auto"/>
          </w:tcPr>
          <w:p w14:paraId="1F016B43" w14:textId="0DC12121" w:rsidR="00A86AFB" w:rsidRPr="00D30847" w:rsidRDefault="006A7245" w:rsidP="008D5030">
            <w:pPr>
              <w:spacing w:after="0" w:line="240" w:lineRule="auto"/>
              <w:jc w:val="both"/>
              <w:rPr>
                <w:rFonts w:eastAsia="Times New Roman" w:cs="Calibri"/>
                <w:lang w:val="en-GB" w:eastAsia="x-none"/>
              </w:rPr>
            </w:pPr>
            <w:r w:rsidRPr="006A7245">
              <w:rPr>
                <w:rFonts w:cs="Calibri"/>
                <w:lang w:val="en-GB"/>
              </w:rPr>
              <w:t>Increasing the number of employees in the Ministry of Energy, Mining and Mineral Resources in the area of public-private partnership and their professional training and development in order to ensure consistent implementation of the law in this area.</w:t>
            </w:r>
          </w:p>
        </w:tc>
      </w:tr>
    </w:tbl>
    <w:p w14:paraId="4E54DD27" w14:textId="77777777" w:rsidR="00522D07" w:rsidRPr="00D30847" w:rsidRDefault="00522D07" w:rsidP="00E84CD0">
      <w:pPr>
        <w:spacing w:before="80" w:after="80" w:line="240" w:lineRule="auto"/>
        <w:jc w:val="both"/>
        <w:rPr>
          <w:rFonts w:cs="Calibri"/>
          <w:b/>
          <w:bCs/>
          <w:i/>
          <w:iCs/>
          <w:color w:val="4F81BD"/>
          <w:lang w:val="en-GB"/>
        </w:rPr>
      </w:pPr>
    </w:p>
    <w:p w14:paraId="28B4F05E" w14:textId="77777777" w:rsidR="00522D07" w:rsidRPr="00D30847" w:rsidRDefault="00522D07" w:rsidP="00E84CD0">
      <w:pPr>
        <w:spacing w:before="80" w:after="80" w:line="240" w:lineRule="auto"/>
        <w:jc w:val="both"/>
        <w:rPr>
          <w:rFonts w:cs="Calibri"/>
          <w:b/>
          <w:bCs/>
          <w:i/>
          <w:iCs/>
          <w:color w:val="4F81BD"/>
          <w:lang w:val="en-GB"/>
        </w:rPr>
      </w:pPr>
      <w:r w:rsidRPr="00D30847">
        <w:rPr>
          <w:rFonts w:cs="Calibri"/>
          <w:b/>
          <w:bCs/>
          <w:i/>
          <w:iCs/>
          <w:color w:val="4F81BD"/>
          <w:lang w:val="en-GB"/>
        </w:rPr>
        <w:t>Outcome</w:t>
      </w:r>
    </w:p>
    <w:p w14:paraId="0F08909E" w14:textId="77777777" w:rsidR="006A7245" w:rsidRDefault="00522D07" w:rsidP="00E84CD0">
      <w:pPr>
        <w:spacing w:line="240" w:lineRule="auto"/>
        <w:jc w:val="both"/>
        <w:rPr>
          <w:rFonts w:cs="Calibri"/>
          <w:lang w:val="en-GB"/>
        </w:rPr>
      </w:pPr>
      <w:r w:rsidRPr="00D30847">
        <w:rPr>
          <w:rFonts w:cs="Calibri"/>
          <w:lang w:val="en-GB"/>
        </w:rPr>
        <w:t xml:space="preserve">Unification and digitalization of the process of awarding contracts for establishing public-private partnership, increased transparency and efficiency in the implementation of the Law on Public-Private Partnership and strengthening and developing the capacities of </w:t>
      </w:r>
      <w:r w:rsidR="006A7245" w:rsidRPr="006A7245">
        <w:rPr>
          <w:rFonts w:cs="Calibri"/>
          <w:lang w:val="en-GB"/>
        </w:rPr>
        <w:t>the Ministry of Energy, Mining and Mineral resources for consistent realization of competencies according to law.</w:t>
      </w:r>
    </w:p>
    <w:p w14:paraId="4203AF59" w14:textId="77777777" w:rsidR="006A7245" w:rsidRDefault="006A7245" w:rsidP="00E84CD0">
      <w:pPr>
        <w:spacing w:after="0" w:line="240" w:lineRule="auto"/>
        <w:jc w:val="both"/>
        <w:rPr>
          <w:rFonts w:cs="Calibri"/>
          <w:lang w:val="en-GB"/>
        </w:rPr>
      </w:pPr>
      <w:r w:rsidRPr="006A7245">
        <w:rPr>
          <w:rFonts w:cs="Calibri"/>
          <w:lang w:val="en-GB"/>
        </w:rPr>
        <w:t>In order to consistently implement the activities, responsibilities and obligations of the competent authority in this area arising from the Law on PPP, it was planned to hire two new employees in 2023 and one in 2024, whereby we emphasize that the planned hirings have not been realized. This is because the competent Ministry that gives consent to the Employment Budget is the Ministry of Finance, which did not approve two hiring’s for 2023. Due to this obstacle, new hirings of civil servants will be postponed to 2025-2026.</w:t>
      </w:r>
    </w:p>
    <w:p w14:paraId="050B77B5" w14:textId="77777777" w:rsidR="006A7245" w:rsidRDefault="006A7245" w:rsidP="00E84CD0">
      <w:pPr>
        <w:spacing w:after="0" w:line="240" w:lineRule="auto"/>
        <w:jc w:val="both"/>
        <w:rPr>
          <w:rFonts w:cs="Calibri"/>
          <w:b/>
          <w:bCs/>
          <w:i/>
          <w:iCs/>
          <w:color w:val="4F81BD"/>
          <w:lang w:val="en-GB"/>
        </w:rPr>
      </w:pPr>
    </w:p>
    <w:p w14:paraId="111B92F0" w14:textId="3E52AEDF" w:rsidR="00522D07" w:rsidRPr="00D30847" w:rsidRDefault="00522D07" w:rsidP="00E84CD0">
      <w:pPr>
        <w:spacing w:after="0" w:line="240" w:lineRule="auto"/>
        <w:jc w:val="both"/>
        <w:rPr>
          <w:rFonts w:cs="Calibri"/>
          <w:b/>
          <w:bCs/>
          <w:i/>
          <w:iCs/>
          <w:color w:val="4F81BD"/>
          <w:lang w:val="en-GB"/>
        </w:rPr>
      </w:pPr>
      <w:r w:rsidRPr="00D30847">
        <w:rPr>
          <w:rFonts w:cs="Calibri"/>
          <w:b/>
          <w:bCs/>
          <w:i/>
          <w:iCs/>
          <w:color w:val="4F81BD"/>
          <w:lang w:val="en-GB"/>
        </w:rPr>
        <w:t>Outcome indicators</w:t>
      </w:r>
    </w:p>
    <w:p w14:paraId="602F8CD1" w14:textId="77777777" w:rsidR="00BD26BA" w:rsidRPr="00D30847" w:rsidRDefault="00BD26BA" w:rsidP="00E84CD0">
      <w:pPr>
        <w:spacing w:after="0" w:line="240" w:lineRule="auto"/>
        <w:jc w:val="both"/>
        <w:rPr>
          <w:rFonts w:cs="Calibri"/>
          <w:b/>
          <w:bCs/>
          <w:i/>
          <w:iCs/>
          <w:color w:val="4F81BD"/>
          <w:lang w:val="en-GB"/>
        </w:rPr>
      </w:pPr>
    </w:p>
    <w:p w14:paraId="69E0B124" w14:textId="2C51E8C3" w:rsidR="00522D07" w:rsidRPr="00D30847" w:rsidRDefault="00BA14A7" w:rsidP="00BA14A7">
      <w:pPr>
        <w:spacing w:line="240" w:lineRule="auto"/>
        <w:jc w:val="both"/>
        <w:rPr>
          <w:rFonts w:cs="Calibri"/>
          <w:lang w:val="en-GB"/>
        </w:rPr>
      </w:pPr>
      <w:r w:rsidRPr="00D30847">
        <w:rPr>
          <w:rFonts w:cs="Calibri"/>
          <w:lang w:val="en-GB"/>
        </w:rPr>
        <w:t xml:space="preserve">1. </w:t>
      </w:r>
      <w:r w:rsidR="00522D07" w:rsidRPr="00D30847">
        <w:rPr>
          <w:rFonts w:cs="Calibri"/>
          <w:lang w:val="en-GB"/>
        </w:rPr>
        <w:t>Number of concluded agreements for establishing a public-private partnership;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4506"/>
      </w:tblGrid>
      <w:tr w:rsidR="007541EA" w:rsidRPr="00D30847" w14:paraId="39D0D98A" w14:textId="77777777" w:rsidTr="00356610">
        <w:trPr>
          <w:trHeight w:val="395"/>
        </w:trPr>
        <w:tc>
          <w:tcPr>
            <w:tcW w:w="4500" w:type="dxa"/>
            <w:shd w:val="clear" w:color="auto" w:fill="E8E8E8"/>
          </w:tcPr>
          <w:p w14:paraId="6BF89581" w14:textId="7491E35F" w:rsidR="007541EA" w:rsidRPr="00D30847" w:rsidRDefault="007541EA"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6A7245">
              <w:rPr>
                <w:rFonts w:eastAsia="Times New Roman" w:cs="Calibri"/>
                <w:b/>
                <w:bCs/>
                <w:i/>
                <w:iCs/>
                <w:color w:val="202124"/>
                <w:sz w:val="20"/>
                <w:szCs w:val="20"/>
                <w:lang w:val="en-GB"/>
              </w:rPr>
              <w:t>3</w:t>
            </w:r>
          </w:p>
        </w:tc>
        <w:tc>
          <w:tcPr>
            <w:tcW w:w="4608" w:type="dxa"/>
            <w:shd w:val="clear" w:color="auto" w:fill="E8E8E8"/>
          </w:tcPr>
          <w:p w14:paraId="3A8C777D" w14:textId="12E3CBAC" w:rsidR="007541EA" w:rsidRPr="007E0F9C" w:rsidRDefault="007541EA" w:rsidP="002B77A4">
            <w:pPr>
              <w:spacing w:line="240" w:lineRule="auto"/>
              <w:jc w:val="both"/>
              <w:rPr>
                <w:rFonts w:eastAsia="Times New Roman" w:cs="Calibri"/>
                <w:b/>
                <w:bCs/>
                <w:i/>
                <w:iCs/>
                <w:color w:val="202124"/>
                <w:sz w:val="20"/>
                <w:szCs w:val="20"/>
              </w:rPr>
            </w:pPr>
            <w:r w:rsidRPr="00D30847">
              <w:rPr>
                <w:rFonts w:eastAsia="Times New Roman" w:cs="Calibri"/>
                <w:b/>
                <w:bCs/>
                <w:i/>
                <w:iCs/>
                <w:color w:val="202124"/>
                <w:sz w:val="20"/>
                <w:szCs w:val="20"/>
                <w:lang w:val="en-GB"/>
              </w:rPr>
              <w:t>Target 202</w:t>
            </w:r>
            <w:r w:rsidR="007E0F9C">
              <w:rPr>
                <w:rFonts w:eastAsia="Times New Roman" w:cs="Calibri"/>
                <w:b/>
                <w:bCs/>
                <w:i/>
                <w:iCs/>
                <w:color w:val="202124"/>
                <w:sz w:val="20"/>
                <w:szCs w:val="20"/>
              </w:rPr>
              <w:t>8</w:t>
            </w:r>
          </w:p>
        </w:tc>
      </w:tr>
      <w:tr w:rsidR="007541EA" w:rsidRPr="00D30847" w14:paraId="57AA25FE" w14:textId="77777777" w:rsidTr="00356610">
        <w:trPr>
          <w:trHeight w:val="278"/>
        </w:trPr>
        <w:tc>
          <w:tcPr>
            <w:tcW w:w="4500" w:type="dxa"/>
            <w:shd w:val="clear" w:color="auto" w:fill="E8E8E8"/>
          </w:tcPr>
          <w:p w14:paraId="1C3668E3" w14:textId="26CAECEC" w:rsidR="007541EA" w:rsidRPr="00D30847" w:rsidRDefault="00212B38" w:rsidP="00BD26BA">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Five (5) concluded public-private partnership agreements registered in the Register of awarded public-private partnership agreements</w:t>
            </w:r>
          </w:p>
        </w:tc>
        <w:tc>
          <w:tcPr>
            <w:tcW w:w="4608" w:type="dxa"/>
            <w:shd w:val="clear" w:color="auto" w:fill="E8E8E8"/>
          </w:tcPr>
          <w:p w14:paraId="6E629990" w14:textId="236706E5" w:rsidR="007541EA" w:rsidRPr="00D30847" w:rsidRDefault="00212B38" w:rsidP="00BD26BA">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Potential increase in the number of concluded public-private partnership agreements by 5% compared to the previous year</w:t>
            </w:r>
          </w:p>
        </w:tc>
      </w:tr>
    </w:tbl>
    <w:p w14:paraId="358064B4" w14:textId="77777777" w:rsidR="007541EA" w:rsidRPr="00D30847" w:rsidRDefault="007541EA" w:rsidP="007541EA">
      <w:pPr>
        <w:spacing w:line="240" w:lineRule="auto"/>
        <w:ind w:left="720"/>
        <w:jc w:val="both"/>
        <w:rPr>
          <w:rFonts w:cs="Calibri"/>
          <w:lang w:val="en-GB"/>
        </w:rPr>
      </w:pPr>
    </w:p>
    <w:p w14:paraId="19A428A8" w14:textId="0D210E2A" w:rsidR="00522D07" w:rsidRPr="00D30847" w:rsidRDefault="00BA14A7" w:rsidP="00BA14A7">
      <w:pPr>
        <w:spacing w:line="240" w:lineRule="auto"/>
        <w:jc w:val="both"/>
        <w:rPr>
          <w:rFonts w:cs="Calibri"/>
          <w:lang w:val="en-GB"/>
        </w:rPr>
      </w:pPr>
      <w:r w:rsidRPr="00D30847">
        <w:rPr>
          <w:rFonts w:cs="Calibri"/>
          <w:lang w:val="en-GB"/>
        </w:rPr>
        <w:t xml:space="preserve">2. </w:t>
      </w:r>
      <w:r w:rsidR="00522D07" w:rsidRPr="00D30847">
        <w:rPr>
          <w:rFonts w:cs="Calibri"/>
          <w:lang w:val="en-GB"/>
        </w:rPr>
        <w:t>Effective and consistent implementation of the obligations of the contracting parties in   accordance with the agreements for establishment of public-private partnership.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4506"/>
      </w:tblGrid>
      <w:tr w:rsidR="007541EA" w:rsidRPr="00D30847" w14:paraId="6D530B9A" w14:textId="77777777" w:rsidTr="00356610">
        <w:trPr>
          <w:trHeight w:val="395"/>
        </w:trPr>
        <w:tc>
          <w:tcPr>
            <w:tcW w:w="4500" w:type="dxa"/>
            <w:shd w:val="clear" w:color="auto" w:fill="E8E8E8"/>
          </w:tcPr>
          <w:p w14:paraId="49B871A6" w14:textId="12BED734" w:rsidR="007541EA" w:rsidRPr="00D30847" w:rsidRDefault="007541EA" w:rsidP="002B77A4">
            <w:pPr>
              <w:spacing w:line="240" w:lineRule="auto"/>
              <w:jc w:val="both"/>
              <w:rPr>
                <w:rFonts w:eastAsia="Times New Roman" w:cs="Calibri"/>
                <w:b/>
                <w:bCs/>
                <w:i/>
                <w:iCs/>
                <w:color w:val="202124"/>
                <w:lang w:val="en-GB"/>
              </w:rPr>
            </w:pPr>
            <w:r w:rsidRPr="00D30847">
              <w:rPr>
                <w:rFonts w:eastAsia="Times New Roman" w:cs="Calibri"/>
                <w:b/>
                <w:bCs/>
                <w:i/>
                <w:iCs/>
                <w:color w:val="202124"/>
                <w:lang w:val="en-GB"/>
              </w:rPr>
              <w:t>Baseline 202</w:t>
            </w:r>
            <w:r w:rsidR="006A7245">
              <w:rPr>
                <w:rFonts w:eastAsia="Times New Roman" w:cs="Calibri"/>
                <w:b/>
                <w:bCs/>
                <w:i/>
                <w:iCs/>
                <w:color w:val="202124"/>
                <w:lang w:val="en-GB"/>
              </w:rPr>
              <w:t>3</w:t>
            </w:r>
          </w:p>
        </w:tc>
        <w:tc>
          <w:tcPr>
            <w:tcW w:w="4608" w:type="dxa"/>
            <w:shd w:val="clear" w:color="auto" w:fill="E8E8E8"/>
          </w:tcPr>
          <w:p w14:paraId="43ECC51F" w14:textId="28BABA6C" w:rsidR="007541EA" w:rsidRPr="007E0F9C" w:rsidRDefault="007541EA" w:rsidP="002B77A4">
            <w:pPr>
              <w:spacing w:line="240" w:lineRule="auto"/>
              <w:jc w:val="both"/>
              <w:rPr>
                <w:rFonts w:eastAsia="Times New Roman" w:cs="Calibri"/>
                <w:b/>
                <w:bCs/>
                <w:i/>
                <w:iCs/>
                <w:color w:val="202124"/>
              </w:rPr>
            </w:pPr>
            <w:r w:rsidRPr="00D30847">
              <w:rPr>
                <w:rFonts w:eastAsia="Times New Roman" w:cs="Calibri"/>
                <w:b/>
                <w:bCs/>
                <w:i/>
                <w:iCs/>
                <w:color w:val="202124"/>
                <w:lang w:val="en-GB"/>
              </w:rPr>
              <w:t>Target 202</w:t>
            </w:r>
            <w:r w:rsidR="007E0F9C">
              <w:rPr>
                <w:rFonts w:eastAsia="Times New Roman" w:cs="Calibri"/>
                <w:b/>
                <w:bCs/>
                <w:i/>
                <w:iCs/>
                <w:color w:val="202124"/>
              </w:rPr>
              <w:t>8</w:t>
            </w:r>
          </w:p>
        </w:tc>
      </w:tr>
      <w:tr w:rsidR="007541EA" w:rsidRPr="00D30847" w14:paraId="14F1CFB0" w14:textId="77777777" w:rsidTr="00356610">
        <w:trPr>
          <w:trHeight w:val="278"/>
        </w:trPr>
        <w:tc>
          <w:tcPr>
            <w:tcW w:w="4500" w:type="dxa"/>
            <w:shd w:val="clear" w:color="auto" w:fill="E8E8E8"/>
          </w:tcPr>
          <w:p w14:paraId="25F10EE1" w14:textId="69F7EE2F" w:rsidR="007541EA" w:rsidRPr="00D30847" w:rsidRDefault="00120E2D" w:rsidP="002B77A4">
            <w:pPr>
              <w:spacing w:line="240" w:lineRule="auto"/>
              <w:jc w:val="both"/>
              <w:rPr>
                <w:rFonts w:eastAsia="Times New Roman" w:cs="Calibri"/>
                <w:color w:val="202124"/>
                <w:lang w:val="en-GB"/>
              </w:rPr>
            </w:pPr>
            <w:r w:rsidRPr="00D30847">
              <w:rPr>
                <w:rFonts w:eastAsia="Times New Roman" w:cs="Calibri"/>
                <w:color w:val="202124"/>
                <w:lang w:val="en-GB"/>
              </w:rPr>
              <w:t>30% of</w:t>
            </w:r>
            <w:r w:rsidR="00212B38" w:rsidRPr="00D30847">
              <w:rPr>
                <w:rFonts w:eastAsia="Times New Roman" w:cs="Calibri"/>
                <w:color w:val="202124"/>
                <w:lang w:val="en-GB"/>
              </w:rPr>
              <w:t xml:space="preserve"> </w:t>
            </w:r>
            <w:r w:rsidRPr="00D30847">
              <w:rPr>
                <w:rFonts w:eastAsia="Times New Roman" w:cs="Calibri"/>
                <w:color w:val="202124"/>
                <w:lang w:val="en-GB"/>
              </w:rPr>
              <w:t>the</w:t>
            </w:r>
            <w:r w:rsidR="00212B38" w:rsidRPr="00D30847">
              <w:rPr>
                <w:rFonts w:eastAsia="Times New Roman" w:cs="Calibri"/>
                <w:color w:val="202124"/>
                <w:lang w:val="en-GB"/>
              </w:rPr>
              <w:t xml:space="preserve"> </w:t>
            </w:r>
            <w:r w:rsidRPr="00D30847">
              <w:rPr>
                <w:rFonts w:eastAsia="Times New Roman" w:cs="Calibri"/>
                <w:color w:val="202124"/>
                <w:lang w:val="en-GB"/>
              </w:rPr>
              <w:t>concluded</w:t>
            </w:r>
            <w:r w:rsidR="00212B38" w:rsidRPr="00D30847">
              <w:rPr>
                <w:rFonts w:eastAsia="Times New Roman" w:cs="Calibri"/>
                <w:color w:val="202124"/>
                <w:lang w:val="en-GB"/>
              </w:rPr>
              <w:t xml:space="preserve"> </w:t>
            </w:r>
            <w:r w:rsidRPr="00D30847">
              <w:rPr>
                <w:rFonts w:eastAsia="Times New Roman" w:cs="Calibri"/>
                <w:color w:val="202124"/>
                <w:lang w:val="en-GB"/>
              </w:rPr>
              <w:t>agreements</w:t>
            </w:r>
            <w:r w:rsidR="00212B38" w:rsidRPr="00D30847">
              <w:rPr>
                <w:rFonts w:eastAsia="Times New Roman" w:cs="Calibri"/>
                <w:color w:val="202124"/>
                <w:lang w:val="en-GB"/>
              </w:rPr>
              <w:t xml:space="preserve"> </w:t>
            </w:r>
            <w:r w:rsidRPr="00D30847">
              <w:rPr>
                <w:rFonts w:eastAsia="Times New Roman" w:cs="Calibri"/>
                <w:color w:val="202124"/>
                <w:lang w:val="en-GB"/>
              </w:rPr>
              <w:t>for</w:t>
            </w:r>
            <w:r w:rsidR="00212B38" w:rsidRPr="00D30847">
              <w:rPr>
                <w:rFonts w:eastAsia="Times New Roman" w:cs="Calibri"/>
                <w:color w:val="202124"/>
                <w:lang w:val="en-GB"/>
              </w:rPr>
              <w:t xml:space="preserve"> </w:t>
            </w:r>
            <w:r w:rsidRPr="00D30847">
              <w:rPr>
                <w:rFonts w:eastAsia="Times New Roman" w:cs="Calibri"/>
                <w:color w:val="202124"/>
                <w:lang w:val="en-GB"/>
              </w:rPr>
              <w:t>establishing a public-private</w:t>
            </w:r>
            <w:r w:rsidR="00212B38" w:rsidRPr="00D30847">
              <w:rPr>
                <w:rFonts w:eastAsia="Times New Roman" w:cs="Calibri"/>
                <w:color w:val="202124"/>
                <w:lang w:val="en-GB"/>
              </w:rPr>
              <w:t xml:space="preserve"> </w:t>
            </w:r>
            <w:r w:rsidRPr="00D30847">
              <w:rPr>
                <w:rFonts w:eastAsia="Times New Roman" w:cs="Calibri"/>
                <w:color w:val="202124"/>
                <w:lang w:val="en-GB"/>
              </w:rPr>
              <w:t>partnership</w:t>
            </w:r>
            <w:r w:rsidR="00212B38" w:rsidRPr="00D30847">
              <w:rPr>
                <w:rFonts w:eastAsia="Times New Roman" w:cs="Calibri"/>
                <w:color w:val="202124"/>
                <w:lang w:val="en-GB"/>
              </w:rPr>
              <w:t xml:space="preserve"> </w:t>
            </w:r>
            <w:r w:rsidRPr="00D30847">
              <w:rPr>
                <w:rFonts w:eastAsia="Times New Roman" w:cs="Calibri"/>
                <w:color w:val="202124"/>
                <w:lang w:val="en-GB"/>
              </w:rPr>
              <w:t>in</w:t>
            </w:r>
            <w:r w:rsidR="00212B38" w:rsidRPr="00D30847">
              <w:rPr>
                <w:rFonts w:eastAsia="Times New Roman" w:cs="Calibri"/>
                <w:color w:val="202124"/>
                <w:lang w:val="en-GB"/>
              </w:rPr>
              <w:t xml:space="preserve"> </w:t>
            </w:r>
            <w:r w:rsidRPr="00D30847">
              <w:rPr>
                <w:rFonts w:eastAsia="Times New Roman" w:cs="Calibri"/>
                <w:color w:val="202124"/>
                <w:lang w:val="en-GB"/>
              </w:rPr>
              <w:t>which</w:t>
            </w:r>
            <w:r w:rsidR="00212B38" w:rsidRPr="00D30847">
              <w:rPr>
                <w:rFonts w:eastAsia="Times New Roman" w:cs="Calibri"/>
                <w:color w:val="202124"/>
                <w:lang w:val="en-GB"/>
              </w:rPr>
              <w:t xml:space="preserve"> </w:t>
            </w:r>
            <w:r w:rsidRPr="00D30847">
              <w:rPr>
                <w:rFonts w:eastAsia="Times New Roman" w:cs="Calibri"/>
                <w:color w:val="202124"/>
                <w:lang w:val="en-GB"/>
              </w:rPr>
              <w:t>certain</w:t>
            </w:r>
            <w:r w:rsidR="00212B38" w:rsidRPr="00D30847">
              <w:rPr>
                <w:rFonts w:eastAsia="Times New Roman" w:cs="Calibri"/>
                <w:color w:val="202124"/>
                <w:lang w:val="en-GB"/>
              </w:rPr>
              <w:t xml:space="preserve"> </w:t>
            </w:r>
            <w:r w:rsidRPr="00D30847">
              <w:rPr>
                <w:rFonts w:eastAsia="Times New Roman" w:cs="Calibri"/>
                <w:color w:val="202124"/>
                <w:lang w:val="en-GB"/>
              </w:rPr>
              <w:t>legal</w:t>
            </w:r>
            <w:r w:rsidR="00212B38" w:rsidRPr="00D30847">
              <w:rPr>
                <w:rFonts w:eastAsia="Times New Roman" w:cs="Calibri"/>
                <w:color w:val="202124"/>
                <w:lang w:val="en-GB"/>
              </w:rPr>
              <w:t xml:space="preserve"> </w:t>
            </w:r>
            <w:r w:rsidRPr="00D30847">
              <w:rPr>
                <w:rFonts w:eastAsia="Times New Roman" w:cs="Calibri"/>
                <w:color w:val="202124"/>
                <w:lang w:val="en-GB"/>
              </w:rPr>
              <w:t>obstacles</w:t>
            </w:r>
            <w:r w:rsidR="00212B38" w:rsidRPr="00D30847">
              <w:rPr>
                <w:rFonts w:eastAsia="Times New Roman" w:cs="Calibri"/>
                <w:color w:val="202124"/>
                <w:lang w:val="en-GB"/>
              </w:rPr>
              <w:t xml:space="preserve"> </w:t>
            </w:r>
            <w:r w:rsidRPr="00D30847">
              <w:rPr>
                <w:rFonts w:eastAsia="Times New Roman" w:cs="Calibri"/>
                <w:color w:val="202124"/>
                <w:lang w:val="en-GB"/>
              </w:rPr>
              <w:t>in</w:t>
            </w:r>
            <w:r w:rsidR="00212B38" w:rsidRPr="00D30847">
              <w:rPr>
                <w:rFonts w:eastAsia="Times New Roman" w:cs="Calibri"/>
                <w:color w:val="202124"/>
                <w:lang w:val="en-GB"/>
              </w:rPr>
              <w:t xml:space="preserve"> </w:t>
            </w:r>
            <w:r w:rsidRPr="00D30847">
              <w:rPr>
                <w:rFonts w:eastAsia="Times New Roman" w:cs="Calibri"/>
                <w:color w:val="202124"/>
                <w:lang w:val="en-GB"/>
              </w:rPr>
              <w:t>the</w:t>
            </w:r>
            <w:r w:rsidR="00212B38" w:rsidRPr="00D30847">
              <w:rPr>
                <w:rFonts w:eastAsia="Times New Roman" w:cs="Calibri"/>
                <w:color w:val="202124"/>
                <w:lang w:val="en-GB"/>
              </w:rPr>
              <w:t xml:space="preserve"> </w:t>
            </w:r>
            <w:r w:rsidRPr="00D30847">
              <w:rPr>
                <w:rFonts w:eastAsia="Times New Roman" w:cs="Calibri"/>
                <w:color w:val="202124"/>
                <w:lang w:val="en-GB"/>
              </w:rPr>
              <w:t>realization</w:t>
            </w:r>
            <w:r w:rsidR="00212B38" w:rsidRPr="00D30847">
              <w:rPr>
                <w:rFonts w:eastAsia="Times New Roman" w:cs="Calibri"/>
                <w:color w:val="202124"/>
                <w:lang w:val="en-GB"/>
              </w:rPr>
              <w:t xml:space="preserve"> </w:t>
            </w:r>
            <w:r w:rsidR="00514D12" w:rsidRPr="00D30847">
              <w:rPr>
                <w:rFonts w:eastAsia="Times New Roman" w:cs="Calibri"/>
                <w:color w:val="202124"/>
                <w:lang w:val="en-GB"/>
              </w:rPr>
              <w:t>occurred</w:t>
            </w:r>
          </w:p>
        </w:tc>
        <w:tc>
          <w:tcPr>
            <w:tcW w:w="4608" w:type="dxa"/>
            <w:shd w:val="clear" w:color="auto" w:fill="E8E8E8"/>
          </w:tcPr>
          <w:p w14:paraId="2BD49200" w14:textId="2F52F342" w:rsidR="007541EA" w:rsidRPr="00D30847" w:rsidRDefault="00212B38" w:rsidP="002B77A4">
            <w:pPr>
              <w:spacing w:line="240" w:lineRule="auto"/>
              <w:jc w:val="both"/>
              <w:rPr>
                <w:rFonts w:eastAsia="Times New Roman" w:cs="Calibri"/>
                <w:color w:val="202124"/>
                <w:lang w:val="en-GB"/>
              </w:rPr>
            </w:pPr>
            <w:r w:rsidRPr="00D30847">
              <w:rPr>
                <w:rFonts w:eastAsia="Times New Roman" w:cs="Calibri"/>
                <w:color w:val="202124"/>
                <w:lang w:val="en-GB"/>
              </w:rPr>
              <w:t>Potential reduction by 10% of concluded public-private partnership agreements in which certain legal obstacles in the realization occurred, compared to the previous year</w:t>
            </w:r>
          </w:p>
        </w:tc>
      </w:tr>
    </w:tbl>
    <w:p w14:paraId="086D3321" w14:textId="77777777" w:rsidR="00B739E8" w:rsidRPr="00D30847" w:rsidRDefault="00B739E8" w:rsidP="00E84CD0">
      <w:pPr>
        <w:spacing w:line="240" w:lineRule="auto"/>
        <w:jc w:val="both"/>
        <w:rPr>
          <w:rFonts w:cs="Calibri"/>
          <w:b/>
          <w:color w:val="0070C0"/>
          <w:sz w:val="24"/>
          <w:szCs w:val="24"/>
          <w:lang w:val="en-GB"/>
        </w:rPr>
      </w:pPr>
    </w:p>
    <w:p w14:paraId="1FEB6042" w14:textId="216DB2B3" w:rsidR="00522D07" w:rsidRPr="00D30847" w:rsidRDefault="00522D07" w:rsidP="00E84CD0">
      <w:pPr>
        <w:spacing w:line="240" w:lineRule="auto"/>
        <w:jc w:val="both"/>
        <w:rPr>
          <w:rFonts w:cs="Calibri"/>
          <w:b/>
          <w:color w:val="0070C0"/>
          <w:sz w:val="24"/>
          <w:szCs w:val="24"/>
          <w:lang w:val="en-GB"/>
        </w:rPr>
      </w:pPr>
      <w:r w:rsidRPr="00D30847">
        <w:rPr>
          <w:rFonts w:cs="Calibri"/>
          <w:b/>
          <w:color w:val="0070C0"/>
          <w:sz w:val="24"/>
          <w:szCs w:val="24"/>
          <w:lang w:val="en-GB"/>
        </w:rPr>
        <w:t>Measure 1: Establishment of the Unified Electronic Public Private Partnership System (UESPPP)</w:t>
      </w:r>
    </w:p>
    <w:p w14:paraId="23D883F8" w14:textId="77777777" w:rsidR="00522D07" w:rsidRPr="00D30847" w:rsidRDefault="00522D07" w:rsidP="00E84CD0">
      <w:pPr>
        <w:spacing w:line="240" w:lineRule="auto"/>
        <w:jc w:val="both"/>
        <w:rPr>
          <w:rFonts w:cs="Calibri"/>
          <w:b/>
          <w:bCs/>
          <w:i/>
          <w:iCs/>
          <w:color w:val="4F81BD"/>
          <w:lang w:val="en-GB"/>
        </w:rPr>
      </w:pPr>
      <w:r w:rsidRPr="00D30847">
        <w:rPr>
          <w:rFonts w:cs="Calibri"/>
          <w:b/>
          <w:bCs/>
          <w:i/>
          <w:iCs/>
          <w:color w:val="4F81BD"/>
          <w:lang w:val="en-GB"/>
        </w:rPr>
        <w:t>Measure objective</w:t>
      </w:r>
    </w:p>
    <w:p w14:paraId="444B7937" w14:textId="344DB647" w:rsidR="00522D07" w:rsidRPr="00D30847" w:rsidRDefault="00522D07" w:rsidP="00E84CD0">
      <w:pPr>
        <w:spacing w:line="240" w:lineRule="auto"/>
        <w:jc w:val="both"/>
        <w:rPr>
          <w:rFonts w:cs="Calibri"/>
          <w:lang w:val="en-GB"/>
        </w:rPr>
      </w:pPr>
      <w:r w:rsidRPr="00D30847">
        <w:rPr>
          <w:rFonts w:cs="Calibri"/>
          <w:lang w:val="en-GB"/>
        </w:rPr>
        <w:t>Ensuring greater transparency in the awarding and implementation of public-private partnership agreements, i</w:t>
      </w:r>
      <w:r w:rsidR="00FF4948" w:rsidRPr="00D30847">
        <w:rPr>
          <w:rFonts w:cs="Calibri"/>
          <w:lang w:val="en-GB"/>
        </w:rPr>
        <w:t>.</w:t>
      </w:r>
      <w:r w:rsidRPr="00D30847">
        <w:rPr>
          <w:rFonts w:cs="Calibri"/>
          <w:lang w:val="en-GB"/>
        </w:rPr>
        <w:t>e</w:t>
      </w:r>
      <w:r w:rsidR="00FF4948" w:rsidRPr="00D30847">
        <w:rPr>
          <w:rFonts w:cs="Calibri"/>
          <w:lang w:val="en-GB"/>
        </w:rPr>
        <w:t>.</w:t>
      </w:r>
      <w:r w:rsidRPr="00D30847">
        <w:rPr>
          <w:rFonts w:cs="Calibri"/>
          <w:lang w:val="en-GB"/>
        </w:rPr>
        <w:t xml:space="preserve"> unifying and sublimating the entire process for their awarding through the establishment of a Unified Electronic Public-Private Partnership system as the only digital database of public-private partnership agreements will generate the Register of awarded contracts for establishing a public-private partnership.</w:t>
      </w:r>
    </w:p>
    <w:p w14:paraId="1E760EB2" w14:textId="77777777" w:rsidR="00522D07" w:rsidRPr="00D30847" w:rsidRDefault="00522D07" w:rsidP="00E84CD0">
      <w:pPr>
        <w:spacing w:line="240" w:lineRule="auto"/>
        <w:jc w:val="both"/>
        <w:rPr>
          <w:rFonts w:cs="Calibri"/>
          <w:b/>
          <w:bCs/>
          <w:i/>
          <w:iCs/>
          <w:color w:val="4F81BD"/>
          <w:lang w:val="en-GB"/>
        </w:rPr>
      </w:pPr>
      <w:r w:rsidRPr="00D30847">
        <w:rPr>
          <w:rFonts w:cs="Calibri"/>
          <w:b/>
          <w:bCs/>
          <w:i/>
          <w:iCs/>
          <w:color w:val="4F81BD"/>
          <w:lang w:val="en-GB"/>
        </w:rPr>
        <w:lastRenderedPageBreak/>
        <w:t>Reference to the external assessments findings: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810"/>
        <w:gridCol w:w="8262"/>
      </w:tblGrid>
      <w:tr w:rsidR="00522D07" w:rsidRPr="00D30847" w14:paraId="640960C5" w14:textId="77777777" w:rsidTr="00752B37">
        <w:tc>
          <w:tcPr>
            <w:tcW w:w="810" w:type="dxa"/>
            <w:shd w:val="clear" w:color="auto" w:fill="DDDDDD"/>
          </w:tcPr>
          <w:p w14:paraId="321E82BB" w14:textId="0BB486CE"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WB</w:t>
            </w:r>
          </w:p>
        </w:tc>
        <w:tc>
          <w:tcPr>
            <w:tcW w:w="8262" w:type="dxa"/>
            <w:shd w:val="clear" w:color="auto" w:fill="DDDDDD"/>
          </w:tcPr>
          <w:p w14:paraId="5789FF06" w14:textId="637C41D1" w:rsidR="00522D07" w:rsidRPr="00D30847" w:rsidRDefault="00522D07" w:rsidP="00E84CD0">
            <w:pPr>
              <w:spacing w:line="240" w:lineRule="auto"/>
              <w:jc w:val="both"/>
              <w:rPr>
                <w:rFonts w:cs="Calibri"/>
                <w:sz w:val="20"/>
                <w:szCs w:val="20"/>
                <w:lang w:val="en-GB"/>
              </w:rPr>
            </w:pPr>
            <w:r w:rsidRPr="00D30847">
              <w:rPr>
                <w:rFonts w:cs="Calibri"/>
                <w:sz w:val="20"/>
                <w:szCs w:val="20"/>
                <w:lang w:val="en-GB"/>
              </w:rPr>
              <w:t>Strengthening the regulatory framework and policies for public-private partnership</w:t>
            </w:r>
          </w:p>
        </w:tc>
      </w:tr>
      <w:tr w:rsidR="00522D07" w:rsidRPr="00D30847" w14:paraId="15E5AC9E" w14:textId="77777777" w:rsidTr="00752B37">
        <w:tc>
          <w:tcPr>
            <w:tcW w:w="810" w:type="dxa"/>
            <w:shd w:val="clear" w:color="auto" w:fill="DDDDDD"/>
          </w:tcPr>
          <w:p w14:paraId="56D24C5E" w14:textId="692A02A6"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ЕU</w:t>
            </w:r>
          </w:p>
        </w:tc>
        <w:tc>
          <w:tcPr>
            <w:tcW w:w="8262" w:type="dxa"/>
            <w:shd w:val="clear" w:color="auto" w:fill="DDDDDD"/>
          </w:tcPr>
          <w:p w14:paraId="5CC89414" w14:textId="615A4AE8" w:rsidR="00522D07" w:rsidRPr="00D30847" w:rsidRDefault="00522D07" w:rsidP="00E84CD0">
            <w:pPr>
              <w:spacing w:line="240" w:lineRule="auto"/>
              <w:jc w:val="both"/>
              <w:rPr>
                <w:rFonts w:cs="Calibri"/>
                <w:sz w:val="20"/>
                <w:szCs w:val="20"/>
                <w:lang w:val="en-GB"/>
              </w:rPr>
            </w:pPr>
            <w:r w:rsidRPr="00D30847">
              <w:rPr>
                <w:rFonts w:cs="Calibri"/>
                <w:sz w:val="20"/>
                <w:szCs w:val="20"/>
                <w:lang w:val="en-GB"/>
              </w:rPr>
              <w:t>To ensure effective implementation of the legal framework in the field of public-private partnership and concessions;</w:t>
            </w:r>
          </w:p>
        </w:tc>
      </w:tr>
    </w:tbl>
    <w:p w14:paraId="7E77FD2B" w14:textId="77777777" w:rsidR="008D5030" w:rsidRPr="00D30847" w:rsidRDefault="008D5030" w:rsidP="00E84CD0">
      <w:pPr>
        <w:spacing w:line="240" w:lineRule="auto"/>
        <w:jc w:val="both"/>
        <w:rPr>
          <w:rFonts w:cs="Calibri"/>
          <w:b/>
          <w:bCs/>
          <w:i/>
          <w:iCs/>
          <w:color w:val="4F81BD"/>
          <w:lang w:val="en-GB"/>
        </w:rPr>
      </w:pPr>
    </w:p>
    <w:p w14:paraId="752E7570" w14:textId="13FD7B83" w:rsidR="00522D07" w:rsidRPr="00D30847" w:rsidRDefault="00522D07" w:rsidP="00E84CD0">
      <w:pPr>
        <w:spacing w:line="240" w:lineRule="auto"/>
        <w:jc w:val="both"/>
        <w:rPr>
          <w:rFonts w:cs="Calibri"/>
          <w:b/>
          <w:bCs/>
          <w:i/>
          <w:iCs/>
          <w:color w:val="4F81BD"/>
          <w:lang w:val="en-GB"/>
        </w:rPr>
      </w:pPr>
      <w:r w:rsidRPr="00D30847">
        <w:rPr>
          <w:rFonts w:cs="Calibri"/>
          <w:b/>
          <w:bCs/>
          <w:i/>
          <w:iCs/>
          <w:color w:val="4F81BD"/>
          <w:lang w:val="en-GB"/>
        </w:rPr>
        <w:t>Context / Background</w:t>
      </w:r>
    </w:p>
    <w:p w14:paraId="249ADD14" w14:textId="3F0B1CCF" w:rsidR="002E7714" w:rsidRPr="00D30847" w:rsidRDefault="002E7714" w:rsidP="002E7714">
      <w:pPr>
        <w:spacing w:line="240" w:lineRule="auto"/>
        <w:jc w:val="both"/>
        <w:rPr>
          <w:rFonts w:cs="Calibri"/>
          <w:lang w:val="en-GB"/>
        </w:rPr>
      </w:pPr>
      <w:r w:rsidRPr="00D30847">
        <w:rPr>
          <w:rFonts w:cs="Calibri"/>
          <w:lang w:val="en-GB"/>
        </w:rPr>
        <w:t>After the prepared Analysis of the situation in the field of public-private partnership and concessions in cooperation and with the technical assistance of the World Bank experts within the project "Strengthening the regulatory framework and policy for public-private partnership", certain weaknesses in this area and the need were identified for acting through new policies in the field of public-private partnership in the Republic of North Macedonia. In that direction is the need to transpose Directive 2014/23 / EU on the award of concession agreements</w:t>
      </w:r>
      <w:r w:rsidRPr="00D30847">
        <w:rPr>
          <w:rFonts w:cs="Calibri"/>
          <w:color w:val="00B050"/>
          <w:lang w:val="en-GB"/>
        </w:rPr>
        <w:t xml:space="preserve">, </w:t>
      </w:r>
      <w:r w:rsidRPr="00D30847">
        <w:rPr>
          <w:rFonts w:cs="Calibri"/>
          <w:lang w:val="en-GB"/>
        </w:rPr>
        <w:t xml:space="preserve">in order to create legislation for awarding contracts for the establishment of public-private partnership that will provide efficient, balanced and non-discriminatory market access for all economic operators, especially small and medium enterprises (SMEs) and real market opening and fair balance in the application of the rules for awarding contracts for establishing a public-private partnership, more precisely, a legal framework that will enable the development of models for public-private partnership (concession / public procurement ) and activation of hitherto inactive assets or construction of large facilities and facilities of public interest, while stimulating competition and achieving the most </w:t>
      </w:r>
      <w:r w:rsidR="002F500A" w:rsidRPr="00D30847">
        <w:rPr>
          <w:rFonts w:cs="Calibri"/>
          <w:lang w:val="en-GB"/>
        </w:rPr>
        <w:t>favourable</w:t>
      </w:r>
      <w:r w:rsidRPr="00D30847">
        <w:rPr>
          <w:rFonts w:cs="Calibri"/>
          <w:lang w:val="en-GB"/>
        </w:rPr>
        <w:t xml:space="preserve"> value for money.</w:t>
      </w:r>
    </w:p>
    <w:p w14:paraId="77ED9432" w14:textId="77777777" w:rsidR="00522D07" w:rsidRPr="00D30847" w:rsidRDefault="00522D07" w:rsidP="00E84CD0">
      <w:pPr>
        <w:spacing w:line="240" w:lineRule="auto"/>
        <w:jc w:val="both"/>
        <w:rPr>
          <w:rFonts w:cs="Calibri"/>
          <w:b/>
          <w:bCs/>
          <w:iCs/>
          <w:color w:val="0070C0"/>
          <w:lang w:val="en-GB"/>
        </w:rPr>
      </w:pPr>
      <w:r w:rsidRPr="00D30847">
        <w:rPr>
          <w:rFonts w:cs="Calibri"/>
          <w:b/>
          <w:bCs/>
          <w:iCs/>
          <w:color w:val="0070C0"/>
          <w:lang w:val="en-GB"/>
        </w:rPr>
        <w:t>Activity 1: Selection of an IT company for preparation of the Improving and upgrading the UESPPP and a Register of awarded contracts for the establishment of public-private partnership</w:t>
      </w:r>
    </w:p>
    <w:p w14:paraId="705B3481" w14:textId="75F76ED8" w:rsidR="00522D07" w:rsidRPr="00D30847" w:rsidRDefault="00522D07" w:rsidP="00E84CD0">
      <w:pPr>
        <w:spacing w:line="240" w:lineRule="auto"/>
        <w:jc w:val="both"/>
        <w:rPr>
          <w:rFonts w:cs="Calibri"/>
          <w:lang w:val="en-GB"/>
        </w:rPr>
      </w:pPr>
      <w:r w:rsidRPr="00D30847">
        <w:rPr>
          <w:rFonts w:cs="Calibri"/>
          <w:lang w:val="en-GB"/>
        </w:rPr>
        <w:t xml:space="preserve">The activity implies implementation of the procedural activities for selection of an IT company that will prepare the software solution of the </w:t>
      </w:r>
      <w:r w:rsidR="00C67DE8" w:rsidRPr="00D30847">
        <w:rPr>
          <w:rFonts w:cs="Calibri"/>
          <w:lang w:val="en-GB"/>
        </w:rPr>
        <w:t>UE</w:t>
      </w:r>
      <w:r w:rsidR="00893CDE" w:rsidRPr="00D30847">
        <w:rPr>
          <w:rFonts w:cs="Calibri"/>
          <w:lang w:val="en-GB"/>
        </w:rPr>
        <w:t>SSPP</w:t>
      </w:r>
      <w:r w:rsidR="00C67DE8" w:rsidRPr="00D30847">
        <w:rPr>
          <w:rFonts w:cs="Calibri"/>
          <w:lang w:val="en-GB"/>
        </w:rPr>
        <w:t>P</w:t>
      </w:r>
      <w:r w:rsidR="008C761D" w:rsidRPr="00D30847">
        <w:rPr>
          <w:rFonts w:cs="Calibri"/>
          <w:lang w:val="en-GB"/>
        </w:rPr>
        <w:t xml:space="preserve"> </w:t>
      </w:r>
      <w:proofErr w:type="spellStart"/>
      <w:r w:rsidR="00893CDE" w:rsidRPr="00D30847">
        <w:rPr>
          <w:rFonts w:cs="Calibri"/>
          <w:lang w:val="en-GB"/>
        </w:rPr>
        <w:t>P</w:t>
      </w:r>
      <w:r w:rsidRPr="00D30847">
        <w:rPr>
          <w:rFonts w:cs="Calibri"/>
          <w:lang w:val="en-GB"/>
        </w:rPr>
        <w:t>and</w:t>
      </w:r>
      <w:proofErr w:type="spellEnd"/>
      <w:r w:rsidRPr="00D30847">
        <w:rPr>
          <w:rFonts w:cs="Calibri"/>
          <w:lang w:val="en-GB"/>
        </w:rPr>
        <w:t xml:space="preserve"> the Register of awarded contracts for establishing a public-private partnership.</w:t>
      </w:r>
    </w:p>
    <w:p w14:paraId="75FA19E4" w14:textId="7D59F0C3" w:rsidR="00522D07" w:rsidRPr="00D30847" w:rsidRDefault="00522D07" w:rsidP="00E84CD0">
      <w:pPr>
        <w:spacing w:line="240" w:lineRule="auto"/>
        <w:jc w:val="both"/>
        <w:rPr>
          <w:rFonts w:cs="Calibri"/>
          <w:b/>
          <w:bCs/>
          <w:iCs/>
          <w:color w:val="4F81BD"/>
          <w:lang w:val="en-GB"/>
        </w:rPr>
      </w:pPr>
      <w:r w:rsidRPr="00D30847">
        <w:rPr>
          <w:rFonts w:cs="Calibri"/>
          <w:b/>
          <w:bCs/>
          <w:iCs/>
          <w:color w:val="0070C0"/>
          <w:lang w:val="en-GB"/>
        </w:rPr>
        <w:t>Activity 2: Preparation and implementation of the software solution for the establishment of public-private partnership and a Register of awarded contracts</w:t>
      </w:r>
      <w:r w:rsidRPr="00D30847">
        <w:rPr>
          <w:rFonts w:cs="Calibri"/>
          <w:b/>
          <w:bCs/>
          <w:iCs/>
          <w:color w:val="4F81BD"/>
          <w:lang w:val="en-GB"/>
        </w:rPr>
        <w:t xml:space="preserve"> </w:t>
      </w:r>
      <w:r w:rsidRPr="00D30847">
        <w:rPr>
          <w:rFonts w:cs="Calibri"/>
          <w:lang w:val="en-GB"/>
        </w:rPr>
        <w:t>the establishment of public-private partnership</w:t>
      </w:r>
    </w:p>
    <w:p w14:paraId="16C048BA" w14:textId="77777777" w:rsidR="00522D07" w:rsidRPr="00D30847" w:rsidRDefault="00522D07" w:rsidP="00E84CD0">
      <w:pPr>
        <w:spacing w:line="240" w:lineRule="auto"/>
        <w:jc w:val="both"/>
        <w:rPr>
          <w:rFonts w:cs="Calibri"/>
          <w:lang w:val="en-GB"/>
        </w:rPr>
      </w:pPr>
      <w:r w:rsidRPr="00D30847">
        <w:rPr>
          <w:rFonts w:cs="Calibri"/>
          <w:lang w:val="en-GB"/>
        </w:rPr>
        <w:t>The activity means preparation of the software solution of the ECHR and the Register of awarded contracts for establishment of public-private partnership and start with its implementation.</w:t>
      </w:r>
    </w:p>
    <w:p w14:paraId="69B2B5A6" w14:textId="77777777" w:rsidR="00522D07" w:rsidRPr="00D30847" w:rsidRDefault="00522D07" w:rsidP="00E84CD0">
      <w:pPr>
        <w:spacing w:line="240" w:lineRule="auto"/>
        <w:jc w:val="both"/>
        <w:rPr>
          <w:rFonts w:cs="Calibri"/>
          <w:b/>
          <w:i/>
          <w:color w:val="2E74B5"/>
          <w:lang w:val="en-GB"/>
        </w:rPr>
      </w:pPr>
      <w:r w:rsidRPr="00D30847">
        <w:rPr>
          <w:rFonts w:cs="Calibri"/>
          <w:b/>
          <w:i/>
          <w:color w:val="2E74B5"/>
          <w:lang w:val="en-GB"/>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140"/>
      </w:tblGrid>
      <w:tr w:rsidR="00522D07" w:rsidRPr="00D30847" w14:paraId="5639B43C" w14:textId="77777777" w:rsidTr="003A2F75">
        <w:trPr>
          <w:trHeight w:val="261"/>
        </w:trPr>
        <w:tc>
          <w:tcPr>
            <w:tcW w:w="2518" w:type="dxa"/>
            <w:tcBorders>
              <w:top w:val="nil"/>
              <w:bottom w:val="single" w:sz="4" w:space="0" w:color="FFFFFF"/>
            </w:tcBorders>
            <w:shd w:val="clear" w:color="auto" w:fill="002060"/>
          </w:tcPr>
          <w:p w14:paraId="07EF9659"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Completed in year:</w:t>
            </w:r>
          </w:p>
        </w:tc>
        <w:tc>
          <w:tcPr>
            <w:tcW w:w="6140" w:type="dxa"/>
            <w:tcBorders>
              <w:top w:val="nil"/>
              <w:bottom w:val="single" w:sz="4" w:space="0" w:color="FFFFFF"/>
            </w:tcBorders>
            <w:shd w:val="clear" w:color="auto" w:fill="D9E2F3"/>
          </w:tcPr>
          <w:p w14:paraId="0D677D2C" w14:textId="18A394A2" w:rsidR="00522D07" w:rsidRPr="00D30847" w:rsidRDefault="008D3EBF" w:rsidP="00E84CD0">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202</w:t>
            </w:r>
            <w:r w:rsidR="006A7245">
              <w:rPr>
                <w:rFonts w:eastAsia="Times New Roman" w:cs="Calibri"/>
                <w:color w:val="202124"/>
                <w:sz w:val="20"/>
                <w:szCs w:val="20"/>
                <w:lang w:val="en-GB"/>
              </w:rPr>
              <w:t>6</w:t>
            </w:r>
          </w:p>
        </w:tc>
      </w:tr>
      <w:tr w:rsidR="00522D07" w:rsidRPr="00D30847" w14:paraId="55A70172" w14:textId="77777777" w:rsidTr="003A2F75">
        <w:trPr>
          <w:trHeight w:val="539"/>
        </w:trPr>
        <w:tc>
          <w:tcPr>
            <w:tcW w:w="2518" w:type="dxa"/>
            <w:tcBorders>
              <w:top w:val="single" w:sz="4" w:space="0" w:color="FFFFFF"/>
              <w:bottom w:val="single" w:sz="4" w:space="0" w:color="FFFFFF"/>
            </w:tcBorders>
            <w:shd w:val="clear" w:color="auto" w:fill="002060"/>
          </w:tcPr>
          <w:p w14:paraId="7EC444EC"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Deliverables:</w:t>
            </w:r>
          </w:p>
        </w:tc>
        <w:tc>
          <w:tcPr>
            <w:tcW w:w="6140" w:type="dxa"/>
            <w:tcBorders>
              <w:top w:val="single" w:sz="4" w:space="0" w:color="FFFFFF"/>
              <w:bottom w:val="single" w:sz="4" w:space="0" w:color="FFFFFF"/>
            </w:tcBorders>
            <w:shd w:val="clear" w:color="auto" w:fill="D9E2F3"/>
          </w:tcPr>
          <w:p w14:paraId="4A951DDA" w14:textId="77777777" w:rsidR="00522D07" w:rsidRPr="00D30847" w:rsidRDefault="00522D07" w:rsidP="00AD2AD5">
            <w:pPr>
              <w:numPr>
                <w:ilvl w:val="0"/>
                <w:numId w:val="38"/>
              </w:numPr>
              <w:spacing w:line="240" w:lineRule="auto"/>
              <w:ind w:left="183" w:hanging="155"/>
              <w:jc w:val="both"/>
              <w:rPr>
                <w:rFonts w:eastAsia="Times New Roman" w:cs="Calibri"/>
                <w:color w:val="202124"/>
                <w:sz w:val="20"/>
                <w:szCs w:val="20"/>
                <w:lang w:val="en-GB"/>
              </w:rPr>
            </w:pPr>
            <w:r w:rsidRPr="00D30847">
              <w:rPr>
                <w:rFonts w:eastAsia="Times New Roman" w:cs="Calibri"/>
                <w:color w:val="202124"/>
                <w:sz w:val="20"/>
                <w:szCs w:val="20"/>
                <w:lang w:val="en-GB"/>
              </w:rPr>
              <w:t>Established UEPPPS as a single digital database for public-private partnership.</w:t>
            </w:r>
          </w:p>
        </w:tc>
      </w:tr>
      <w:tr w:rsidR="00522D07" w:rsidRPr="00D30847" w14:paraId="58BDE7B6" w14:textId="77777777" w:rsidTr="003A2F75">
        <w:tc>
          <w:tcPr>
            <w:tcW w:w="2518" w:type="dxa"/>
            <w:tcBorders>
              <w:top w:val="single" w:sz="4" w:space="0" w:color="FFFFFF"/>
              <w:bottom w:val="single" w:sz="4" w:space="0" w:color="FFFFFF"/>
            </w:tcBorders>
            <w:shd w:val="clear" w:color="auto" w:fill="002060"/>
          </w:tcPr>
          <w:p w14:paraId="02EF56AC"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Costs implications:</w:t>
            </w:r>
          </w:p>
        </w:tc>
        <w:tc>
          <w:tcPr>
            <w:tcW w:w="6140" w:type="dxa"/>
            <w:tcBorders>
              <w:top w:val="single" w:sz="4" w:space="0" w:color="FFFFFF"/>
              <w:bottom w:val="single" w:sz="4" w:space="0" w:color="FFFFFF"/>
            </w:tcBorders>
            <w:shd w:val="clear" w:color="auto" w:fill="D9E2F3"/>
          </w:tcPr>
          <w:p w14:paraId="32DCB94F" w14:textId="77777777" w:rsidR="00522D07" w:rsidRPr="00D30847" w:rsidRDefault="00522D07" w:rsidP="00E84CD0">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EUR 1,000,000 </w:t>
            </w:r>
          </w:p>
        </w:tc>
      </w:tr>
      <w:tr w:rsidR="00522D07" w:rsidRPr="00D30847" w14:paraId="340A999C" w14:textId="77777777" w:rsidTr="003A2F75">
        <w:trPr>
          <w:trHeight w:val="269"/>
        </w:trPr>
        <w:tc>
          <w:tcPr>
            <w:tcW w:w="2518" w:type="dxa"/>
            <w:tcBorders>
              <w:top w:val="single" w:sz="4" w:space="0" w:color="FFFFFF"/>
              <w:bottom w:val="single" w:sz="4" w:space="0" w:color="FFFFFF"/>
            </w:tcBorders>
            <w:shd w:val="clear" w:color="auto" w:fill="002060"/>
          </w:tcPr>
          <w:p w14:paraId="086F2410"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 xml:space="preserve">Responsible entity: </w:t>
            </w:r>
          </w:p>
        </w:tc>
        <w:tc>
          <w:tcPr>
            <w:tcW w:w="6140" w:type="dxa"/>
            <w:tcBorders>
              <w:top w:val="single" w:sz="4" w:space="0" w:color="FFFFFF"/>
              <w:bottom w:val="single" w:sz="4" w:space="0" w:color="FFFFFF"/>
            </w:tcBorders>
            <w:shd w:val="clear" w:color="auto" w:fill="D9E2F3"/>
          </w:tcPr>
          <w:p w14:paraId="2AC71F5A" w14:textId="77777777" w:rsidR="00522D07" w:rsidRPr="00D30847" w:rsidRDefault="00522D07" w:rsidP="00E84CD0">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Ministry of Economy</w:t>
            </w:r>
          </w:p>
        </w:tc>
      </w:tr>
      <w:tr w:rsidR="00522D07" w:rsidRPr="00D30847" w14:paraId="1D8C937B" w14:textId="77777777" w:rsidTr="003A2F75">
        <w:tc>
          <w:tcPr>
            <w:tcW w:w="2518" w:type="dxa"/>
            <w:tcBorders>
              <w:top w:val="single" w:sz="4" w:space="0" w:color="FFFFFF"/>
              <w:bottom w:val="nil"/>
            </w:tcBorders>
            <w:shd w:val="clear" w:color="auto" w:fill="002060"/>
          </w:tcPr>
          <w:p w14:paraId="15B3CE51"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Risk:</w:t>
            </w:r>
          </w:p>
        </w:tc>
        <w:tc>
          <w:tcPr>
            <w:tcW w:w="6140" w:type="dxa"/>
            <w:tcBorders>
              <w:top w:val="single" w:sz="4" w:space="0" w:color="FFFFFF"/>
              <w:bottom w:val="nil"/>
            </w:tcBorders>
            <w:shd w:val="clear" w:color="auto" w:fill="D9E2F3"/>
          </w:tcPr>
          <w:p w14:paraId="2DFEA855" w14:textId="0AC1CA2F" w:rsidR="00522D07" w:rsidRPr="00D30847" w:rsidRDefault="002E7714" w:rsidP="00AD2AD5">
            <w:pPr>
              <w:numPr>
                <w:ilvl w:val="0"/>
                <w:numId w:val="35"/>
              </w:numPr>
              <w:spacing w:line="240" w:lineRule="auto"/>
              <w:ind w:left="183" w:hanging="155"/>
              <w:jc w:val="both"/>
              <w:rPr>
                <w:rFonts w:eastAsia="Times New Roman" w:cs="Calibri"/>
                <w:color w:val="202124"/>
                <w:sz w:val="20"/>
                <w:szCs w:val="20"/>
                <w:lang w:val="en-GB"/>
              </w:rPr>
            </w:pPr>
            <w:r w:rsidRPr="00D30847">
              <w:rPr>
                <w:rFonts w:eastAsia="Times New Roman" w:cs="Calibri"/>
                <w:color w:val="202124"/>
                <w:sz w:val="20"/>
                <w:szCs w:val="20"/>
                <w:lang w:val="en-GB" w:eastAsia="x-none"/>
              </w:rPr>
              <w:t>Inability to provide financial and technical assistance, breach of deadlines for implementation.</w:t>
            </w:r>
          </w:p>
        </w:tc>
      </w:tr>
    </w:tbl>
    <w:p w14:paraId="35029DEA" w14:textId="77777777" w:rsidR="00522D07" w:rsidRPr="00D30847" w:rsidRDefault="00522D07" w:rsidP="00E84CD0">
      <w:pPr>
        <w:spacing w:line="240" w:lineRule="auto"/>
        <w:jc w:val="both"/>
        <w:rPr>
          <w:rFonts w:cs="Calibri"/>
          <w:lang w:val="en-GB"/>
        </w:rPr>
      </w:pPr>
    </w:p>
    <w:p w14:paraId="4070F7BE" w14:textId="62F0F6FB" w:rsidR="00522D07" w:rsidRPr="00D30847" w:rsidRDefault="00522D07" w:rsidP="00E84CD0">
      <w:pPr>
        <w:spacing w:line="240" w:lineRule="auto"/>
        <w:jc w:val="both"/>
        <w:rPr>
          <w:rFonts w:cs="Calibri"/>
          <w:b/>
          <w:color w:val="0070C0"/>
          <w:sz w:val="24"/>
          <w:szCs w:val="24"/>
          <w:lang w:val="en-GB"/>
        </w:rPr>
      </w:pPr>
      <w:r w:rsidRPr="00D30847">
        <w:rPr>
          <w:rFonts w:cs="Calibri"/>
          <w:b/>
          <w:color w:val="0070C0"/>
          <w:sz w:val="24"/>
          <w:szCs w:val="24"/>
          <w:lang w:val="en-GB"/>
        </w:rPr>
        <w:lastRenderedPageBreak/>
        <w:t>Measure 2:</w:t>
      </w:r>
      <w:r w:rsidR="00356610" w:rsidRPr="00D30847">
        <w:rPr>
          <w:rFonts w:cs="Calibri"/>
          <w:b/>
          <w:color w:val="0070C0"/>
          <w:sz w:val="24"/>
          <w:szCs w:val="24"/>
          <w:lang w:val="en-GB"/>
        </w:rPr>
        <w:t xml:space="preserve"> </w:t>
      </w:r>
      <w:r w:rsidRPr="00D30847">
        <w:rPr>
          <w:rFonts w:cs="Calibri"/>
          <w:b/>
          <w:color w:val="0070C0"/>
          <w:sz w:val="24"/>
          <w:szCs w:val="24"/>
          <w:lang w:val="en-GB"/>
        </w:rPr>
        <w:t xml:space="preserve">Completing the legal and regulatory framework in the field of public-private </w:t>
      </w:r>
      <w:r w:rsidR="00514D12" w:rsidRPr="00D30847">
        <w:rPr>
          <w:rFonts w:cs="Calibri"/>
          <w:b/>
          <w:color w:val="0070C0"/>
          <w:sz w:val="24"/>
          <w:szCs w:val="24"/>
          <w:lang w:val="en-GB"/>
        </w:rPr>
        <w:t>partnership and</w:t>
      </w:r>
      <w:r w:rsidR="00893CDE" w:rsidRPr="00D30847">
        <w:rPr>
          <w:rFonts w:cs="Calibri"/>
          <w:b/>
          <w:color w:val="0070C0"/>
          <w:sz w:val="24"/>
          <w:szCs w:val="24"/>
          <w:lang w:val="en-GB"/>
        </w:rPr>
        <w:t xml:space="preserve"> the legal and regulatory framework in the field of concession on goods of general interest</w:t>
      </w:r>
    </w:p>
    <w:p w14:paraId="48DD16C7" w14:textId="77777777" w:rsidR="00522D07" w:rsidRPr="00D30847" w:rsidRDefault="00522D07" w:rsidP="00E84CD0">
      <w:pPr>
        <w:spacing w:line="240" w:lineRule="auto"/>
        <w:jc w:val="both"/>
        <w:rPr>
          <w:rFonts w:cs="Calibri"/>
          <w:lang w:val="en-GB"/>
        </w:rPr>
      </w:pPr>
      <w:r w:rsidRPr="00D30847">
        <w:rPr>
          <w:rFonts w:cs="Calibri"/>
          <w:lang w:val="en-GB"/>
        </w:rPr>
        <w:t>The purpose of the measure is to adopt the bylaws that will arise from the Law on Public Private Partnership in order to complete the process of normative regulation in the field of public private partnership.</w:t>
      </w:r>
    </w:p>
    <w:p w14:paraId="64BFB991" w14:textId="77777777" w:rsidR="00522D07" w:rsidRPr="00D30847" w:rsidRDefault="00522D07" w:rsidP="00E84CD0">
      <w:pPr>
        <w:keepNext/>
        <w:keepLines/>
        <w:spacing w:before="160" w:after="60" w:line="240" w:lineRule="auto"/>
        <w:jc w:val="both"/>
        <w:outlineLvl w:val="3"/>
        <w:rPr>
          <w:rFonts w:cs="Calibri"/>
          <w:i/>
          <w:color w:val="2E74B5"/>
          <w:lang w:val="en-GB"/>
        </w:rPr>
      </w:pPr>
      <w:r w:rsidRPr="00D30847">
        <w:rPr>
          <w:rFonts w:cs="Calibri"/>
          <w:i/>
          <w:color w:val="2E74B5"/>
          <w:lang w:val="en-GB"/>
        </w:rPr>
        <w:t>Reference to findings from external assessments:</w:t>
      </w:r>
    </w:p>
    <w:tbl>
      <w:tblPr>
        <w:tblW w:w="8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494"/>
        <w:gridCol w:w="7086"/>
      </w:tblGrid>
      <w:tr w:rsidR="00522D07" w:rsidRPr="00D30847" w14:paraId="0444A80A" w14:textId="77777777" w:rsidTr="00356610">
        <w:tc>
          <w:tcPr>
            <w:tcW w:w="1494" w:type="dxa"/>
            <w:shd w:val="clear" w:color="auto" w:fill="DDDDDD"/>
          </w:tcPr>
          <w:p w14:paraId="2A3ED162" w14:textId="5F743134"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WB</w:t>
            </w:r>
          </w:p>
        </w:tc>
        <w:tc>
          <w:tcPr>
            <w:tcW w:w="7086" w:type="dxa"/>
            <w:shd w:val="clear" w:color="auto" w:fill="DDDDDD"/>
          </w:tcPr>
          <w:p w14:paraId="46F3710C" w14:textId="77777777" w:rsidR="00522D07" w:rsidRPr="00D30847" w:rsidRDefault="00522D07" w:rsidP="00E84CD0">
            <w:pPr>
              <w:spacing w:line="240" w:lineRule="auto"/>
              <w:jc w:val="both"/>
              <w:rPr>
                <w:rFonts w:cs="Calibri"/>
                <w:sz w:val="20"/>
                <w:szCs w:val="20"/>
                <w:lang w:val="en-GB"/>
              </w:rPr>
            </w:pPr>
            <w:r w:rsidRPr="00D30847">
              <w:rPr>
                <w:rFonts w:cs="Calibri"/>
                <w:sz w:val="20"/>
                <w:szCs w:val="20"/>
                <w:lang w:val="en-GB"/>
              </w:rPr>
              <w:t>Strengthening the regulatory framework and policies for public-private partnership.</w:t>
            </w:r>
          </w:p>
        </w:tc>
      </w:tr>
      <w:tr w:rsidR="00522D07" w:rsidRPr="00D30847" w14:paraId="4322E562" w14:textId="77777777" w:rsidTr="00356610">
        <w:tc>
          <w:tcPr>
            <w:tcW w:w="1494" w:type="dxa"/>
            <w:shd w:val="clear" w:color="auto" w:fill="DDDDDD"/>
          </w:tcPr>
          <w:p w14:paraId="58EF3078" w14:textId="6871591A"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ЕU</w:t>
            </w:r>
          </w:p>
        </w:tc>
        <w:tc>
          <w:tcPr>
            <w:tcW w:w="7086" w:type="dxa"/>
            <w:shd w:val="clear" w:color="auto" w:fill="DDDDDD"/>
          </w:tcPr>
          <w:p w14:paraId="6B234535" w14:textId="77777777" w:rsidR="00522D07" w:rsidRPr="00D30847" w:rsidRDefault="00522D07" w:rsidP="00E84CD0">
            <w:pPr>
              <w:spacing w:after="0" w:line="240" w:lineRule="auto"/>
              <w:jc w:val="both"/>
              <w:rPr>
                <w:rFonts w:cs="Calibri"/>
                <w:sz w:val="20"/>
                <w:szCs w:val="20"/>
                <w:lang w:val="en-GB"/>
              </w:rPr>
            </w:pPr>
            <w:r w:rsidRPr="00D30847">
              <w:rPr>
                <w:rFonts w:cs="Calibri"/>
                <w:sz w:val="20"/>
                <w:szCs w:val="20"/>
                <w:lang w:val="en-GB"/>
              </w:rPr>
              <w:t>To ensure full compliance with EU legislation in the field of public-private partnerships and concessions.</w:t>
            </w:r>
            <w:r w:rsidR="00893CDE" w:rsidRPr="00D30847">
              <w:rPr>
                <w:sz w:val="20"/>
                <w:szCs w:val="20"/>
                <w:lang w:val="en-GB"/>
              </w:rPr>
              <w:t xml:space="preserve"> A</w:t>
            </w:r>
            <w:r w:rsidR="00893CDE" w:rsidRPr="00D30847">
              <w:rPr>
                <w:rFonts w:cs="Calibri"/>
                <w:sz w:val="20"/>
                <w:szCs w:val="20"/>
                <w:lang w:val="en-GB"/>
              </w:rPr>
              <w:t>doption of the public-private partnership law and the law on concessions, to further align the legal framework in these areas with the EU acquis;</w:t>
            </w:r>
          </w:p>
        </w:tc>
      </w:tr>
    </w:tbl>
    <w:p w14:paraId="01CF6532" w14:textId="77777777" w:rsidR="009F4DFA" w:rsidRPr="00D30847" w:rsidRDefault="009F4DFA" w:rsidP="00E84CD0">
      <w:pPr>
        <w:spacing w:line="240" w:lineRule="auto"/>
        <w:jc w:val="both"/>
        <w:rPr>
          <w:rFonts w:cs="Calibri"/>
          <w:b/>
          <w:i/>
          <w:color w:val="2E74B5"/>
          <w:lang w:val="en-GB"/>
        </w:rPr>
      </w:pPr>
    </w:p>
    <w:p w14:paraId="60B73E07" w14:textId="54D81CA2" w:rsidR="00522D07" w:rsidRPr="00D30847" w:rsidRDefault="00522D07" w:rsidP="00E84CD0">
      <w:pPr>
        <w:spacing w:line="240" w:lineRule="auto"/>
        <w:jc w:val="both"/>
        <w:rPr>
          <w:rFonts w:cs="Calibri"/>
          <w:b/>
          <w:i/>
          <w:color w:val="2E74B5"/>
          <w:lang w:val="en-GB"/>
        </w:rPr>
      </w:pPr>
      <w:r w:rsidRPr="00D30847">
        <w:rPr>
          <w:rFonts w:cs="Calibri"/>
          <w:b/>
          <w:i/>
          <w:color w:val="2E74B5"/>
          <w:lang w:val="en-GB"/>
        </w:rPr>
        <w:t>Context / Background</w:t>
      </w:r>
    </w:p>
    <w:p w14:paraId="70D38B1A" w14:textId="12DAF266" w:rsidR="00522D07" w:rsidRPr="00D30847" w:rsidRDefault="00522D07" w:rsidP="00E84CD0">
      <w:pPr>
        <w:spacing w:line="240" w:lineRule="auto"/>
        <w:jc w:val="both"/>
        <w:rPr>
          <w:rFonts w:cs="Calibri"/>
          <w:lang w:val="en-GB"/>
        </w:rPr>
      </w:pPr>
      <w:r w:rsidRPr="00D30847">
        <w:rPr>
          <w:rFonts w:cs="Calibri"/>
          <w:lang w:val="en-GB"/>
        </w:rPr>
        <w:t xml:space="preserve">The </w:t>
      </w:r>
      <w:r w:rsidR="00514D12" w:rsidRPr="00D30847">
        <w:rPr>
          <w:rFonts w:cs="Calibri"/>
          <w:lang w:val="en-GB"/>
        </w:rPr>
        <w:t>transposing</w:t>
      </w:r>
      <w:r w:rsidRPr="00D30847">
        <w:rPr>
          <w:rFonts w:cs="Calibri"/>
          <w:lang w:val="en-GB"/>
        </w:rPr>
        <w:t xml:space="preserve"> of the Directive 2014/23 / EU on the award of concessions and full implementation of the Law on Public Private Partnership will be achieved through the adoption of bylaws that will prescribe in more detail certain provisions of it. After the adoption of the Draft Law</w:t>
      </w:r>
      <w:r w:rsidR="00514D12" w:rsidRPr="00D30847">
        <w:rPr>
          <w:rFonts w:cs="Calibri"/>
          <w:lang w:val="en-GB"/>
        </w:rPr>
        <w:t xml:space="preserve"> on Public Private </w:t>
      </w:r>
      <w:r w:rsidR="002F500A" w:rsidRPr="00D30847">
        <w:rPr>
          <w:rFonts w:cs="Calibri"/>
          <w:lang w:val="en-GB"/>
        </w:rPr>
        <w:t>Partnership,</w:t>
      </w:r>
      <w:r w:rsidR="003174D5" w:rsidRPr="00D30847">
        <w:rPr>
          <w:rFonts w:cs="Calibri"/>
          <w:lang w:val="en-GB"/>
        </w:rPr>
        <w:t xml:space="preserve"> which is in the phase of sending the requests for opinion from the </w:t>
      </w:r>
      <w:r w:rsidR="002F500A" w:rsidRPr="00D30847">
        <w:rPr>
          <w:rFonts w:cs="Calibri"/>
          <w:lang w:val="en-GB"/>
        </w:rPr>
        <w:t>relevant</w:t>
      </w:r>
      <w:r w:rsidR="003174D5" w:rsidRPr="00D30847">
        <w:rPr>
          <w:rFonts w:cs="Calibri"/>
          <w:lang w:val="en-GB"/>
        </w:rPr>
        <w:t xml:space="preserve"> institutions </w:t>
      </w:r>
      <w:r w:rsidRPr="00D30847">
        <w:rPr>
          <w:rFonts w:cs="Calibri"/>
          <w:lang w:val="en-GB"/>
        </w:rPr>
        <w:t xml:space="preserve">before its submission to the government procedure, </w:t>
      </w:r>
      <w:r w:rsidR="003174D5" w:rsidRPr="00D30847">
        <w:rPr>
          <w:rFonts w:cs="Calibri"/>
          <w:lang w:val="en-GB"/>
        </w:rPr>
        <w:t xml:space="preserve">after which will </w:t>
      </w:r>
      <w:r w:rsidR="00514D12" w:rsidRPr="00D30847">
        <w:rPr>
          <w:rFonts w:cs="Calibri"/>
          <w:lang w:val="en-GB"/>
        </w:rPr>
        <w:t>follow preparation</w:t>
      </w:r>
      <w:r w:rsidRPr="00D30847">
        <w:rPr>
          <w:rFonts w:cs="Calibri"/>
          <w:lang w:val="en-GB"/>
        </w:rPr>
        <w:t xml:space="preserve"> and adoption of bylaws arising from it, a complete normative regulation of the area of ​​public private partnership will be performed.</w:t>
      </w:r>
    </w:p>
    <w:p w14:paraId="18FBC38D" w14:textId="4EDC4AFC" w:rsidR="00F2397B" w:rsidRPr="00D30847" w:rsidRDefault="00514D12" w:rsidP="00F2397B">
      <w:pPr>
        <w:spacing w:line="240" w:lineRule="auto"/>
        <w:jc w:val="both"/>
        <w:rPr>
          <w:rFonts w:cs="Calibri"/>
          <w:b/>
          <w:color w:val="0070C0"/>
          <w:lang w:val="en-GB"/>
        </w:rPr>
      </w:pPr>
      <w:r w:rsidRPr="00D30847">
        <w:rPr>
          <w:rFonts w:cs="Calibri"/>
          <w:b/>
          <w:color w:val="0070C0"/>
          <w:lang w:val="en-GB"/>
        </w:rPr>
        <w:t xml:space="preserve">Activity 1: Preparation </w:t>
      </w:r>
      <w:r w:rsidR="00F2397B" w:rsidRPr="00D30847">
        <w:rPr>
          <w:rFonts w:cs="Calibri"/>
          <w:b/>
          <w:color w:val="0070C0"/>
          <w:lang w:val="en-GB"/>
        </w:rPr>
        <w:t xml:space="preserve">and adoption of 13 bylaws that will arise from the Law on Public Private Partnership and preparation of the </w:t>
      </w:r>
      <w:r w:rsidRPr="00D30847">
        <w:rPr>
          <w:rFonts w:cs="Calibri"/>
          <w:b/>
          <w:color w:val="0070C0"/>
          <w:lang w:val="en-GB"/>
        </w:rPr>
        <w:t>Guideline</w:t>
      </w:r>
      <w:r w:rsidR="00F2397B" w:rsidRPr="00D30847">
        <w:rPr>
          <w:rFonts w:cs="Calibri"/>
          <w:b/>
          <w:color w:val="0070C0"/>
          <w:lang w:val="en-GB"/>
        </w:rPr>
        <w:t xml:space="preserve"> with </w:t>
      </w:r>
      <w:r w:rsidRPr="00D30847">
        <w:rPr>
          <w:rFonts w:cs="Calibri"/>
          <w:b/>
          <w:color w:val="0070C0"/>
          <w:lang w:val="en-GB"/>
        </w:rPr>
        <w:t>examples</w:t>
      </w:r>
      <w:r w:rsidR="00F2397B" w:rsidRPr="00D30847">
        <w:rPr>
          <w:rFonts w:cs="Calibri"/>
          <w:b/>
          <w:color w:val="0070C0"/>
          <w:lang w:val="en-GB"/>
        </w:rPr>
        <w:t xml:space="preserve"> of PPP </w:t>
      </w:r>
      <w:r w:rsidRPr="00D30847">
        <w:rPr>
          <w:rFonts w:cs="Calibri"/>
          <w:b/>
          <w:color w:val="0070C0"/>
          <w:lang w:val="en-GB"/>
        </w:rPr>
        <w:t>projects</w:t>
      </w:r>
    </w:p>
    <w:p w14:paraId="66BC96FD" w14:textId="7510FD26" w:rsidR="00522D07" w:rsidRPr="00D30847" w:rsidRDefault="00522D07" w:rsidP="00E84CD0">
      <w:pPr>
        <w:spacing w:line="240" w:lineRule="auto"/>
        <w:jc w:val="both"/>
        <w:rPr>
          <w:rFonts w:cs="Calibri"/>
          <w:lang w:val="en-GB"/>
        </w:rPr>
      </w:pPr>
      <w:r w:rsidRPr="00D30847">
        <w:rPr>
          <w:rFonts w:cs="Calibri"/>
          <w:lang w:val="en-GB"/>
        </w:rPr>
        <w:t xml:space="preserve">The activity means preparation </w:t>
      </w:r>
      <w:r w:rsidR="00581F48" w:rsidRPr="00D30847">
        <w:rPr>
          <w:rFonts w:cs="Calibri"/>
          <w:lang w:val="en-GB"/>
        </w:rPr>
        <w:t xml:space="preserve">and </w:t>
      </w:r>
      <w:r w:rsidR="00514D12" w:rsidRPr="00D30847">
        <w:rPr>
          <w:rFonts w:cs="Calibri"/>
          <w:lang w:val="en-GB"/>
        </w:rPr>
        <w:t xml:space="preserve">adoption </w:t>
      </w:r>
      <w:r w:rsidRPr="00D30847">
        <w:rPr>
          <w:rFonts w:cs="Calibri"/>
          <w:lang w:val="en-GB"/>
        </w:rPr>
        <w:t>of the bylaws that will arise from the Law on Public Private Partnership which will regulate in more detail certain issues in the law.</w:t>
      </w:r>
    </w:p>
    <w:p w14:paraId="0358D56B" w14:textId="7EFDFB2C" w:rsidR="003174D5" w:rsidRPr="00D30847" w:rsidRDefault="00F2397B" w:rsidP="003174D5">
      <w:pPr>
        <w:spacing w:line="240" w:lineRule="auto"/>
        <w:jc w:val="both"/>
        <w:rPr>
          <w:rFonts w:cs="Calibri"/>
          <w:b/>
          <w:color w:val="0070C0"/>
          <w:lang w:val="en-GB"/>
        </w:rPr>
      </w:pPr>
      <w:r w:rsidRPr="00D30847">
        <w:rPr>
          <w:rFonts w:cs="Calibri"/>
          <w:b/>
          <w:color w:val="0070C0"/>
          <w:lang w:val="en-GB"/>
        </w:rPr>
        <w:t>Activi</w:t>
      </w:r>
      <w:r w:rsidR="00514D12" w:rsidRPr="00D30847">
        <w:rPr>
          <w:rFonts w:cs="Calibri"/>
          <w:b/>
          <w:color w:val="0070C0"/>
          <w:lang w:val="en-GB"/>
        </w:rPr>
        <w:t>ty 2: Preparation</w:t>
      </w:r>
      <w:r w:rsidRPr="00D30847">
        <w:rPr>
          <w:rFonts w:cs="Calibri"/>
          <w:b/>
          <w:color w:val="0070C0"/>
          <w:lang w:val="en-GB"/>
        </w:rPr>
        <w:t xml:space="preserve"> and adoption of </w:t>
      </w:r>
      <w:r w:rsidR="006A7245">
        <w:rPr>
          <w:rFonts w:cs="Calibri"/>
          <w:b/>
          <w:color w:val="0070C0"/>
          <w:lang w:val="en-GB"/>
        </w:rPr>
        <w:t>2</w:t>
      </w:r>
      <w:r w:rsidRPr="00D30847">
        <w:rPr>
          <w:rFonts w:cs="Calibri"/>
          <w:b/>
          <w:color w:val="0070C0"/>
          <w:lang w:val="en-GB"/>
        </w:rPr>
        <w:t xml:space="preserve"> bylaws that will arise from the f the Law on Concession on goods of general interest </w:t>
      </w:r>
    </w:p>
    <w:p w14:paraId="02000D17" w14:textId="4C62A465" w:rsidR="003174D5" w:rsidRPr="00D30847" w:rsidRDefault="003174D5" w:rsidP="00E84CD0">
      <w:pPr>
        <w:spacing w:line="240" w:lineRule="auto"/>
        <w:jc w:val="both"/>
        <w:rPr>
          <w:rFonts w:cs="Calibri"/>
          <w:lang w:val="en-GB"/>
        </w:rPr>
      </w:pPr>
      <w:r w:rsidRPr="00D30847">
        <w:rPr>
          <w:rFonts w:cs="Calibri"/>
          <w:lang w:val="en-GB"/>
        </w:rPr>
        <w:t xml:space="preserve">The activity implies implementation of a procedure for </w:t>
      </w:r>
      <w:r w:rsidR="00581F48" w:rsidRPr="00D30847">
        <w:rPr>
          <w:rFonts w:cs="Calibri"/>
          <w:lang w:val="en-GB"/>
        </w:rPr>
        <w:t xml:space="preserve">preparation and </w:t>
      </w:r>
      <w:r w:rsidR="00514D12" w:rsidRPr="00D30847">
        <w:rPr>
          <w:rFonts w:cs="Calibri"/>
          <w:lang w:val="en-GB"/>
        </w:rPr>
        <w:t xml:space="preserve">adoption of </w:t>
      </w:r>
      <w:r w:rsidRPr="00D30847">
        <w:rPr>
          <w:rFonts w:cs="Calibri"/>
          <w:lang w:val="en-GB"/>
        </w:rPr>
        <w:t>bylaw</w:t>
      </w:r>
      <w:r w:rsidR="00581F48" w:rsidRPr="00D30847">
        <w:rPr>
          <w:rFonts w:cs="Calibri"/>
          <w:lang w:val="en-GB"/>
        </w:rPr>
        <w:t>s</w:t>
      </w:r>
      <w:r w:rsidRPr="00D30847">
        <w:rPr>
          <w:rFonts w:cs="Calibri"/>
          <w:lang w:val="en-GB"/>
        </w:rPr>
        <w:t xml:space="preserve"> that will arise from the Law on the concession on goods of general interest</w:t>
      </w:r>
      <w:r w:rsidR="00581F48" w:rsidRPr="00D30847">
        <w:rPr>
          <w:rFonts w:cs="Calibri"/>
          <w:lang w:val="en-GB"/>
        </w:rPr>
        <w:t>.</w:t>
      </w:r>
    </w:p>
    <w:p w14:paraId="5702ED11" w14:textId="77777777" w:rsidR="00522D07" w:rsidRPr="00D30847" w:rsidRDefault="00522D07" w:rsidP="00E84CD0">
      <w:pPr>
        <w:spacing w:line="240" w:lineRule="auto"/>
        <w:jc w:val="both"/>
        <w:rPr>
          <w:rFonts w:cs="Calibri"/>
          <w:b/>
          <w:i/>
          <w:color w:val="2E74B5"/>
          <w:lang w:val="en-GB"/>
        </w:rPr>
      </w:pPr>
      <w:r w:rsidRPr="00D30847">
        <w:rPr>
          <w:rFonts w:cs="Calibri"/>
          <w:b/>
          <w:i/>
          <w:color w:val="2E74B5"/>
          <w:lang w:val="en-GB"/>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522D07" w:rsidRPr="00D30847" w14:paraId="62F6FC95" w14:textId="77777777" w:rsidTr="003A2F75">
        <w:tc>
          <w:tcPr>
            <w:tcW w:w="2518" w:type="dxa"/>
            <w:tcBorders>
              <w:top w:val="nil"/>
              <w:bottom w:val="single" w:sz="4" w:space="0" w:color="FFFFFF"/>
            </w:tcBorders>
            <w:shd w:val="clear" w:color="auto" w:fill="002060"/>
          </w:tcPr>
          <w:p w14:paraId="264D8A7C"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Completed in year:</w:t>
            </w:r>
          </w:p>
        </w:tc>
        <w:tc>
          <w:tcPr>
            <w:tcW w:w="6246" w:type="dxa"/>
            <w:tcBorders>
              <w:top w:val="nil"/>
              <w:bottom w:val="single" w:sz="4" w:space="0" w:color="FFFFFF"/>
            </w:tcBorders>
            <w:shd w:val="clear" w:color="auto" w:fill="D9E2F3"/>
          </w:tcPr>
          <w:p w14:paraId="07C67158" w14:textId="30455232" w:rsidR="00522D07" w:rsidRPr="00D30847" w:rsidRDefault="0082572C" w:rsidP="00E84CD0">
            <w:pPr>
              <w:spacing w:line="240" w:lineRule="auto"/>
              <w:jc w:val="both"/>
              <w:rPr>
                <w:rFonts w:cs="Calibri"/>
                <w:color w:val="202124"/>
                <w:sz w:val="20"/>
                <w:szCs w:val="20"/>
                <w:lang w:val="en-GB"/>
              </w:rPr>
            </w:pPr>
            <w:r w:rsidRPr="00D30847">
              <w:rPr>
                <w:rFonts w:cs="Calibri"/>
                <w:color w:val="202124"/>
                <w:sz w:val="20"/>
                <w:szCs w:val="20"/>
                <w:lang w:val="en-GB"/>
              </w:rPr>
              <w:t>202</w:t>
            </w:r>
            <w:r w:rsidR="006A7245">
              <w:rPr>
                <w:rFonts w:cs="Calibri"/>
                <w:color w:val="202124"/>
                <w:sz w:val="20"/>
                <w:szCs w:val="20"/>
                <w:lang w:val="en-GB"/>
              </w:rPr>
              <w:t>6</w:t>
            </w:r>
          </w:p>
        </w:tc>
      </w:tr>
      <w:tr w:rsidR="00522D07" w:rsidRPr="00D30847" w14:paraId="04BE9D64" w14:textId="77777777" w:rsidTr="003A2F75">
        <w:tc>
          <w:tcPr>
            <w:tcW w:w="2518" w:type="dxa"/>
            <w:tcBorders>
              <w:top w:val="single" w:sz="4" w:space="0" w:color="FFFFFF"/>
              <w:bottom w:val="single" w:sz="4" w:space="0" w:color="FFFFFF"/>
            </w:tcBorders>
            <w:shd w:val="clear" w:color="auto" w:fill="002060"/>
          </w:tcPr>
          <w:p w14:paraId="3844C223"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Deliverables:</w:t>
            </w:r>
          </w:p>
        </w:tc>
        <w:tc>
          <w:tcPr>
            <w:tcW w:w="6246" w:type="dxa"/>
            <w:tcBorders>
              <w:top w:val="single" w:sz="4" w:space="0" w:color="FFFFFF"/>
              <w:bottom w:val="single" w:sz="4" w:space="0" w:color="FFFFFF"/>
            </w:tcBorders>
            <w:shd w:val="clear" w:color="auto" w:fill="D9E2F3"/>
          </w:tcPr>
          <w:p w14:paraId="40D882AB" w14:textId="77777777" w:rsidR="003174D5" w:rsidRPr="00D30847" w:rsidRDefault="003174D5" w:rsidP="00AD2AD5">
            <w:pPr>
              <w:numPr>
                <w:ilvl w:val="0"/>
                <w:numId w:val="39"/>
              </w:numPr>
              <w:spacing w:after="0" w:line="240" w:lineRule="auto"/>
              <w:ind w:left="93" w:hanging="93"/>
              <w:jc w:val="both"/>
              <w:rPr>
                <w:rFonts w:cs="Calibri"/>
                <w:sz w:val="20"/>
                <w:szCs w:val="20"/>
                <w:lang w:val="en-GB"/>
              </w:rPr>
            </w:pPr>
            <w:r w:rsidRPr="00D30847">
              <w:rPr>
                <w:rFonts w:cs="Calibri"/>
                <w:sz w:val="20"/>
                <w:szCs w:val="20"/>
                <w:lang w:val="en-GB"/>
              </w:rPr>
              <w:t>By-laws will be prepared and adopted within six months after the adoption of the Law on Public Private Partnership.</w:t>
            </w:r>
          </w:p>
          <w:p w14:paraId="6FB4C38B" w14:textId="02145BD1" w:rsidR="00522D07" w:rsidRPr="00D30847" w:rsidRDefault="003174D5" w:rsidP="00AD2AD5">
            <w:pPr>
              <w:numPr>
                <w:ilvl w:val="0"/>
                <w:numId w:val="39"/>
              </w:numPr>
              <w:spacing w:after="0" w:line="240" w:lineRule="auto"/>
              <w:ind w:left="93" w:hanging="93"/>
              <w:jc w:val="both"/>
              <w:rPr>
                <w:rFonts w:cs="Calibri"/>
                <w:sz w:val="20"/>
                <w:szCs w:val="20"/>
                <w:lang w:val="en-GB"/>
              </w:rPr>
            </w:pPr>
            <w:r w:rsidRPr="00D30847">
              <w:rPr>
                <w:rFonts w:cs="Calibri"/>
                <w:sz w:val="20"/>
                <w:szCs w:val="20"/>
                <w:lang w:val="en-GB"/>
              </w:rPr>
              <w:t xml:space="preserve">By-laws will be prepared and adopted within three months after the adoption of the Law on </w:t>
            </w:r>
            <w:r w:rsidR="001C748D" w:rsidRPr="00D30847">
              <w:rPr>
                <w:rFonts w:cs="Calibri"/>
                <w:sz w:val="20"/>
                <w:szCs w:val="20"/>
                <w:lang w:val="en-GB"/>
              </w:rPr>
              <w:t xml:space="preserve">Concession on </w:t>
            </w:r>
            <w:r w:rsidRPr="00D30847">
              <w:rPr>
                <w:rFonts w:cs="Calibri"/>
                <w:sz w:val="20"/>
                <w:szCs w:val="20"/>
                <w:lang w:val="en-GB"/>
              </w:rPr>
              <w:t>goods of general interest.</w:t>
            </w:r>
          </w:p>
        </w:tc>
      </w:tr>
      <w:tr w:rsidR="00522D07" w:rsidRPr="00D30847" w14:paraId="56A3975E" w14:textId="77777777" w:rsidTr="003A2F75">
        <w:tc>
          <w:tcPr>
            <w:tcW w:w="2518" w:type="dxa"/>
            <w:tcBorders>
              <w:top w:val="single" w:sz="4" w:space="0" w:color="FFFFFF"/>
              <w:bottom w:val="single" w:sz="4" w:space="0" w:color="FFFFFF"/>
            </w:tcBorders>
            <w:shd w:val="clear" w:color="auto" w:fill="002060"/>
          </w:tcPr>
          <w:p w14:paraId="1FA8BC67"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Costs implications:</w:t>
            </w:r>
          </w:p>
        </w:tc>
        <w:tc>
          <w:tcPr>
            <w:tcW w:w="6246" w:type="dxa"/>
            <w:tcBorders>
              <w:top w:val="single" w:sz="4" w:space="0" w:color="FFFFFF"/>
              <w:bottom w:val="single" w:sz="4" w:space="0" w:color="FFFFFF"/>
            </w:tcBorders>
            <w:shd w:val="clear" w:color="auto" w:fill="D9E2F3"/>
          </w:tcPr>
          <w:p w14:paraId="2750824D" w14:textId="400967A2" w:rsidR="00522D07" w:rsidRPr="00D30847" w:rsidRDefault="00E91F45" w:rsidP="00E84CD0">
            <w:pPr>
              <w:spacing w:line="240" w:lineRule="auto"/>
              <w:jc w:val="both"/>
              <w:rPr>
                <w:rFonts w:cs="Calibri"/>
                <w:color w:val="202124"/>
                <w:sz w:val="20"/>
                <w:szCs w:val="20"/>
                <w:lang w:val="en-GB"/>
              </w:rPr>
            </w:pPr>
            <w:r w:rsidRPr="00D30847">
              <w:rPr>
                <w:rFonts w:cs="Calibri"/>
                <w:color w:val="202124"/>
                <w:sz w:val="20"/>
                <w:szCs w:val="20"/>
                <w:lang w:val="en-GB"/>
              </w:rPr>
              <w:t>EUR 22,000</w:t>
            </w:r>
          </w:p>
        </w:tc>
      </w:tr>
      <w:tr w:rsidR="00522D07" w:rsidRPr="00D30847" w14:paraId="1176DF3A" w14:textId="77777777" w:rsidTr="003A2F75">
        <w:tc>
          <w:tcPr>
            <w:tcW w:w="2518" w:type="dxa"/>
            <w:tcBorders>
              <w:top w:val="single" w:sz="4" w:space="0" w:color="FFFFFF"/>
              <w:bottom w:val="single" w:sz="4" w:space="0" w:color="FFFFFF"/>
            </w:tcBorders>
            <w:shd w:val="clear" w:color="auto" w:fill="002060"/>
          </w:tcPr>
          <w:p w14:paraId="5CF2D15B"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 xml:space="preserve">Responsible entity: </w:t>
            </w:r>
          </w:p>
        </w:tc>
        <w:tc>
          <w:tcPr>
            <w:tcW w:w="6246" w:type="dxa"/>
            <w:tcBorders>
              <w:top w:val="single" w:sz="4" w:space="0" w:color="FFFFFF"/>
              <w:bottom w:val="single" w:sz="4" w:space="0" w:color="FFFFFF"/>
            </w:tcBorders>
            <w:shd w:val="clear" w:color="auto" w:fill="D9E2F3"/>
          </w:tcPr>
          <w:p w14:paraId="6A567296" w14:textId="0CF201F3" w:rsidR="00522D07" w:rsidRPr="00D30847" w:rsidRDefault="006A7245" w:rsidP="00E84CD0">
            <w:pPr>
              <w:spacing w:line="240" w:lineRule="auto"/>
              <w:jc w:val="both"/>
              <w:rPr>
                <w:rFonts w:cs="Calibri"/>
                <w:color w:val="202124"/>
                <w:sz w:val="20"/>
                <w:szCs w:val="20"/>
                <w:lang w:val="en-GB"/>
              </w:rPr>
            </w:pPr>
            <w:r w:rsidRPr="006A7245">
              <w:rPr>
                <w:rFonts w:cs="Calibri"/>
                <w:color w:val="202124"/>
                <w:sz w:val="20"/>
                <w:szCs w:val="20"/>
                <w:lang w:val="en-GB"/>
              </w:rPr>
              <w:t>Ministry of energy, mining and mineral resources/Ministry of finance.</w:t>
            </w:r>
          </w:p>
        </w:tc>
      </w:tr>
      <w:tr w:rsidR="00522D07" w:rsidRPr="00D30847" w14:paraId="761DE446" w14:textId="77777777" w:rsidTr="003A2F75">
        <w:tc>
          <w:tcPr>
            <w:tcW w:w="2518" w:type="dxa"/>
            <w:tcBorders>
              <w:top w:val="single" w:sz="4" w:space="0" w:color="FFFFFF"/>
              <w:bottom w:val="nil"/>
            </w:tcBorders>
            <w:shd w:val="clear" w:color="auto" w:fill="002060"/>
          </w:tcPr>
          <w:p w14:paraId="185E7BC8"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Risk:</w:t>
            </w:r>
          </w:p>
        </w:tc>
        <w:tc>
          <w:tcPr>
            <w:tcW w:w="6246" w:type="dxa"/>
            <w:tcBorders>
              <w:top w:val="single" w:sz="4" w:space="0" w:color="FFFFFF"/>
              <w:bottom w:val="nil"/>
            </w:tcBorders>
            <w:shd w:val="clear" w:color="auto" w:fill="D9E2F3"/>
          </w:tcPr>
          <w:p w14:paraId="7BBF549C" w14:textId="77777777" w:rsidR="00522D07" w:rsidRPr="00D30847" w:rsidRDefault="00522D07" w:rsidP="00AD2AD5">
            <w:pPr>
              <w:numPr>
                <w:ilvl w:val="0"/>
                <w:numId w:val="39"/>
              </w:numPr>
              <w:spacing w:line="240" w:lineRule="auto"/>
              <w:ind w:left="183" w:hanging="183"/>
              <w:jc w:val="both"/>
              <w:rPr>
                <w:rFonts w:cs="Calibri"/>
                <w:color w:val="202124"/>
                <w:sz w:val="20"/>
                <w:szCs w:val="20"/>
                <w:lang w:val="en-GB"/>
              </w:rPr>
            </w:pPr>
            <w:r w:rsidRPr="00D30847">
              <w:rPr>
                <w:rFonts w:cs="Calibri"/>
                <w:sz w:val="20"/>
                <w:szCs w:val="20"/>
                <w:lang w:val="en-GB"/>
              </w:rPr>
              <w:t>Extension of deadlines for adoption of bylaws.</w:t>
            </w:r>
          </w:p>
        </w:tc>
      </w:tr>
    </w:tbl>
    <w:p w14:paraId="73CB3827" w14:textId="77777777" w:rsidR="00522D07" w:rsidRPr="00D30847" w:rsidRDefault="00522D07" w:rsidP="00E84CD0">
      <w:pPr>
        <w:spacing w:line="240" w:lineRule="auto"/>
        <w:jc w:val="both"/>
        <w:rPr>
          <w:rFonts w:eastAsia="Times New Roman" w:cs="Calibri"/>
          <w:b/>
          <w:color w:val="1F4E79"/>
          <w:lang w:val="en-GB"/>
        </w:rPr>
      </w:pPr>
    </w:p>
    <w:p w14:paraId="56363191" w14:textId="42F2EB4C" w:rsidR="00522D07" w:rsidRPr="00D30847" w:rsidRDefault="00522D07" w:rsidP="00E84CD0">
      <w:pPr>
        <w:spacing w:line="240" w:lineRule="auto"/>
        <w:jc w:val="both"/>
        <w:rPr>
          <w:rFonts w:cs="Calibri"/>
          <w:b/>
          <w:color w:val="0070C0"/>
          <w:sz w:val="24"/>
          <w:szCs w:val="24"/>
          <w:lang w:val="en-GB"/>
        </w:rPr>
      </w:pPr>
      <w:r w:rsidRPr="00D30847">
        <w:rPr>
          <w:rFonts w:cs="Calibri"/>
          <w:b/>
          <w:color w:val="0070C0"/>
          <w:sz w:val="24"/>
          <w:szCs w:val="24"/>
          <w:lang w:val="en-GB"/>
        </w:rPr>
        <w:t xml:space="preserve">Measure 3: </w:t>
      </w:r>
      <w:r w:rsidR="006A7245" w:rsidRPr="006A7245">
        <w:rPr>
          <w:rFonts w:cs="Calibri"/>
          <w:b/>
          <w:color w:val="0070C0"/>
          <w:sz w:val="24"/>
          <w:szCs w:val="24"/>
          <w:lang w:val="en-GB"/>
        </w:rPr>
        <w:t>Strengthening and developing the capacities of the Ministry of Energy, Mining and Mineral Resources in the area of public-private partnership.</w:t>
      </w:r>
    </w:p>
    <w:p w14:paraId="78187C30" w14:textId="09121FC9" w:rsidR="00522D07" w:rsidRPr="00D30847" w:rsidRDefault="00514D12" w:rsidP="00E84CD0">
      <w:pPr>
        <w:spacing w:before="80" w:after="80" w:line="240" w:lineRule="auto"/>
        <w:jc w:val="both"/>
        <w:rPr>
          <w:rFonts w:cs="Calibri"/>
          <w:b/>
          <w:bCs/>
          <w:i/>
          <w:iCs/>
          <w:color w:val="4F81BD"/>
          <w:lang w:val="en-GB"/>
        </w:rPr>
      </w:pPr>
      <w:r w:rsidRPr="00D30847">
        <w:rPr>
          <w:rFonts w:cs="Calibri"/>
          <w:b/>
          <w:bCs/>
          <w:i/>
          <w:iCs/>
          <w:color w:val="4F81BD"/>
          <w:lang w:val="en-GB"/>
        </w:rPr>
        <w:lastRenderedPageBreak/>
        <w:t>Objective measure</w:t>
      </w:r>
    </w:p>
    <w:p w14:paraId="177ED565" w14:textId="4A70AC6F" w:rsidR="00752B37" w:rsidRPr="00D30847" w:rsidRDefault="00522D07" w:rsidP="00E84CD0">
      <w:pPr>
        <w:spacing w:line="240" w:lineRule="auto"/>
        <w:jc w:val="both"/>
        <w:rPr>
          <w:rFonts w:cs="Calibri"/>
          <w:lang w:val="en-GB"/>
        </w:rPr>
      </w:pPr>
      <w:r w:rsidRPr="00D30847">
        <w:rPr>
          <w:rFonts w:cs="Calibri"/>
          <w:lang w:val="en-GB"/>
        </w:rPr>
        <w:t>The purpose of the measure is to strengthen the administrative capacity of the Ministry of Economy, i</w:t>
      </w:r>
      <w:r w:rsidR="004F38E2" w:rsidRPr="00D30847">
        <w:rPr>
          <w:rFonts w:cs="Calibri"/>
          <w:lang w:val="en-GB"/>
        </w:rPr>
        <w:t>.</w:t>
      </w:r>
      <w:r w:rsidRPr="00D30847">
        <w:rPr>
          <w:rFonts w:cs="Calibri"/>
          <w:lang w:val="en-GB"/>
        </w:rPr>
        <w:t>e</w:t>
      </w:r>
      <w:r w:rsidR="004F38E2" w:rsidRPr="00D30847">
        <w:rPr>
          <w:rFonts w:cs="Calibri"/>
          <w:lang w:val="en-GB"/>
        </w:rPr>
        <w:t>.</w:t>
      </w:r>
      <w:r w:rsidRPr="00D30847">
        <w:rPr>
          <w:rFonts w:cs="Calibri"/>
          <w:lang w:val="en-GB"/>
        </w:rPr>
        <w:t xml:space="preserve"> to increase the number of civil servants who will work on this issue and their training for effective and consistent execution of competencies in accordance with law.</w:t>
      </w:r>
    </w:p>
    <w:p w14:paraId="505ED2BD" w14:textId="77777777" w:rsidR="00522D07" w:rsidRPr="00D30847" w:rsidRDefault="00522D07" w:rsidP="00E84CD0">
      <w:pPr>
        <w:spacing w:before="80" w:after="80" w:line="240" w:lineRule="auto"/>
        <w:jc w:val="both"/>
        <w:rPr>
          <w:rFonts w:eastAsia="Times New Roman" w:cs="Calibri"/>
          <w:color w:val="202124"/>
          <w:lang w:val="en-GB"/>
        </w:rPr>
      </w:pPr>
      <w:r w:rsidRPr="00D30847">
        <w:rPr>
          <w:rFonts w:cs="Calibri"/>
          <w:b/>
          <w:i/>
          <w:color w:val="2E74B5"/>
          <w:lang w:val="en-GB"/>
        </w:rPr>
        <w:t>Reference to findings from external assessments:</w:t>
      </w:r>
    </w:p>
    <w:tbl>
      <w:tblPr>
        <w:tblW w:w="8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810"/>
        <w:gridCol w:w="7770"/>
      </w:tblGrid>
      <w:tr w:rsidR="00522D07" w:rsidRPr="00D30847" w14:paraId="7410D74E" w14:textId="77777777" w:rsidTr="00752B37">
        <w:tc>
          <w:tcPr>
            <w:tcW w:w="810" w:type="dxa"/>
            <w:shd w:val="clear" w:color="auto" w:fill="DDDDDD"/>
          </w:tcPr>
          <w:p w14:paraId="60C78B1A" w14:textId="4666F9BA"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WB</w:t>
            </w:r>
          </w:p>
        </w:tc>
        <w:tc>
          <w:tcPr>
            <w:tcW w:w="7770" w:type="dxa"/>
            <w:shd w:val="clear" w:color="auto" w:fill="DDDDDD"/>
          </w:tcPr>
          <w:p w14:paraId="62305A9B" w14:textId="77777777" w:rsidR="00522D07" w:rsidRPr="00D30847" w:rsidRDefault="00522D07" w:rsidP="00E84CD0">
            <w:pPr>
              <w:spacing w:line="240" w:lineRule="auto"/>
              <w:jc w:val="both"/>
              <w:rPr>
                <w:rFonts w:cs="Calibri"/>
                <w:sz w:val="20"/>
                <w:szCs w:val="20"/>
                <w:lang w:val="en-GB"/>
              </w:rPr>
            </w:pPr>
            <w:r w:rsidRPr="00D30847">
              <w:rPr>
                <w:rFonts w:cs="Calibri"/>
                <w:sz w:val="20"/>
                <w:szCs w:val="20"/>
                <w:lang w:val="en-GB"/>
              </w:rPr>
              <w:t>Strengthening the regulatory framework and policies for public-private partnership.</w:t>
            </w:r>
          </w:p>
        </w:tc>
      </w:tr>
      <w:tr w:rsidR="00522D07" w:rsidRPr="00D30847" w14:paraId="41E768A6" w14:textId="77777777" w:rsidTr="00752B37">
        <w:tc>
          <w:tcPr>
            <w:tcW w:w="810" w:type="dxa"/>
            <w:shd w:val="clear" w:color="auto" w:fill="DDDDDD"/>
          </w:tcPr>
          <w:p w14:paraId="4520B3DC" w14:textId="0086974C"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ЕU</w:t>
            </w:r>
          </w:p>
        </w:tc>
        <w:tc>
          <w:tcPr>
            <w:tcW w:w="7770" w:type="dxa"/>
            <w:shd w:val="clear" w:color="auto" w:fill="DDDDDD"/>
          </w:tcPr>
          <w:p w14:paraId="12A0E7C0" w14:textId="77777777" w:rsidR="00522D07" w:rsidRPr="00D30847" w:rsidRDefault="00522D07" w:rsidP="00E84CD0">
            <w:pPr>
              <w:spacing w:line="240" w:lineRule="auto"/>
              <w:jc w:val="both"/>
              <w:rPr>
                <w:rFonts w:cs="Calibri"/>
                <w:sz w:val="20"/>
                <w:szCs w:val="20"/>
                <w:lang w:val="en-GB"/>
              </w:rPr>
            </w:pPr>
            <w:r w:rsidRPr="00D30847">
              <w:rPr>
                <w:rFonts w:cs="Calibri"/>
                <w:sz w:val="20"/>
                <w:szCs w:val="20"/>
                <w:lang w:val="en-GB"/>
              </w:rPr>
              <w:t>To ensure effective implementation of the legal framework in the field of public-private partnership and concessions.</w:t>
            </w:r>
          </w:p>
        </w:tc>
      </w:tr>
    </w:tbl>
    <w:p w14:paraId="65A66F1C" w14:textId="77777777" w:rsidR="00522D07" w:rsidRPr="00D30847" w:rsidRDefault="00522D07" w:rsidP="00E84CD0">
      <w:pPr>
        <w:keepNext/>
        <w:keepLines/>
        <w:spacing w:before="160" w:after="60" w:line="240" w:lineRule="auto"/>
        <w:jc w:val="both"/>
        <w:outlineLvl w:val="3"/>
        <w:rPr>
          <w:rFonts w:cs="Calibri"/>
          <w:b/>
          <w:bCs/>
          <w:i/>
          <w:iCs/>
          <w:color w:val="4F81BD"/>
          <w:lang w:val="en-GB"/>
        </w:rPr>
      </w:pPr>
    </w:p>
    <w:p w14:paraId="3D0177F6" w14:textId="77777777" w:rsidR="00522D07" w:rsidRPr="00D30847" w:rsidRDefault="00522D07" w:rsidP="00E84CD0">
      <w:pPr>
        <w:keepNext/>
        <w:keepLines/>
        <w:spacing w:before="160" w:after="60" w:line="240" w:lineRule="auto"/>
        <w:jc w:val="both"/>
        <w:outlineLvl w:val="3"/>
        <w:rPr>
          <w:rFonts w:cs="Calibri"/>
          <w:b/>
          <w:bCs/>
          <w:i/>
          <w:iCs/>
          <w:color w:val="4F81BD"/>
          <w:lang w:val="en-GB"/>
        </w:rPr>
      </w:pPr>
      <w:r w:rsidRPr="00D30847">
        <w:rPr>
          <w:rFonts w:cs="Calibri"/>
          <w:b/>
          <w:bCs/>
          <w:i/>
          <w:iCs/>
          <w:color w:val="4F81BD"/>
          <w:lang w:val="en-GB"/>
        </w:rPr>
        <w:t>Context / Background</w:t>
      </w:r>
    </w:p>
    <w:p w14:paraId="7C63FCB1" w14:textId="77777777" w:rsidR="00522D07" w:rsidRPr="00D30847" w:rsidRDefault="00522D07" w:rsidP="00E84CD0">
      <w:pPr>
        <w:spacing w:line="240" w:lineRule="auto"/>
        <w:jc w:val="both"/>
        <w:rPr>
          <w:rFonts w:cs="Calibri"/>
          <w:b/>
          <w:lang w:val="en-GB"/>
        </w:rPr>
      </w:pPr>
      <w:r w:rsidRPr="00D30847">
        <w:rPr>
          <w:rFonts w:cs="Calibri"/>
          <w:lang w:val="en-GB"/>
        </w:rPr>
        <w:t>According to the proposed regulation on public-private partnership and consistent implementation of the same, there is a need to increase the number of civil servants to timely perform all activities within their competencies. There is a great need to strengthen the capacity through the employment of professional staff who have relevant experience in this area, which would be reflected in achieving the required level of efficiency of the Ministry of Economy, and analogously to the proper functioning of the public-private partnership system in general.</w:t>
      </w:r>
    </w:p>
    <w:p w14:paraId="22E21AD2" w14:textId="59B59D9C" w:rsidR="00522D07" w:rsidRPr="00D30847" w:rsidRDefault="00522D07" w:rsidP="00E84CD0">
      <w:pPr>
        <w:keepNext/>
        <w:keepLines/>
        <w:spacing w:before="160" w:after="60" w:line="240" w:lineRule="auto"/>
        <w:jc w:val="both"/>
        <w:outlineLvl w:val="3"/>
        <w:rPr>
          <w:rFonts w:cs="Calibri"/>
          <w:b/>
          <w:color w:val="0070C0"/>
          <w:lang w:val="en-GB"/>
        </w:rPr>
      </w:pPr>
      <w:r w:rsidRPr="00D30847">
        <w:rPr>
          <w:rFonts w:cs="Calibri"/>
          <w:b/>
          <w:color w:val="0070C0"/>
          <w:lang w:val="en-GB"/>
        </w:rPr>
        <w:t>Activity 1:</w:t>
      </w:r>
      <w:r w:rsidR="00752B37" w:rsidRPr="00D30847">
        <w:rPr>
          <w:rFonts w:cs="Calibri"/>
          <w:b/>
          <w:color w:val="0070C0"/>
          <w:lang w:val="en-GB"/>
        </w:rPr>
        <w:t xml:space="preserve"> </w:t>
      </w:r>
      <w:r w:rsidR="006A7245" w:rsidRPr="006A7245">
        <w:rPr>
          <w:rFonts w:cs="Calibri"/>
          <w:b/>
          <w:color w:val="0070C0"/>
          <w:lang w:val="en-GB"/>
        </w:rPr>
        <w:t>Increasing the number of employees in the Ministry of Energy, Mining and Mineral Resources in the area of public-private partnership and their professional training and development in order to ensure consistent implementation of the law in this area.</w:t>
      </w:r>
    </w:p>
    <w:p w14:paraId="2ADC36E4" w14:textId="77777777" w:rsidR="003C041A" w:rsidRDefault="003C041A" w:rsidP="00E84CD0">
      <w:pPr>
        <w:keepNext/>
        <w:keepLines/>
        <w:spacing w:before="160" w:after="60" w:line="240" w:lineRule="auto"/>
        <w:jc w:val="both"/>
        <w:outlineLvl w:val="3"/>
        <w:rPr>
          <w:rFonts w:cs="Calibri"/>
          <w:lang w:val="en-GB"/>
        </w:rPr>
      </w:pPr>
      <w:r w:rsidRPr="003C041A">
        <w:rPr>
          <w:rFonts w:cs="Calibri"/>
          <w:lang w:val="en-GB"/>
        </w:rPr>
        <w:t>The activity involves the establishment of a Sector for Public Private Partnership and Concessions, new employment in it and their professional training in this area.</w:t>
      </w:r>
    </w:p>
    <w:p w14:paraId="3A02FA69" w14:textId="21509120" w:rsidR="00522D07" w:rsidRPr="00D30847" w:rsidRDefault="00522D07" w:rsidP="00E84CD0">
      <w:pPr>
        <w:keepNext/>
        <w:keepLines/>
        <w:spacing w:before="160" w:after="60" w:line="240" w:lineRule="auto"/>
        <w:jc w:val="both"/>
        <w:outlineLvl w:val="3"/>
        <w:rPr>
          <w:rFonts w:cs="Calibri"/>
          <w:b/>
          <w:bCs/>
          <w:i/>
          <w:iCs/>
          <w:color w:val="4F81BD"/>
          <w:lang w:val="en-GB"/>
        </w:rPr>
      </w:pPr>
      <w:r w:rsidRPr="00D30847">
        <w:rPr>
          <w:rFonts w:cs="Calibri"/>
          <w:b/>
          <w:bCs/>
          <w:i/>
          <w:iCs/>
          <w:color w:val="4F81BD"/>
          <w:lang w:val="en-GB"/>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522D07" w:rsidRPr="00D30847" w14:paraId="1AC07DCE" w14:textId="77777777" w:rsidTr="003A2F75">
        <w:trPr>
          <w:trHeight w:val="342"/>
        </w:trPr>
        <w:tc>
          <w:tcPr>
            <w:tcW w:w="2518" w:type="dxa"/>
            <w:tcBorders>
              <w:top w:val="nil"/>
              <w:bottom w:val="single" w:sz="4" w:space="0" w:color="FFFFFF"/>
            </w:tcBorders>
            <w:shd w:val="clear" w:color="auto" w:fill="002060"/>
          </w:tcPr>
          <w:p w14:paraId="1F4D5361"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Completed in year:</w:t>
            </w:r>
          </w:p>
        </w:tc>
        <w:tc>
          <w:tcPr>
            <w:tcW w:w="6246" w:type="dxa"/>
            <w:tcBorders>
              <w:top w:val="nil"/>
              <w:bottom w:val="single" w:sz="4" w:space="0" w:color="FFFFFF"/>
            </w:tcBorders>
            <w:shd w:val="clear" w:color="auto" w:fill="D9E2F3"/>
          </w:tcPr>
          <w:p w14:paraId="748483C8" w14:textId="7A43EF8A" w:rsidR="00522D07" w:rsidRPr="00D30847" w:rsidRDefault="00CF40C4" w:rsidP="00E84CD0">
            <w:pPr>
              <w:tabs>
                <w:tab w:val="left" w:pos="1526"/>
              </w:tabs>
              <w:spacing w:after="0" w:line="240" w:lineRule="auto"/>
              <w:jc w:val="both"/>
              <w:rPr>
                <w:rFonts w:cs="Calibri"/>
                <w:sz w:val="20"/>
                <w:szCs w:val="20"/>
                <w:lang w:val="en-GB"/>
              </w:rPr>
            </w:pPr>
            <w:r w:rsidRPr="00D30847">
              <w:rPr>
                <w:rFonts w:cs="Calibri"/>
                <w:sz w:val="20"/>
                <w:szCs w:val="20"/>
                <w:lang w:val="en-GB"/>
              </w:rPr>
              <w:t>202</w:t>
            </w:r>
            <w:r w:rsidR="003C041A">
              <w:rPr>
                <w:rFonts w:cs="Calibri"/>
                <w:sz w:val="20"/>
                <w:szCs w:val="20"/>
                <w:lang w:val="en-GB"/>
              </w:rPr>
              <w:t>6</w:t>
            </w:r>
          </w:p>
        </w:tc>
      </w:tr>
      <w:tr w:rsidR="00522D07" w:rsidRPr="00D30847" w14:paraId="441925C9" w14:textId="77777777" w:rsidTr="003A2F75">
        <w:tc>
          <w:tcPr>
            <w:tcW w:w="2518" w:type="dxa"/>
            <w:tcBorders>
              <w:top w:val="single" w:sz="4" w:space="0" w:color="FFFFFF"/>
              <w:bottom w:val="single" w:sz="4" w:space="0" w:color="FFFFFF"/>
            </w:tcBorders>
            <w:shd w:val="clear" w:color="auto" w:fill="002060"/>
          </w:tcPr>
          <w:p w14:paraId="65A6FBE9"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Deliverables:</w:t>
            </w:r>
          </w:p>
        </w:tc>
        <w:tc>
          <w:tcPr>
            <w:tcW w:w="6246" w:type="dxa"/>
            <w:tcBorders>
              <w:top w:val="single" w:sz="4" w:space="0" w:color="FFFFFF"/>
              <w:bottom w:val="single" w:sz="4" w:space="0" w:color="FFFFFF"/>
            </w:tcBorders>
            <w:shd w:val="clear" w:color="auto" w:fill="D9E2F3"/>
          </w:tcPr>
          <w:p w14:paraId="521AFCB3" w14:textId="0C9F6ED8" w:rsidR="00522D07" w:rsidRPr="00D30847" w:rsidRDefault="00522D07" w:rsidP="00AD2AD5">
            <w:pPr>
              <w:numPr>
                <w:ilvl w:val="0"/>
                <w:numId w:val="36"/>
              </w:numPr>
              <w:tabs>
                <w:tab w:val="left" w:pos="183"/>
              </w:tabs>
              <w:spacing w:after="0" w:line="240" w:lineRule="auto"/>
              <w:ind w:left="183" w:hanging="180"/>
              <w:jc w:val="both"/>
              <w:rPr>
                <w:rFonts w:cs="Calibri"/>
                <w:sz w:val="20"/>
                <w:szCs w:val="20"/>
                <w:lang w:val="en-GB"/>
              </w:rPr>
            </w:pPr>
            <w:r w:rsidRPr="00D30847">
              <w:rPr>
                <w:rFonts w:cs="Calibri"/>
                <w:sz w:val="20"/>
                <w:szCs w:val="20"/>
                <w:lang w:val="en-GB"/>
              </w:rPr>
              <w:t xml:space="preserve"> Strengthened staff capacity of the </w:t>
            </w:r>
            <w:r w:rsidR="003C041A" w:rsidRPr="003C041A">
              <w:rPr>
                <w:rFonts w:cs="Calibri"/>
                <w:sz w:val="20"/>
                <w:szCs w:val="20"/>
                <w:lang w:val="en-GB"/>
              </w:rPr>
              <w:t xml:space="preserve">Ministry of Energy, </w:t>
            </w:r>
            <w:proofErr w:type="gramStart"/>
            <w:r w:rsidR="003C041A" w:rsidRPr="003C041A">
              <w:rPr>
                <w:rFonts w:cs="Calibri"/>
                <w:sz w:val="20"/>
                <w:szCs w:val="20"/>
                <w:lang w:val="en-GB"/>
              </w:rPr>
              <w:t>Mining  and</w:t>
            </w:r>
            <w:proofErr w:type="gramEnd"/>
            <w:r w:rsidR="003C041A" w:rsidRPr="003C041A">
              <w:rPr>
                <w:rFonts w:cs="Calibri"/>
                <w:sz w:val="20"/>
                <w:szCs w:val="20"/>
                <w:lang w:val="en-GB"/>
              </w:rPr>
              <w:t xml:space="preserve"> Mineral Resources </w:t>
            </w:r>
            <w:r w:rsidRPr="00D30847">
              <w:rPr>
                <w:rFonts w:cs="Calibri"/>
                <w:sz w:val="20"/>
                <w:szCs w:val="20"/>
                <w:lang w:val="en-GB"/>
              </w:rPr>
              <w:t>in the field of public-private partnership;</w:t>
            </w:r>
          </w:p>
          <w:p w14:paraId="705D3DCF" w14:textId="77777777" w:rsidR="00522D07" w:rsidRPr="00D30847" w:rsidRDefault="00522D07" w:rsidP="00AD2AD5">
            <w:pPr>
              <w:numPr>
                <w:ilvl w:val="0"/>
                <w:numId w:val="36"/>
              </w:numPr>
              <w:tabs>
                <w:tab w:val="left" w:pos="183"/>
              </w:tabs>
              <w:spacing w:after="0" w:line="240" w:lineRule="auto"/>
              <w:ind w:left="183" w:hanging="180"/>
              <w:jc w:val="both"/>
              <w:rPr>
                <w:rFonts w:cs="Calibri"/>
                <w:sz w:val="20"/>
                <w:szCs w:val="20"/>
                <w:lang w:val="en-GB"/>
              </w:rPr>
            </w:pPr>
            <w:r w:rsidRPr="00D30847">
              <w:rPr>
                <w:rFonts w:cs="Calibri"/>
                <w:sz w:val="20"/>
                <w:szCs w:val="20"/>
                <w:lang w:val="en-GB"/>
              </w:rPr>
              <w:t>Conducted trainings for the employees of the Ministry of Economy in the field of public-private partnership.</w:t>
            </w:r>
          </w:p>
        </w:tc>
      </w:tr>
      <w:tr w:rsidR="00522D07" w:rsidRPr="00D30847" w14:paraId="6E88944B" w14:textId="77777777" w:rsidTr="003A2F75">
        <w:tc>
          <w:tcPr>
            <w:tcW w:w="2518" w:type="dxa"/>
            <w:tcBorders>
              <w:top w:val="single" w:sz="4" w:space="0" w:color="FFFFFF"/>
              <w:bottom w:val="single" w:sz="4" w:space="0" w:color="FFFFFF"/>
            </w:tcBorders>
            <w:shd w:val="clear" w:color="auto" w:fill="002060"/>
          </w:tcPr>
          <w:p w14:paraId="13CB65F7"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Costs implications:</w:t>
            </w:r>
          </w:p>
        </w:tc>
        <w:tc>
          <w:tcPr>
            <w:tcW w:w="6246" w:type="dxa"/>
            <w:tcBorders>
              <w:top w:val="single" w:sz="4" w:space="0" w:color="FFFFFF"/>
              <w:bottom w:val="single" w:sz="4" w:space="0" w:color="FFFFFF"/>
            </w:tcBorders>
            <w:shd w:val="clear" w:color="auto" w:fill="D9E2F3"/>
          </w:tcPr>
          <w:p w14:paraId="7D137551" w14:textId="4B95D3EB" w:rsidR="00522D07" w:rsidRPr="00D30847" w:rsidRDefault="00522D07" w:rsidP="00E84CD0">
            <w:pPr>
              <w:tabs>
                <w:tab w:val="left" w:pos="1526"/>
              </w:tabs>
              <w:spacing w:after="0" w:line="240" w:lineRule="auto"/>
              <w:jc w:val="both"/>
              <w:rPr>
                <w:rFonts w:cs="Calibri"/>
                <w:sz w:val="20"/>
                <w:szCs w:val="20"/>
                <w:lang w:val="en-GB"/>
              </w:rPr>
            </w:pPr>
            <w:r w:rsidRPr="00D30847">
              <w:rPr>
                <w:rFonts w:cs="Calibri"/>
                <w:sz w:val="20"/>
                <w:szCs w:val="20"/>
                <w:lang w:val="en-GB"/>
              </w:rPr>
              <w:t xml:space="preserve">EUR </w:t>
            </w:r>
            <w:r w:rsidR="003C041A">
              <w:rPr>
                <w:rFonts w:cs="Calibri"/>
                <w:sz w:val="20"/>
                <w:szCs w:val="20"/>
                <w:lang w:val="en-GB"/>
              </w:rPr>
              <w:t>384</w:t>
            </w:r>
            <w:r w:rsidRPr="00D30847">
              <w:rPr>
                <w:rFonts w:cs="Calibri"/>
                <w:sz w:val="20"/>
                <w:szCs w:val="20"/>
                <w:lang w:val="en-GB"/>
              </w:rPr>
              <w:t xml:space="preserve">,000 </w:t>
            </w:r>
          </w:p>
        </w:tc>
      </w:tr>
      <w:tr w:rsidR="00522D07" w:rsidRPr="00D30847" w14:paraId="1B76384E" w14:textId="77777777" w:rsidTr="003A2F75">
        <w:tc>
          <w:tcPr>
            <w:tcW w:w="2518" w:type="dxa"/>
            <w:tcBorders>
              <w:top w:val="single" w:sz="4" w:space="0" w:color="FFFFFF"/>
              <w:bottom w:val="single" w:sz="4" w:space="0" w:color="FFFFFF"/>
            </w:tcBorders>
            <w:shd w:val="clear" w:color="auto" w:fill="002060"/>
          </w:tcPr>
          <w:p w14:paraId="08ADE26F"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 xml:space="preserve">Responsible entity: </w:t>
            </w:r>
          </w:p>
        </w:tc>
        <w:tc>
          <w:tcPr>
            <w:tcW w:w="6246" w:type="dxa"/>
            <w:tcBorders>
              <w:top w:val="single" w:sz="4" w:space="0" w:color="FFFFFF"/>
              <w:bottom w:val="single" w:sz="4" w:space="0" w:color="FFFFFF"/>
            </w:tcBorders>
            <w:shd w:val="clear" w:color="auto" w:fill="D9E2F3"/>
          </w:tcPr>
          <w:p w14:paraId="11D46011" w14:textId="4C71E3BF" w:rsidR="00522D07" w:rsidRPr="00D30847" w:rsidRDefault="003C041A" w:rsidP="00E84CD0">
            <w:pPr>
              <w:tabs>
                <w:tab w:val="left" w:pos="4219"/>
              </w:tabs>
              <w:spacing w:after="0" w:line="240" w:lineRule="auto"/>
              <w:jc w:val="both"/>
              <w:rPr>
                <w:rFonts w:cs="Calibri"/>
                <w:sz w:val="20"/>
                <w:szCs w:val="20"/>
                <w:lang w:val="en-GB"/>
              </w:rPr>
            </w:pPr>
            <w:r w:rsidRPr="003C041A">
              <w:rPr>
                <w:rFonts w:cs="Calibri"/>
                <w:sz w:val="20"/>
                <w:szCs w:val="20"/>
                <w:lang w:val="en-GB"/>
              </w:rPr>
              <w:t>Ministry of Energy, Mining and Mineral Resources.</w:t>
            </w:r>
          </w:p>
        </w:tc>
      </w:tr>
      <w:tr w:rsidR="00522D07" w:rsidRPr="00D30847" w14:paraId="4FEE6492" w14:textId="77777777" w:rsidTr="003A2F75">
        <w:tc>
          <w:tcPr>
            <w:tcW w:w="2518" w:type="dxa"/>
            <w:tcBorders>
              <w:top w:val="single" w:sz="4" w:space="0" w:color="FFFFFF"/>
              <w:bottom w:val="nil"/>
            </w:tcBorders>
            <w:shd w:val="clear" w:color="auto" w:fill="002060"/>
          </w:tcPr>
          <w:p w14:paraId="215AD0CB" w14:textId="77777777" w:rsidR="00522D07" w:rsidRPr="00D30847" w:rsidRDefault="00522D07" w:rsidP="00E84CD0">
            <w:pPr>
              <w:spacing w:line="240" w:lineRule="auto"/>
              <w:jc w:val="both"/>
              <w:rPr>
                <w:rFonts w:cs="Calibri"/>
                <w:b/>
                <w:sz w:val="20"/>
                <w:szCs w:val="20"/>
                <w:lang w:val="en-GB"/>
              </w:rPr>
            </w:pPr>
            <w:r w:rsidRPr="00D30847">
              <w:rPr>
                <w:rFonts w:cs="Calibri"/>
                <w:b/>
                <w:sz w:val="20"/>
                <w:szCs w:val="20"/>
                <w:lang w:val="en-GB"/>
              </w:rPr>
              <w:t>Risk:</w:t>
            </w:r>
          </w:p>
        </w:tc>
        <w:tc>
          <w:tcPr>
            <w:tcW w:w="6246" w:type="dxa"/>
            <w:tcBorders>
              <w:top w:val="single" w:sz="4" w:space="0" w:color="FFFFFF"/>
              <w:bottom w:val="nil"/>
            </w:tcBorders>
            <w:shd w:val="clear" w:color="auto" w:fill="D9E2F3"/>
          </w:tcPr>
          <w:p w14:paraId="3408C806" w14:textId="11C5517D" w:rsidR="00522D07" w:rsidRPr="00D30847" w:rsidRDefault="002E7714" w:rsidP="00AD2AD5">
            <w:pPr>
              <w:numPr>
                <w:ilvl w:val="0"/>
                <w:numId w:val="37"/>
              </w:numPr>
              <w:spacing w:after="0" w:line="240" w:lineRule="auto"/>
              <w:ind w:left="183" w:hanging="149"/>
              <w:jc w:val="both"/>
              <w:rPr>
                <w:rFonts w:cs="Calibri"/>
                <w:sz w:val="20"/>
                <w:szCs w:val="20"/>
                <w:lang w:val="en-GB"/>
              </w:rPr>
            </w:pPr>
            <w:r w:rsidRPr="00D30847">
              <w:rPr>
                <w:rFonts w:cs="Calibri"/>
                <w:sz w:val="20"/>
                <w:szCs w:val="20"/>
                <w:lang w:val="en-GB"/>
              </w:rPr>
              <w:t xml:space="preserve">Difficult functioning and execution of the determined competencies in accordance with the law, because of lack of </w:t>
            </w:r>
            <w:r w:rsidR="002F500A" w:rsidRPr="00D30847">
              <w:rPr>
                <w:rFonts w:cs="Calibri"/>
                <w:sz w:val="20"/>
                <w:szCs w:val="20"/>
                <w:lang w:val="en-GB"/>
              </w:rPr>
              <w:t>staff</w:t>
            </w:r>
            <w:r w:rsidRPr="00D30847">
              <w:rPr>
                <w:rFonts w:cs="Calibri"/>
                <w:sz w:val="20"/>
                <w:szCs w:val="20"/>
                <w:lang w:val="en-GB"/>
              </w:rPr>
              <w:t xml:space="preserve"> capacity.</w:t>
            </w:r>
          </w:p>
        </w:tc>
      </w:tr>
    </w:tbl>
    <w:p w14:paraId="370FA4C4" w14:textId="30C184ED" w:rsidR="00555720" w:rsidRPr="00D30847" w:rsidRDefault="00555720" w:rsidP="007E7BAE">
      <w:pPr>
        <w:pStyle w:val="Heading1"/>
        <w:rPr>
          <w:lang w:val="en-GB"/>
        </w:rPr>
      </w:pPr>
    </w:p>
    <w:p w14:paraId="0B154BB9" w14:textId="0ED86659" w:rsidR="007E7BAE" w:rsidRPr="00D30847" w:rsidRDefault="00522D07" w:rsidP="007E7BAE">
      <w:pPr>
        <w:pStyle w:val="Heading1"/>
        <w:rPr>
          <w:rFonts w:ascii="Calibri" w:hAnsi="Calibri" w:cs="Calibri"/>
          <w:color w:val="2F5496"/>
          <w:lang w:val="en-GB"/>
        </w:rPr>
      </w:pPr>
      <w:r w:rsidRPr="00D30847">
        <w:rPr>
          <w:lang w:val="en-GB"/>
        </w:rPr>
        <w:br w:type="page"/>
      </w:r>
      <w:bookmarkStart w:id="54" w:name="_Toc187841815"/>
      <w:r w:rsidR="00E91F45" w:rsidRPr="00D30847">
        <w:rPr>
          <w:rFonts w:ascii="Calibri" w:hAnsi="Calibri" w:cs="Calibri"/>
          <w:color w:val="2F5496"/>
          <w:lang w:val="en-GB"/>
        </w:rPr>
        <w:lastRenderedPageBreak/>
        <w:t>Pillar V</w:t>
      </w:r>
      <w:r w:rsidR="007E7BAE" w:rsidRPr="00D30847">
        <w:rPr>
          <w:rFonts w:ascii="Calibri" w:hAnsi="Calibri" w:cs="Calibri"/>
          <w:color w:val="2F5496"/>
          <w:lang w:val="en-GB"/>
        </w:rPr>
        <w:t xml:space="preserve">: </w:t>
      </w:r>
      <w:r w:rsidR="002B305F" w:rsidRPr="00D30847">
        <w:rPr>
          <w:rFonts w:ascii="Calibri" w:hAnsi="Calibri" w:cs="Calibri"/>
          <w:color w:val="2F5496"/>
          <w:lang w:val="en-GB"/>
        </w:rPr>
        <w:t>P</w:t>
      </w:r>
      <w:r w:rsidR="002E7714" w:rsidRPr="00D30847">
        <w:rPr>
          <w:rFonts w:ascii="Calibri" w:hAnsi="Calibri" w:cs="Calibri"/>
          <w:color w:val="2F5496"/>
          <w:lang w:val="en-GB"/>
        </w:rPr>
        <w:t xml:space="preserve">ublic </w:t>
      </w:r>
      <w:r w:rsidR="007F497B" w:rsidRPr="00D30847">
        <w:rPr>
          <w:rFonts w:ascii="Calibri" w:hAnsi="Calibri" w:cs="Calibri"/>
          <w:color w:val="2F5496"/>
          <w:lang w:val="en-GB"/>
        </w:rPr>
        <w:t>finance digitalisation and </w:t>
      </w:r>
      <w:proofErr w:type="spellStart"/>
      <w:r w:rsidR="007F497B" w:rsidRPr="00D30847">
        <w:rPr>
          <w:rFonts w:ascii="Calibri" w:hAnsi="Calibri" w:cs="Calibri"/>
          <w:color w:val="2F5496"/>
          <w:lang w:val="en-GB"/>
        </w:rPr>
        <w:t>continu</w:t>
      </w:r>
      <w:r w:rsidR="001111E8" w:rsidRPr="00D30847">
        <w:rPr>
          <w:rFonts w:ascii="Calibri" w:hAnsi="Calibri" w:cs="Calibri"/>
          <w:color w:val="2F5496"/>
          <w:lang w:val="en-GB"/>
        </w:rPr>
        <w:t>оu</w:t>
      </w:r>
      <w:r w:rsidR="007F497B" w:rsidRPr="00D30847">
        <w:rPr>
          <w:rFonts w:ascii="Calibri" w:hAnsi="Calibri" w:cs="Calibri"/>
          <w:color w:val="2F5496"/>
          <w:lang w:val="en-GB"/>
        </w:rPr>
        <w:t>s</w:t>
      </w:r>
      <w:proofErr w:type="spellEnd"/>
      <w:r w:rsidR="007F497B" w:rsidRPr="00D30847">
        <w:rPr>
          <w:rFonts w:ascii="Calibri" w:hAnsi="Calibri" w:cs="Calibri"/>
          <w:color w:val="2F5496"/>
          <w:lang w:val="en-GB"/>
        </w:rPr>
        <w:t> learning</w:t>
      </w:r>
      <w:bookmarkEnd w:id="54"/>
    </w:p>
    <w:p w14:paraId="3DC13D1A" w14:textId="77777777" w:rsidR="007E7BAE" w:rsidRPr="00D30847" w:rsidRDefault="007E7BAE" w:rsidP="007E7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StobiSerifRegular-Identity-H" w:cs="Calibri"/>
          <w:lang w:val="en-GB"/>
        </w:rPr>
      </w:pPr>
      <w:r w:rsidRPr="00D30847">
        <w:rPr>
          <w:rFonts w:eastAsia="StobiSerifRegular-Identity-H" w:cs="Calibri"/>
          <w:lang w:val="en-GB"/>
        </w:rPr>
        <w:t>Robust public finances are crucial for maintaining fiscal discipline, ensuring the allocation of public resources aligns with the government strategic priorities, optimizing operational efficiency, as well as promoting accountability and transparency. The integration of Public Financial Management (PFM) operations by leveraging the latest digital advancements, and the capacity building of public administration employees play key roles in enhancing and advancing the public finances in the Republic of North Macedonia.</w:t>
      </w:r>
    </w:p>
    <w:p w14:paraId="3951E6F0" w14:textId="77777777" w:rsidR="007E7BAE" w:rsidRPr="00D30847" w:rsidRDefault="007E7BAE" w:rsidP="007E7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StobiSerifRegular-Identity-H" w:cs="Calibri"/>
          <w:lang w:val="en-GB"/>
        </w:rPr>
      </w:pPr>
    </w:p>
    <w:p w14:paraId="16154C86" w14:textId="77777777" w:rsidR="007E7BAE" w:rsidRPr="00D30847" w:rsidRDefault="007E7BAE" w:rsidP="007E7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StobiSerifRegular-Identity-H" w:cs="Calibri"/>
          <w:lang w:val="en-GB"/>
        </w:rPr>
      </w:pPr>
      <w:r w:rsidRPr="00D30847">
        <w:rPr>
          <w:rFonts w:eastAsia="StobiSerifRegular-Identity-H" w:cs="Calibri"/>
          <w:lang w:val="en-GB"/>
        </w:rPr>
        <w:t>The main objective of IFMIS development is to improve the efficiency and transparency of PFM operations by transitioning from existing fragmented and disconnected systems to a centralized web-based shared platform benefiting from the latest digital technologies to support the PFM reforms and the implementation of the Organic Budget law (OBL).</w:t>
      </w:r>
    </w:p>
    <w:p w14:paraId="4A256128" w14:textId="77777777" w:rsidR="007E7BAE" w:rsidRPr="00D30847" w:rsidRDefault="007E7BAE" w:rsidP="007E7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StobiSerifRegular-Identity-H" w:cs="Calibri"/>
          <w:lang w:val="en-GB"/>
        </w:rPr>
      </w:pPr>
    </w:p>
    <w:p w14:paraId="170D2961" w14:textId="77777777" w:rsidR="007E7BAE" w:rsidRPr="00D30847" w:rsidRDefault="007E7BAE" w:rsidP="007E7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StobiSerifRegular-Identity-H" w:cs="Calibri"/>
          <w:lang w:val="en-GB"/>
        </w:rPr>
      </w:pPr>
      <w:r w:rsidRPr="00D30847">
        <w:rPr>
          <w:rFonts w:eastAsia="StobiSerifRegular-Identity-H" w:cs="Calibri"/>
          <w:lang w:val="en-GB"/>
        </w:rPr>
        <w:t>More precisely, the IFMIS is expected to play a crucial role in amending the legal and institutional budget framework and addressing existing challenges in PFM systems. It aims to broaden the scope of budget execution monitoring and fiscal reporting, covering all stages of the expenditure cycle, from procurement to payment, and ensuring a consolidated overview of public spending on time. Among its functionalities, IFMIS will enable the establishment of a multi-year budgetary framework, introduce a public investment management function, and implement an automated system for supervising commitments, including multi-year commitments. The system will centralize data on commitments incurred, as well as asset and debt management. Integration of IFMIS is expected to provide comprehensive and timely access to public finance data, contributing to improved efficiency in liquidity forecasting and the management of financial flows within the budget.</w:t>
      </w:r>
    </w:p>
    <w:p w14:paraId="6EF92CA7" w14:textId="77777777" w:rsidR="007E7BAE" w:rsidRPr="00D30847" w:rsidRDefault="007E7BAE" w:rsidP="007E7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StobiSerifRegular-Identity-H" w:cs="Calibri"/>
          <w:lang w:val="en-GB"/>
        </w:rPr>
      </w:pPr>
    </w:p>
    <w:p w14:paraId="791DAE6C" w14:textId="77777777" w:rsidR="00C618B1" w:rsidRPr="00D30847" w:rsidRDefault="00C618B1" w:rsidP="00C618B1">
      <w:pPr>
        <w:spacing w:before="80" w:after="80" w:line="240" w:lineRule="auto"/>
        <w:jc w:val="both"/>
        <w:rPr>
          <w:rFonts w:eastAsia="StobiSerifRegular-Identity-H" w:cs="Calibri"/>
          <w:lang w:val="en-GB"/>
        </w:rPr>
      </w:pPr>
      <w:r w:rsidRPr="00D30847">
        <w:rPr>
          <w:rFonts w:eastAsia="StobiSerifRegular-Identity-H" w:cs="Calibri"/>
          <w:lang w:val="en-GB"/>
        </w:rPr>
        <w:t>The Public Finance Academy will contribute to the development of highly qualified professionals in the field of public finance, resulting in more efficient and responsible management of public funds. Training programs will emphasize the essential importance of fiscal responsibility, fostering better budgeting practices, reducing deficits, and strengthening financial stability.</w:t>
      </w:r>
    </w:p>
    <w:p w14:paraId="02B95C60" w14:textId="77777777" w:rsidR="00C618B1" w:rsidRPr="00D30847" w:rsidRDefault="00C618B1" w:rsidP="00C618B1">
      <w:pPr>
        <w:spacing w:before="80" w:after="80" w:line="240" w:lineRule="auto"/>
        <w:jc w:val="both"/>
        <w:rPr>
          <w:rFonts w:eastAsia="StobiSerifRegular-Identity-H" w:cs="Calibri"/>
          <w:lang w:val="en-GB"/>
        </w:rPr>
      </w:pPr>
      <w:r w:rsidRPr="00D30847">
        <w:rPr>
          <w:rFonts w:eastAsia="StobiSerifRegular-Identity-H" w:cs="Calibri"/>
          <w:lang w:val="en-GB"/>
        </w:rPr>
        <w:t>Furthermore, education in public finance will help create more transparent and accountable governance, reduce corruption, and enhance trust in public institutions. Providing continuous education for public administration in public finance management is particularly important for the overall public finance management process and for building a modern and competent administration capable of delivering quality and efficient services to citizens and businesses.</w:t>
      </w:r>
    </w:p>
    <w:p w14:paraId="62BC99C7" w14:textId="5F514D81" w:rsidR="007E7BAE" w:rsidRPr="00D30847" w:rsidRDefault="007E7BAE" w:rsidP="007E7BAE">
      <w:pPr>
        <w:spacing w:line="240" w:lineRule="auto"/>
        <w:rPr>
          <w:rFonts w:eastAsia="StobiSerifRegular-Identity-H" w:cs="Calibri"/>
          <w:lang w:val="en-GB"/>
        </w:rPr>
      </w:pPr>
      <w:r w:rsidRPr="00D30847">
        <w:rPr>
          <w:rFonts w:eastAsia="StobiSerifRegular-Identity-H" w:cs="Calibri"/>
          <w:lang w:val="en-GB"/>
        </w:rPr>
        <w:t xml:space="preserve">This pillar is covering the </w:t>
      </w:r>
      <w:r w:rsidR="00514D12" w:rsidRPr="00D30847">
        <w:rPr>
          <w:rFonts w:eastAsia="StobiSerifRegular-Identity-H" w:cs="Calibri"/>
          <w:lang w:val="en-GB"/>
        </w:rPr>
        <w:t>following priorities</w:t>
      </w:r>
      <w:r w:rsidRPr="00D30847">
        <w:rPr>
          <w:rFonts w:eastAsia="StobiSerifRegular-Identity-H" w:cs="Calibri"/>
          <w:lang w:val="en-GB"/>
        </w:rPr>
        <w:t>:</w:t>
      </w:r>
    </w:p>
    <w:p w14:paraId="786449F8" w14:textId="36B8E425" w:rsidR="007E7BAE" w:rsidRPr="00D30847" w:rsidRDefault="008C761D" w:rsidP="00AD2AD5">
      <w:pPr>
        <w:pStyle w:val="ListParagraph"/>
        <w:numPr>
          <w:ilvl w:val="0"/>
          <w:numId w:val="69"/>
        </w:numPr>
        <w:spacing w:line="240" w:lineRule="auto"/>
        <w:rPr>
          <w:b/>
        </w:rPr>
      </w:pPr>
      <w:r w:rsidRPr="00D30847">
        <w:rPr>
          <w:b/>
        </w:rPr>
        <w:t xml:space="preserve">Priority 1: </w:t>
      </w:r>
      <w:r w:rsidR="007E7BAE" w:rsidRPr="00D30847">
        <w:rPr>
          <w:b/>
        </w:rPr>
        <w:t xml:space="preserve">Implementation of an Integrated Financial Management Information System (IFMIS) </w:t>
      </w:r>
    </w:p>
    <w:p w14:paraId="5631AC33" w14:textId="0BCF7F2D" w:rsidR="008C761D" w:rsidRPr="00D30847" w:rsidRDefault="008C761D" w:rsidP="00AD2AD5">
      <w:pPr>
        <w:pStyle w:val="ListParagraph"/>
        <w:numPr>
          <w:ilvl w:val="0"/>
          <w:numId w:val="69"/>
        </w:numPr>
        <w:autoSpaceDE w:val="0"/>
        <w:autoSpaceDN w:val="0"/>
        <w:adjustRightInd w:val="0"/>
        <w:spacing w:line="240" w:lineRule="auto"/>
        <w:rPr>
          <w:b/>
        </w:rPr>
      </w:pPr>
      <w:r w:rsidRPr="00D30847">
        <w:rPr>
          <w:rFonts w:eastAsia="StobiSerifRegular-Identity-H" w:cs="Calibri"/>
          <w:b/>
        </w:rPr>
        <w:t>Priority 2</w:t>
      </w:r>
      <w:r w:rsidR="00555720" w:rsidRPr="00D30847">
        <w:rPr>
          <w:b/>
        </w:rPr>
        <w:t xml:space="preserve">: </w:t>
      </w:r>
      <w:r w:rsidRPr="00D30847">
        <w:rPr>
          <w:b/>
        </w:rPr>
        <w:t>Public Finance Academy (learning organization)</w:t>
      </w:r>
    </w:p>
    <w:p w14:paraId="3A76B7C3" w14:textId="74E53CB5" w:rsidR="007E7BAE" w:rsidRPr="00D30847" w:rsidRDefault="008C761D" w:rsidP="005C0E14">
      <w:pPr>
        <w:spacing w:line="240" w:lineRule="auto"/>
        <w:rPr>
          <w:b/>
          <w:lang w:val="en-GB"/>
        </w:rPr>
      </w:pPr>
      <w:r w:rsidRPr="00D30847">
        <w:rPr>
          <w:b/>
          <w:lang w:val="en-GB"/>
        </w:rPr>
        <w:t xml:space="preserve">Priority 1: Implementation of an Integrated Financial Management Information System (IFMIS) </w:t>
      </w:r>
    </w:p>
    <w:p w14:paraId="6999CED0" w14:textId="0A22A383" w:rsidR="007E7BAE" w:rsidRPr="00D30847" w:rsidRDefault="007E7BAE" w:rsidP="00CE2DF4">
      <w:pPr>
        <w:autoSpaceDE w:val="0"/>
        <w:autoSpaceDN w:val="0"/>
        <w:adjustRightInd w:val="0"/>
        <w:spacing w:line="240" w:lineRule="auto"/>
        <w:jc w:val="both"/>
        <w:rPr>
          <w:rFonts w:eastAsia="StobiSerifRegular-Identity-H" w:cs="Calibri"/>
          <w:lang w:val="en-GB"/>
        </w:rPr>
      </w:pPr>
      <w:r w:rsidRPr="00D30847">
        <w:rPr>
          <w:rFonts w:eastAsia="StobiSerifRegular-Identity-H" w:cs="Calibri"/>
          <w:lang w:val="en-GB"/>
        </w:rPr>
        <w:t>The development of IFMIS aims to enhance the efficiency and transparency of PFM operations, playing a crucial role in amending the legal and institutional budget framework, addressing existing challenges, and providing a centralized web-based platform with advanced functionalities to support comprehensive budget execution monitoring and fiscal reporting</w:t>
      </w:r>
    </w:p>
    <w:p w14:paraId="31A7BB74" w14:textId="5B0C1FF8" w:rsidR="004F61A2" w:rsidRPr="00D30847" w:rsidRDefault="005C0E14" w:rsidP="00CE2DF4">
      <w:pPr>
        <w:autoSpaceDE w:val="0"/>
        <w:autoSpaceDN w:val="0"/>
        <w:adjustRightInd w:val="0"/>
        <w:spacing w:line="240" w:lineRule="auto"/>
        <w:jc w:val="both"/>
        <w:rPr>
          <w:b/>
          <w:lang w:val="en-GB"/>
        </w:rPr>
      </w:pPr>
      <w:r w:rsidRPr="00D30847">
        <w:rPr>
          <w:b/>
          <w:lang w:val="en-GB"/>
        </w:rPr>
        <w:t xml:space="preserve">Priority </w:t>
      </w:r>
      <w:r w:rsidR="00514D12" w:rsidRPr="00D30847">
        <w:rPr>
          <w:rFonts w:eastAsia="StobiSerifRegular-Identity-H" w:cs="Calibri"/>
          <w:b/>
          <w:lang w:val="en-GB"/>
        </w:rPr>
        <w:t>2</w:t>
      </w:r>
      <w:r w:rsidR="00514D12" w:rsidRPr="00D30847">
        <w:rPr>
          <w:b/>
          <w:lang w:val="en-GB"/>
        </w:rPr>
        <w:t>. Public</w:t>
      </w:r>
      <w:r w:rsidR="004F61A2" w:rsidRPr="00D30847">
        <w:rPr>
          <w:b/>
          <w:lang w:val="en-GB"/>
        </w:rPr>
        <w:t xml:space="preserve"> Finance Academy (learning organization)</w:t>
      </w:r>
    </w:p>
    <w:p w14:paraId="5E0AD18E" w14:textId="77777777" w:rsidR="00C618B1" w:rsidRPr="00D30847" w:rsidRDefault="00C618B1" w:rsidP="00C618B1">
      <w:pPr>
        <w:autoSpaceDE w:val="0"/>
        <w:autoSpaceDN w:val="0"/>
        <w:adjustRightInd w:val="0"/>
        <w:spacing w:after="120" w:line="240" w:lineRule="auto"/>
        <w:contextualSpacing/>
        <w:jc w:val="both"/>
        <w:rPr>
          <w:rFonts w:eastAsia="StobiSerifRegular-Identity-H" w:cs="Calibri"/>
          <w:lang w:val="en-GB"/>
        </w:rPr>
      </w:pPr>
      <w:r w:rsidRPr="00D30847">
        <w:rPr>
          <w:rFonts w:eastAsia="StobiSerifRegular-Identity-H" w:cs="Calibri"/>
          <w:lang w:val="en-GB"/>
        </w:rPr>
        <w:t>This priority contributes on ensuring continuous education for the public sector in the area of public finance and fostering a modern and competent administration capable of delivering high-quality and efficient services to citizens and businesses.</w:t>
      </w:r>
    </w:p>
    <w:p w14:paraId="0B2BA263" w14:textId="0FCADF8B" w:rsidR="008D1B70" w:rsidRPr="00D30847" w:rsidRDefault="008D1B70" w:rsidP="00F4681C">
      <w:pPr>
        <w:pStyle w:val="Heading1"/>
        <w:jc w:val="both"/>
        <w:rPr>
          <w:rFonts w:ascii="Calibri" w:hAnsi="Calibri" w:cs="Calibri"/>
          <w:color w:val="0070C0"/>
          <w:sz w:val="28"/>
          <w:szCs w:val="28"/>
          <w:lang w:val="en-GB"/>
        </w:rPr>
      </w:pPr>
      <w:bookmarkStart w:id="55" w:name="_Toc187841816"/>
      <w:r w:rsidRPr="00D30847">
        <w:rPr>
          <w:rFonts w:ascii="Calibri" w:hAnsi="Calibri" w:cs="Calibri"/>
          <w:color w:val="0070C0"/>
          <w:sz w:val="28"/>
          <w:szCs w:val="28"/>
          <w:lang w:val="en-GB"/>
        </w:rPr>
        <w:lastRenderedPageBreak/>
        <w:t>Priority</w:t>
      </w:r>
      <w:r w:rsidR="006C58A9" w:rsidRPr="00D30847">
        <w:rPr>
          <w:rFonts w:ascii="Calibri" w:hAnsi="Calibri" w:cs="Calibri"/>
          <w:color w:val="0070C0"/>
          <w:sz w:val="28"/>
          <w:szCs w:val="28"/>
          <w:lang w:val="en-GB"/>
        </w:rPr>
        <w:t xml:space="preserve"> </w:t>
      </w:r>
      <w:r w:rsidRPr="00D30847">
        <w:rPr>
          <w:rFonts w:ascii="Calibri" w:hAnsi="Calibri" w:cs="Calibri"/>
          <w:color w:val="0070C0"/>
          <w:sz w:val="28"/>
          <w:szCs w:val="28"/>
          <w:lang w:val="en-GB"/>
        </w:rPr>
        <w:t>1:</w:t>
      </w:r>
      <w:r w:rsidR="006C58A9" w:rsidRPr="00D30847">
        <w:rPr>
          <w:rFonts w:ascii="Calibri" w:hAnsi="Calibri" w:cs="Calibri"/>
          <w:color w:val="0070C0"/>
          <w:sz w:val="28"/>
          <w:szCs w:val="28"/>
          <w:lang w:val="en-GB"/>
        </w:rPr>
        <w:t xml:space="preserve"> </w:t>
      </w:r>
      <w:r w:rsidRPr="00D30847">
        <w:rPr>
          <w:rFonts w:ascii="Calibri" w:hAnsi="Calibri" w:cs="Calibri"/>
          <w:color w:val="0070C0"/>
          <w:sz w:val="28"/>
          <w:szCs w:val="28"/>
          <w:lang w:val="en-GB"/>
        </w:rPr>
        <w:t>Implementation of an Integrated Financial Management Information System</w:t>
      </w:r>
      <w:r w:rsidR="006C58A9" w:rsidRPr="00D30847">
        <w:rPr>
          <w:rFonts w:ascii="Calibri" w:hAnsi="Calibri" w:cs="Calibri"/>
          <w:color w:val="0070C0"/>
          <w:sz w:val="28"/>
          <w:szCs w:val="28"/>
          <w:lang w:val="en-GB"/>
        </w:rPr>
        <w:t xml:space="preserve"> </w:t>
      </w:r>
      <w:r w:rsidRPr="00D30847">
        <w:rPr>
          <w:rFonts w:ascii="Calibri" w:hAnsi="Calibri" w:cs="Calibri"/>
          <w:color w:val="0070C0"/>
          <w:sz w:val="28"/>
          <w:szCs w:val="28"/>
          <w:lang w:val="en-GB"/>
        </w:rPr>
        <w:t>(IFMIS)</w:t>
      </w:r>
      <w:bookmarkEnd w:id="55"/>
      <w:r w:rsidRPr="00D30847">
        <w:rPr>
          <w:rFonts w:ascii="Calibri" w:hAnsi="Calibri" w:cs="Calibri"/>
          <w:color w:val="0070C0"/>
          <w:sz w:val="28"/>
          <w:szCs w:val="28"/>
          <w:lang w:val="en-GB"/>
        </w:rPr>
        <w:t xml:space="preserve"> </w:t>
      </w:r>
    </w:p>
    <w:p w14:paraId="44031955" w14:textId="77777777" w:rsidR="008D1B70" w:rsidRPr="00D30847" w:rsidRDefault="008D1B70" w:rsidP="00E84CD0">
      <w:pPr>
        <w:keepNext/>
        <w:keepLines/>
        <w:spacing w:after="12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Objective</w:t>
      </w:r>
    </w:p>
    <w:p w14:paraId="45EFAABE" w14:textId="50FCADAB" w:rsidR="00890621" w:rsidRPr="00D30847" w:rsidRDefault="00890621" w:rsidP="00E84CD0">
      <w:pPr>
        <w:spacing w:after="120" w:line="240" w:lineRule="auto"/>
        <w:jc w:val="both"/>
        <w:rPr>
          <w:rFonts w:eastAsia="MS PGothic" w:cs="Calibri"/>
          <w:lang w:val="en-GB" w:eastAsia="zh-CN"/>
        </w:rPr>
      </w:pPr>
      <w:r w:rsidRPr="00D30847">
        <w:rPr>
          <w:rFonts w:eastAsia="MS PGothic" w:cs="Calibri"/>
          <w:lang w:val="en-GB" w:eastAsia="zh-CN"/>
        </w:rPr>
        <w:t>Implementation of a contemporary Integrated Financial Management Information System (IFMIS) is an important part of the Public Financial Management (PFM) reforms initiated by the Ministry of Finance (MoF). The main objective of IFMIS development is to improve the efficiency and transparency of PFM operations by transitioning from existing fragmented and disconnected systems to a centralized web-based shared platform benefiting from the latest digital technologies to support the PFM reforms and the implementation of the new Organic Budget law (OBL) adopted in September 2022</w:t>
      </w:r>
      <w:r w:rsidR="007127D7" w:rsidRPr="00D30847">
        <w:rPr>
          <w:rFonts w:eastAsia="MS PGothic" w:cs="Calibri"/>
          <w:lang w:val="en-GB" w:eastAsia="zh-CN"/>
        </w:rPr>
        <w:t>.</w:t>
      </w:r>
      <w:r w:rsidRPr="00D30847">
        <w:rPr>
          <w:rFonts w:eastAsia="MS PGothic" w:cs="Calibri"/>
          <w:lang w:val="en-GB" w:eastAsia="zh-CN"/>
        </w:rPr>
        <w:t xml:space="preserve"> </w:t>
      </w:r>
    </w:p>
    <w:p w14:paraId="16762533" w14:textId="77777777" w:rsidR="008D1B70" w:rsidRPr="00D30847" w:rsidRDefault="008D1B70" w:rsidP="00E84CD0">
      <w:pPr>
        <w:spacing w:after="120" w:line="240" w:lineRule="auto"/>
        <w:jc w:val="both"/>
        <w:rPr>
          <w:rFonts w:eastAsia="MS PGothic" w:cs="Calibri"/>
          <w:lang w:val="en-GB" w:eastAsia="zh-CN"/>
        </w:rPr>
      </w:pPr>
      <w:r w:rsidRPr="00D30847">
        <w:rPr>
          <w:rFonts w:eastAsia="MS PGothic" w:cs="Calibri"/>
          <w:lang w:val="en-GB" w:eastAsia="zh-CN"/>
        </w:rPr>
        <w:t>The IFMIS is expected to support the amendment of the legal and institutional organic budget framework and address existing challenges in PFM systems by broadening the scope of budget execution monitoring and fiscal reporting, covering all stages of the expenditure cycle (from procurement to payment), and obtaining a consolidated picture of the public spending on a timely basis. The IFMIS will allow, among other things, the establishment of a multi-year budgetary framework, introduction of public investment management function linked with the future public-private investment system, an automated system of supervision over commitments, including multi-year commitments and centralized data on the commitments incurred, fixed asset management, and debt management. Furthermore, its integration will enable comprehensive and timely availability of public finance data which will contribute to increased efficiency in liquidity forecasting and management of financial flows of the budget.</w:t>
      </w:r>
    </w:p>
    <w:p w14:paraId="4D7DD7C3" w14:textId="148941CE" w:rsidR="00890621" w:rsidRPr="00D30847" w:rsidRDefault="007127D7" w:rsidP="00890621">
      <w:pPr>
        <w:spacing w:after="120" w:line="240" w:lineRule="auto"/>
        <w:jc w:val="both"/>
        <w:rPr>
          <w:rFonts w:eastAsia="MS PGothic" w:cs="Calibri"/>
          <w:lang w:val="en-GB" w:eastAsia="zh-CN"/>
        </w:rPr>
      </w:pPr>
      <w:r w:rsidRPr="00D30847">
        <w:rPr>
          <w:rFonts w:eastAsia="MS PGothic" w:cs="Calibri"/>
          <w:lang w:val="en-GB" w:eastAsia="zh-CN"/>
        </w:rPr>
        <w:t xml:space="preserve">Within the framework of the </w:t>
      </w:r>
      <w:r w:rsidR="00890621" w:rsidRPr="00D30847">
        <w:rPr>
          <w:rFonts w:eastAsia="MS PGothic" w:cs="Calibri"/>
          <w:lang w:val="en-GB" w:eastAsia="zh-CN"/>
        </w:rPr>
        <w:t xml:space="preserve">"Building Effective, Transparent, and Accountable Public Financial Management Institutions </w:t>
      </w:r>
      <w:r w:rsidR="002F500A" w:rsidRPr="00D30847">
        <w:rPr>
          <w:rFonts w:eastAsia="MS PGothic" w:cs="Calibri"/>
          <w:lang w:val="en-GB" w:eastAsia="zh-CN"/>
        </w:rPr>
        <w:t>Project,</w:t>
      </w:r>
      <w:r w:rsidRPr="00D30847">
        <w:rPr>
          <w:rFonts w:eastAsia="MS PGothic" w:cs="Calibri"/>
          <w:lang w:val="en-GB" w:eastAsia="zh-CN"/>
        </w:rPr>
        <w:t xml:space="preserve"> a Project Unit has been established within the Ministry of Finance. Its purpose, among other things, is to oversee and support the implementation of IFMIS.</w:t>
      </w:r>
    </w:p>
    <w:p w14:paraId="63EB981E" w14:textId="1B2E5143" w:rsidR="00890621" w:rsidRPr="00D30847" w:rsidRDefault="007127D7" w:rsidP="00890621">
      <w:pPr>
        <w:spacing w:after="120" w:line="240" w:lineRule="auto"/>
        <w:jc w:val="both"/>
        <w:rPr>
          <w:rFonts w:eastAsia="MS PGothic" w:cs="Calibri"/>
          <w:lang w:val="en-GB" w:eastAsia="zh-CN"/>
        </w:rPr>
      </w:pPr>
      <w:r w:rsidRPr="00D30847">
        <w:rPr>
          <w:rFonts w:eastAsia="MS PGothic" w:cs="Calibri"/>
          <w:lang w:val="en-GB" w:eastAsia="zh-CN"/>
        </w:rPr>
        <w:t xml:space="preserve">At the same time, </w:t>
      </w:r>
      <w:r w:rsidR="00890621" w:rsidRPr="00D30847">
        <w:rPr>
          <w:rFonts w:eastAsia="MS PGothic" w:cs="Calibri"/>
          <w:lang w:val="en-GB" w:eastAsia="zh-CN"/>
        </w:rPr>
        <w:t>the Minister of Finance has established a Working Body with a five-year mandate to be responsible for implementation, upgrading, optimization, execution, regulation, maintenance, control, staff education, and analysis of all system processes and functionalities</w:t>
      </w:r>
      <w:r w:rsidRPr="00D30847">
        <w:rPr>
          <w:rFonts w:eastAsia="MS PGothic" w:cs="Calibri"/>
          <w:lang w:val="en-GB" w:eastAsia="zh-CN"/>
        </w:rPr>
        <w:t xml:space="preserve"> related to integrated information system for public finances. Additionally,</w:t>
      </w:r>
      <w:r w:rsidR="00890621" w:rsidRPr="00D30847">
        <w:rPr>
          <w:rFonts w:eastAsia="MS PGothic" w:cs="Calibri"/>
          <w:lang w:val="en-GB" w:eastAsia="zh-CN"/>
        </w:rPr>
        <w:t xml:space="preserve"> </w:t>
      </w:r>
      <w:r w:rsidR="002F500A" w:rsidRPr="00D30847">
        <w:rPr>
          <w:rFonts w:eastAsia="MS PGothic" w:cs="Calibri"/>
          <w:lang w:val="en-GB" w:eastAsia="zh-CN"/>
        </w:rPr>
        <w:t>the expert</w:t>
      </w:r>
      <w:r w:rsidR="00890621" w:rsidRPr="00D30847">
        <w:rPr>
          <w:rFonts w:eastAsia="MS PGothic" w:cs="Calibri"/>
          <w:lang w:val="en-GB" w:eastAsia="zh-CN"/>
        </w:rPr>
        <w:t xml:space="preserve"> commissions and working groups</w:t>
      </w:r>
      <w:r w:rsidRPr="00D30847">
        <w:rPr>
          <w:rFonts w:eastAsia="MS PGothic" w:cs="Calibri"/>
          <w:lang w:val="en-GB" w:eastAsia="zh-CN"/>
        </w:rPr>
        <w:t xml:space="preserve">, that will be established additionally, </w:t>
      </w:r>
      <w:r w:rsidR="00890621" w:rsidRPr="00D30847">
        <w:rPr>
          <w:rFonts w:eastAsia="MS PGothic" w:cs="Calibri"/>
          <w:lang w:val="en-GB" w:eastAsia="zh-CN"/>
        </w:rPr>
        <w:t>will play a key role in advancing the development and implementation of individual IFMIS modules.</w:t>
      </w:r>
    </w:p>
    <w:p w14:paraId="6037A8B6" w14:textId="017DFFCB" w:rsidR="008D1B70" w:rsidRPr="00D30847" w:rsidRDefault="008D1B70" w:rsidP="00E84CD0">
      <w:pPr>
        <w:spacing w:after="60" w:line="240" w:lineRule="auto"/>
        <w:jc w:val="both"/>
        <w:rPr>
          <w:rFonts w:eastAsia="MS PGothic" w:cs="Calibri"/>
          <w:lang w:val="en-GB" w:eastAsia="zh-CN"/>
        </w:rPr>
      </w:pPr>
      <w:r w:rsidRPr="00D30847">
        <w:rPr>
          <w:rFonts w:eastAsia="MS PGothic" w:cs="Calibri"/>
          <w:lang w:val="en-GB" w:eastAsia="zh-CN"/>
        </w:rPr>
        <w:t>The objective of this priority will be achieved through the following measures and activities:</w:t>
      </w:r>
    </w:p>
    <w:p w14:paraId="59CABABA" w14:textId="77777777" w:rsidR="006C58A9" w:rsidRPr="00D30847" w:rsidRDefault="006C58A9" w:rsidP="00E84CD0">
      <w:pPr>
        <w:spacing w:after="60" w:line="240" w:lineRule="auto"/>
        <w:jc w:val="both"/>
        <w:rPr>
          <w:rFonts w:eastAsia="MS PGothic" w:cs="Calibri"/>
          <w:lang w:val="en-GB" w:eastAsia="zh-CN"/>
        </w:rPr>
      </w:pPr>
    </w:p>
    <w:tbl>
      <w:tblPr>
        <w:tblW w:w="9108" w:type="dxa"/>
        <w:tblInd w:w="-90" w:type="dxa"/>
        <w:tblLook w:val="01E0" w:firstRow="1" w:lastRow="1" w:firstColumn="1" w:lastColumn="1" w:noHBand="0" w:noVBand="0"/>
      </w:tblPr>
      <w:tblGrid>
        <w:gridCol w:w="1540"/>
        <w:gridCol w:w="7568"/>
      </w:tblGrid>
      <w:tr w:rsidR="008D1B70" w:rsidRPr="00D30847" w14:paraId="6781F82D" w14:textId="77777777" w:rsidTr="008D5030">
        <w:tc>
          <w:tcPr>
            <w:tcW w:w="1540" w:type="dxa"/>
            <w:shd w:val="clear" w:color="auto" w:fill="auto"/>
          </w:tcPr>
          <w:p w14:paraId="52504AF2" w14:textId="77777777" w:rsidR="008D1B70" w:rsidRPr="00D30847" w:rsidRDefault="008D1B70" w:rsidP="007D6CD2">
            <w:pPr>
              <w:spacing w:after="60"/>
              <w:jc w:val="both"/>
              <w:rPr>
                <w:rFonts w:cs="Calibri"/>
                <w:b/>
                <w:lang w:val="en-GB"/>
              </w:rPr>
            </w:pPr>
            <w:r w:rsidRPr="00D30847">
              <w:rPr>
                <w:rFonts w:cs="Calibri"/>
                <w:b/>
                <w:lang w:val="en-GB"/>
              </w:rPr>
              <w:t>Measure 1:</w:t>
            </w:r>
          </w:p>
        </w:tc>
        <w:tc>
          <w:tcPr>
            <w:tcW w:w="7568" w:type="dxa"/>
            <w:shd w:val="clear" w:color="auto" w:fill="auto"/>
          </w:tcPr>
          <w:p w14:paraId="6D581747" w14:textId="04BA23EE" w:rsidR="008D1B70" w:rsidRPr="00D30847" w:rsidRDefault="000C4FB2" w:rsidP="007D6CD2">
            <w:pPr>
              <w:spacing w:after="60"/>
              <w:jc w:val="both"/>
              <w:rPr>
                <w:rFonts w:cs="Calibri"/>
                <w:b/>
                <w:lang w:val="en-GB"/>
              </w:rPr>
            </w:pPr>
            <w:r w:rsidRPr="00D30847">
              <w:rPr>
                <w:rFonts w:cs="Calibri"/>
                <w:b/>
                <w:lang w:val="en-GB"/>
              </w:rPr>
              <w:t xml:space="preserve">Development of IFMIS as an integrated centralized web-based system </w:t>
            </w:r>
          </w:p>
        </w:tc>
      </w:tr>
      <w:tr w:rsidR="008D1B70" w:rsidRPr="00D30847" w14:paraId="5EFAEC21" w14:textId="77777777" w:rsidTr="008D5030">
        <w:tc>
          <w:tcPr>
            <w:tcW w:w="1540" w:type="dxa"/>
            <w:shd w:val="clear" w:color="auto" w:fill="auto"/>
          </w:tcPr>
          <w:p w14:paraId="001ABA15" w14:textId="77777777" w:rsidR="008D1B70" w:rsidRPr="00D30847" w:rsidRDefault="008D1B70" w:rsidP="007D6CD2">
            <w:pPr>
              <w:spacing w:after="60"/>
              <w:jc w:val="both"/>
              <w:rPr>
                <w:rFonts w:cs="Calibri"/>
                <w:lang w:val="en-GB"/>
              </w:rPr>
            </w:pPr>
            <w:r w:rsidRPr="00D30847">
              <w:rPr>
                <w:rFonts w:cs="Calibri"/>
                <w:lang w:val="en-GB"/>
              </w:rPr>
              <w:t>Activity 1</w:t>
            </w:r>
            <w:r w:rsidRPr="00D30847">
              <w:rPr>
                <w:rFonts w:cs="Calibri"/>
                <w:b/>
                <w:lang w:val="en-GB"/>
              </w:rPr>
              <w:t>:</w:t>
            </w:r>
          </w:p>
        </w:tc>
        <w:tc>
          <w:tcPr>
            <w:tcW w:w="7568" w:type="dxa"/>
            <w:shd w:val="clear" w:color="auto" w:fill="auto"/>
          </w:tcPr>
          <w:p w14:paraId="1C61620A" w14:textId="59622BAE" w:rsidR="008D1B70" w:rsidRPr="00D30847" w:rsidRDefault="000C4FB2" w:rsidP="007D6CD2">
            <w:pPr>
              <w:spacing w:after="60"/>
              <w:jc w:val="both"/>
              <w:rPr>
                <w:rFonts w:cs="Calibri"/>
                <w:lang w:val="en-GB"/>
              </w:rPr>
            </w:pPr>
            <w:r w:rsidRPr="00D30847">
              <w:rPr>
                <w:rFonts w:cs="Calibri"/>
                <w:lang w:val="en-GB"/>
              </w:rPr>
              <w:t>Selection of IFMIS Solution Provider;</w:t>
            </w:r>
          </w:p>
        </w:tc>
      </w:tr>
      <w:tr w:rsidR="008D1B70" w:rsidRPr="00D30847" w14:paraId="099E3C1A" w14:textId="77777777" w:rsidTr="008D5030">
        <w:tc>
          <w:tcPr>
            <w:tcW w:w="1540" w:type="dxa"/>
            <w:shd w:val="clear" w:color="auto" w:fill="auto"/>
          </w:tcPr>
          <w:p w14:paraId="5B4195B0" w14:textId="77777777" w:rsidR="008D1B70" w:rsidRPr="00D30847" w:rsidRDefault="008D1B70" w:rsidP="007D6CD2">
            <w:pPr>
              <w:spacing w:after="60"/>
              <w:jc w:val="both"/>
              <w:rPr>
                <w:rFonts w:cs="Calibri"/>
                <w:lang w:val="en-GB"/>
              </w:rPr>
            </w:pPr>
            <w:r w:rsidRPr="00D30847">
              <w:rPr>
                <w:rFonts w:cs="Calibri"/>
                <w:lang w:val="en-GB"/>
              </w:rPr>
              <w:t>Activity 2</w:t>
            </w:r>
            <w:r w:rsidRPr="00D30847">
              <w:rPr>
                <w:rFonts w:cs="Calibri"/>
                <w:b/>
                <w:lang w:val="en-GB"/>
              </w:rPr>
              <w:t>:</w:t>
            </w:r>
          </w:p>
        </w:tc>
        <w:tc>
          <w:tcPr>
            <w:tcW w:w="7568" w:type="dxa"/>
            <w:shd w:val="clear" w:color="auto" w:fill="auto"/>
          </w:tcPr>
          <w:p w14:paraId="7E1869C2" w14:textId="47E569EC" w:rsidR="008D1B70" w:rsidRPr="00D30847" w:rsidRDefault="008C1EB6" w:rsidP="007D6CD2">
            <w:pPr>
              <w:spacing w:after="60"/>
              <w:jc w:val="both"/>
              <w:rPr>
                <w:rFonts w:cs="Calibri"/>
                <w:lang w:val="en-GB"/>
              </w:rPr>
            </w:pPr>
            <w:r w:rsidRPr="00D30847">
              <w:rPr>
                <w:rFonts w:cs="Calibri"/>
                <w:lang w:val="en-GB"/>
              </w:rPr>
              <w:t>Development of IFMIS modules and installation of hardware system and interfaces</w:t>
            </w:r>
            <w:r w:rsidR="00890621" w:rsidRPr="00D30847">
              <w:rPr>
                <w:rFonts w:cs="Calibri"/>
                <w:lang w:val="en-GB"/>
              </w:rPr>
              <w:t>;</w:t>
            </w:r>
          </w:p>
        </w:tc>
      </w:tr>
      <w:tr w:rsidR="008C1EB6" w:rsidRPr="00D30847" w14:paraId="2509B6D7" w14:textId="77777777" w:rsidTr="008D5030">
        <w:tc>
          <w:tcPr>
            <w:tcW w:w="1540" w:type="dxa"/>
            <w:shd w:val="clear" w:color="auto" w:fill="auto"/>
          </w:tcPr>
          <w:p w14:paraId="5A11BAFF" w14:textId="37955EC1" w:rsidR="008C1EB6" w:rsidRPr="00D30847" w:rsidRDefault="008C1EB6" w:rsidP="007D6CD2">
            <w:pPr>
              <w:spacing w:after="60"/>
              <w:jc w:val="both"/>
              <w:rPr>
                <w:rFonts w:cs="Calibri"/>
                <w:lang w:val="en-GB"/>
              </w:rPr>
            </w:pPr>
            <w:r w:rsidRPr="00D30847">
              <w:rPr>
                <w:rFonts w:cs="Calibri"/>
                <w:lang w:val="en-GB"/>
              </w:rPr>
              <w:t>Activity 3:</w:t>
            </w:r>
          </w:p>
        </w:tc>
        <w:tc>
          <w:tcPr>
            <w:tcW w:w="7568" w:type="dxa"/>
            <w:shd w:val="clear" w:color="auto" w:fill="auto"/>
          </w:tcPr>
          <w:p w14:paraId="753FA0D3" w14:textId="71CBEC5A" w:rsidR="008C1EB6" w:rsidRPr="00D30847" w:rsidRDefault="008C1EB6" w:rsidP="007D6CD2">
            <w:pPr>
              <w:spacing w:after="60"/>
              <w:jc w:val="both"/>
              <w:rPr>
                <w:rFonts w:cs="Calibri"/>
                <w:lang w:val="en-GB"/>
              </w:rPr>
            </w:pPr>
            <w:r w:rsidRPr="00D30847">
              <w:rPr>
                <w:rFonts w:cs="Calibri"/>
                <w:lang w:val="en-GB"/>
              </w:rPr>
              <w:t>IFMIS pilot implementation and operational acceptance.</w:t>
            </w:r>
          </w:p>
        </w:tc>
      </w:tr>
      <w:tr w:rsidR="008C1EB6" w:rsidRPr="00D30847" w14:paraId="782BC65C" w14:textId="77777777" w:rsidTr="008D5030">
        <w:tc>
          <w:tcPr>
            <w:tcW w:w="1540" w:type="dxa"/>
            <w:shd w:val="clear" w:color="auto" w:fill="auto"/>
          </w:tcPr>
          <w:p w14:paraId="1BF8C9CA" w14:textId="40F32074" w:rsidR="008C1EB6" w:rsidRPr="00D30847" w:rsidRDefault="008C1EB6" w:rsidP="007D6CD2">
            <w:pPr>
              <w:spacing w:after="60"/>
              <w:jc w:val="both"/>
              <w:rPr>
                <w:rFonts w:cs="Calibri"/>
                <w:b/>
                <w:lang w:val="en-GB"/>
              </w:rPr>
            </w:pPr>
            <w:r w:rsidRPr="00D30847">
              <w:rPr>
                <w:rFonts w:cs="Calibri"/>
                <w:b/>
                <w:lang w:val="en-GB"/>
              </w:rPr>
              <w:t>Measure 2:</w:t>
            </w:r>
          </w:p>
        </w:tc>
        <w:tc>
          <w:tcPr>
            <w:tcW w:w="7568" w:type="dxa"/>
            <w:shd w:val="clear" w:color="auto" w:fill="auto"/>
          </w:tcPr>
          <w:p w14:paraId="3262177C" w14:textId="58E63188" w:rsidR="008C1EB6" w:rsidRPr="00D30847" w:rsidRDefault="008C1EB6" w:rsidP="007D6CD2">
            <w:pPr>
              <w:spacing w:after="60"/>
              <w:jc w:val="both"/>
              <w:rPr>
                <w:rFonts w:cs="Calibri"/>
                <w:b/>
                <w:lang w:val="en-GB"/>
              </w:rPr>
            </w:pPr>
            <w:r w:rsidRPr="00D30847">
              <w:rPr>
                <w:rFonts w:cs="Calibri"/>
                <w:b/>
                <w:lang w:val="en-GB"/>
              </w:rPr>
              <w:t>Expansion of MoF ICT infrastructure (in line with whole-of-government approach) to host new IFMIS</w:t>
            </w:r>
          </w:p>
        </w:tc>
      </w:tr>
      <w:tr w:rsidR="008C1EB6" w:rsidRPr="00D30847" w14:paraId="4BF6ACA9" w14:textId="77777777" w:rsidTr="008D5030">
        <w:tc>
          <w:tcPr>
            <w:tcW w:w="1540" w:type="dxa"/>
            <w:shd w:val="clear" w:color="auto" w:fill="auto"/>
          </w:tcPr>
          <w:p w14:paraId="35AC7C84" w14:textId="19006FDD" w:rsidR="008C1EB6" w:rsidRPr="00D30847" w:rsidRDefault="008C1EB6" w:rsidP="007D6CD2">
            <w:pPr>
              <w:spacing w:after="60"/>
              <w:jc w:val="both"/>
              <w:rPr>
                <w:rFonts w:cs="Calibri"/>
                <w:lang w:val="en-GB"/>
              </w:rPr>
            </w:pPr>
            <w:r w:rsidRPr="00D30847">
              <w:rPr>
                <w:rFonts w:cs="Calibri"/>
                <w:lang w:val="en-GB"/>
              </w:rPr>
              <w:t>Activity 1:</w:t>
            </w:r>
          </w:p>
        </w:tc>
        <w:tc>
          <w:tcPr>
            <w:tcW w:w="7568" w:type="dxa"/>
            <w:shd w:val="clear" w:color="auto" w:fill="auto"/>
          </w:tcPr>
          <w:p w14:paraId="3531A0E8" w14:textId="1C7B0ABF" w:rsidR="008C1EB6" w:rsidRPr="00D30847" w:rsidRDefault="008C1EB6" w:rsidP="007D6CD2">
            <w:pPr>
              <w:spacing w:after="60"/>
              <w:jc w:val="both"/>
              <w:rPr>
                <w:rFonts w:cs="Calibri"/>
                <w:lang w:val="en-GB"/>
              </w:rPr>
            </w:pPr>
            <w:r w:rsidRPr="00D30847">
              <w:rPr>
                <w:rFonts w:cs="Calibri"/>
                <w:lang w:val="en-GB"/>
              </w:rPr>
              <w:t xml:space="preserve">Enhancement of the existing data </w:t>
            </w:r>
            <w:proofErr w:type="spellStart"/>
            <w:r w:rsidRPr="00D30847">
              <w:rPr>
                <w:rFonts w:cs="Calibri"/>
                <w:lang w:val="en-GB"/>
              </w:rPr>
              <w:t>centers</w:t>
            </w:r>
            <w:proofErr w:type="spellEnd"/>
            <w:r w:rsidRPr="00D30847">
              <w:rPr>
                <w:rFonts w:cs="Calibri"/>
                <w:lang w:val="en-GB"/>
              </w:rPr>
              <w:t xml:space="preserve"> and network connectivity</w:t>
            </w:r>
          </w:p>
        </w:tc>
      </w:tr>
      <w:tr w:rsidR="008C1EB6" w:rsidRPr="00D30847" w14:paraId="14BDE9C9" w14:textId="77777777" w:rsidTr="008D5030">
        <w:tc>
          <w:tcPr>
            <w:tcW w:w="1540" w:type="dxa"/>
            <w:shd w:val="clear" w:color="auto" w:fill="auto"/>
          </w:tcPr>
          <w:p w14:paraId="0A0FE017" w14:textId="7AAD659A" w:rsidR="008C1EB6" w:rsidRPr="00D30847" w:rsidRDefault="008C1EB6" w:rsidP="007D6CD2">
            <w:pPr>
              <w:spacing w:after="60"/>
              <w:jc w:val="both"/>
              <w:rPr>
                <w:rFonts w:cs="Calibri"/>
                <w:lang w:val="en-GB"/>
              </w:rPr>
            </w:pPr>
            <w:r w:rsidRPr="00D30847">
              <w:rPr>
                <w:rFonts w:cs="Calibri"/>
                <w:lang w:val="en-GB"/>
              </w:rPr>
              <w:t>Activity 2:</w:t>
            </w:r>
          </w:p>
        </w:tc>
        <w:tc>
          <w:tcPr>
            <w:tcW w:w="7568" w:type="dxa"/>
            <w:shd w:val="clear" w:color="auto" w:fill="auto"/>
          </w:tcPr>
          <w:p w14:paraId="1E14884E" w14:textId="49934091" w:rsidR="008C1EB6" w:rsidRPr="00D30847" w:rsidRDefault="008C1EB6" w:rsidP="007D6CD2">
            <w:pPr>
              <w:spacing w:after="60"/>
              <w:jc w:val="both"/>
              <w:rPr>
                <w:rFonts w:cs="Calibri"/>
                <w:lang w:val="en-GB"/>
              </w:rPr>
            </w:pPr>
            <w:r w:rsidRPr="00D30847">
              <w:rPr>
                <w:rFonts w:cs="Calibri"/>
                <w:lang w:val="en-GB"/>
              </w:rPr>
              <w:t>Establishment of the secure backup network connections</w:t>
            </w:r>
          </w:p>
        </w:tc>
      </w:tr>
      <w:tr w:rsidR="008C1EB6" w:rsidRPr="00D30847" w14:paraId="03FEA21B" w14:textId="77777777" w:rsidTr="008D5030">
        <w:tc>
          <w:tcPr>
            <w:tcW w:w="1540" w:type="dxa"/>
            <w:shd w:val="clear" w:color="auto" w:fill="auto"/>
          </w:tcPr>
          <w:p w14:paraId="0D7570EF" w14:textId="06CA0D16" w:rsidR="008C1EB6" w:rsidRPr="00D30847" w:rsidRDefault="008C1EB6" w:rsidP="007D6CD2">
            <w:pPr>
              <w:spacing w:after="60"/>
              <w:jc w:val="both"/>
              <w:rPr>
                <w:rFonts w:cs="Calibri"/>
                <w:b/>
                <w:lang w:val="en-GB"/>
              </w:rPr>
            </w:pPr>
            <w:r w:rsidRPr="00D30847">
              <w:rPr>
                <w:rFonts w:cs="Calibri"/>
                <w:b/>
                <w:lang w:val="en-GB"/>
              </w:rPr>
              <w:t>Measure 3:</w:t>
            </w:r>
          </w:p>
        </w:tc>
        <w:tc>
          <w:tcPr>
            <w:tcW w:w="7568" w:type="dxa"/>
            <w:shd w:val="clear" w:color="auto" w:fill="auto"/>
          </w:tcPr>
          <w:p w14:paraId="6D7A32E0" w14:textId="795559ED" w:rsidR="008C1EB6" w:rsidRPr="00D30847" w:rsidRDefault="008C1EB6" w:rsidP="007D6CD2">
            <w:pPr>
              <w:spacing w:after="60"/>
              <w:jc w:val="both"/>
              <w:rPr>
                <w:rFonts w:cs="Calibri"/>
                <w:b/>
                <w:lang w:val="en-GB"/>
              </w:rPr>
            </w:pPr>
            <w:r w:rsidRPr="00D30847">
              <w:rPr>
                <w:rFonts w:cs="Calibri"/>
                <w:b/>
                <w:lang w:val="en-GB"/>
              </w:rPr>
              <w:t>Capacity strengthening training and change management to support OBL reforms and IFMIS operations</w:t>
            </w:r>
          </w:p>
        </w:tc>
      </w:tr>
      <w:tr w:rsidR="008C1EB6" w:rsidRPr="00D30847" w14:paraId="51CB2C43" w14:textId="77777777" w:rsidTr="008D5030">
        <w:tc>
          <w:tcPr>
            <w:tcW w:w="1540" w:type="dxa"/>
            <w:shd w:val="clear" w:color="auto" w:fill="auto"/>
          </w:tcPr>
          <w:p w14:paraId="6EFF96A5" w14:textId="2F8FDEEC" w:rsidR="008C1EB6" w:rsidRPr="00D30847" w:rsidRDefault="008C1EB6" w:rsidP="007D6CD2">
            <w:pPr>
              <w:spacing w:after="60"/>
              <w:jc w:val="both"/>
              <w:rPr>
                <w:rFonts w:cs="Calibri"/>
                <w:lang w:val="en-GB"/>
              </w:rPr>
            </w:pPr>
            <w:r w:rsidRPr="00D30847">
              <w:rPr>
                <w:rFonts w:cs="Calibri"/>
                <w:lang w:val="en-GB"/>
              </w:rPr>
              <w:t>Activity 1:</w:t>
            </w:r>
          </w:p>
        </w:tc>
        <w:tc>
          <w:tcPr>
            <w:tcW w:w="7568" w:type="dxa"/>
            <w:shd w:val="clear" w:color="auto" w:fill="auto"/>
          </w:tcPr>
          <w:p w14:paraId="5E432ABB" w14:textId="58BA21D8" w:rsidR="008C1EB6" w:rsidRPr="00D30847" w:rsidRDefault="008C1EB6" w:rsidP="007D6CD2">
            <w:pPr>
              <w:spacing w:after="60"/>
              <w:jc w:val="both"/>
              <w:rPr>
                <w:rFonts w:cs="Calibri"/>
                <w:lang w:val="en-GB"/>
              </w:rPr>
            </w:pPr>
            <w:r w:rsidRPr="00D30847">
              <w:rPr>
                <w:rFonts w:cs="Calibri"/>
                <w:lang w:val="en-GB"/>
              </w:rPr>
              <w:t>Transition from existing MoF Systems to IFMIS</w:t>
            </w:r>
          </w:p>
        </w:tc>
      </w:tr>
      <w:tr w:rsidR="008C1EB6" w:rsidRPr="00D30847" w14:paraId="6DBA1057" w14:textId="77777777" w:rsidTr="008D5030">
        <w:tc>
          <w:tcPr>
            <w:tcW w:w="1540" w:type="dxa"/>
            <w:shd w:val="clear" w:color="auto" w:fill="auto"/>
          </w:tcPr>
          <w:p w14:paraId="398880A2" w14:textId="499D9DA7" w:rsidR="008C1EB6" w:rsidRPr="00D30847" w:rsidRDefault="008C1EB6" w:rsidP="007D6CD2">
            <w:pPr>
              <w:spacing w:after="60"/>
              <w:jc w:val="both"/>
              <w:rPr>
                <w:rFonts w:cs="Calibri"/>
                <w:lang w:val="en-GB"/>
              </w:rPr>
            </w:pPr>
            <w:r w:rsidRPr="00D30847">
              <w:rPr>
                <w:rFonts w:cs="Calibri"/>
                <w:lang w:val="en-GB"/>
              </w:rPr>
              <w:t>Activity 2:</w:t>
            </w:r>
          </w:p>
        </w:tc>
        <w:tc>
          <w:tcPr>
            <w:tcW w:w="7568" w:type="dxa"/>
            <w:shd w:val="clear" w:color="auto" w:fill="auto"/>
          </w:tcPr>
          <w:p w14:paraId="44BBA51D" w14:textId="47AAACC0" w:rsidR="008C1EB6" w:rsidRPr="00D30847" w:rsidRDefault="008C1EB6" w:rsidP="007D6CD2">
            <w:pPr>
              <w:spacing w:after="60"/>
              <w:jc w:val="both"/>
              <w:rPr>
                <w:rFonts w:cs="Calibri"/>
                <w:lang w:val="en-GB"/>
              </w:rPr>
            </w:pPr>
            <w:r w:rsidRPr="00D30847">
              <w:rPr>
                <w:rFonts w:cs="Calibri"/>
                <w:lang w:val="en-GB"/>
              </w:rPr>
              <w:t>Training of IFMIS users from central and local budget entities</w:t>
            </w:r>
          </w:p>
        </w:tc>
      </w:tr>
      <w:tr w:rsidR="008C1EB6" w:rsidRPr="00D30847" w14:paraId="14AA9EF1" w14:textId="77777777" w:rsidTr="008D5030">
        <w:tc>
          <w:tcPr>
            <w:tcW w:w="1540" w:type="dxa"/>
            <w:shd w:val="clear" w:color="auto" w:fill="auto"/>
          </w:tcPr>
          <w:p w14:paraId="18903609" w14:textId="4E622703" w:rsidR="008C1EB6" w:rsidRPr="00D30847" w:rsidRDefault="008C1EB6" w:rsidP="007D6CD2">
            <w:pPr>
              <w:spacing w:after="60"/>
              <w:jc w:val="both"/>
              <w:rPr>
                <w:rFonts w:cs="Calibri"/>
                <w:lang w:val="en-GB"/>
              </w:rPr>
            </w:pPr>
            <w:r w:rsidRPr="00D30847">
              <w:rPr>
                <w:rFonts w:cs="Calibri"/>
                <w:lang w:val="en-GB"/>
              </w:rPr>
              <w:t>Activity 3:</w:t>
            </w:r>
          </w:p>
        </w:tc>
        <w:tc>
          <w:tcPr>
            <w:tcW w:w="7568" w:type="dxa"/>
            <w:shd w:val="clear" w:color="auto" w:fill="auto"/>
          </w:tcPr>
          <w:p w14:paraId="6F75C8F0" w14:textId="61A11015" w:rsidR="008C1EB6" w:rsidRPr="00D30847" w:rsidRDefault="008C1EB6" w:rsidP="007D6CD2">
            <w:pPr>
              <w:spacing w:after="60"/>
              <w:jc w:val="both"/>
              <w:rPr>
                <w:rFonts w:cs="Calibri"/>
                <w:lang w:val="en-GB"/>
              </w:rPr>
            </w:pPr>
            <w:r w:rsidRPr="00D30847">
              <w:rPr>
                <w:rFonts w:cs="Calibri"/>
                <w:lang w:val="en-GB"/>
              </w:rPr>
              <w:t>Development of a business continuity plan and disaster recovery skills</w:t>
            </w:r>
          </w:p>
        </w:tc>
      </w:tr>
    </w:tbl>
    <w:p w14:paraId="694C6849" w14:textId="77777777" w:rsidR="008D1B70" w:rsidRPr="00D30847" w:rsidRDefault="008D1B70" w:rsidP="00E84CD0">
      <w:pPr>
        <w:keepNext/>
        <w:keepLines/>
        <w:spacing w:after="12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lastRenderedPageBreak/>
        <w:t>Outcome</w:t>
      </w:r>
    </w:p>
    <w:p w14:paraId="3349A325" w14:textId="77777777" w:rsidR="008D1B70" w:rsidRPr="00D30847" w:rsidRDefault="008D1B70" w:rsidP="00E84CD0">
      <w:pPr>
        <w:spacing w:after="60" w:line="240" w:lineRule="auto"/>
        <w:ind w:left="709"/>
        <w:jc w:val="both"/>
        <w:rPr>
          <w:rFonts w:eastAsia="MS PGothic" w:cs="Calibri"/>
          <w:lang w:val="en-GB" w:eastAsia="zh-CN"/>
        </w:rPr>
      </w:pPr>
      <w:r w:rsidRPr="00D30847">
        <w:rPr>
          <w:rFonts w:eastAsia="MS PGothic" w:cs="Calibri"/>
          <w:lang w:val="en-GB" w:eastAsia="zh-CN"/>
        </w:rPr>
        <w:t>Improved operational efficiency and transparency through IFMIS in line with the new OBL.</w:t>
      </w:r>
    </w:p>
    <w:p w14:paraId="2B048820" w14:textId="77777777" w:rsidR="008D1B70" w:rsidRPr="00D30847" w:rsidRDefault="008D1B70" w:rsidP="00E84CD0">
      <w:pPr>
        <w:keepNext/>
        <w:keepLines/>
        <w:spacing w:after="12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Outcome indicators</w:t>
      </w:r>
    </w:p>
    <w:p w14:paraId="67E70A9D" w14:textId="77C306A6" w:rsidR="00890621" w:rsidRPr="00D30847" w:rsidRDefault="006C58A9" w:rsidP="006C58A9">
      <w:pPr>
        <w:spacing w:after="60" w:line="240" w:lineRule="auto"/>
        <w:jc w:val="both"/>
        <w:rPr>
          <w:rFonts w:eastAsia="MS PGothic" w:cs="Calibri"/>
          <w:lang w:val="en-GB" w:eastAsia="zh-CN"/>
        </w:rPr>
      </w:pPr>
      <w:r w:rsidRPr="00D30847">
        <w:rPr>
          <w:rFonts w:eastAsia="MS PGothic" w:cs="Calibri"/>
          <w:lang w:val="en-GB" w:eastAsia="zh-CN"/>
        </w:rPr>
        <w:t xml:space="preserve">1. </w:t>
      </w:r>
      <w:r w:rsidR="00890621" w:rsidRPr="00D30847">
        <w:rPr>
          <w:rFonts w:eastAsia="MS PGothic" w:cs="Calibri"/>
          <w:lang w:val="en-GB" w:eastAsia="zh-CN"/>
        </w:rPr>
        <w:t>The required time for the processing of payments through IFMIS and Treasury Single Account interface was reduced (efficiency);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460ED3" w:rsidRPr="00D30847" w14:paraId="0FF68F39" w14:textId="77777777" w:rsidTr="002B77A4">
        <w:trPr>
          <w:trHeight w:val="395"/>
        </w:trPr>
        <w:tc>
          <w:tcPr>
            <w:tcW w:w="4608" w:type="dxa"/>
            <w:shd w:val="clear" w:color="auto" w:fill="E8E8E8"/>
          </w:tcPr>
          <w:p w14:paraId="258F24D2" w14:textId="4A3E1DC9"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7127D7" w:rsidRPr="00D30847">
              <w:rPr>
                <w:rFonts w:eastAsia="Times New Roman" w:cs="Calibri"/>
                <w:b/>
                <w:bCs/>
                <w:i/>
                <w:iCs/>
                <w:color w:val="202124"/>
                <w:sz w:val="20"/>
                <w:szCs w:val="20"/>
                <w:lang w:val="en-GB"/>
              </w:rPr>
              <w:t>4</w:t>
            </w:r>
          </w:p>
        </w:tc>
        <w:tc>
          <w:tcPr>
            <w:tcW w:w="4608" w:type="dxa"/>
            <w:shd w:val="clear" w:color="auto" w:fill="E8E8E8"/>
          </w:tcPr>
          <w:p w14:paraId="7F844275" w14:textId="4C098EE5"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7127D7" w:rsidRPr="00D30847">
              <w:rPr>
                <w:rFonts w:eastAsia="Times New Roman" w:cs="Calibri"/>
                <w:b/>
                <w:bCs/>
                <w:i/>
                <w:iCs/>
                <w:color w:val="202124"/>
                <w:sz w:val="20"/>
                <w:szCs w:val="20"/>
                <w:lang w:val="en-GB"/>
              </w:rPr>
              <w:t>8</w:t>
            </w:r>
          </w:p>
        </w:tc>
      </w:tr>
      <w:tr w:rsidR="00460ED3" w:rsidRPr="00D30847" w14:paraId="769F56C7" w14:textId="77777777" w:rsidTr="002B77A4">
        <w:trPr>
          <w:trHeight w:val="278"/>
        </w:trPr>
        <w:tc>
          <w:tcPr>
            <w:tcW w:w="4608" w:type="dxa"/>
            <w:shd w:val="clear" w:color="auto" w:fill="E8E8E8"/>
          </w:tcPr>
          <w:p w14:paraId="00E135FB" w14:textId="2C8DE3DF" w:rsidR="00460ED3" w:rsidRPr="00D30847" w:rsidRDefault="00306ADD" w:rsidP="00D21537">
            <w:pPr>
              <w:tabs>
                <w:tab w:val="left" w:pos="1014"/>
              </w:tabs>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No IFMIS; 30 days for entities to submit the invoice to the Treasury +1 for payment processing</w:t>
            </w:r>
          </w:p>
        </w:tc>
        <w:tc>
          <w:tcPr>
            <w:tcW w:w="4608" w:type="dxa"/>
            <w:shd w:val="clear" w:color="auto" w:fill="E8E8E8"/>
          </w:tcPr>
          <w:p w14:paraId="5AE0A178" w14:textId="126E0B2D" w:rsidR="00460ED3" w:rsidRPr="00D30847" w:rsidRDefault="00306ADD"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5 days for entities to submit invoices to Treasury +1 day for payment processing by Treasury</w:t>
            </w:r>
          </w:p>
        </w:tc>
      </w:tr>
    </w:tbl>
    <w:p w14:paraId="59D101F5" w14:textId="77777777" w:rsidR="00460ED3" w:rsidRPr="00E91268" w:rsidRDefault="00460ED3" w:rsidP="00460ED3">
      <w:pPr>
        <w:spacing w:after="60" w:line="240" w:lineRule="auto"/>
        <w:ind w:left="720"/>
        <w:jc w:val="both"/>
        <w:rPr>
          <w:rFonts w:eastAsia="MS PGothic" w:cs="Calibri"/>
          <w:sz w:val="4"/>
          <w:szCs w:val="4"/>
          <w:lang w:val="en-GB" w:eastAsia="zh-CN"/>
        </w:rPr>
      </w:pPr>
    </w:p>
    <w:p w14:paraId="424502F9" w14:textId="7FDCA24B" w:rsidR="00890621" w:rsidRPr="00D30847" w:rsidRDefault="006C58A9" w:rsidP="006C58A9">
      <w:pPr>
        <w:spacing w:after="60" w:line="240" w:lineRule="auto"/>
        <w:jc w:val="both"/>
        <w:rPr>
          <w:rFonts w:eastAsia="MS PGothic" w:cs="Calibri"/>
          <w:lang w:val="en-GB" w:eastAsia="zh-CN"/>
        </w:rPr>
      </w:pPr>
      <w:r w:rsidRPr="00D30847">
        <w:rPr>
          <w:rFonts w:eastAsia="MS PGothic" w:cs="Calibri"/>
          <w:lang w:val="en-GB" w:eastAsia="zh-CN"/>
        </w:rPr>
        <w:t xml:space="preserve">2. </w:t>
      </w:r>
      <w:r w:rsidR="00890621" w:rsidRPr="00D30847">
        <w:rPr>
          <w:rFonts w:eastAsia="MS PGothic" w:cs="Calibri"/>
          <w:lang w:val="en-GB" w:eastAsia="zh-CN"/>
        </w:rPr>
        <w:t>Comprehensiveness of publicly published general government reporting (transparency);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05"/>
      </w:tblGrid>
      <w:tr w:rsidR="00460ED3" w:rsidRPr="00D30847" w14:paraId="466EFA13" w14:textId="77777777" w:rsidTr="002B77A4">
        <w:trPr>
          <w:trHeight w:val="395"/>
        </w:trPr>
        <w:tc>
          <w:tcPr>
            <w:tcW w:w="4608" w:type="dxa"/>
            <w:shd w:val="clear" w:color="auto" w:fill="E8E8E8"/>
          </w:tcPr>
          <w:p w14:paraId="6C8FE4AB" w14:textId="25BBD018"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7127D7" w:rsidRPr="00D30847">
              <w:rPr>
                <w:rFonts w:eastAsia="Times New Roman" w:cs="Calibri"/>
                <w:b/>
                <w:bCs/>
                <w:i/>
                <w:iCs/>
                <w:color w:val="202124"/>
                <w:sz w:val="20"/>
                <w:szCs w:val="20"/>
                <w:lang w:val="en-GB"/>
              </w:rPr>
              <w:t>4</w:t>
            </w:r>
          </w:p>
        </w:tc>
        <w:tc>
          <w:tcPr>
            <w:tcW w:w="4608" w:type="dxa"/>
            <w:shd w:val="clear" w:color="auto" w:fill="E8E8E8"/>
          </w:tcPr>
          <w:p w14:paraId="674468A2" w14:textId="312AE796"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7127D7" w:rsidRPr="00D30847">
              <w:rPr>
                <w:rFonts w:eastAsia="Times New Roman" w:cs="Calibri"/>
                <w:b/>
                <w:bCs/>
                <w:i/>
                <w:iCs/>
                <w:color w:val="202124"/>
                <w:sz w:val="20"/>
                <w:szCs w:val="20"/>
                <w:lang w:val="en-GB"/>
              </w:rPr>
              <w:t>8</w:t>
            </w:r>
          </w:p>
        </w:tc>
      </w:tr>
      <w:tr w:rsidR="00460ED3" w:rsidRPr="00D30847" w14:paraId="6F2DBE19" w14:textId="77777777" w:rsidTr="002B77A4">
        <w:trPr>
          <w:trHeight w:val="278"/>
        </w:trPr>
        <w:tc>
          <w:tcPr>
            <w:tcW w:w="4608" w:type="dxa"/>
            <w:shd w:val="clear" w:color="auto" w:fill="E8E8E8"/>
          </w:tcPr>
          <w:p w14:paraId="2A7C81F8" w14:textId="5FD2861E" w:rsidR="00460ED3" w:rsidRPr="00D30847" w:rsidRDefault="00306ADD"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Annual Budget preparation and budget execution reports do not cover all relevant institutions in accordance with international standards (ESA 2010 and GFS)</w:t>
            </w:r>
          </w:p>
        </w:tc>
        <w:tc>
          <w:tcPr>
            <w:tcW w:w="4608" w:type="dxa"/>
            <w:shd w:val="clear" w:color="auto" w:fill="E8E8E8"/>
          </w:tcPr>
          <w:p w14:paraId="0592E37C" w14:textId="5603282D" w:rsidR="00460ED3" w:rsidRPr="00D30847" w:rsidRDefault="00306ADD"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Regulatory agencies</w:t>
            </w:r>
            <w:r w:rsidR="0093115D" w:rsidRPr="00D30847">
              <w:rPr>
                <w:rFonts w:eastAsia="Times New Roman" w:cs="Calibri"/>
                <w:color w:val="202124"/>
                <w:sz w:val="20"/>
                <w:szCs w:val="20"/>
                <w:lang w:val="en-GB"/>
              </w:rPr>
              <w:t xml:space="preserve"> and </w:t>
            </w:r>
            <w:r w:rsidRPr="00D30847">
              <w:rPr>
                <w:rFonts w:eastAsia="Times New Roman" w:cs="Calibri"/>
                <w:color w:val="202124"/>
                <w:sz w:val="20"/>
                <w:szCs w:val="20"/>
                <w:lang w:val="en-GB"/>
              </w:rPr>
              <w:t>PEs are included as part of the budget and execution reports through the new IFMIS, in line with new PE Registry.</w:t>
            </w:r>
          </w:p>
        </w:tc>
      </w:tr>
    </w:tbl>
    <w:p w14:paraId="48E2ABCF" w14:textId="77777777" w:rsidR="00460ED3" w:rsidRPr="00E91268" w:rsidRDefault="00460ED3" w:rsidP="00460ED3">
      <w:pPr>
        <w:spacing w:after="60" w:line="240" w:lineRule="auto"/>
        <w:ind w:left="720"/>
        <w:jc w:val="both"/>
        <w:rPr>
          <w:rFonts w:eastAsia="MS PGothic" w:cs="Calibri"/>
          <w:sz w:val="4"/>
          <w:szCs w:val="4"/>
          <w:lang w:val="en-GB" w:eastAsia="zh-CN"/>
        </w:rPr>
      </w:pPr>
    </w:p>
    <w:p w14:paraId="3AE5FF3D" w14:textId="5AFFE9CF" w:rsidR="00890621" w:rsidRPr="00D30847" w:rsidRDefault="006C58A9" w:rsidP="006C58A9">
      <w:pPr>
        <w:spacing w:after="60" w:line="240" w:lineRule="auto"/>
        <w:jc w:val="both"/>
        <w:rPr>
          <w:rFonts w:eastAsia="MS PGothic" w:cs="Calibri"/>
          <w:lang w:val="en-GB" w:eastAsia="zh-CN"/>
        </w:rPr>
      </w:pPr>
      <w:r w:rsidRPr="00D30847">
        <w:rPr>
          <w:rFonts w:eastAsia="MS PGothic" w:cs="Calibri"/>
          <w:lang w:val="en-GB" w:eastAsia="zh-CN"/>
        </w:rPr>
        <w:t xml:space="preserve">3. </w:t>
      </w:r>
      <w:r w:rsidR="00890621" w:rsidRPr="00D30847">
        <w:rPr>
          <w:rFonts w:eastAsia="MS PGothic" w:cs="Calibri"/>
          <w:lang w:val="en-GB" w:eastAsia="zh-CN"/>
        </w:rPr>
        <w:t>Open Budget Index Score (transparency) increased.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499"/>
      </w:tblGrid>
      <w:tr w:rsidR="00460ED3" w:rsidRPr="00D30847" w14:paraId="3A26050A" w14:textId="77777777" w:rsidTr="002B77A4">
        <w:trPr>
          <w:trHeight w:val="395"/>
        </w:trPr>
        <w:tc>
          <w:tcPr>
            <w:tcW w:w="4608" w:type="dxa"/>
            <w:shd w:val="clear" w:color="auto" w:fill="E8E8E8"/>
          </w:tcPr>
          <w:p w14:paraId="247D953D" w14:textId="52293983"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7127D7" w:rsidRPr="00D30847">
              <w:rPr>
                <w:rFonts w:eastAsia="Times New Roman" w:cs="Calibri"/>
                <w:b/>
                <w:bCs/>
                <w:i/>
                <w:iCs/>
                <w:color w:val="202124"/>
                <w:sz w:val="20"/>
                <w:szCs w:val="20"/>
                <w:lang w:val="en-GB"/>
              </w:rPr>
              <w:t>4</w:t>
            </w:r>
          </w:p>
        </w:tc>
        <w:tc>
          <w:tcPr>
            <w:tcW w:w="4608" w:type="dxa"/>
            <w:shd w:val="clear" w:color="auto" w:fill="E8E8E8"/>
          </w:tcPr>
          <w:p w14:paraId="00D302FB" w14:textId="12903766"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7127D7" w:rsidRPr="00D30847">
              <w:rPr>
                <w:rFonts w:eastAsia="Times New Roman" w:cs="Calibri"/>
                <w:b/>
                <w:bCs/>
                <w:i/>
                <w:iCs/>
                <w:color w:val="202124"/>
                <w:sz w:val="20"/>
                <w:szCs w:val="20"/>
                <w:lang w:val="en-GB"/>
              </w:rPr>
              <w:t>8</w:t>
            </w:r>
          </w:p>
        </w:tc>
      </w:tr>
      <w:tr w:rsidR="00460ED3" w:rsidRPr="00D30847" w14:paraId="70E6C5E7" w14:textId="77777777" w:rsidTr="002B77A4">
        <w:trPr>
          <w:trHeight w:val="278"/>
        </w:trPr>
        <w:tc>
          <w:tcPr>
            <w:tcW w:w="4608" w:type="dxa"/>
            <w:shd w:val="clear" w:color="auto" w:fill="E8E8E8"/>
          </w:tcPr>
          <w:p w14:paraId="5F9C30C4" w14:textId="2261955F" w:rsidR="00460ED3" w:rsidRPr="00D30847" w:rsidRDefault="00306ADD" w:rsidP="00D21537">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Open Budget Index Score (transparency) increased</w:t>
            </w:r>
          </w:p>
        </w:tc>
        <w:tc>
          <w:tcPr>
            <w:tcW w:w="4608" w:type="dxa"/>
            <w:shd w:val="clear" w:color="auto" w:fill="E8E8E8"/>
          </w:tcPr>
          <w:p w14:paraId="0607B63C" w14:textId="41AA119B" w:rsidR="00460ED3" w:rsidRPr="00D30847" w:rsidRDefault="00D21537"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61 </w:t>
            </w:r>
            <w:r w:rsidR="00514D12" w:rsidRPr="00D30847">
              <w:rPr>
                <w:rFonts w:eastAsia="Times New Roman" w:cs="Calibri"/>
                <w:color w:val="202124"/>
                <w:sz w:val="20"/>
                <w:szCs w:val="20"/>
                <w:lang w:val="en-GB"/>
              </w:rPr>
              <w:t>out of</w:t>
            </w:r>
            <w:r w:rsidRPr="00D30847">
              <w:rPr>
                <w:rFonts w:eastAsia="Times New Roman" w:cs="Calibri"/>
                <w:color w:val="202124"/>
                <w:sz w:val="20"/>
                <w:szCs w:val="20"/>
                <w:lang w:val="en-GB"/>
              </w:rPr>
              <w:t xml:space="preserve"> 100 </w:t>
            </w:r>
          </w:p>
        </w:tc>
      </w:tr>
    </w:tbl>
    <w:p w14:paraId="60433244" w14:textId="77777777" w:rsidR="00460ED3" w:rsidRPr="00D30847" w:rsidRDefault="00460ED3" w:rsidP="00460ED3">
      <w:pPr>
        <w:spacing w:after="60" w:line="240" w:lineRule="auto"/>
        <w:ind w:left="720"/>
        <w:jc w:val="both"/>
        <w:rPr>
          <w:rFonts w:eastAsia="MS PGothic" w:cs="Calibri"/>
          <w:lang w:val="en-GB" w:eastAsia="zh-CN"/>
        </w:rPr>
      </w:pPr>
    </w:p>
    <w:p w14:paraId="0CEC4495" w14:textId="77777777" w:rsidR="003C20E4" w:rsidRPr="00D30847" w:rsidRDefault="001E2302" w:rsidP="00CE2DF4">
      <w:pPr>
        <w:keepNext/>
        <w:keepLines/>
        <w:spacing w:after="12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 xml:space="preserve">Reference to the external assessment findings: </w:t>
      </w:r>
    </w:p>
    <w:tbl>
      <w:tblPr>
        <w:tblW w:w="91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05"/>
        <w:gridCol w:w="8157"/>
      </w:tblGrid>
      <w:tr w:rsidR="00890621" w:rsidRPr="00D30847" w14:paraId="1FA32A4C" w14:textId="77777777" w:rsidTr="00555720">
        <w:tc>
          <w:tcPr>
            <w:tcW w:w="1005" w:type="dxa"/>
            <w:shd w:val="clear" w:color="auto" w:fill="DDDDDD"/>
            <w:vAlign w:val="center"/>
          </w:tcPr>
          <w:p w14:paraId="5F0FAE7E" w14:textId="50E19EC8" w:rsidR="00890621" w:rsidRPr="00D30847" w:rsidRDefault="00890621" w:rsidP="006213A5">
            <w:pPr>
              <w:spacing w:before="60" w:after="60" w:line="240" w:lineRule="auto"/>
              <w:jc w:val="both"/>
              <w:rPr>
                <w:rFonts w:cs="Calibri"/>
                <w:b/>
                <w:sz w:val="20"/>
                <w:szCs w:val="20"/>
                <w:lang w:val="en-GB"/>
              </w:rPr>
            </w:pPr>
            <w:r w:rsidRPr="00D30847">
              <w:rPr>
                <w:rFonts w:cs="Calibri"/>
                <w:b/>
                <w:sz w:val="20"/>
                <w:szCs w:val="20"/>
                <w:lang w:val="en-GB"/>
              </w:rPr>
              <w:t>WB</w:t>
            </w:r>
          </w:p>
        </w:tc>
        <w:tc>
          <w:tcPr>
            <w:tcW w:w="8157" w:type="dxa"/>
            <w:shd w:val="clear" w:color="auto" w:fill="DDDDDD"/>
            <w:vAlign w:val="center"/>
          </w:tcPr>
          <w:p w14:paraId="77A5F19C" w14:textId="5D5FA6C3" w:rsidR="00890621" w:rsidRPr="00D30847" w:rsidRDefault="00514D12" w:rsidP="006213A5">
            <w:pPr>
              <w:spacing w:after="0" w:line="240" w:lineRule="auto"/>
              <w:jc w:val="both"/>
              <w:rPr>
                <w:rFonts w:eastAsia="Times New Roman" w:cs="Calibri"/>
                <w:sz w:val="20"/>
                <w:szCs w:val="20"/>
                <w:lang w:val="en-GB" w:eastAsia="mk-MK"/>
              </w:rPr>
            </w:pPr>
            <w:r w:rsidRPr="00D30847">
              <w:rPr>
                <w:rFonts w:eastAsia="Times New Roman" w:cs="Calibri"/>
                <w:sz w:val="20"/>
                <w:szCs w:val="20"/>
                <w:lang w:val="en-GB" w:eastAsia="mk-MK"/>
              </w:rPr>
              <w:t>World Bank,</w:t>
            </w:r>
            <w:r w:rsidR="00890621" w:rsidRPr="00D30847">
              <w:rPr>
                <w:rFonts w:eastAsia="Times New Roman" w:cs="Calibri"/>
                <w:sz w:val="20"/>
                <w:szCs w:val="20"/>
                <w:lang w:val="en-GB" w:eastAsia="mk-MK"/>
              </w:rPr>
              <w:t> </w:t>
            </w:r>
            <w:r w:rsidR="00890621" w:rsidRPr="00D30847">
              <w:rPr>
                <w:rFonts w:eastAsia="Times New Roman" w:cs="Calibri"/>
                <w:i/>
                <w:iCs/>
                <w:sz w:val="20"/>
                <w:szCs w:val="20"/>
                <w:lang w:val="en-GB" w:eastAsia="mk-MK"/>
              </w:rPr>
              <w:t>Technical Assistance on Organic Budget Law (P168027), Functional and Technical Requirements</w:t>
            </w:r>
          </w:p>
          <w:p w14:paraId="3432E5B5" w14:textId="77777777" w:rsidR="00890621" w:rsidRPr="00D30847" w:rsidRDefault="00890621" w:rsidP="006213A5">
            <w:pPr>
              <w:spacing w:before="60" w:after="60" w:line="240" w:lineRule="auto"/>
              <w:jc w:val="both"/>
              <w:rPr>
                <w:rFonts w:cs="Calibri"/>
                <w:sz w:val="20"/>
                <w:szCs w:val="20"/>
                <w:lang w:val="en-GB"/>
              </w:rPr>
            </w:pPr>
            <w:r w:rsidRPr="00D30847">
              <w:rPr>
                <w:rFonts w:eastAsia="Times New Roman" w:cs="Calibri"/>
                <w:sz w:val="20"/>
                <w:szCs w:val="20"/>
                <w:lang w:val="en-GB" w:eastAsia="mk-MK"/>
              </w:rPr>
              <w:t>The main objective of IFMIS development is to improve the efficiency of PFM operations by transitioning from existing fragmented and disconnected systems to a centralized web-based shared platform benefiting from the latest digital technologies</w:t>
            </w:r>
          </w:p>
        </w:tc>
      </w:tr>
    </w:tbl>
    <w:p w14:paraId="519A5B68" w14:textId="77777777" w:rsidR="00890621" w:rsidRPr="00E91268" w:rsidRDefault="00890621" w:rsidP="00E84CD0">
      <w:pPr>
        <w:spacing w:line="240" w:lineRule="auto"/>
        <w:jc w:val="both"/>
        <w:rPr>
          <w:rFonts w:cs="Calibri"/>
          <w:b/>
          <w:bCs/>
          <w:iCs/>
          <w:color w:val="0070C0"/>
          <w:sz w:val="10"/>
          <w:szCs w:val="10"/>
          <w:lang w:val="en-GB"/>
        </w:rPr>
      </w:pPr>
    </w:p>
    <w:p w14:paraId="29B18EA8" w14:textId="77777777" w:rsidR="00890621" w:rsidRPr="00D30847" w:rsidRDefault="00890621" w:rsidP="00890621">
      <w:pPr>
        <w:keepNext/>
        <w:keepLines/>
        <w:spacing w:after="12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Context / Background</w:t>
      </w:r>
    </w:p>
    <w:p w14:paraId="1BBA8FC3" w14:textId="77777777" w:rsidR="00890621" w:rsidRPr="00D30847" w:rsidRDefault="00890621" w:rsidP="00890621">
      <w:pPr>
        <w:spacing w:after="0"/>
        <w:jc w:val="both"/>
        <w:rPr>
          <w:rFonts w:eastAsia="MS PGothic" w:cs="Calibri"/>
          <w:lang w:val="en-GB" w:eastAsia="zh-CN"/>
        </w:rPr>
      </w:pPr>
      <w:r w:rsidRPr="00D30847">
        <w:rPr>
          <w:rFonts w:eastAsia="MS PGothic" w:cs="Calibri"/>
          <w:lang w:val="en-GB" w:eastAsia="zh-CN"/>
        </w:rPr>
        <w:t>In the domain of Public Financial Management (PFM) reforms, progress since 2018 has been notable. However, a significant challenge arises from the absence of an integrated financial management information system (IFMIS), particularly in the context of implementing the new Organic Budget Law (OBL). The OBL's execution necessitates comprehensive adjustments to the entire PFM framework, spanning institutional structures, secondary regulations, processes, and systems. Its impact extends across the public sector, influencing management and staff practices. The successful implementation of OBL relies heavily on the establishment of IFMIS, crucial for enhancing the Ministry of Finance's performance in core PFM functions like budget planning and execution, public debt and asset management, monitoring public investments, data analytics, and business intelligence. This phase also presents an opportunity to integrate climate change and gender considerations into the budget process and associated systems.</w:t>
      </w:r>
    </w:p>
    <w:p w14:paraId="5F29DF50" w14:textId="77777777" w:rsidR="00890621" w:rsidRPr="00D30847" w:rsidRDefault="00890621" w:rsidP="00890621">
      <w:pPr>
        <w:spacing w:after="0"/>
        <w:jc w:val="both"/>
        <w:rPr>
          <w:rFonts w:eastAsia="MS PGothic" w:cs="Calibri"/>
          <w:lang w:val="en-GB" w:eastAsia="zh-CN"/>
        </w:rPr>
      </w:pPr>
      <w:r w:rsidRPr="00D30847">
        <w:rPr>
          <w:rFonts w:eastAsia="MS PGothic" w:cs="Calibri"/>
          <w:lang w:val="en-GB" w:eastAsia="zh-CN"/>
        </w:rPr>
        <w:t>The government, with support from the World Bank, has been actively evaluating PFM processes and systems since 2019 under the Organic Budget Law Technical Assistance ASA (P168027). The focus has been on comparing IFMIS implementation options and aligning detailed requirements with reform priorities. With this foundation, the government is now prepared to advance to the implementation stage.</w:t>
      </w:r>
    </w:p>
    <w:p w14:paraId="6468F819" w14:textId="34724113" w:rsidR="00165379" w:rsidRPr="00D30847" w:rsidRDefault="00165379" w:rsidP="00165379">
      <w:pPr>
        <w:spacing w:after="0"/>
        <w:jc w:val="both"/>
        <w:rPr>
          <w:rFonts w:eastAsia="MS PGothic" w:cs="Calibri"/>
          <w:lang w:val="en-GB" w:eastAsia="zh-CN"/>
        </w:rPr>
      </w:pPr>
      <w:r w:rsidRPr="00D30847">
        <w:rPr>
          <w:rFonts w:eastAsia="MS PGothic" w:cs="Calibri"/>
          <w:lang w:val="en-GB" w:eastAsia="zh-CN"/>
        </w:rPr>
        <w:lastRenderedPageBreak/>
        <w:t>In selecting the IFMIS development model, the Ministry of Finance opted for a custom software solution after careful consideration of global practices. The chosen approach provides flexibility for country-specific customization, integrates modules supporting various PFM functions, ensures ownership of the source code for future maintenance, aligns with reform timelines, and promises lower development and maintenance costs.</w:t>
      </w:r>
    </w:p>
    <w:p w14:paraId="2A02B079" w14:textId="79F8D85F" w:rsidR="00165379" w:rsidRPr="00D30847" w:rsidRDefault="00165379" w:rsidP="00165379">
      <w:pPr>
        <w:spacing w:after="0"/>
        <w:jc w:val="both"/>
        <w:rPr>
          <w:rFonts w:eastAsia="MS PGothic" w:cs="Calibri"/>
          <w:lang w:val="en-GB" w:eastAsia="zh-CN"/>
        </w:rPr>
      </w:pPr>
      <w:r w:rsidRPr="00D30847">
        <w:rPr>
          <w:rFonts w:eastAsia="MS PGothic" w:cs="Calibri"/>
          <w:lang w:val="en-GB" w:eastAsia="zh-CN"/>
        </w:rPr>
        <w:t xml:space="preserve">The IFMIS will be a centralized web-based platform supporting decentralized operations for approximately 1,400 central and local budget entities. These include state budget users, municipality entities, and public enterprises, </w:t>
      </w:r>
      <w:r w:rsidR="002F500A" w:rsidRPr="00D30847">
        <w:rPr>
          <w:rFonts w:eastAsia="MS PGothic" w:cs="Calibri"/>
          <w:lang w:val="en-GB" w:eastAsia="zh-CN"/>
        </w:rPr>
        <w:t>totalling</w:t>
      </w:r>
      <w:r w:rsidRPr="00D30847">
        <w:rPr>
          <w:rFonts w:eastAsia="MS PGothic" w:cs="Calibri"/>
          <w:lang w:val="en-GB" w:eastAsia="zh-CN"/>
        </w:rPr>
        <w:t xml:space="preserve"> around 6,000 users. The system aims to optimize PFM functions, offering reliable access through a web portal while allowing certain functions to be decentralized but connected to the shared platform.</w:t>
      </w:r>
    </w:p>
    <w:p w14:paraId="54FD36D3" w14:textId="0693301A" w:rsidR="00890621" w:rsidRPr="00D30847" w:rsidRDefault="00165379" w:rsidP="005C0E14">
      <w:pPr>
        <w:spacing w:after="0"/>
        <w:jc w:val="both"/>
        <w:rPr>
          <w:rFonts w:eastAsia="MS PGothic" w:cs="Calibri"/>
          <w:lang w:val="en-GB" w:eastAsia="zh-CN"/>
        </w:rPr>
      </w:pPr>
      <w:r w:rsidRPr="00D30847">
        <w:rPr>
          <w:rFonts w:eastAsia="MS PGothic" w:cs="Calibri"/>
          <w:lang w:val="en-GB" w:eastAsia="zh-CN"/>
        </w:rPr>
        <w:t>Recognizing the cross-cutting implications of change management, successful implementation of OBL and IFMIS requires strengthening the Ministry of Finance's capacity for inter-institutional coordination, addressing resistance to procedural changes, and providing middle management with better control over</w:t>
      </w:r>
      <w:r w:rsidR="005C0E14" w:rsidRPr="00D30847">
        <w:rPr>
          <w:rFonts w:eastAsia="MS PGothic" w:cs="Calibri"/>
          <w:lang w:val="en-GB" w:eastAsia="zh-CN"/>
        </w:rPr>
        <w:t xml:space="preserve"> the pace and scope of reforms.</w:t>
      </w:r>
    </w:p>
    <w:p w14:paraId="57A91C67" w14:textId="77777777" w:rsidR="005C0E14" w:rsidRPr="00E91268" w:rsidRDefault="005C0E14" w:rsidP="005C0E14">
      <w:pPr>
        <w:spacing w:after="0"/>
        <w:jc w:val="both"/>
        <w:rPr>
          <w:rFonts w:eastAsia="MS PGothic" w:cs="Calibri"/>
          <w:sz w:val="10"/>
          <w:szCs w:val="10"/>
          <w:lang w:val="en-GB" w:eastAsia="zh-CN"/>
        </w:rPr>
      </w:pPr>
    </w:p>
    <w:p w14:paraId="112D2EFF" w14:textId="1BDA5AAF" w:rsidR="00CE7C42" w:rsidRPr="00D30847" w:rsidRDefault="008D1B70" w:rsidP="00E84CD0">
      <w:pPr>
        <w:spacing w:line="240" w:lineRule="auto"/>
        <w:jc w:val="both"/>
        <w:rPr>
          <w:rFonts w:cs="Calibri"/>
          <w:b/>
          <w:bCs/>
          <w:iCs/>
          <w:color w:val="0070C0"/>
          <w:sz w:val="24"/>
          <w:szCs w:val="24"/>
          <w:lang w:val="en-GB"/>
        </w:rPr>
      </w:pPr>
      <w:r w:rsidRPr="00D30847">
        <w:rPr>
          <w:rFonts w:cs="Calibri"/>
          <w:b/>
          <w:bCs/>
          <w:iCs/>
          <w:color w:val="0070C0"/>
          <w:sz w:val="24"/>
          <w:szCs w:val="24"/>
          <w:lang w:val="en-GB"/>
        </w:rPr>
        <w:t>Measure 1:</w:t>
      </w:r>
      <w:r w:rsidR="00356610" w:rsidRPr="00D30847">
        <w:rPr>
          <w:rFonts w:cs="Calibri"/>
          <w:b/>
          <w:bCs/>
          <w:iCs/>
          <w:color w:val="0070C0"/>
          <w:sz w:val="24"/>
          <w:szCs w:val="24"/>
          <w:lang w:val="en-GB"/>
        </w:rPr>
        <w:t xml:space="preserve"> </w:t>
      </w:r>
      <w:r w:rsidR="00165379" w:rsidRPr="00D30847">
        <w:rPr>
          <w:rFonts w:cs="Calibri"/>
          <w:b/>
          <w:bCs/>
          <w:iCs/>
          <w:color w:val="0070C0"/>
          <w:sz w:val="24"/>
          <w:szCs w:val="24"/>
          <w:lang w:val="en-GB"/>
        </w:rPr>
        <w:t>Development of IFMIS as an integrated centralized web-based system</w:t>
      </w:r>
    </w:p>
    <w:p w14:paraId="0D70A729" w14:textId="77777777" w:rsidR="008D1B70" w:rsidRPr="00D30847" w:rsidRDefault="008D1B70" w:rsidP="00165379">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35C97E0D" w14:textId="7FC5871D" w:rsidR="00165379" w:rsidRPr="00D30847" w:rsidRDefault="00165379" w:rsidP="00165379">
      <w:pPr>
        <w:keepNext/>
        <w:keepLines/>
        <w:spacing w:after="120" w:line="240" w:lineRule="auto"/>
        <w:jc w:val="both"/>
        <w:outlineLvl w:val="3"/>
        <w:rPr>
          <w:rFonts w:eastAsia="MS PGothic" w:cs="Calibri"/>
          <w:lang w:val="en-GB" w:eastAsia="zh-CN"/>
        </w:rPr>
      </w:pPr>
      <w:r w:rsidRPr="00D30847">
        <w:rPr>
          <w:rFonts w:eastAsia="MS PGothic" w:cs="Calibri"/>
          <w:lang w:val="en-GB" w:eastAsia="zh-CN"/>
        </w:rPr>
        <w:t>This measure will focus on the development of new</w:t>
      </w:r>
      <w:r w:rsidR="0093115D" w:rsidRPr="00D30847">
        <w:rPr>
          <w:rFonts w:eastAsia="MS PGothic" w:cs="Calibri"/>
          <w:lang w:val="en-GB" w:eastAsia="zh-CN"/>
        </w:rPr>
        <w:t xml:space="preserve"> integrated</w:t>
      </w:r>
      <w:r w:rsidRPr="00D30847">
        <w:rPr>
          <w:rFonts w:eastAsia="MS PGothic" w:cs="Calibri"/>
          <w:lang w:val="en-GB" w:eastAsia="zh-CN"/>
        </w:rPr>
        <w:t xml:space="preserve"> software</w:t>
      </w:r>
      <w:r w:rsidR="0093115D" w:rsidRPr="00D30847">
        <w:rPr>
          <w:rFonts w:eastAsia="MS PGothic" w:cs="Calibri"/>
          <w:lang w:val="en-GB" w:eastAsia="zh-CN"/>
        </w:rPr>
        <w:t xml:space="preserve"> solution(IFMIS)</w:t>
      </w:r>
      <w:r w:rsidRPr="00D30847">
        <w:rPr>
          <w:rFonts w:eastAsia="MS PGothic" w:cs="Calibri"/>
          <w:lang w:val="en-GB" w:eastAsia="zh-CN"/>
        </w:rPr>
        <w:t xml:space="preserve"> and relevant </w:t>
      </w:r>
      <w:proofErr w:type="spellStart"/>
      <w:r w:rsidRPr="00D30847">
        <w:rPr>
          <w:rFonts w:eastAsia="MS PGothic" w:cs="Calibri"/>
          <w:lang w:val="en-GB" w:eastAsia="zh-CN"/>
        </w:rPr>
        <w:t>GovTech</w:t>
      </w:r>
      <w:proofErr w:type="spellEnd"/>
      <w:r w:rsidRPr="00D30847">
        <w:rPr>
          <w:rFonts w:eastAsia="MS PGothic" w:cs="Calibri"/>
          <w:lang w:val="en-GB" w:eastAsia="zh-CN"/>
        </w:rPr>
        <w:t xml:space="preserve"> solutions to operationalize the OBL, as well as </w:t>
      </w:r>
      <w:r w:rsidR="0093115D" w:rsidRPr="00D30847">
        <w:rPr>
          <w:rFonts w:eastAsia="MS PGothic" w:cs="Calibri"/>
          <w:lang w:val="en-GB" w:eastAsia="zh-CN"/>
        </w:rPr>
        <w:t xml:space="preserve">to </w:t>
      </w:r>
      <w:r w:rsidRPr="00D30847">
        <w:rPr>
          <w:rFonts w:eastAsia="MS PGothic" w:cs="Calibri"/>
          <w:lang w:val="en-GB" w:eastAsia="zh-CN"/>
        </w:rPr>
        <w:t xml:space="preserve">enhanced PFM processes. </w:t>
      </w:r>
    </w:p>
    <w:p w14:paraId="0DF58E5E" w14:textId="77777777" w:rsidR="001E2302" w:rsidRPr="00D30847" w:rsidRDefault="001E2302" w:rsidP="00356610">
      <w:pPr>
        <w:spacing w:line="240" w:lineRule="auto"/>
        <w:jc w:val="both"/>
        <w:rPr>
          <w:rFonts w:cs="Calibri"/>
          <w:b/>
          <w:bCs/>
          <w:iCs/>
          <w:color w:val="0070C0"/>
          <w:sz w:val="24"/>
          <w:szCs w:val="24"/>
          <w:lang w:val="en-GB"/>
        </w:rPr>
      </w:pPr>
      <w:r w:rsidRPr="00D30847">
        <w:rPr>
          <w:rFonts w:cs="Calibri"/>
          <w:b/>
          <w:bCs/>
          <w:iCs/>
          <w:color w:val="0070C0"/>
          <w:sz w:val="24"/>
          <w:szCs w:val="24"/>
          <w:lang w:val="en-GB"/>
        </w:rPr>
        <w:t>Activity 1: Selection of IFMIS Solution Provider</w:t>
      </w:r>
    </w:p>
    <w:p w14:paraId="3BA5F0D7" w14:textId="0A001819" w:rsidR="0093115D" w:rsidRPr="00D30847" w:rsidRDefault="0093115D" w:rsidP="0093115D">
      <w:pPr>
        <w:spacing w:before="100" w:beforeAutospacing="1" w:after="100" w:afterAutospacing="1" w:line="240" w:lineRule="auto"/>
        <w:jc w:val="both"/>
        <w:rPr>
          <w:rFonts w:eastAsia="MS PGothic" w:cs="Calibri"/>
          <w:lang w:val="en-GB" w:eastAsia="zh-CN"/>
        </w:rPr>
      </w:pPr>
      <w:r w:rsidRPr="00D30847">
        <w:rPr>
          <w:rFonts w:eastAsia="MS PGothic" w:cs="Calibri"/>
          <w:lang w:val="en-GB" w:eastAsia="zh-CN"/>
        </w:rPr>
        <w:t>This activity implies the selection of an economic operator for the development and design of IFMIS, which involves the evaluation of potential bidders in a competitive procedure, and the selection of a bidder whose qualifications and offer (in terms of price and quality) follow the IFMIS functional and technical requirements.</w:t>
      </w:r>
    </w:p>
    <w:p w14:paraId="22E1C610" w14:textId="77777777" w:rsidR="00165379" w:rsidRPr="00D30847" w:rsidRDefault="00165379" w:rsidP="00356610">
      <w:pPr>
        <w:spacing w:line="240" w:lineRule="auto"/>
        <w:jc w:val="both"/>
        <w:rPr>
          <w:rFonts w:cs="Calibri"/>
          <w:b/>
          <w:bCs/>
          <w:iCs/>
          <w:color w:val="0070C0"/>
          <w:sz w:val="24"/>
          <w:szCs w:val="24"/>
          <w:lang w:val="en-GB"/>
        </w:rPr>
      </w:pPr>
      <w:r w:rsidRPr="00D30847">
        <w:rPr>
          <w:rFonts w:cs="Calibri"/>
          <w:b/>
          <w:bCs/>
          <w:iCs/>
          <w:color w:val="0070C0"/>
          <w:sz w:val="24"/>
          <w:szCs w:val="24"/>
          <w:lang w:val="en-GB"/>
        </w:rPr>
        <w:t>Activity 2: Development of IFMIS modules and installation of hardware system and interfaces</w:t>
      </w:r>
    </w:p>
    <w:p w14:paraId="0BC2ABF7" w14:textId="2904C199" w:rsidR="0093115D" w:rsidRPr="00D30847" w:rsidRDefault="0093115D" w:rsidP="00356610">
      <w:pPr>
        <w:spacing w:line="240" w:lineRule="auto"/>
        <w:jc w:val="both"/>
        <w:rPr>
          <w:rFonts w:eastAsia="MS PGothic" w:cs="Calibri"/>
          <w:lang w:val="en-GB" w:eastAsia="zh-CN"/>
        </w:rPr>
      </w:pPr>
      <w:r w:rsidRPr="00D30847">
        <w:rPr>
          <w:rFonts w:eastAsia="MS PGothic" w:cs="Calibri"/>
          <w:lang w:val="en-GB" w:eastAsia="zh-CN"/>
        </w:rPr>
        <w:t xml:space="preserve">This activity involves the development of IFMIS based on a web-based custom software including capabilities for climate and gender tagging of expenditures, a data warehouse, and interfaces with other government </w:t>
      </w:r>
      <w:r w:rsidR="00D30847" w:rsidRPr="00D30847">
        <w:rPr>
          <w:rFonts w:eastAsia="MS PGothic" w:cs="Calibri"/>
          <w:lang w:val="en-GB" w:eastAsia="zh-CN"/>
        </w:rPr>
        <w:t>systems to</w:t>
      </w:r>
      <w:r w:rsidRPr="00D30847">
        <w:rPr>
          <w:rFonts w:eastAsia="MS PGothic" w:cs="Calibri"/>
          <w:lang w:val="en-GB" w:eastAsia="zh-CN"/>
        </w:rPr>
        <w:t xml:space="preserve"> improve budget planning, transparency, and accountability</w:t>
      </w:r>
    </w:p>
    <w:p w14:paraId="7A99C998" w14:textId="4DA69C30" w:rsidR="00165379" w:rsidRPr="00D30847" w:rsidRDefault="00165379" w:rsidP="00356610">
      <w:pPr>
        <w:spacing w:line="240" w:lineRule="auto"/>
        <w:jc w:val="both"/>
        <w:rPr>
          <w:rFonts w:cs="Calibri"/>
          <w:b/>
          <w:bCs/>
          <w:iCs/>
          <w:color w:val="0070C0"/>
          <w:sz w:val="24"/>
          <w:szCs w:val="24"/>
          <w:lang w:val="en-GB"/>
        </w:rPr>
      </w:pPr>
      <w:r w:rsidRPr="00D30847">
        <w:rPr>
          <w:rFonts w:cs="Calibri"/>
          <w:b/>
          <w:bCs/>
          <w:iCs/>
          <w:color w:val="0070C0"/>
          <w:sz w:val="24"/>
          <w:szCs w:val="24"/>
          <w:lang w:val="en-GB"/>
        </w:rPr>
        <w:t>Activity 3: IFMIS pilot implementation and operational acceptance</w:t>
      </w:r>
    </w:p>
    <w:p w14:paraId="1007649C" w14:textId="2787D441" w:rsidR="0093115D" w:rsidRPr="00D30847" w:rsidRDefault="0093115D" w:rsidP="0093115D">
      <w:pPr>
        <w:spacing w:after="0" w:line="240" w:lineRule="auto"/>
        <w:jc w:val="both"/>
        <w:rPr>
          <w:rFonts w:eastAsia="MS PGothic" w:cs="Calibri"/>
          <w:lang w:val="en-GB" w:eastAsia="zh-CN"/>
        </w:rPr>
      </w:pPr>
      <w:r w:rsidRPr="00D30847">
        <w:rPr>
          <w:rFonts w:eastAsia="MS PGothic" w:cs="Calibri"/>
          <w:lang w:val="en-GB" w:eastAsia="zh-CN"/>
        </w:rPr>
        <w:t xml:space="preserve">In this phase, a pilot implementation of the IFMIS is carried out to test its functionality and performance in a real-world environment. This activity includes feedback from the IFMIS pilot users aimed to identify and address any issues that may arise and need to be adjusted, before the full IFMIS rollout. </w:t>
      </w:r>
    </w:p>
    <w:p w14:paraId="06AB5E90" w14:textId="5613CDF6" w:rsidR="0093115D" w:rsidRPr="00D30847" w:rsidRDefault="0093115D" w:rsidP="0093115D">
      <w:pPr>
        <w:spacing w:after="0" w:line="240" w:lineRule="auto"/>
        <w:jc w:val="both"/>
        <w:rPr>
          <w:rFonts w:eastAsia="MS PGothic" w:cs="Calibri"/>
          <w:lang w:val="en-GB" w:eastAsia="zh-CN"/>
        </w:rPr>
      </w:pPr>
      <w:r w:rsidRPr="00D30847">
        <w:rPr>
          <w:rFonts w:eastAsia="MS PGothic" w:cs="Calibri"/>
          <w:lang w:val="en-GB" w:eastAsia="zh-CN"/>
        </w:rPr>
        <w:t xml:space="preserve">Operational acceptance ensures the system meets the functional and technical requirements and is ready for full-scale implementation. </w:t>
      </w:r>
    </w:p>
    <w:p w14:paraId="47D6B30A" w14:textId="77777777" w:rsidR="000D6082" w:rsidRPr="00D30847" w:rsidRDefault="000D6082" w:rsidP="0093115D">
      <w:pPr>
        <w:spacing w:after="0" w:line="240" w:lineRule="auto"/>
        <w:jc w:val="both"/>
        <w:rPr>
          <w:rFonts w:eastAsia="MS PGothic" w:cs="Calibri"/>
          <w:lang w:val="en-GB" w:eastAsia="zh-CN"/>
        </w:rPr>
      </w:pPr>
    </w:p>
    <w:p w14:paraId="621FBA47" w14:textId="3F374ECC" w:rsidR="000D6082" w:rsidRPr="00D30847" w:rsidRDefault="000D6082" w:rsidP="000D6082">
      <w:pPr>
        <w:keepNext/>
        <w:keepLines/>
        <w:spacing w:after="12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Implementation</w:t>
      </w:r>
    </w:p>
    <w:p w14:paraId="212FBB76" w14:textId="77777777" w:rsidR="000D6082" w:rsidRPr="00D30847" w:rsidRDefault="000D6082" w:rsidP="0093115D">
      <w:pPr>
        <w:spacing w:after="0" w:line="240" w:lineRule="auto"/>
        <w:jc w:val="both"/>
        <w:rPr>
          <w:rFonts w:eastAsia="MS PGothic" w:cs="Calibri"/>
          <w:sz w:val="10"/>
          <w:szCs w:val="10"/>
          <w:lang w:val="en-GB" w:eastAsia="zh-CN"/>
        </w:rPr>
      </w:pPr>
    </w:p>
    <w:tbl>
      <w:tblPr>
        <w:tblW w:w="0" w:type="auto"/>
        <w:tblBorders>
          <w:insideH w:val="single" w:sz="4" w:space="0" w:color="FFFFFF"/>
        </w:tblBorders>
        <w:tblLayout w:type="fixed"/>
        <w:tblLook w:val="0080" w:firstRow="0" w:lastRow="0" w:firstColumn="1" w:lastColumn="0" w:noHBand="0" w:noVBand="0"/>
      </w:tblPr>
      <w:tblGrid>
        <w:gridCol w:w="2977"/>
        <w:gridCol w:w="5787"/>
      </w:tblGrid>
      <w:tr w:rsidR="001E2302" w:rsidRPr="00D30847" w14:paraId="5572DFF6" w14:textId="77777777" w:rsidTr="00E91268">
        <w:tc>
          <w:tcPr>
            <w:tcW w:w="2977" w:type="dxa"/>
            <w:tcBorders>
              <w:top w:val="nil"/>
              <w:bottom w:val="single" w:sz="4" w:space="0" w:color="FFFFFF"/>
            </w:tcBorders>
            <w:shd w:val="clear" w:color="auto" w:fill="002060"/>
          </w:tcPr>
          <w:p w14:paraId="08294FD0" w14:textId="77777777" w:rsidR="001E2302" w:rsidRPr="00D30847" w:rsidRDefault="001E2302" w:rsidP="000147DA">
            <w:pPr>
              <w:tabs>
                <w:tab w:val="left" w:pos="1526"/>
              </w:tabs>
              <w:spacing w:after="0" w:line="240" w:lineRule="auto"/>
              <w:jc w:val="both"/>
              <w:rPr>
                <w:rFonts w:cs="Calibri"/>
                <w:color w:val="FFFFFF"/>
                <w:sz w:val="20"/>
                <w:szCs w:val="20"/>
                <w:lang w:val="en-GB"/>
              </w:rPr>
            </w:pPr>
            <w:r w:rsidRPr="00D30847">
              <w:rPr>
                <w:rFonts w:cs="Calibri"/>
                <w:b/>
                <w:color w:val="FFFFFF"/>
                <w:sz w:val="20"/>
                <w:szCs w:val="20"/>
                <w:lang w:val="en-GB"/>
              </w:rPr>
              <w:t>Completed in year:</w:t>
            </w:r>
            <w:r w:rsidRPr="00D30847">
              <w:rPr>
                <w:rFonts w:cs="Calibri"/>
                <w:color w:val="FFFFFF"/>
                <w:sz w:val="20"/>
                <w:szCs w:val="20"/>
                <w:lang w:val="en-GB"/>
              </w:rPr>
              <w:tab/>
            </w:r>
          </w:p>
        </w:tc>
        <w:tc>
          <w:tcPr>
            <w:tcW w:w="5787" w:type="dxa"/>
            <w:tcBorders>
              <w:top w:val="nil"/>
              <w:bottom w:val="single" w:sz="4" w:space="0" w:color="FFFFFF"/>
            </w:tcBorders>
            <w:shd w:val="clear" w:color="auto" w:fill="D9E2F3"/>
          </w:tcPr>
          <w:p w14:paraId="33E78F58" w14:textId="1E37409C" w:rsidR="001E2302" w:rsidRPr="00D30847" w:rsidRDefault="001E2302" w:rsidP="000147DA">
            <w:pPr>
              <w:tabs>
                <w:tab w:val="left" w:pos="1526"/>
              </w:tabs>
              <w:spacing w:after="60" w:line="240" w:lineRule="auto"/>
              <w:jc w:val="both"/>
              <w:rPr>
                <w:rFonts w:cs="Calibri"/>
                <w:sz w:val="20"/>
                <w:szCs w:val="20"/>
                <w:lang w:val="en-GB"/>
              </w:rPr>
            </w:pPr>
            <w:r w:rsidRPr="00D30847">
              <w:rPr>
                <w:rFonts w:cs="Calibri"/>
                <w:sz w:val="20"/>
                <w:szCs w:val="20"/>
                <w:lang w:val="en-GB"/>
              </w:rPr>
              <w:t>202</w:t>
            </w:r>
            <w:r w:rsidR="007127D7" w:rsidRPr="00D30847">
              <w:rPr>
                <w:rFonts w:cs="Calibri"/>
                <w:sz w:val="20"/>
                <w:szCs w:val="20"/>
                <w:lang w:val="en-GB"/>
              </w:rPr>
              <w:t>8</w:t>
            </w:r>
          </w:p>
        </w:tc>
      </w:tr>
      <w:tr w:rsidR="001E2302" w:rsidRPr="00D30847" w14:paraId="73C64593" w14:textId="77777777" w:rsidTr="00E91268">
        <w:tc>
          <w:tcPr>
            <w:tcW w:w="2977" w:type="dxa"/>
            <w:tcBorders>
              <w:top w:val="single" w:sz="4" w:space="0" w:color="FFFFFF"/>
              <w:bottom w:val="single" w:sz="4" w:space="0" w:color="FFFFFF"/>
            </w:tcBorders>
            <w:shd w:val="clear" w:color="auto" w:fill="002060"/>
          </w:tcPr>
          <w:p w14:paraId="3306B4AA" w14:textId="77777777" w:rsidR="001E2302" w:rsidRPr="00D30847" w:rsidRDefault="001E2302" w:rsidP="000147DA">
            <w:pPr>
              <w:tabs>
                <w:tab w:val="left" w:pos="4219"/>
              </w:tabs>
              <w:spacing w:after="0" w:line="240" w:lineRule="auto"/>
              <w:jc w:val="both"/>
              <w:rPr>
                <w:rFonts w:cs="Calibri"/>
                <w:color w:val="FFFFFF"/>
                <w:sz w:val="20"/>
                <w:szCs w:val="20"/>
                <w:lang w:val="en-GB"/>
              </w:rPr>
            </w:pPr>
            <w:r w:rsidRPr="00D30847">
              <w:rPr>
                <w:rFonts w:cs="Calibri"/>
                <w:b/>
                <w:color w:val="FFFFFF"/>
                <w:sz w:val="20"/>
                <w:szCs w:val="20"/>
                <w:lang w:val="en-GB"/>
              </w:rPr>
              <w:t>Deliverables:</w:t>
            </w:r>
          </w:p>
        </w:tc>
        <w:tc>
          <w:tcPr>
            <w:tcW w:w="5787" w:type="dxa"/>
            <w:tcBorders>
              <w:top w:val="single" w:sz="4" w:space="0" w:color="FFFFFF"/>
              <w:bottom w:val="single" w:sz="4" w:space="0" w:color="FFFFFF"/>
            </w:tcBorders>
            <w:shd w:val="clear" w:color="auto" w:fill="D9E2F3"/>
          </w:tcPr>
          <w:p w14:paraId="234D9E7F" w14:textId="4102FA2A" w:rsidR="001E2302" w:rsidRPr="00D30847" w:rsidRDefault="001E2302" w:rsidP="00AD2AD5">
            <w:pPr>
              <w:pStyle w:val="ListParagraph"/>
              <w:numPr>
                <w:ilvl w:val="0"/>
                <w:numId w:val="37"/>
              </w:numPr>
              <w:tabs>
                <w:tab w:val="left" w:pos="142"/>
                <w:tab w:val="left" w:pos="283"/>
              </w:tabs>
              <w:spacing w:after="60" w:line="240" w:lineRule="auto"/>
              <w:ind w:left="122" w:hanging="180"/>
              <w:rPr>
                <w:rFonts w:cs="Calibri"/>
                <w:color w:val="000000"/>
                <w:sz w:val="20"/>
                <w:szCs w:val="20"/>
              </w:rPr>
            </w:pPr>
            <w:r w:rsidRPr="00D30847">
              <w:rPr>
                <w:rFonts w:cs="Calibri"/>
                <w:sz w:val="20"/>
                <w:szCs w:val="20"/>
              </w:rPr>
              <w:t>New IFMIS is fully developed and deployed and connected with other government systems.</w:t>
            </w:r>
          </w:p>
        </w:tc>
      </w:tr>
      <w:tr w:rsidR="001E2302" w:rsidRPr="00D30847" w14:paraId="22D1ACBD" w14:textId="77777777" w:rsidTr="00E91268">
        <w:tc>
          <w:tcPr>
            <w:tcW w:w="2977" w:type="dxa"/>
            <w:tcBorders>
              <w:top w:val="single" w:sz="4" w:space="0" w:color="FFFFFF"/>
              <w:bottom w:val="single" w:sz="4" w:space="0" w:color="FFFFFF"/>
            </w:tcBorders>
            <w:shd w:val="clear" w:color="auto" w:fill="002060"/>
          </w:tcPr>
          <w:p w14:paraId="186817A2" w14:textId="77777777" w:rsidR="001E2302" w:rsidRPr="00D30847" w:rsidRDefault="001E2302" w:rsidP="000147DA">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Cost implications:</w:t>
            </w:r>
          </w:p>
        </w:tc>
        <w:tc>
          <w:tcPr>
            <w:tcW w:w="5787" w:type="dxa"/>
            <w:tcBorders>
              <w:top w:val="single" w:sz="4" w:space="0" w:color="FFFFFF"/>
              <w:bottom w:val="single" w:sz="4" w:space="0" w:color="FFFFFF"/>
            </w:tcBorders>
            <w:shd w:val="clear" w:color="auto" w:fill="D9E2F3"/>
          </w:tcPr>
          <w:p w14:paraId="6C5F65CF" w14:textId="77777777" w:rsidR="001E2302" w:rsidRPr="00D30847" w:rsidRDefault="001E2302" w:rsidP="000147DA">
            <w:pPr>
              <w:tabs>
                <w:tab w:val="left" w:pos="1526"/>
              </w:tabs>
              <w:spacing w:after="60" w:line="240" w:lineRule="auto"/>
              <w:jc w:val="both"/>
              <w:rPr>
                <w:rFonts w:cs="Calibri"/>
                <w:color w:val="FF0000"/>
                <w:sz w:val="20"/>
                <w:szCs w:val="20"/>
                <w:lang w:val="en-GB"/>
              </w:rPr>
            </w:pPr>
            <w:r w:rsidRPr="00D30847">
              <w:rPr>
                <w:rFonts w:cs="Calibri"/>
                <w:sz w:val="20"/>
                <w:szCs w:val="20"/>
                <w:lang w:val="en-GB"/>
              </w:rPr>
              <w:t>The ongoing IFMIS procurement process follows established procedures, making it impractical to provide an exact cost implication at this stage.</w:t>
            </w:r>
          </w:p>
        </w:tc>
      </w:tr>
      <w:tr w:rsidR="001E2302" w:rsidRPr="00D30847" w14:paraId="38C3AD3D" w14:textId="77777777" w:rsidTr="00E91268">
        <w:tc>
          <w:tcPr>
            <w:tcW w:w="2977" w:type="dxa"/>
            <w:tcBorders>
              <w:top w:val="single" w:sz="4" w:space="0" w:color="FFFFFF"/>
              <w:bottom w:val="single" w:sz="4" w:space="0" w:color="FFFFFF"/>
            </w:tcBorders>
            <w:shd w:val="clear" w:color="auto" w:fill="002060"/>
          </w:tcPr>
          <w:p w14:paraId="60DC8FEC" w14:textId="77777777" w:rsidR="001E2302" w:rsidRPr="00D30847" w:rsidRDefault="001E2302" w:rsidP="000147DA">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lastRenderedPageBreak/>
              <w:t xml:space="preserve">Responsible entity: </w:t>
            </w:r>
          </w:p>
        </w:tc>
        <w:tc>
          <w:tcPr>
            <w:tcW w:w="5787" w:type="dxa"/>
            <w:tcBorders>
              <w:top w:val="single" w:sz="4" w:space="0" w:color="FFFFFF"/>
              <w:bottom w:val="single" w:sz="4" w:space="0" w:color="FFFFFF"/>
            </w:tcBorders>
            <w:shd w:val="clear" w:color="auto" w:fill="D9E2F3"/>
          </w:tcPr>
          <w:p w14:paraId="088A3298" w14:textId="48B657D2" w:rsidR="001E2302" w:rsidRPr="00D30847" w:rsidRDefault="00D3676F" w:rsidP="000147DA">
            <w:pPr>
              <w:spacing w:after="60" w:line="240" w:lineRule="auto"/>
              <w:jc w:val="both"/>
              <w:rPr>
                <w:rFonts w:cs="Calibri"/>
                <w:sz w:val="20"/>
                <w:szCs w:val="20"/>
                <w:lang w:val="en-GB"/>
              </w:rPr>
            </w:pPr>
            <w:r w:rsidRPr="00D30847">
              <w:rPr>
                <w:rFonts w:cs="Calibri"/>
                <w:sz w:val="20"/>
                <w:szCs w:val="20"/>
                <w:lang w:val="en-GB"/>
              </w:rPr>
              <w:t xml:space="preserve">MoF </w:t>
            </w:r>
          </w:p>
        </w:tc>
      </w:tr>
      <w:tr w:rsidR="001E2302" w:rsidRPr="00D30847" w14:paraId="77F3F120" w14:textId="77777777" w:rsidTr="00E91268">
        <w:trPr>
          <w:trHeight w:val="132"/>
        </w:trPr>
        <w:tc>
          <w:tcPr>
            <w:tcW w:w="2977" w:type="dxa"/>
            <w:tcBorders>
              <w:top w:val="single" w:sz="4" w:space="0" w:color="FFFFFF"/>
              <w:bottom w:val="nil"/>
            </w:tcBorders>
            <w:shd w:val="clear" w:color="auto" w:fill="002060"/>
          </w:tcPr>
          <w:p w14:paraId="45D9C398" w14:textId="77777777" w:rsidR="001E2302" w:rsidRPr="00D30847" w:rsidRDefault="001E2302" w:rsidP="000147DA">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Risk:</w:t>
            </w:r>
          </w:p>
        </w:tc>
        <w:tc>
          <w:tcPr>
            <w:tcW w:w="5787" w:type="dxa"/>
            <w:tcBorders>
              <w:top w:val="single" w:sz="4" w:space="0" w:color="FFFFFF"/>
              <w:bottom w:val="nil"/>
            </w:tcBorders>
            <w:shd w:val="clear" w:color="auto" w:fill="D9E2F3"/>
          </w:tcPr>
          <w:p w14:paraId="4E316E2B" w14:textId="77777777" w:rsidR="001E2302" w:rsidRPr="00D30847" w:rsidRDefault="001E2302" w:rsidP="00AD2AD5">
            <w:pPr>
              <w:numPr>
                <w:ilvl w:val="0"/>
                <w:numId w:val="29"/>
              </w:numPr>
              <w:spacing w:after="60" w:line="240" w:lineRule="auto"/>
              <w:ind w:left="122" w:hanging="122"/>
              <w:jc w:val="both"/>
              <w:rPr>
                <w:lang w:val="en-GB"/>
              </w:rPr>
            </w:pPr>
            <w:r w:rsidRPr="00D30847">
              <w:rPr>
                <w:rFonts w:cs="Calibri"/>
                <w:sz w:val="20"/>
                <w:szCs w:val="20"/>
                <w:lang w:val="en-GB"/>
              </w:rPr>
              <w:t>Insufficient staffing and insufficient training of human resource;</w:t>
            </w:r>
          </w:p>
          <w:p w14:paraId="078A00A8" w14:textId="7569F09D" w:rsidR="000D6082" w:rsidRPr="00D30847" w:rsidRDefault="000D6082" w:rsidP="00AD2AD5">
            <w:pPr>
              <w:numPr>
                <w:ilvl w:val="0"/>
                <w:numId w:val="29"/>
              </w:numPr>
              <w:spacing w:after="60" w:line="240" w:lineRule="auto"/>
              <w:ind w:left="122" w:hanging="122"/>
              <w:jc w:val="both"/>
              <w:rPr>
                <w:rFonts w:cs="Calibri"/>
                <w:sz w:val="20"/>
                <w:szCs w:val="20"/>
                <w:lang w:val="en-GB"/>
              </w:rPr>
            </w:pPr>
            <w:r w:rsidRPr="00D30847">
              <w:rPr>
                <w:rFonts w:cs="Calibri"/>
                <w:sz w:val="20"/>
                <w:szCs w:val="20"/>
                <w:lang w:val="en-GB"/>
              </w:rPr>
              <w:t xml:space="preserve"> Employee turnover involved in the implementation and use of IFMIS;</w:t>
            </w:r>
          </w:p>
          <w:p w14:paraId="42314A15" w14:textId="1653E124" w:rsidR="001E2302" w:rsidRPr="00D30847" w:rsidRDefault="007127D7" w:rsidP="00AD2AD5">
            <w:pPr>
              <w:numPr>
                <w:ilvl w:val="0"/>
                <w:numId w:val="29"/>
              </w:numPr>
              <w:spacing w:after="60" w:line="240" w:lineRule="auto"/>
              <w:ind w:left="122" w:hanging="122"/>
              <w:jc w:val="both"/>
              <w:rPr>
                <w:rFonts w:cs="Calibri"/>
                <w:color w:val="FF0000"/>
                <w:sz w:val="20"/>
                <w:szCs w:val="20"/>
                <w:lang w:val="en-GB"/>
              </w:rPr>
            </w:pPr>
            <w:r w:rsidRPr="00D30847">
              <w:rPr>
                <w:rFonts w:cs="Calibri"/>
                <w:sz w:val="20"/>
                <w:szCs w:val="20"/>
                <w:lang w:val="en-GB"/>
              </w:rPr>
              <w:t>Non-compliance with the deadlines and provisions of the Implementation Agreement by the selected economic operator.</w:t>
            </w:r>
          </w:p>
        </w:tc>
      </w:tr>
    </w:tbl>
    <w:p w14:paraId="462B3A83" w14:textId="77777777" w:rsidR="00E91268" w:rsidRPr="00E91268" w:rsidRDefault="00E91268" w:rsidP="00165379">
      <w:pPr>
        <w:spacing w:line="240" w:lineRule="auto"/>
        <w:jc w:val="both"/>
        <w:rPr>
          <w:rFonts w:eastAsia="MS PGothic"/>
          <w:b/>
          <w:bCs/>
          <w:iCs/>
          <w:color w:val="0070C0"/>
          <w:sz w:val="10"/>
          <w:szCs w:val="10"/>
          <w:lang w:val="en-GB" w:eastAsia="zh-CN"/>
        </w:rPr>
      </w:pPr>
    </w:p>
    <w:p w14:paraId="29CA9F51" w14:textId="73D17966" w:rsidR="00165379" w:rsidRPr="00D30847" w:rsidRDefault="00165379" w:rsidP="00165379">
      <w:pPr>
        <w:spacing w:line="240" w:lineRule="auto"/>
        <w:jc w:val="both"/>
        <w:rPr>
          <w:rFonts w:eastAsia="MS PGothic"/>
          <w:b/>
          <w:bCs/>
          <w:iCs/>
          <w:color w:val="0070C0"/>
          <w:sz w:val="24"/>
          <w:szCs w:val="24"/>
          <w:lang w:val="en-GB" w:eastAsia="zh-CN"/>
        </w:rPr>
      </w:pPr>
      <w:r w:rsidRPr="00D30847">
        <w:rPr>
          <w:rFonts w:eastAsia="MS PGothic"/>
          <w:b/>
          <w:bCs/>
          <w:iCs/>
          <w:color w:val="0070C0"/>
          <w:sz w:val="24"/>
          <w:szCs w:val="24"/>
          <w:lang w:val="en-GB" w:eastAsia="zh-CN"/>
        </w:rPr>
        <w:t>Measure 2: Expansion of MoF ICT infrastructure (in line with whole-of-government approach) to host new IFMIS</w:t>
      </w:r>
    </w:p>
    <w:p w14:paraId="5D4EBD31" w14:textId="77777777" w:rsidR="00165379" w:rsidRPr="00D30847" w:rsidRDefault="00165379" w:rsidP="00165379">
      <w:pPr>
        <w:spacing w:before="100" w:beforeAutospacing="1" w:after="100" w:afterAutospacing="1"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30BCE7AE" w14:textId="77777777" w:rsidR="008D1B70" w:rsidRPr="00D30847" w:rsidRDefault="00165379" w:rsidP="00E84CD0">
      <w:pPr>
        <w:spacing w:line="240" w:lineRule="auto"/>
        <w:jc w:val="both"/>
        <w:rPr>
          <w:rFonts w:eastAsia="MS PGothic" w:cs="Calibri"/>
          <w:lang w:val="en-GB" w:eastAsia="zh-CN"/>
        </w:rPr>
      </w:pPr>
      <w:r w:rsidRPr="00D30847">
        <w:rPr>
          <w:rFonts w:eastAsia="MS PGothic" w:cs="Calibri"/>
          <w:lang w:val="en-GB" w:eastAsia="zh-CN"/>
        </w:rPr>
        <w:t>New IFMIS will be a centralized web-based shared platform to support decentralized operations (online/offline) countrywide. This measure involves the expansion of the Ministry of Finance's (MoF) Information and Communication Technology (ICT) infrastructure, aligning with a comprehensive government-wide strategy, with primary objective to accommodate the implementation of the new IFMIS.</w:t>
      </w:r>
    </w:p>
    <w:p w14:paraId="5A10C0BF" w14:textId="77777777" w:rsidR="00165379" w:rsidRPr="00D30847" w:rsidRDefault="00165379" w:rsidP="00165379">
      <w:pPr>
        <w:spacing w:before="100" w:beforeAutospacing="1" w:after="100" w:afterAutospacing="1" w:line="240" w:lineRule="auto"/>
        <w:jc w:val="both"/>
        <w:rPr>
          <w:rFonts w:eastAsia="MS PGothic"/>
          <w:b/>
          <w:bCs/>
          <w:iCs/>
          <w:color w:val="0070C0"/>
          <w:lang w:val="en-GB" w:eastAsia="zh-CN"/>
        </w:rPr>
      </w:pPr>
      <w:r w:rsidRPr="00D30847">
        <w:rPr>
          <w:rFonts w:eastAsia="MS PGothic"/>
          <w:b/>
          <w:bCs/>
          <w:iCs/>
          <w:color w:val="0070C0"/>
          <w:lang w:val="en-GB" w:eastAsia="zh-CN"/>
        </w:rPr>
        <w:t xml:space="preserve">Activity 1: Enhancement of the existing data </w:t>
      </w:r>
      <w:proofErr w:type="spellStart"/>
      <w:r w:rsidRPr="00D30847">
        <w:rPr>
          <w:rFonts w:eastAsia="MS PGothic"/>
          <w:b/>
          <w:bCs/>
          <w:iCs/>
          <w:color w:val="0070C0"/>
          <w:lang w:val="en-GB" w:eastAsia="zh-CN"/>
        </w:rPr>
        <w:t>centers</w:t>
      </w:r>
      <w:proofErr w:type="spellEnd"/>
      <w:r w:rsidRPr="00D30847">
        <w:rPr>
          <w:rFonts w:eastAsia="MS PGothic"/>
          <w:b/>
          <w:bCs/>
          <w:iCs/>
          <w:color w:val="0070C0"/>
          <w:lang w:val="en-GB" w:eastAsia="zh-CN"/>
        </w:rPr>
        <w:t xml:space="preserve"> and network connectivity</w:t>
      </w:r>
    </w:p>
    <w:p w14:paraId="3A04247B" w14:textId="771774B7" w:rsidR="000D6082" w:rsidRPr="00D30847" w:rsidRDefault="000D6082" w:rsidP="000D6082">
      <w:pPr>
        <w:spacing w:before="100" w:beforeAutospacing="1" w:after="100" w:afterAutospacing="1" w:line="240" w:lineRule="auto"/>
        <w:jc w:val="both"/>
        <w:rPr>
          <w:rFonts w:eastAsia="MS PGothic" w:cs="Calibri"/>
          <w:lang w:val="en-GB" w:eastAsia="zh-CN"/>
        </w:rPr>
      </w:pPr>
      <w:r w:rsidRPr="00D30847">
        <w:rPr>
          <w:rFonts w:eastAsia="MS PGothic" w:cs="Calibri"/>
          <w:lang w:val="en-GB" w:eastAsia="zh-CN"/>
        </w:rPr>
        <w:t xml:space="preserve">This activity focuses on improving the capacities of the current data </w:t>
      </w:r>
      <w:proofErr w:type="spellStart"/>
      <w:r w:rsidRPr="00D30847">
        <w:rPr>
          <w:rFonts w:eastAsia="MS PGothic" w:cs="Calibri"/>
          <w:lang w:val="en-GB" w:eastAsia="zh-CN"/>
        </w:rPr>
        <w:t>centers</w:t>
      </w:r>
      <w:proofErr w:type="spellEnd"/>
      <w:r w:rsidRPr="00D30847">
        <w:rPr>
          <w:rFonts w:eastAsia="MS PGothic" w:cs="Calibri"/>
          <w:lang w:val="en-GB" w:eastAsia="zh-CN"/>
        </w:rPr>
        <w:t xml:space="preserve"> operated by the Ministry of Finance </w:t>
      </w:r>
      <w:r w:rsidR="002F500A" w:rsidRPr="00D30847">
        <w:rPr>
          <w:rFonts w:eastAsia="MS PGothic" w:cs="Calibri"/>
          <w:lang w:val="en-GB" w:eastAsia="zh-CN"/>
        </w:rPr>
        <w:t>and includes</w:t>
      </w:r>
      <w:r w:rsidRPr="00D30847">
        <w:rPr>
          <w:rFonts w:eastAsia="MS PGothic" w:cs="Calibri"/>
          <w:lang w:val="en-GB" w:eastAsia="zh-CN"/>
        </w:rPr>
        <w:t xml:space="preserve"> upgrades and optimizations to the physical and virtual infrastructure, as well as enhancements to network connectivity. The goal is to ensure a robust and reliable foundation for hosting the new IFMIS.</w:t>
      </w:r>
    </w:p>
    <w:p w14:paraId="77B82415" w14:textId="77777777" w:rsidR="00165379" w:rsidRPr="00D30847" w:rsidRDefault="00165379" w:rsidP="00165379">
      <w:pPr>
        <w:spacing w:before="100" w:beforeAutospacing="1" w:after="100" w:afterAutospacing="1" w:line="240" w:lineRule="auto"/>
        <w:jc w:val="both"/>
        <w:rPr>
          <w:rFonts w:eastAsia="MS PGothic"/>
          <w:b/>
          <w:bCs/>
          <w:iCs/>
          <w:color w:val="0070C0"/>
          <w:lang w:val="en-GB" w:eastAsia="zh-CN"/>
        </w:rPr>
      </w:pPr>
      <w:r w:rsidRPr="00D30847">
        <w:rPr>
          <w:rFonts w:eastAsia="MS PGothic"/>
          <w:b/>
          <w:bCs/>
          <w:iCs/>
          <w:color w:val="0070C0"/>
          <w:lang w:val="en-GB" w:eastAsia="zh-CN"/>
        </w:rPr>
        <w:t>Activity 2: Establishment of secure backup network connections</w:t>
      </w:r>
    </w:p>
    <w:p w14:paraId="12305049" w14:textId="08CE2E8C" w:rsidR="000D6082" w:rsidRPr="00D30847" w:rsidRDefault="000D6082" w:rsidP="000D6082">
      <w:pPr>
        <w:spacing w:before="100" w:beforeAutospacing="1" w:after="100" w:afterAutospacing="1" w:line="240" w:lineRule="auto"/>
        <w:jc w:val="both"/>
        <w:rPr>
          <w:rFonts w:eastAsia="MS PGothic" w:cs="Calibri"/>
          <w:lang w:val="en-GB" w:eastAsia="zh-CN"/>
        </w:rPr>
      </w:pPr>
      <w:r w:rsidRPr="00D30847">
        <w:rPr>
          <w:rFonts w:eastAsia="MS PGothic" w:cs="Calibri"/>
          <w:lang w:val="en-GB" w:eastAsia="zh-CN"/>
        </w:rPr>
        <w:t xml:space="preserve">This activity aims to support the Ministry of Finance's ICT infrastructure by enhancing the existing data </w:t>
      </w:r>
      <w:proofErr w:type="spellStart"/>
      <w:r w:rsidRPr="00D30847">
        <w:rPr>
          <w:rFonts w:eastAsia="MS PGothic" w:cs="Calibri"/>
          <w:lang w:val="en-GB" w:eastAsia="zh-CN"/>
        </w:rPr>
        <w:t>centers</w:t>
      </w:r>
      <w:proofErr w:type="spellEnd"/>
      <w:r w:rsidRPr="00D30847">
        <w:rPr>
          <w:rFonts w:eastAsia="MS PGothic" w:cs="Calibri"/>
          <w:lang w:val="en-GB" w:eastAsia="zh-CN"/>
        </w:rPr>
        <w:t xml:space="preserve"> and network connectivity following the expected increase in the workload and operational needs, as well as the creation of a resilient and secure backup network. The emphasis is on establishing reliable connections to ensure continuity in the event of failures or other network disruptions.</w:t>
      </w:r>
    </w:p>
    <w:p w14:paraId="314F3BFD" w14:textId="3C79ADA7" w:rsidR="00555720" w:rsidRPr="00D30847" w:rsidRDefault="00555720" w:rsidP="00555720">
      <w:pPr>
        <w:keepNext/>
        <w:keepLines/>
        <w:spacing w:after="12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Implementation</w:t>
      </w:r>
    </w:p>
    <w:tbl>
      <w:tblPr>
        <w:tblW w:w="0" w:type="auto"/>
        <w:tblBorders>
          <w:insideH w:val="single" w:sz="4" w:space="0" w:color="FFFFFF"/>
        </w:tblBorders>
        <w:tblLayout w:type="fixed"/>
        <w:tblLook w:val="0080" w:firstRow="0" w:lastRow="0" w:firstColumn="1" w:lastColumn="0" w:noHBand="0" w:noVBand="0"/>
      </w:tblPr>
      <w:tblGrid>
        <w:gridCol w:w="3119"/>
        <w:gridCol w:w="5645"/>
      </w:tblGrid>
      <w:tr w:rsidR="00526315" w:rsidRPr="00D30847" w14:paraId="29D78B3E" w14:textId="77777777" w:rsidTr="000147DA">
        <w:tc>
          <w:tcPr>
            <w:tcW w:w="3119" w:type="dxa"/>
            <w:tcBorders>
              <w:top w:val="nil"/>
              <w:bottom w:val="single" w:sz="4" w:space="0" w:color="FFFFFF"/>
            </w:tcBorders>
            <w:shd w:val="clear" w:color="auto" w:fill="002060"/>
          </w:tcPr>
          <w:p w14:paraId="21BC48A1" w14:textId="77777777" w:rsidR="00526315" w:rsidRPr="00D30847" w:rsidRDefault="00526315" w:rsidP="000147DA">
            <w:pPr>
              <w:tabs>
                <w:tab w:val="left" w:pos="1526"/>
              </w:tabs>
              <w:spacing w:after="0" w:line="240" w:lineRule="auto"/>
              <w:jc w:val="both"/>
              <w:rPr>
                <w:rFonts w:cs="Calibri"/>
                <w:color w:val="FFFFFF"/>
                <w:sz w:val="20"/>
                <w:szCs w:val="20"/>
                <w:lang w:val="en-GB"/>
              </w:rPr>
            </w:pPr>
            <w:r w:rsidRPr="00D30847">
              <w:rPr>
                <w:rFonts w:cs="Calibri"/>
                <w:b/>
                <w:color w:val="FFFFFF"/>
                <w:sz w:val="20"/>
                <w:szCs w:val="20"/>
                <w:lang w:val="en-GB"/>
              </w:rPr>
              <w:t>Completed in year:</w:t>
            </w:r>
            <w:r w:rsidRPr="00D30847">
              <w:rPr>
                <w:rFonts w:cs="Calibri"/>
                <w:color w:val="FFFFFF"/>
                <w:sz w:val="20"/>
                <w:szCs w:val="20"/>
                <w:lang w:val="en-GB"/>
              </w:rPr>
              <w:tab/>
            </w:r>
          </w:p>
        </w:tc>
        <w:tc>
          <w:tcPr>
            <w:tcW w:w="5645" w:type="dxa"/>
            <w:tcBorders>
              <w:top w:val="nil"/>
              <w:bottom w:val="single" w:sz="4" w:space="0" w:color="FFFFFF"/>
            </w:tcBorders>
            <w:shd w:val="clear" w:color="auto" w:fill="D9E2F3"/>
          </w:tcPr>
          <w:p w14:paraId="4F3B1D15" w14:textId="2AF0F15B" w:rsidR="00526315" w:rsidRPr="00D30847" w:rsidRDefault="00526315" w:rsidP="000147DA">
            <w:pPr>
              <w:tabs>
                <w:tab w:val="left" w:pos="1526"/>
              </w:tabs>
              <w:spacing w:after="60" w:line="240" w:lineRule="auto"/>
              <w:jc w:val="both"/>
              <w:rPr>
                <w:rFonts w:cs="Calibri"/>
                <w:color w:val="000000"/>
                <w:sz w:val="20"/>
                <w:szCs w:val="20"/>
                <w:lang w:val="en-GB"/>
              </w:rPr>
            </w:pPr>
            <w:r w:rsidRPr="00D30847">
              <w:rPr>
                <w:rFonts w:cs="Calibri"/>
                <w:sz w:val="20"/>
                <w:szCs w:val="20"/>
                <w:lang w:val="en-GB"/>
              </w:rPr>
              <w:t>202</w:t>
            </w:r>
            <w:r w:rsidR="007127D7" w:rsidRPr="00D30847">
              <w:rPr>
                <w:rFonts w:cs="Calibri"/>
                <w:sz w:val="20"/>
                <w:szCs w:val="20"/>
                <w:lang w:val="en-GB"/>
              </w:rPr>
              <w:t>8</w:t>
            </w:r>
          </w:p>
        </w:tc>
      </w:tr>
      <w:tr w:rsidR="00526315" w:rsidRPr="00D30847" w14:paraId="1EF03D73" w14:textId="77777777" w:rsidTr="000147DA">
        <w:tc>
          <w:tcPr>
            <w:tcW w:w="3119" w:type="dxa"/>
            <w:tcBorders>
              <w:top w:val="single" w:sz="4" w:space="0" w:color="FFFFFF"/>
              <w:bottom w:val="single" w:sz="4" w:space="0" w:color="FFFFFF"/>
            </w:tcBorders>
            <w:shd w:val="clear" w:color="auto" w:fill="002060"/>
          </w:tcPr>
          <w:p w14:paraId="4D05907B" w14:textId="77777777" w:rsidR="00526315" w:rsidRPr="00D30847" w:rsidRDefault="00526315" w:rsidP="000147DA">
            <w:pPr>
              <w:tabs>
                <w:tab w:val="left" w:pos="4219"/>
              </w:tabs>
              <w:spacing w:after="0" w:line="240" w:lineRule="auto"/>
              <w:jc w:val="both"/>
              <w:rPr>
                <w:rFonts w:cs="Calibri"/>
                <w:color w:val="FFFFFF"/>
                <w:sz w:val="20"/>
                <w:szCs w:val="20"/>
                <w:lang w:val="en-GB"/>
              </w:rPr>
            </w:pPr>
            <w:r w:rsidRPr="00D30847">
              <w:rPr>
                <w:rFonts w:cs="Calibri"/>
                <w:b/>
                <w:color w:val="FFFFFF"/>
                <w:sz w:val="20"/>
                <w:szCs w:val="20"/>
                <w:lang w:val="en-GB"/>
              </w:rPr>
              <w:t>Deliverables:</w:t>
            </w:r>
          </w:p>
        </w:tc>
        <w:tc>
          <w:tcPr>
            <w:tcW w:w="5645" w:type="dxa"/>
            <w:tcBorders>
              <w:top w:val="single" w:sz="4" w:space="0" w:color="FFFFFF"/>
              <w:bottom w:val="single" w:sz="4" w:space="0" w:color="FFFFFF"/>
            </w:tcBorders>
            <w:shd w:val="clear" w:color="auto" w:fill="D9E2F3"/>
          </w:tcPr>
          <w:p w14:paraId="6984990B" w14:textId="6B46DA4C" w:rsidR="00526315" w:rsidRPr="00D30847" w:rsidRDefault="000D6082" w:rsidP="00AD2AD5">
            <w:pPr>
              <w:pStyle w:val="ListParagraph"/>
              <w:numPr>
                <w:ilvl w:val="0"/>
                <w:numId w:val="29"/>
              </w:numPr>
              <w:tabs>
                <w:tab w:val="left" w:pos="142"/>
                <w:tab w:val="left" w:pos="283"/>
              </w:tabs>
              <w:spacing w:after="60" w:line="240" w:lineRule="auto"/>
              <w:ind w:left="122" w:hanging="122"/>
              <w:rPr>
                <w:rFonts w:cs="Calibri"/>
                <w:color w:val="000000"/>
                <w:sz w:val="20"/>
                <w:szCs w:val="20"/>
              </w:rPr>
            </w:pPr>
            <w:r w:rsidRPr="00D30847">
              <w:rPr>
                <w:rFonts w:cs="Calibri"/>
                <w:sz w:val="20"/>
                <w:szCs w:val="20"/>
              </w:rPr>
              <w:t>The existing MoF ICT Infrastructure and network connectivity are enhanced to support IFMIS operations</w:t>
            </w:r>
          </w:p>
        </w:tc>
      </w:tr>
      <w:tr w:rsidR="00526315" w:rsidRPr="00D30847" w14:paraId="3118A1AE" w14:textId="77777777" w:rsidTr="000147DA">
        <w:tc>
          <w:tcPr>
            <w:tcW w:w="3119" w:type="dxa"/>
            <w:tcBorders>
              <w:top w:val="single" w:sz="4" w:space="0" w:color="FFFFFF"/>
              <w:bottom w:val="single" w:sz="4" w:space="0" w:color="FFFFFF"/>
            </w:tcBorders>
            <w:shd w:val="clear" w:color="auto" w:fill="002060"/>
          </w:tcPr>
          <w:p w14:paraId="01722153" w14:textId="77777777" w:rsidR="00526315" w:rsidRPr="00D30847" w:rsidRDefault="00526315" w:rsidP="000147DA">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Cost implications:</w:t>
            </w:r>
          </w:p>
        </w:tc>
        <w:tc>
          <w:tcPr>
            <w:tcW w:w="5645" w:type="dxa"/>
            <w:tcBorders>
              <w:top w:val="single" w:sz="4" w:space="0" w:color="FFFFFF"/>
              <w:bottom w:val="single" w:sz="4" w:space="0" w:color="FFFFFF"/>
            </w:tcBorders>
            <w:shd w:val="clear" w:color="auto" w:fill="D9E2F3"/>
          </w:tcPr>
          <w:p w14:paraId="127517A4" w14:textId="7A746DEF" w:rsidR="00526315" w:rsidRPr="00D30847" w:rsidRDefault="005E137F" w:rsidP="000147DA">
            <w:pPr>
              <w:tabs>
                <w:tab w:val="left" w:pos="1526"/>
              </w:tabs>
              <w:spacing w:after="60" w:line="240" w:lineRule="auto"/>
              <w:jc w:val="both"/>
              <w:rPr>
                <w:rFonts w:cs="Calibri"/>
                <w:color w:val="FF0000"/>
                <w:sz w:val="20"/>
                <w:szCs w:val="20"/>
                <w:lang w:val="en-GB"/>
              </w:rPr>
            </w:pPr>
            <w:r w:rsidRPr="00D30847">
              <w:rPr>
                <w:rFonts w:cs="Calibri"/>
                <w:sz w:val="20"/>
                <w:szCs w:val="20"/>
                <w:lang w:val="en-GB"/>
              </w:rPr>
              <w:t xml:space="preserve">- </w:t>
            </w:r>
            <w:r w:rsidR="00526315" w:rsidRPr="00D30847">
              <w:rPr>
                <w:rFonts w:cs="Calibri"/>
                <w:sz w:val="20"/>
                <w:szCs w:val="20"/>
                <w:lang w:val="en-GB"/>
              </w:rPr>
              <w:t>The ongoing IFMIS procurement process follows established procedures, making it impractical to provide an exact cost implication at this stage.</w:t>
            </w:r>
          </w:p>
        </w:tc>
      </w:tr>
      <w:tr w:rsidR="00526315" w:rsidRPr="00D30847" w14:paraId="52884313" w14:textId="77777777" w:rsidTr="000147DA">
        <w:tc>
          <w:tcPr>
            <w:tcW w:w="3119" w:type="dxa"/>
            <w:tcBorders>
              <w:top w:val="single" w:sz="4" w:space="0" w:color="FFFFFF"/>
              <w:bottom w:val="single" w:sz="4" w:space="0" w:color="FFFFFF"/>
            </w:tcBorders>
            <w:shd w:val="clear" w:color="auto" w:fill="002060"/>
          </w:tcPr>
          <w:p w14:paraId="18FF70E9" w14:textId="77777777" w:rsidR="00526315" w:rsidRPr="00D30847" w:rsidRDefault="00526315" w:rsidP="000147DA">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 xml:space="preserve">Responsible entity: </w:t>
            </w:r>
          </w:p>
        </w:tc>
        <w:tc>
          <w:tcPr>
            <w:tcW w:w="5645" w:type="dxa"/>
            <w:tcBorders>
              <w:top w:val="single" w:sz="4" w:space="0" w:color="FFFFFF"/>
              <w:bottom w:val="single" w:sz="4" w:space="0" w:color="FFFFFF"/>
            </w:tcBorders>
            <w:shd w:val="clear" w:color="auto" w:fill="D9E2F3"/>
          </w:tcPr>
          <w:p w14:paraId="1A9B4A90" w14:textId="7867EA46" w:rsidR="00526315" w:rsidRPr="00D30847" w:rsidRDefault="00D3676F" w:rsidP="000147DA">
            <w:pPr>
              <w:spacing w:after="60" w:line="240" w:lineRule="auto"/>
              <w:jc w:val="both"/>
              <w:rPr>
                <w:rFonts w:cs="Calibri"/>
                <w:sz w:val="20"/>
                <w:szCs w:val="20"/>
                <w:lang w:val="en-GB"/>
              </w:rPr>
            </w:pPr>
            <w:r w:rsidRPr="00D30847">
              <w:rPr>
                <w:rFonts w:cs="Calibri"/>
                <w:sz w:val="20"/>
                <w:szCs w:val="20"/>
                <w:lang w:val="en-GB"/>
              </w:rPr>
              <w:t xml:space="preserve">MoF </w:t>
            </w:r>
          </w:p>
        </w:tc>
      </w:tr>
      <w:tr w:rsidR="00526315" w:rsidRPr="00D30847" w14:paraId="269209D6" w14:textId="77777777" w:rsidTr="000147DA">
        <w:trPr>
          <w:trHeight w:val="132"/>
        </w:trPr>
        <w:tc>
          <w:tcPr>
            <w:tcW w:w="3119" w:type="dxa"/>
            <w:tcBorders>
              <w:top w:val="single" w:sz="4" w:space="0" w:color="FFFFFF"/>
              <w:bottom w:val="nil"/>
            </w:tcBorders>
            <w:shd w:val="clear" w:color="auto" w:fill="002060"/>
          </w:tcPr>
          <w:p w14:paraId="50822068" w14:textId="77777777" w:rsidR="00526315" w:rsidRPr="00D30847" w:rsidRDefault="00526315" w:rsidP="000147DA">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Risk:</w:t>
            </w:r>
          </w:p>
        </w:tc>
        <w:tc>
          <w:tcPr>
            <w:tcW w:w="5645" w:type="dxa"/>
            <w:tcBorders>
              <w:top w:val="single" w:sz="4" w:space="0" w:color="FFFFFF"/>
              <w:bottom w:val="nil"/>
            </w:tcBorders>
            <w:shd w:val="clear" w:color="auto" w:fill="D9E2F3"/>
          </w:tcPr>
          <w:p w14:paraId="2B22188A" w14:textId="77777777" w:rsidR="00526315" w:rsidRPr="00D30847" w:rsidRDefault="00526315" w:rsidP="00AD2AD5">
            <w:pPr>
              <w:numPr>
                <w:ilvl w:val="0"/>
                <w:numId w:val="29"/>
              </w:numPr>
              <w:spacing w:after="0" w:line="240" w:lineRule="auto"/>
              <w:ind w:left="212" w:hanging="180"/>
              <w:jc w:val="both"/>
              <w:rPr>
                <w:lang w:val="en-GB"/>
              </w:rPr>
            </w:pPr>
            <w:r w:rsidRPr="00D30847">
              <w:rPr>
                <w:rFonts w:cs="Calibri"/>
                <w:sz w:val="20"/>
                <w:szCs w:val="20"/>
                <w:lang w:val="en-GB"/>
              </w:rPr>
              <w:t>Insufficient staffing and insufficient training of human resource;</w:t>
            </w:r>
          </w:p>
          <w:p w14:paraId="2F51D9B7" w14:textId="77777777" w:rsidR="000D6082" w:rsidRPr="00D30847" w:rsidRDefault="000D6082" w:rsidP="00AD2AD5">
            <w:pPr>
              <w:numPr>
                <w:ilvl w:val="0"/>
                <w:numId w:val="29"/>
              </w:numPr>
              <w:spacing w:after="0" w:line="240" w:lineRule="auto"/>
              <w:ind w:left="212" w:hanging="180"/>
              <w:jc w:val="both"/>
              <w:rPr>
                <w:rFonts w:cs="Calibri"/>
                <w:color w:val="FF0000"/>
                <w:sz w:val="20"/>
                <w:szCs w:val="20"/>
                <w:lang w:val="en-GB"/>
              </w:rPr>
            </w:pPr>
            <w:r w:rsidRPr="00D30847">
              <w:rPr>
                <w:rFonts w:cs="Calibri"/>
                <w:sz w:val="20"/>
                <w:szCs w:val="20"/>
                <w:lang w:val="en-GB"/>
              </w:rPr>
              <w:t>Employee turnover involved in the implementation and use of IFMIS;</w:t>
            </w:r>
          </w:p>
          <w:p w14:paraId="5E776CB3" w14:textId="475A929A" w:rsidR="00526315" w:rsidRPr="00D30847" w:rsidRDefault="007127D7" w:rsidP="00AD2AD5">
            <w:pPr>
              <w:numPr>
                <w:ilvl w:val="0"/>
                <w:numId w:val="29"/>
              </w:numPr>
              <w:spacing w:after="0" w:line="240" w:lineRule="auto"/>
              <w:ind w:left="212" w:hanging="180"/>
              <w:jc w:val="both"/>
              <w:rPr>
                <w:rFonts w:cs="Calibri"/>
                <w:color w:val="FF0000"/>
                <w:sz w:val="20"/>
                <w:szCs w:val="20"/>
                <w:lang w:val="en-GB"/>
              </w:rPr>
            </w:pPr>
            <w:r w:rsidRPr="00D30847">
              <w:rPr>
                <w:rFonts w:cs="Calibri"/>
                <w:sz w:val="20"/>
                <w:szCs w:val="20"/>
                <w:lang w:val="en-GB"/>
              </w:rPr>
              <w:t>Non-compliance with the deadlines and provisions of the Implementation Agreement by the selected economic operator</w:t>
            </w:r>
          </w:p>
        </w:tc>
      </w:tr>
    </w:tbl>
    <w:p w14:paraId="39801982" w14:textId="4671D280" w:rsidR="005C0E14" w:rsidRDefault="005C0E14" w:rsidP="00165379">
      <w:pPr>
        <w:spacing w:line="240" w:lineRule="auto"/>
        <w:jc w:val="both"/>
        <w:rPr>
          <w:rFonts w:eastAsia="MS PGothic"/>
          <w:b/>
          <w:bCs/>
          <w:iCs/>
          <w:color w:val="4F81BD"/>
          <w:lang w:val="en-GB" w:eastAsia="zh-CN"/>
        </w:rPr>
      </w:pPr>
    </w:p>
    <w:p w14:paraId="17A54B86" w14:textId="01F46517" w:rsidR="00E91268" w:rsidRDefault="00E91268" w:rsidP="00165379">
      <w:pPr>
        <w:spacing w:line="240" w:lineRule="auto"/>
        <w:jc w:val="both"/>
        <w:rPr>
          <w:rFonts w:eastAsia="MS PGothic"/>
          <w:b/>
          <w:bCs/>
          <w:iCs/>
          <w:color w:val="4F81BD"/>
          <w:lang w:val="en-GB" w:eastAsia="zh-CN"/>
        </w:rPr>
      </w:pPr>
    </w:p>
    <w:p w14:paraId="17D6C946" w14:textId="77777777" w:rsidR="00E91268" w:rsidRPr="00D30847" w:rsidRDefault="00E91268" w:rsidP="00165379">
      <w:pPr>
        <w:spacing w:line="240" w:lineRule="auto"/>
        <w:jc w:val="both"/>
        <w:rPr>
          <w:rFonts w:eastAsia="MS PGothic"/>
          <w:b/>
          <w:bCs/>
          <w:iCs/>
          <w:color w:val="4F81BD"/>
          <w:lang w:val="en-GB" w:eastAsia="zh-CN"/>
        </w:rPr>
      </w:pPr>
    </w:p>
    <w:p w14:paraId="73F84911" w14:textId="31D0FA15" w:rsidR="00165379" w:rsidRPr="00D30847" w:rsidRDefault="00165379" w:rsidP="00165379">
      <w:pPr>
        <w:spacing w:line="240" w:lineRule="auto"/>
        <w:jc w:val="both"/>
        <w:rPr>
          <w:rFonts w:eastAsia="MS PGothic"/>
          <w:b/>
          <w:bCs/>
          <w:iCs/>
          <w:color w:val="0070C0"/>
          <w:sz w:val="24"/>
          <w:szCs w:val="24"/>
          <w:lang w:val="en-GB" w:eastAsia="zh-CN"/>
        </w:rPr>
      </w:pPr>
      <w:r w:rsidRPr="00D30847">
        <w:rPr>
          <w:rFonts w:eastAsia="MS PGothic"/>
          <w:b/>
          <w:bCs/>
          <w:iCs/>
          <w:color w:val="0070C0"/>
          <w:sz w:val="24"/>
          <w:szCs w:val="24"/>
          <w:lang w:val="en-GB" w:eastAsia="zh-CN"/>
        </w:rPr>
        <w:lastRenderedPageBreak/>
        <w:t>Measure 3: Capacity strengthening training and change management to support OBL reforms and IFMIS operations</w:t>
      </w:r>
    </w:p>
    <w:p w14:paraId="17181128" w14:textId="77777777" w:rsidR="00165379" w:rsidRPr="00D30847" w:rsidRDefault="00165379" w:rsidP="00E84CD0">
      <w:pPr>
        <w:spacing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1156E84D" w14:textId="77777777" w:rsidR="00165379" w:rsidRPr="00D30847" w:rsidRDefault="00165379" w:rsidP="00E84CD0">
      <w:pPr>
        <w:spacing w:line="240" w:lineRule="auto"/>
        <w:jc w:val="both"/>
        <w:rPr>
          <w:rFonts w:eastAsia="MS PGothic" w:cs="Calibri"/>
          <w:lang w:val="en-GB" w:eastAsia="zh-CN"/>
        </w:rPr>
      </w:pPr>
      <w:r w:rsidRPr="00D30847">
        <w:rPr>
          <w:rFonts w:eastAsia="MS PGothic" w:cs="Calibri"/>
          <w:lang w:val="en-GB" w:eastAsia="zh-CN"/>
        </w:rPr>
        <w:t xml:space="preserve">This measure will support to establishment of new institutional structures needed for the implementation of the IFMIS and create a supportive enabling environment to ensure the success of the new model.  </w:t>
      </w:r>
    </w:p>
    <w:p w14:paraId="4E1A915D" w14:textId="77777777" w:rsidR="00165379" w:rsidRPr="00D30847" w:rsidRDefault="00165379" w:rsidP="00165379">
      <w:pPr>
        <w:spacing w:before="100" w:beforeAutospacing="1" w:after="100" w:afterAutospacing="1" w:line="240" w:lineRule="auto"/>
        <w:jc w:val="both"/>
        <w:rPr>
          <w:rFonts w:ascii="Times New Roman" w:eastAsia="Times New Roman" w:hAnsi="Times New Roman"/>
          <w:color w:val="0070C0"/>
          <w:sz w:val="24"/>
          <w:szCs w:val="24"/>
          <w:lang w:val="en-GB" w:eastAsia="mk-MK"/>
        </w:rPr>
      </w:pPr>
      <w:r w:rsidRPr="00D30847">
        <w:rPr>
          <w:rFonts w:eastAsia="MS PGothic"/>
          <w:b/>
          <w:bCs/>
          <w:iCs/>
          <w:color w:val="0070C0"/>
          <w:lang w:val="en-GB" w:eastAsia="zh-CN"/>
        </w:rPr>
        <w:t>Activity 1: Transition from existing MoF Systems to IFMIS</w:t>
      </w:r>
    </w:p>
    <w:p w14:paraId="466D7CA8" w14:textId="77777777" w:rsidR="000D6082" w:rsidRPr="00D30847" w:rsidRDefault="000D6082" w:rsidP="00165379">
      <w:pPr>
        <w:spacing w:before="100" w:beforeAutospacing="1" w:after="100" w:afterAutospacing="1" w:line="240" w:lineRule="auto"/>
        <w:jc w:val="both"/>
        <w:rPr>
          <w:rFonts w:eastAsia="MS PGothic" w:cs="Calibri"/>
          <w:lang w:val="en-GB" w:eastAsia="zh-CN"/>
        </w:rPr>
      </w:pPr>
      <w:r w:rsidRPr="00D30847">
        <w:rPr>
          <w:rFonts w:eastAsia="MS PGothic" w:cs="Calibri"/>
          <w:lang w:val="en-GB" w:eastAsia="zh-CN"/>
        </w:rPr>
        <w:t xml:space="preserve">This activity aims to ensure a stable transition and integration of the PFM functionalities into IFMIS, through the systematic migration of data, processes, and functionalities from the current MoF systems to the IFMIS. </w:t>
      </w:r>
    </w:p>
    <w:p w14:paraId="0AB5FFC9" w14:textId="40137B49" w:rsidR="00165379" w:rsidRPr="00D30847" w:rsidRDefault="00165379" w:rsidP="00165379">
      <w:pPr>
        <w:spacing w:before="100" w:beforeAutospacing="1" w:after="100" w:afterAutospacing="1" w:line="240" w:lineRule="auto"/>
        <w:jc w:val="both"/>
        <w:rPr>
          <w:rFonts w:eastAsia="MS PGothic"/>
          <w:b/>
          <w:bCs/>
          <w:iCs/>
          <w:color w:val="0070C0"/>
          <w:lang w:val="en-GB" w:eastAsia="zh-CN"/>
        </w:rPr>
      </w:pPr>
      <w:r w:rsidRPr="00D30847">
        <w:rPr>
          <w:rFonts w:eastAsia="MS PGothic"/>
          <w:b/>
          <w:bCs/>
          <w:iCs/>
          <w:color w:val="0070C0"/>
          <w:lang w:val="en-GB" w:eastAsia="zh-CN"/>
        </w:rPr>
        <w:t>Activity 2: Training of IFMIS users from central and local budget entities</w:t>
      </w:r>
    </w:p>
    <w:p w14:paraId="25124365" w14:textId="716621B0" w:rsidR="000D6082" w:rsidRPr="00D30847" w:rsidRDefault="000D6082" w:rsidP="000D6082">
      <w:pPr>
        <w:spacing w:before="100" w:beforeAutospacing="1" w:after="100" w:afterAutospacing="1" w:line="240" w:lineRule="auto"/>
        <w:jc w:val="both"/>
        <w:rPr>
          <w:rFonts w:ascii="Times New Roman" w:eastAsia="Times New Roman" w:hAnsi="Times New Roman"/>
          <w:sz w:val="24"/>
          <w:szCs w:val="24"/>
          <w:lang w:val="en-GB" w:eastAsia="mk-MK"/>
        </w:rPr>
      </w:pPr>
      <w:r w:rsidRPr="00D30847">
        <w:rPr>
          <w:rFonts w:eastAsia="MS PGothic" w:cs="Calibri"/>
          <w:lang w:val="en-GB" w:eastAsia="zh-CN"/>
        </w:rPr>
        <w:t>This activity focuses on providing comprehensive training to IFMIS users from both central and local budget entities conducted by the Public Finance Academy. The aim of the training is for IFMIS users to acquire the necessary skills and knowledge for effective and efficient operation with IFMIS.</w:t>
      </w:r>
    </w:p>
    <w:p w14:paraId="5D724A41" w14:textId="48B04AEA" w:rsidR="00165379" w:rsidRPr="00D30847" w:rsidRDefault="00165379" w:rsidP="00165379">
      <w:pPr>
        <w:spacing w:before="100" w:beforeAutospacing="1" w:after="100" w:afterAutospacing="1" w:line="240" w:lineRule="auto"/>
        <w:jc w:val="both"/>
        <w:rPr>
          <w:rFonts w:ascii="Times New Roman" w:eastAsia="Times New Roman" w:hAnsi="Times New Roman"/>
          <w:color w:val="0070C0"/>
          <w:sz w:val="24"/>
          <w:szCs w:val="24"/>
          <w:lang w:val="en-GB" w:eastAsia="mk-MK"/>
        </w:rPr>
      </w:pPr>
      <w:r w:rsidRPr="00D30847">
        <w:rPr>
          <w:rFonts w:eastAsia="MS PGothic"/>
          <w:b/>
          <w:bCs/>
          <w:iCs/>
          <w:color w:val="0070C0"/>
          <w:lang w:val="en-GB" w:eastAsia="zh-CN"/>
        </w:rPr>
        <w:t xml:space="preserve">Activity 3: Development of a business continuity plan and disaster recovery skills </w:t>
      </w:r>
    </w:p>
    <w:p w14:paraId="06C7F93C" w14:textId="685B56DE" w:rsidR="000D6082" w:rsidRPr="00D30847" w:rsidRDefault="000D6082" w:rsidP="000D6082">
      <w:pPr>
        <w:spacing w:before="100" w:beforeAutospacing="1" w:after="100" w:afterAutospacing="1" w:line="240" w:lineRule="auto"/>
        <w:jc w:val="both"/>
        <w:rPr>
          <w:rFonts w:ascii="Times New Roman" w:eastAsia="Times New Roman" w:hAnsi="Times New Roman"/>
          <w:sz w:val="24"/>
          <w:szCs w:val="24"/>
          <w:lang w:val="en-GB" w:eastAsia="mk-MK"/>
        </w:rPr>
      </w:pPr>
      <w:r w:rsidRPr="00D30847">
        <w:rPr>
          <w:rFonts w:eastAsia="MS PGothic" w:cs="Calibri"/>
          <w:lang w:val="en-GB" w:eastAsia="zh-CN"/>
        </w:rPr>
        <w:t>This activity implies establishing a comprehensive business continuity plan for the MoF MDC, including the development of strategies and procedures to ensure continuous operations in case of unforeseen events. Additionally, the activity involves equipping staff with the skills and resources needed to execute effective disaster recovery measures and safeguard critical financial data and operations.</w:t>
      </w:r>
    </w:p>
    <w:p w14:paraId="4379F00A" w14:textId="77777777" w:rsidR="008D1B70" w:rsidRPr="00D30847" w:rsidRDefault="008D1B70" w:rsidP="00E84CD0">
      <w:pPr>
        <w:keepNext/>
        <w:keepLines/>
        <w:spacing w:after="12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Implementation</w:t>
      </w:r>
    </w:p>
    <w:tbl>
      <w:tblPr>
        <w:tblW w:w="0" w:type="auto"/>
        <w:tblBorders>
          <w:insideH w:val="single" w:sz="4" w:space="0" w:color="FFFFFF"/>
        </w:tblBorders>
        <w:tblLayout w:type="fixed"/>
        <w:tblLook w:val="0080" w:firstRow="0" w:lastRow="0" w:firstColumn="1" w:lastColumn="0" w:noHBand="0" w:noVBand="0"/>
      </w:tblPr>
      <w:tblGrid>
        <w:gridCol w:w="3119"/>
        <w:gridCol w:w="5645"/>
      </w:tblGrid>
      <w:tr w:rsidR="00526315" w:rsidRPr="00D30847" w14:paraId="3786F3AB" w14:textId="77777777" w:rsidTr="000147DA">
        <w:tc>
          <w:tcPr>
            <w:tcW w:w="3119" w:type="dxa"/>
            <w:tcBorders>
              <w:top w:val="nil"/>
              <w:bottom w:val="single" w:sz="4" w:space="0" w:color="FFFFFF"/>
            </w:tcBorders>
            <w:shd w:val="clear" w:color="auto" w:fill="002060"/>
          </w:tcPr>
          <w:p w14:paraId="37FA7BE9" w14:textId="77777777" w:rsidR="00526315" w:rsidRPr="00D30847" w:rsidRDefault="00526315" w:rsidP="000147DA">
            <w:pPr>
              <w:tabs>
                <w:tab w:val="left" w:pos="1526"/>
              </w:tabs>
              <w:spacing w:after="0" w:line="240" w:lineRule="auto"/>
              <w:jc w:val="both"/>
              <w:rPr>
                <w:rFonts w:cs="Calibri"/>
                <w:color w:val="FFFFFF"/>
                <w:sz w:val="20"/>
                <w:szCs w:val="20"/>
                <w:lang w:val="en-GB"/>
              </w:rPr>
            </w:pPr>
            <w:r w:rsidRPr="00D30847">
              <w:rPr>
                <w:rFonts w:cs="Calibri"/>
                <w:b/>
                <w:color w:val="FFFFFF"/>
                <w:sz w:val="20"/>
                <w:szCs w:val="20"/>
                <w:lang w:val="en-GB"/>
              </w:rPr>
              <w:t>Completed in year:</w:t>
            </w:r>
            <w:r w:rsidRPr="00D30847">
              <w:rPr>
                <w:rFonts w:cs="Calibri"/>
                <w:color w:val="FFFFFF"/>
                <w:sz w:val="20"/>
                <w:szCs w:val="20"/>
                <w:lang w:val="en-GB"/>
              </w:rPr>
              <w:tab/>
            </w:r>
          </w:p>
        </w:tc>
        <w:tc>
          <w:tcPr>
            <w:tcW w:w="5645" w:type="dxa"/>
            <w:tcBorders>
              <w:top w:val="nil"/>
              <w:bottom w:val="single" w:sz="4" w:space="0" w:color="FFFFFF"/>
            </w:tcBorders>
            <w:shd w:val="clear" w:color="auto" w:fill="D9E2F3"/>
          </w:tcPr>
          <w:p w14:paraId="1F70700A" w14:textId="78B6E786" w:rsidR="00526315" w:rsidRPr="00D30847" w:rsidRDefault="00526315" w:rsidP="000147DA">
            <w:pPr>
              <w:tabs>
                <w:tab w:val="left" w:pos="1526"/>
              </w:tabs>
              <w:spacing w:after="60" w:line="240" w:lineRule="auto"/>
              <w:jc w:val="both"/>
              <w:rPr>
                <w:rFonts w:cs="Calibri"/>
                <w:color w:val="000000"/>
                <w:sz w:val="20"/>
                <w:szCs w:val="20"/>
                <w:lang w:val="en-GB"/>
              </w:rPr>
            </w:pPr>
            <w:r w:rsidRPr="00D30847">
              <w:rPr>
                <w:rFonts w:cs="Calibri"/>
                <w:sz w:val="20"/>
                <w:szCs w:val="20"/>
                <w:lang w:val="en-GB"/>
              </w:rPr>
              <w:t>202</w:t>
            </w:r>
            <w:r w:rsidR="007127D7" w:rsidRPr="00D30847">
              <w:rPr>
                <w:rFonts w:cs="Calibri"/>
                <w:sz w:val="20"/>
                <w:szCs w:val="20"/>
                <w:lang w:val="en-GB"/>
              </w:rPr>
              <w:t>8</w:t>
            </w:r>
          </w:p>
        </w:tc>
      </w:tr>
      <w:tr w:rsidR="00526315" w:rsidRPr="00D30847" w14:paraId="2632C7F6" w14:textId="77777777" w:rsidTr="000147DA">
        <w:tc>
          <w:tcPr>
            <w:tcW w:w="3119" w:type="dxa"/>
            <w:tcBorders>
              <w:top w:val="single" w:sz="4" w:space="0" w:color="FFFFFF"/>
              <w:bottom w:val="single" w:sz="4" w:space="0" w:color="FFFFFF"/>
            </w:tcBorders>
            <w:shd w:val="clear" w:color="auto" w:fill="002060"/>
          </w:tcPr>
          <w:p w14:paraId="4F3EBE43" w14:textId="77777777" w:rsidR="00526315" w:rsidRPr="00D30847" w:rsidRDefault="00526315" w:rsidP="000147DA">
            <w:pPr>
              <w:tabs>
                <w:tab w:val="left" w:pos="4219"/>
              </w:tabs>
              <w:spacing w:after="0" w:line="240" w:lineRule="auto"/>
              <w:jc w:val="both"/>
              <w:rPr>
                <w:rFonts w:cs="Calibri"/>
                <w:color w:val="FFFFFF"/>
                <w:sz w:val="20"/>
                <w:szCs w:val="20"/>
                <w:lang w:val="en-GB"/>
              </w:rPr>
            </w:pPr>
            <w:r w:rsidRPr="00D30847">
              <w:rPr>
                <w:rFonts w:cs="Calibri"/>
                <w:b/>
                <w:color w:val="FFFFFF"/>
                <w:sz w:val="20"/>
                <w:szCs w:val="20"/>
                <w:lang w:val="en-GB"/>
              </w:rPr>
              <w:t>Deliverables:</w:t>
            </w:r>
          </w:p>
        </w:tc>
        <w:tc>
          <w:tcPr>
            <w:tcW w:w="5645" w:type="dxa"/>
            <w:tcBorders>
              <w:top w:val="single" w:sz="4" w:space="0" w:color="FFFFFF"/>
              <w:bottom w:val="single" w:sz="4" w:space="0" w:color="FFFFFF"/>
            </w:tcBorders>
            <w:shd w:val="clear" w:color="auto" w:fill="D9E2F3"/>
          </w:tcPr>
          <w:p w14:paraId="3515F3B2" w14:textId="38ED69A1" w:rsidR="00526315" w:rsidRPr="00D30847" w:rsidRDefault="00526315" w:rsidP="00AD2AD5">
            <w:pPr>
              <w:pStyle w:val="ListParagraph"/>
              <w:numPr>
                <w:ilvl w:val="0"/>
                <w:numId w:val="29"/>
              </w:numPr>
              <w:tabs>
                <w:tab w:val="left" w:pos="212"/>
                <w:tab w:val="left" w:pos="283"/>
              </w:tabs>
              <w:spacing w:after="60" w:line="240" w:lineRule="auto"/>
              <w:ind w:left="212" w:hanging="180"/>
              <w:rPr>
                <w:rFonts w:cs="Calibri"/>
                <w:color w:val="000000"/>
                <w:sz w:val="20"/>
                <w:szCs w:val="20"/>
              </w:rPr>
            </w:pPr>
            <w:r w:rsidRPr="00D30847">
              <w:rPr>
                <w:rFonts w:cs="Calibri"/>
                <w:sz w:val="20"/>
                <w:szCs w:val="20"/>
              </w:rPr>
              <w:t>Change management program developed and training of IFMIS users completed.</w:t>
            </w:r>
          </w:p>
        </w:tc>
      </w:tr>
      <w:tr w:rsidR="00526315" w:rsidRPr="00D30847" w14:paraId="3EFBD81E" w14:textId="77777777" w:rsidTr="000147DA">
        <w:tc>
          <w:tcPr>
            <w:tcW w:w="3119" w:type="dxa"/>
            <w:tcBorders>
              <w:top w:val="single" w:sz="4" w:space="0" w:color="FFFFFF"/>
              <w:bottom w:val="single" w:sz="4" w:space="0" w:color="FFFFFF"/>
            </w:tcBorders>
            <w:shd w:val="clear" w:color="auto" w:fill="002060"/>
          </w:tcPr>
          <w:p w14:paraId="052DE91C" w14:textId="77777777" w:rsidR="00526315" w:rsidRPr="00D30847" w:rsidRDefault="00526315" w:rsidP="000147DA">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Cost implications:</w:t>
            </w:r>
          </w:p>
        </w:tc>
        <w:tc>
          <w:tcPr>
            <w:tcW w:w="5645" w:type="dxa"/>
            <w:tcBorders>
              <w:top w:val="single" w:sz="4" w:space="0" w:color="FFFFFF"/>
              <w:bottom w:val="single" w:sz="4" w:space="0" w:color="FFFFFF"/>
            </w:tcBorders>
            <w:shd w:val="clear" w:color="auto" w:fill="D9E2F3"/>
          </w:tcPr>
          <w:p w14:paraId="4D548840" w14:textId="3B569B21" w:rsidR="00526315" w:rsidRPr="00D30847" w:rsidRDefault="005E137F" w:rsidP="000147DA">
            <w:pPr>
              <w:tabs>
                <w:tab w:val="left" w:pos="1526"/>
              </w:tabs>
              <w:spacing w:after="60" w:line="240" w:lineRule="auto"/>
              <w:jc w:val="both"/>
              <w:rPr>
                <w:rFonts w:cs="Calibri"/>
                <w:color w:val="FF0000"/>
                <w:sz w:val="20"/>
                <w:szCs w:val="20"/>
                <w:lang w:val="en-GB"/>
              </w:rPr>
            </w:pPr>
            <w:r w:rsidRPr="00D30847">
              <w:rPr>
                <w:rFonts w:cs="Calibri"/>
                <w:sz w:val="20"/>
                <w:szCs w:val="20"/>
                <w:lang w:val="en-GB"/>
              </w:rPr>
              <w:t xml:space="preserve">- </w:t>
            </w:r>
            <w:r w:rsidR="00526315" w:rsidRPr="00D30847">
              <w:rPr>
                <w:rFonts w:cs="Calibri"/>
                <w:sz w:val="20"/>
                <w:szCs w:val="20"/>
                <w:lang w:val="en-GB"/>
              </w:rPr>
              <w:t>The ongoing IFMIS procurement process follows established procedures, making it impractical to provide an exact cost implication at this stage.</w:t>
            </w:r>
          </w:p>
        </w:tc>
      </w:tr>
      <w:tr w:rsidR="00526315" w:rsidRPr="00D30847" w14:paraId="29C75E6A" w14:textId="77777777" w:rsidTr="000147DA">
        <w:tc>
          <w:tcPr>
            <w:tcW w:w="3119" w:type="dxa"/>
            <w:tcBorders>
              <w:top w:val="single" w:sz="4" w:space="0" w:color="FFFFFF"/>
              <w:bottom w:val="single" w:sz="4" w:space="0" w:color="FFFFFF"/>
            </w:tcBorders>
            <w:shd w:val="clear" w:color="auto" w:fill="002060"/>
          </w:tcPr>
          <w:p w14:paraId="5E9EBAB5" w14:textId="77777777" w:rsidR="00526315" w:rsidRPr="00D30847" w:rsidRDefault="00526315" w:rsidP="000147DA">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 xml:space="preserve">Responsible entity: </w:t>
            </w:r>
          </w:p>
        </w:tc>
        <w:tc>
          <w:tcPr>
            <w:tcW w:w="5645" w:type="dxa"/>
            <w:tcBorders>
              <w:top w:val="single" w:sz="4" w:space="0" w:color="FFFFFF"/>
              <w:bottom w:val="single" w:sz="4" w:space="0" w:color="FFFFFF"/>
            </w:tcBorders>
            <w:shd w:val="clear" w:color="auto" w:fill="D9E2F3"/>
          </w:tcPr>
          <w:p w14:paraId="0A6D9A5B" w14:textId="1BDCE7C2" w:rsidR="00526315" w:rsidRPr="00D30847" w:rsidRDefault="00D3676F" w:rsidP="000147DA">
            <w:pPr>
              <w:spacing w:after="60" w:line="240" w:lineRule="auto"/>
              <w:jc w:val="both"/>
              <w:rPr>
                <w:rFonts w:cs="Calibri"/>
                <w:sz w:val="20"/>
                <w:szCs w:val="20"/>
                <w:lang w:val="en-GB"/>
              </w:rPr>
            </w:pPr>
            <w:r w:rsidRPr="00D30847">
              <w:rPr>
                <w:rFonts w:cs="Calibri"/>
                <w:sz w:val="20"/>
                <w:szCs w:val="20"/>
                <w:lang w:val="en-GB"/>
              </w:rPr>
              <w:t xml:space="preserve">MoF </w:t>
            </w:r>
          </w:p>
        </w:tc>
      </w:tr>
      <w:tr w:rsidR="00526315" w:rsidRPr="00D30847" w14:paraId="0EE10885" w14:textId="77777777" w:rsidTr="000147DA">
        <w:trPr>
          <w:trHeight w:val="132"/>
        </w:trPr>
        <w:tc>
          <w:tcPr>
            <w:tcW w:w="3119" w:type="dxa"/>
            <w:tcBorders>
              <w:top w:val="single" w:sz="4" w:space="0" w:color="FFFFFF"/>
              <w:bottom w:val="nil"/>
            </w:tcBorders>
            <w:shd w:val="clear" w:color="auto" w:fill="002060"/>
          </w:tcPr>
          <w:p w14:paraId="607DDBAD" w14:textId="77777777" w:rsidR="00526315" w:rsidRPr="00D30847" w:rsidRDefault="00526315" w:rsidP="000147DA">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Risk:</w:t>
            </w:r>
          </w:p>
        </w:tc>
        <w:tc>
          <w:tcPr>
            <w:tcW w:w="5645" w:type="dxa"/>
            <w:tcBorders>
              <w:top w:val="single" w:sz="4" w:space="0" w:color="FFFFFF"/>
              <w:bottom w:val="nil"/>
            </w:tcBorders>
            <w:shd w:val="clear" w:color="auto" w:fill="D9E2F3"/>
          </w:tcPr>
          <w:p w14:paraId="57616D83" w14:textId="77777777" w:rsidR="00526315" w:rsidRPr="00D30847" w:rsidRDefault="00526315" w:rsidP="00AD2AD5">
            <w:pPr>
              <w:numPr>
                <w:ilvl w:val="0"/>
                <w:numId w:val="29"/>
              </w:numPr>
              <w:spacing w:after="0" w:line="240" w:lineRule="auto"/>
              <w:ind w:left="122" w:hanging="122"/>
              <w:jc w:val="both"/>
              <w:rPr>
                <w:lang w:val="en-GB"/>
              </w:rPr>
            </w:pPr>
            <w:r w:rsidRPr="00D30847">
              <w:rPr>
                <w:rFonts w:cs="Calibri"/>
                <w:sz w:val="20"/>
                <w:szCs w:val="20"/>
                <w:lang w:val="en-GB"/>
              </w:rPr>
              <w:t>Insufficient staffing and insufficient training of human resource;</w:t>
            </w:r>
          </w:p>
          <w:p w14:paraId="4FB3297C" w14:textId="0F302675" w:rsidR="00526315" w:rsidRPr="00D30847" w:rsidRDefault="000D6082" w:rsidP="00AD2AD5">
            <w:pPr>
              <w:numPr>
                <w:ilvl w:val="0"/>
                <w:numId w:val="29"/>
              </w:numPr>
              <w:spacing w:after="0" w:line="240" w:lineRule="auto"/>
              <w:ind w:left="122" w:hanging="122"/>
              <w:jc w:val="both"/>
              <w:rPr>
                <w:rFonts w:cs="Calibri"/>
                <w:sz w:val="20"/>
                <w:szCs w:val="20"/>
                <w:lang w:val="en-GB"/>
              </w:rPr>
            </w:pPr>
            <w:r w:rsidRPr="00D30847">
              <w:rPr>
                <w:rFonts w:cs="Calibri"/>
                <w:sz w:val="20"/>
                <w:szCs w:val="20"/>
                <w:lang w:val="en-GB"/>
              </w:rPr>
              <w:t>Employee turnover involved in the implementation and use of IFMIS</w:t>
            </w:r>
            <w:r w:rsidR="00526315" w:rsidRPr="00D30847">
              <w:rPr>
                <w:rFonts w:cs="Calibri"/>
                <w:sz w:val="20"/>
                <w:szCs w:val="20"/>
                <w:lang w:val="en-GB"/>
              </w:rPr>
              <w:t>;</w:t>
            </w:r>
          </w:p>
          <w:p w14:paraId="274B4D4B" w14:textId="04B3BC7F" w:rsidR="00526315" w:rsidRPr="00D30847" w:rsidRDefault="00684C09" w:rsidP="00AD2AD5">
            <w:pPr>
              <w:numPr>
                <w:ilvl w:val="0"/>
                <w:numId w:val="29"/>
              </w:numPr>
              <w:spacing w:after="0" w:line="240" w:lineRule="auto"/>
              <w:ind w:left="122" w:hanging="122"/>
              <w:jc w:val="both"/>
              <w:rPr>
                <w:rFonts w:cs="Calibri"/>
                <w:color w:val="FF0000"/>
                <w:sz w:val="20"/>
                <w:szCs w:val="20"/>
                <w:lang w:val="en-GB"/>
              </w:rPr>
            </w:pPr>
            <w:r w:rsidRPr="00D30847">
              <w:rPr>
                <w:rFonts w:cs="Calibri"/>
                <w:sz w:val="20"/>
                <w:szCs w:val="20"/>
                <w:lang w:val="en-GB"/>
              </w:rPr>
              <w:t>Non-compliance with the deadlines and provisions of the Implementation Agreement by the selected economic operator</w:t>
            </w:r>
          </w:p>
        </w:tc>
      </w:tr>
    </w:tbl>
    <w:p w14:paraId="4C53892F" w14:textId="2435D02E" w:rsidR="00E91268" w:rsidRDefault="00E91268" w:rsidP="00BB100C">
      <w:pPr>
        <w:pStyle w:val="Heading1"/>
        <w:rPr>
          <w:rFonts w:ascii="Calibri" w:hAnsi="Calibri" w:cs="Calibri"/>
          <w:color w:val="0070C0"/>
          <w:sz w:val="28"/>
          <w:szCs w:val="28"/>
          <w:lang w:val="en-GB"/>
        </w:rPr>
      </w:pPr>
    </w:p>
    <w:p w14:paraId="3F8027E3" w14:textId="77777777" w:rsidR="00E91268" w:rsidRPr="00E91268" w:rsidRDefault="00E91268" w:rsidP="00E91268">
      <w:pPr>
        <w:rPr>
          <w:lang w:val="en-GB"/>
        </w:rPr>
      </w:pPr>
    </w:p>
    <w:p w14:paraId="525C8814" w14:textId="77777777" w:rsidR="00E91268" w:rsidRDefault="00E91268" w:rsidP="00BB100C">
      <w:pPr>
        <w:pStyle w:val="Heading1"/>
        <w:rPr>
          <w:rFonts w:ascii="Calibri" w:hAnsi="Calibri" w:cs="Calibri"/>
          <w:color w:val="0070C0"/>
          <w:sz w:val="28"/>
          <w:szCs w:val="28"/>
          <w:lang w:val="en-GB"/>
        </w:rPr>
      </w:pPr>
    </w:p>
    <w:p w14:paraId="4BB61E32" w14:textId="1C0DA415" w:rsidR="008D1B70" w:rsidRPr="00D30847" w:rsidRDefault="008D1B70" w:rsidP="00BB100C">
      <w:pPr>
        <w:pStyle w:val="Heading1"/>
        <w:rPr>
          <w:rFonts w:ascii="Calibri" w:hAnsi="Calibri" w:cs="Calibri"/>
          <w:color w:val="0070C0"/>
          <w:sz w:val="28"/>
          <w:szCs w:val="28"/>
          <w:lang w:val="en-GB"/>
        </w:rPr>
      </w:pPr>
      <w:bookmarkStart w:id="56" w:name="_Toc187841817"/>
      <w:r w:rsidRPr="00D30847">
        <w:rPr>
          <w:rFonts w:ascii="Calibri" w:hAnsi="Calibri" w:cs="Calibri"/>
          <w:color w:val="0070C0"/>
          <w:sz w:val="28"/>
          <w:szCs w:val="28"/>
          <w:lang w:val="en-GB"/>
        </w:rPr>
        <w:t xml:space="preserve">Priority </w:t>
      </w:r>
      <w:r w:rsidR="00BB100C" w:rsidRPr="00D30847">
        <w:rPr>
          <w:rFonts w:ascii="Calibri" w:hAnsi="Calibri" w:cs="Calibri"/>
          <w:color w:val="0070C0"/>
          <w:sz w:val="28"/>
          <w:szCs w:val="28"/>
          <w:lang w:val="en-GB"/>
        </w:rPr>
        <w:t>2</w:t>
      </w:r>
      <w:r w:rsidRPr="00D30847">
        <w:rPr>
          <w:rFonts w:ascii="Calibri" w:hAnsi="Calibri" w:cs="Calibri"/>
          <w:color w:val="0070C0"/>
          <w:sz w:val="28"/>
          <w:szCs w:val="28"/>
          <w:lang w:val="en-GB"/>
        </w:rPr>
        <w:t>: P</w:t>
      </w:r>
      <w:r w:rsidR="00462FE0" w:rsidRPr="00D30847">
        <w:rPr>
          <w:rFonts w:ascii="Calibri" w:hAnsi="Calibri" w:cs="Calibri"/>
          <w:color w:val="0070C0"/>
          <w:sz w:val="28"/>
          <w:szCs w:val="28"/>
          <w:lang w:val="en-GB"/>
        </w:rPr>
        <w:t>ublic Finance</w:t>
      </w:r>
      <w:r w:rsidRPr="00D30847">
        <w:rPr>
          <w:rFonts w:ascii="Calibri" w:hAnsi="Calibri" w:cs="Calibri"/>
          <w:color w:val="0070C0"/>
          <w:sz w:val="28"/>
          <w:szCs w:val="28"/>
          <w:lang w:val="en-GB"/>
        </w:rPr>
        <w:t xml:space="preserve"> Academy</w:t>
      </w:r>
      <w:r w:rsidR="006A55CA" w:rsidRPr="00D30847">
        <w:rPr>
          <w:rFonts w:ascii="Calibri" w:hAnsi="Calibri" w:cs="Calibri"/>
          <w:color w:val="0070C0"/>
          <w:sz w:val="28"/>
          <w:szCs w:val="28"/>
          <w:lang w:val="en-GB"/>
        </w:rPr>
        <w:t xml:space="preserve"> (Learning organisation)</w:t>
      </w:r>
      <w:bookmarkEnd w:id="56"/>
    </w:p>
    <w:p w14:paraId="7E1CCC64" w14:textId="77777777" w:rsidR="008D1B70" w:rsidRPr="00D30847" w:rsidRDefault="008D1B70"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Objective</w:t>
      </w:r>
    </w:p>
    <w:p w14:paraId="600C3A76" w14:textId="77777777" w:rsidR="00C618B1" w:rsidRPr="00D30847" w:rsidRDefault="00C618B1" w:rsidP="00C618B1">
      <w:pPr>
        <w:autoSpaceDE w:val="0"/>
        <w:autoSpaceDN w:val="0"/>
        <w:adjustRightInd w:val="0"/>
        <w:spacing w:after="120" w:line="240" w:lineRule="auto"/>
        <w:contextualSpacing/>
        <w:jc w:val="both"/>
        <w:rPr>
          <w:rFonts w:asciiTheme="minorHAnsi" w:eastAsia="Times New Roman" w:hAnsiTheme="minorHAnsi" w:cstheme="minorHAnsi"/>
          <w:color w:val="202124"/>
          <w:lang w:val="en-GB" w:eastAsia="x-none"/>
        </w:rPr>
      </w:pPr>
      <w:r w:rsidRPr="00D30847">
        <w:rPr>
          <w:rFonts w:asciiTheme="minorHAnsi" w:eastAsia="Times New Roman" w:hAnsiTheme="minorHAnsi" w:cstheme="minorHAnsi"/>
          <w:color w:val="202124"/>
          <w:lang w:val="en-GB" w:eastAsia="x-none"/>
        </w:rPr>
        <w:t>To provide continuous education for public administration in the field of public finance management and to build a modern and competent administration capable of delivering high-quality and timely services to citizens and businesses.</w:t>
      </w:r>
    </w:p>
    <w:p w14:paraId="15FA7605" w14:textId="77777777" w:rsidR="008D1B70" w:rsidRPr="00D30847" w:rsidRDefault="008D1B70" w:rsidP="00E84CD0">
      <w:pPr>
        <w:spacing w:before="80" w:after="80" w:line="240" w:lineRule="auto"/>
        <w:jc w:val="both"/>
        <w:rPr>
          <w:rFonts w:eastAsia="Times New Roman" w:cs="Calibri"/>
          <w:color w:val="202124"/>
          <w:lang w:val="en-GB"/>
        </w:rPr>
      </w:pPr>
      <w:r w:rsidRPr="00D30847">
        <w:rPr>
          <w:rFonts w:eastAsia="Times New Roman" w:cs="Calibri"/>
          <w:color w:val="202124"/>
          <w:lang w:val="en-GB"/>
        </w:rPr>
        <w:t>Objective of this priority will be achieved through the following measures and activities:</w:t>
      </w:r>
    </w:p>
    <w:tbl>
      <w:tblPr>
        <w:tblW w:w="8491" w:type="dxa"/>
        <w:tblLook w:val="01E0" w:firstRow="1" w:lastRow="1" w:firstColumn="1" w:lastColumn="1" w:noHBand="0" w:noVBand="0"/>
      </w:tblPr>
      <w:tblGrid>
        <w:gridCol w:w="1714"/>
        <w:gridCol w:w="6777"/>
      </w:tblGrid>
      <w:tr w:rsidR="008D1B70" w:rsidRPr="00D30847" w14:paraId="7EC6B2EF" w14:textId="77777777" w:rsidTr="008A2E35">
        <w:trPr>
          <w:trHeight w:val="488"/>
        </w:trPr>
        <w:tc>
          <w:tcPr>
            <w:tcW w:w="1714" w:type="dxa"/>
            <w:shd w:val="clear" w:color="auto" w:fill="auto"/>
          </w:tcPr>
          <w:p w14:paraId="448E58B6" w14:textId="77777777" w:rsidR="008D1B70" w:rsidRPr="00D30847" w:rsidRDefault="008D1B70" w:rsidP="00E84CD0">
            <w:pPr>
              <w:spacing w:before="120" w:line="240" w:lineRule="auto"/>
              <w:jc w:val="both"/>
              <w:rPr>
                <w:rFonts w:eastAsia="Times New Roman" w:cs="Calibri"/>
                <w:b/>
                <w:color w:val="202124"/>
                <w:lang w:val="en-GB"/>
              </w:rPr>
            </w:pPr>
            <w:r w:rsidRPr="00D30847">
              <w:rPr>
                <w:rFonts w:eastAsia="Times New Roman" w:cs="Calibri"/>
                <w:b/>
                <w:color w:val="202124"/>
                <w:lang w:val="en-GB"/>
              </w:rPr>
              <w:t>Measure 1:</w:t>
            </w:r>
          </w:p>
        </w:tc>
        <w:tc>
          <w:tcPr>
            <w:tcW w:w="6777" w:type="dxa"/>
            <w:shd w:val="clear" w:color="auto" w:fill="auto"/>
          </w:tcPr>
          <w:p w14:paraId="23EE0F1E" w14:textId="21B3CD7B" w:rsidR="008D1B70" w:rsidRPr="00D30847" w:rsidRDefault="00C618B1" w:rsidP="00E84CD0">
            <w:pPr>
              <w:spacing w:before="120" w:line="240" w:lineRule="auto"/>
              <w:jc w:val="both"/>
              <w:rPr>
                <w:rFonts w:eastAsia="Times New Roman" w:cs="Calibri"/>
                <w:b/>
                <w:color w:val="202124"/>
                <w:lang w:val="en-GB"/>
              </w:rPr>
            </w:pPr>
            <w:r w:rsidRPr="00D30847">
              <w:rPr>
                <w:rFonts w:eastAsia="Times New Roman" w:cstheme="minorHAnsi"/>
                <w:b/>
                <w:color w:val="202124"/>
                <w:lang w:val="en-GB" w:eastAsia="x-none"/>
              </w:rPr>
              <w:t xml:space="preserve">Digital presence of the </w:t>
            </w:r>
            <w:r w:rsidR="009231E1" w:rsidRPr="00D30847">
              <w:rPr>
                <w:rFonts w:eastAsia="Times New Roman" w:cstheme="minorHAnsi"/>
                <w:b/>
                <w:color w:val="202124"/>
                <w:lang w:val="en-GB" w:eastAsia="x-none"/>
              </w:rPr>
              <w:t>Public Finance Academy</w:t>
            </w:r>
          </w:p>
        </w:tc>
      </w:tr>
      <w:tr w:rsidR="008D1B70" w:rsidRPr="00D30847" w14:paraId="24590B0C" w14:textId="77777777" w:rsidTr="008A2E35">
        <w:tc>
          <w:tcPr>
            <w:tcW w:w="1714" w:type="dxa"/>
            <w:shd w:val="clear" w:color="auto" w:fill="auto"/>
          </w:tcPr>
          <w:p w14:paraId="27CB6E24" w14:textId="77777777" w:rsidR="008D1B70" w:rsidRPr="00D30847" w:rsidRDefault="008D1B70" w:rsidP="00E84CD0">
            <w:pPr>
              <w:spacing w:after="0" w:line="240" w:lineRule="auto"/>
              <w:jc w:val="both"/>
              <w:rPr>
                <w:rFonts w:eastAsia="Times New Roman" w:cs="Calibri"/>
                <w:color w:val="202124"/>
                <w:lang w:val="en-GB"/>
              </w:rPr>
            </w:pPr>
            <w:r w:rsidRPr="00D30847">
              <w:rPr>
                <w:rFonts w:eastAsia="Times New Roman" w:cs="Calibri"/>
                <w:color w:val="202124"/>
                <w:lang w:val="en-GB"/>
              </w:rPr>
              <w:t>Activity 1:</w:t>
            </w:r>
          </w:p>
        </w:tc>
        <w:tc>
          <w:tcPr>
            <w:tcW w:w="6777" w:type="dxa"/>
            <w:shd w:val="clear" w:color="auto" w:fill="auto"/>
          </w:tcPr>
          <w:p w14:paraId="214A4D32" w14:textId="77777777" w:rsidR="00C618B1" w:rsidRPr="00D30847" w:rsidRDefault="00C618B1" w:rsidP="00C618B1">
            <w:pPr>
              <w:spacing w:after="0" w:line="240" w:lineRule="auto"/>
              <w:rPr>
                <w:rFonts w:asciiTheme="minorHAnsi" w:eastAsiaTheme="minorHAnsi" w:hAnsiTheme="minorHAnsi" w:cstheme="minorBidi"/>
                <w:lang w:val="en-GB" w:eastAsia="mk-MK"/>
              </w:rPr>
            </w:pPr>
            <w:bookmarkStart w:id="57" w:name="_Hlk155258838"/>
            <w:r w:rsidRPr="00D30847">
              <w:rPr>
                <w:rFonts w:asciiTheme="minorHAnsi" w:eastAsiaTheme="minorHAnsi" w:hAnsiTheme="minorHAnsi" w:cstheme="minorBidi"/>
                <w:lang w:val="en-GB" w:eastAsia="mk-MK"/>
              </w:rPr>
              <w:t>Development of an online platform</w:t>
            </w:r>
          </w:p>
          <w:bookmarkEnd w:id="57"/>
          <w:p w14:paraId="424D2389" w14:textId="76D3C102" w:rsidR="008D1B70" w:rsidRPr="00D30847" w:rsidRDefault="008D1B70" w:rsidP="00E84CD0">
            <w:pPr>
              <w:spacing w:after="0" w:line="240" w:lineRule="auto"/>
              <w:jc w:val="both"/>
              <w:rPr>
                <w:rFonts w:eastAsia="Times New Roman" w:cs="Calibri"/>
                <w:color w:val="202124"/>
                <w:lang w:val="en-GB"/>
              </w:rPr>
            </w:pPr>
          </w:p>
        </w:tc>
      </w:tr>
      <w:tr w:rsidR="008D1B70" w:rsidRPr="00D30847" w14:paraId="17A4FF5D" w14:textId="77777777" w:rsidTr="008A2E35">
        <w:tc>
          <w:tcPr>
            <w:tcW w:w="1714" w:type="dxa"/>
            <w:shd w:val="clear" w:color="auto" w:fill="auto"/>
          </w:tcPr>
          <w:p w14:paraId="178F2D27" w14:textId="6A984A13" w:rsidR="00FF03E7" w:rsidRPr="00D30847" w:rsidRDefault="00FF03E7" w:rsidP="00E84CD0">
            <w:pPr>
              <w:spacing w:after="0" w:line="240" w:lineRule="auto"/>
              <w:jc w:val="both"/>
              <w:rPr>
                <w:rFonts w:eastAsia="Times New Roman" w:cs="Calibri"/>
                <w:color w:val="202124"/>
                <w:lang w:val="en-GB"/>
              </w:rPr>
            </w:pPr>
            <w:r w:rsidRPr="00D30847">
              <w:rPr>
                <w:rFonts w:eastAsia="Times New Roman" w:cs="Calibri"/>
                <w:color w:val="202124"/>
                <w:lang w:val="en-GB"/>
              </w:rPr>
              <w:t xml:space="preserve">Activity </w:t>
            </w:r>
            <w:r w:rsidR="000304CE" w:rsidRPr="00D30847">
              <w:rPr>
                <w:rFonts w:eastAsia="Times New Roman" w:cs="Calibri"/>
                <w:color w:val="202124"/>
                <w:lang w:val="en-GB"/>
              </w:rPr>
              <w:t>2</w:t>
            </w:r>
            <w:r w:rsidRPr="00D30847">
              <w:rPr>
                <w:rFonts w:eastAsia="Times New Roman" w:cs="Calibri"/>
                <w:color w:val="202124"/>
                <w:lang w:val="en-GB"/>
              </w:rPr>
              <w:t>:</w:t>
            </w:r>
          </w:p>
        </w:tc>
        <w:tc>
          <w:tcPr>
            <w:tcW w:w="6777" w:type="dxa"/>
            <w:shd w:val="clear" w:color="auto" w:fill="auto"/>
          </w:tcPr>
          <w:p w14:paraId="77BFE444" w14:textId="07B987A4" w:rsidR="00FF03E7" w:rsidRPr="00D30847" w:rsidRDefault="00FF03E7" w:rsidP="00E84CD0">
            <w:pPr>
              <w:spacing w:after="0" w:line="240" w:lineRule="auto"/>
              <w:jc w:val="both"/>
              <w:rPr>
                <w:rFonts w:eastAsia="Times New Roman" w:cs="Calibri"/>
                <w:color w:val="202124"/>
                <w:lang w:val="en-GB"/>
              </w:rPr>
            </w:pPr>
            <w:r w:rsidRPr="00D30847">
              <w:rPr>
                <w:rFonts w:eastAsia="Times New Roman" w:cs="Calibri"/>
                <w:color w:val="202124"/>
                <w:lang w:val="en-GB"/>
              </w:rPr>
              <w:t>Developing</w:t>
            </w:r>
            <w:r w:rsidR="00514D12" w:rsidRPr="00D30847">
              <w:rPr>
                <w:rFonts w:eastAsia="Times New Roman" w:cs="Calibri"/>
                <w:color w:val="202124"/>
                <w:lang w:val="en-GB"/>
              </w:rPr>
              <w:t xml:space="preserve"> </w:t>
            </w:r>
            <w:r w:rsidRPr="00D30847">
              <w:rPr>
                <w:rFonts w:eastAsia="Times New Roman" w:cs="Calibri"/>
                <w:color w:val="202124"/>
                <w:lang w:val="en-GB"/>
              </w:rPr>
              <w:t>evaluation</w:t>
            </w:r>
            <w:r w:rsidR="00514D12" w:rsidRPr="00D30847">
              <w:rPr>
                <w:rFonts w:eastAsia="Times New Roman" w:cs="Calibri"/>
                <w:color w:val="202124"/>
                <w:lang w:val="en-GB"/>
              </w:rPr>
              <w:t xml:space="preserve"> </w:t>
            </w:r>
            <w:r w:rsidRPr="00D30847">
              <w:rPr>
                <w:rFonts w:eastAsia="Times New Roman" w:cs="Calibri"/>
                <w:color w:val="202124"/>
                <w:lang w:val="en-GB"/>
              </w:rPr>
              <w:t>form</w:t>
            </w:r>
            <w:r w:rsidR="00514D12" w:rsidRPr="00D30847">
              <w:rPr>
                <w:rFonts w:eastAsia="Times New Roman" w:cs="Calibri"/>
                <w:color w:val="202124"/>
                <w:lang w:val="en-GB"/>
              </w:rPr>
              <w:t xml:space="preserve"> </w:t>
            </w:r>
            <w:r w:rsidRPr="00D30847">
              <w:rPr>
                <w:rFonts w:eastAsia="Times New Roman" w:cs="Calibri"/>
                <w:color w:val="202124"/>
                <w:lang w:val="en-GB"/>
              </w:rPr>
              <w:t>for</w:t>
            </w:r>
            <w:r w:rsidR="00514D12" w:rsidRPr="00D30847">
              <w:rPr>
                <w:rFonts w:eastAsia="Times New Roman" w:cs="Calibri"/>
                <w:color w:val="202124"/>
                <w:lang w:val="en-GB"/>
              </w:rPr>
              <w:t xml:space="preserve"> </w:t>
            </w:r>
            <w:r w:rsidRPr="00D30847">
              <w:rPr>
                <w:rFonts w:eastAsia="Times New Roman" w:cs="Calibri"/>
                <w:color w:val="202124"/>
                <w:lang w:val="en-GB"/>
              </w:rPr>
              <w:t>participants</w:t>
            </w:r>
          </w:p>
        </w:tc>
      </w:tr>
      <w:tr w:rsidR="00C618B1" w:rsidRPr="00D30847" w14:paraId="24F5BBC2" w14:textId="77777777" w:rsidTr="008A2E35">
        <w:tc>
          <w:tcPr>
            <w:tcW w:w="1714" w:type="dxa"/>
            <w:shd w:val="clear" w:color="auto" w:fill="auto"/>
          </w:tcPr>
          <w:p w14:paraId="47873418" w14:textId="2B71004B" w:rsidR="00C618B1" w:rsidRPr="00D30847" w:rsidRDefault="00C618B1" w:rsidP="00E84CD0">
            <w:pPr>
              <w:spacing w:after="0" w:line="240" w:lineRule="auto"/>
              <w:jc w:val="both"/>
              <w:rPr>
                <w:rFonts w:asciiTheme="minorHAnsi" w:eastAsia="Times New Roman" w:hAnsiTheme="minorHAnsi" w:cstheme="minorHAnsi"/>
                <w:lang w:val="en-GB" w:eastAsia="x-none"/>
              </w:rPr>
            </w:pPr>
            <w:r w:rsidRPr="00D30847">
              <w:rPr>
                <w:rFonts w:asciiTheme="minorHAnsi" w:eastAsia="Times New Roman" w:hAnsiTheme="minorHAnsi" w:cstheme="minorHAnsi"/>
                <w:lang w:val="en-GB" w:eastAsia="x-none"/>
              </w:rPr>
              <w:t>Activity 3:</w:t>
            </w:r>
          </w:p>
        </w:tc>
        <w:tc>
          <w:tcPr>
            <w:tcW w:w="6777" w:type="dxa"/>
            <w:shd w:val="clear" w:color="auto" w:fill="auto"/>
          </w:tcPr>
          <w:p w14:paraId="28E6451A" w14:textId="040BEF82" w:rsidR="00C618B1" w:rsidRPr="00D30847" w:rsidRDefault="00C618B1" w:rsidP="00E32BC1">
            <w:pPr>
              <w:spacing w:after="0" w:line="240" w:lineRule="auto"/>
              <w:rPr>
                <w:rFonts w:asciiTheme="minorHAnsi" w:eastAsiaTheme="minorHAnsi" w:hAnsiTheme="minorHAnsi" w:cstheme="minorBidi"/>
                <w:lang w:val="en-GB"/>
              </w:rPr>
            </w:pPr>
            <w:r w:rsidRPr="00D30847">
              <w:rPr>
                <w:rFonts w:asciiTheme="minorHAnsi" w:eastAsiaTheme="minorHAnsi" w:hAnsiTheme="minorHAnsi" w:cstheme="minorBidi"/>
                <w:lang w:val="en-GB"/>
              </w:rPr>
              <w:t>Organization of online trainings</w:t>
            </w:r>
          </w:p>
        </w:tc>
      </w:tr>
      <w:tr w:rsidR="00C618B1" w:rsidRPr="00D30847" w14:paraId="646EAD19" w14:textId="77777777" w:rsidTr="008A2E35">
        <w:tc>
          <w:tcPr>
            <w:tcW w:w="1714" w:type="dxa"/>
            <w:shd w:val="clear" w:color="auto" w:fill="auto"/>
          </w:tcPr>
          <w:p w14:paraId="5ED62580" w14:textId="7F423ED2" w:rsidR="00C618B1" w:rsidRPr="00D30847" w:rsidRDefault="00C618B1" w:rsidP="00E84CD0">
            <w:pPr>
              <w:spacing w:after="0" w:line="240" w:lineRule="auto"/>
              <w:jc w:val="both"/>
              <w:rPr>
                <w:rFonts w:asciiTheme="minorHAnsi" w:eastAsia="Times New Roman" w:hAnsiTheme="minorHAnsi" w:cstheme="minorHAnsi"/>
                <w:lang w:val="en-GB" w:eastAsia="x-none"/>
              </w:rPr>
            </w:pPr>
            <w:r w:rsidRPr="00D30847">
              <w:rPr>
                <w:rFonts w:asciiTheme="minorHAnsi" w:eastAsia="Times New Roman" w:hAnsiTheme="minorHAnsi" w:cstheme="minorHAnsi"/>
                <w:lang w:val="en-GB" w:eastAsia="x-none"/>
              </w:rPr>
              <w:t>Activity 4:</w:t>
            </w:r>
          </w:p>
        </w:tc>
        <w:tc>
          <w:tcPr>
            <w:tcW w:w="6777" w:type="dxa"/>
            <w:shd w:val="clear" w:color="auto" w:fill="auto"/>
          </w:tcPr>
          <w:p w14:paraId="58698DB8" w14:textId="69C9F6BF" w:rsidR="00C618B1" w:rsidRPr="00D30847" w:rsidRDefault="00C618B1" w:rsidP="00E84CD0">
            <w:pPr>
              <w:spacing w:after="0" w:line="240" w:lineRule="auto"/>
              <w:jc w:val="both"/>
              <w:rPr>
                <w:rFonts w:eastAsia="Times New Roman" w:cs="Calibri"/>
                <w:color w:val="202124"/>
                <w:lang w:val="en-GB"/>
              </w:rPr>
            </w:pPr>
            <w:r w:rsidRPr="00D30847">
              <w:rPr>
                <w:lang w:val="en-GB"/>
              </w:rPr>
              <w:t>Social media presence for increased transparency and education in public finance</w:t>
            </w:r>
          </w:p>
        </w:tc>
      </w:tr>
      <w:tr w:rsidR="008D1B70" w:rsidRPr="00D30847" w14:paraId="1DAACF05" w14:textId="77777777" w:rsidTr="008A2E35">
        <w:tc>
          <w:tcPr>
            <w:tcW w:w="1714" w:type="dxa"/>
            <w:shd w:val="clear" w:color="auto" w:fill="auto"/>
          </w:tcPr>
          <w:p w14:paraId="2FE55399" w14:textId="77777777" w:rsidR="008D1B70" w:rsidRPr="00D30847" w:rsidRDefault="008D1B70" w:rsidP="00E84CD0">
            <w:pPr>
              <w:spacing w:before="120" w:line="240" w:lineRule="auto"/>
              <w:jc w:val="both"/>
              <w:rPr>
                <w:rFonts w:eastAsia="Times New Roman" w:cs="Calibri"/>
                <w:b/>
                <w:color w:val="202124"/>
                <w:lang w:val="en-GB"/>
              </w:rPr>
            </w:pPr>
            <w:r w:rsidRPr="00D30847">
              <w:rPr>
                <w:rFonts w:eastAsia="Times New Roman" w:cs="Calibri"/>
                <w:b/>
                <w:color w:val="202124"/>
                <w:lang w:val="en-GB"/>
              </w:rPr>
              <w:t>Measure 2:</w:t>
            </w:r>
          </w:p>
        </w:tc>
        <w:tc>
          <w:tcPr>
            <w:tcW w:w="6777" w:type="dxa"/>
            <w:shd w:val="clear" w:color="auto" w:fill="auto"/>
          </w:tcPr>
          <w:p w14:paraId="0BC4F2FF" w14:textId="0729B6F0" w:rsidR="008D1B70" w:rsidRPr="00D30847" w:rsidRDefault="00C618B1" w:rsidP="00E84CD0">
            <w:pPr>
              <w:spacing w:before="120" w:line="240" w:lineRule="auto"/>
              <w:jc w:val="both"/>
              <w:rPr>
                <w:rFonts w:eastAsia="Times New Roman" w:cs="Calibri"/>
                <w:b/>
                <w:color w:val="202124"/>
                <w:lang w:val="en-GB"/>
              </w:rPr>
            </w:pPr>
            <w:r w:rsidRPr="00D30847">
              <w:rPr>
                <w:rFonts w:eastAsia="Times New Roman" w:cstheme="minorHAnsi"/>
                <w:b/>
                <w:color w:val="202124"/>
                <w:lang w:val="en-GB" w:eastAsia="x-none"/>
              </w:rPr>
              <w:t>Development of a program for head servants</w:t>
            </w:r>
          </w:p>
        </w:tc>
      </w:tr>
      <w:tr w:rsidR="008D1B70" w:rsidRPr="00D30847" w14:paraId="2FDBBA61" w14:textId="77777777" w:rsidTr="008A2E35">
        <w:trPr>
          <w:trHeight w:val="532"/>
        </w:trPr>
        <w:tc>
          <w:tcPr>
            <w:tcW w:w="1714" w:type="dxa"/>
            <w:shd w:val="clear" w:color="auto" w:fill="auto"/>
          </w:tcPr>
          <w:p w14:paraId="3CD4B700" w14:textId="77777777" w:rsidR="008D1B70" w:rsidRPr="00D30847" w:rsidRDefault="008D1B70" w:rsidP="00E84CD0">
            <w:pPr>
              <w:spacing w:after="0" w:line="240" w:lineRule="auto"/>
              <w:jc w:val="both"/>
              <w:rPr>
                <w:rFonts w:eastAsia="Times New Roman" w:cs="Calibri"/>
                <w:color w:val="202124"/>
                <w:lang w:val="en-GB"/>
              </w:rPr>
            </w:pPr>
            <w:r w:rsidRPr="00D30847">
              <w:rPr>
                <w:rFonts w:eastAsia="Times New Roman" w:cs="Calibri"/>
                <w:color w:val="202124"/>
                <w:lang w:val="en-GB"/>
              </w:rPr>
              <w:t>Activity 1:</w:t>
            </w:r>
          </w:p>
        </w:tc>
        <w:tc>
          <w:tcPr>
            <w:tcW w:w="6777" w:type="dxa"/>
            <w:shd w:val="clear" w:color="auto" w:fill="auto"/>
          </w:tcPr>
          <w:p w14:paraId="090CED48" w14:textId="5A8F9C9F" w:rsidR="00C618B1" w:rsidRPr="00D30847" w:rsidRDefault="00C618B1" w:rsidP="00C618B1">
            <w:pPr>
              <w:spacing w:after="0" w:line="240" w:lineRule="auto"/>
              <w:jc w:val="both"/>
              <w:rPr>
                <w:rFonts w:asciiTheme="minorHAnsi" w:eastAsia="Times New Roman" w:hAnsiTheme="minorHAnsi" w:cstheme="minorHAnsi"/>
                <w:color w:val="202124"/>
                <w:lang w:val="en-GB" w:eastAsia="x-none"/>
              </w:rPr>
            </w:pPr>
            <w:r w:rsidRPr="00D30847">
              <w:rPr>
                <w:rFonts w:asciiTheme="minorHAnsi" w:eastAsia="Times New Roman" w:hAnsiTheme="minorHAnsi" w:cstheme="minorHAnsi"/>
                <w:color w:val="202124"/>
                <w:lang w:val="en-GB" w:eastAsia="x-none"/>
              </w:rPr>
              <w:t>Development a methodology for preparing an annual training program</w:t>
            </w:r>
          </w:p>
          <w:p w14:paraId="477D6014" w14:textId="665BD0FA" w:rsidR="008D1B70" w:rsidRPr="00D30847" w:rsidRDefault="008D1B70" w:rsidP="00E84CD0">
            <w:pPr>
              <w:spacing w:after="0" w:line="240" w:lineRule="auto"/>
              <w:jc w:val="both"/>
              <w:rPr>
                <w:rFonts w:eastAsia="Times New Roman" w:cs="Calibri"/>
                <w:color w:val="202124"/>
                <w:lang w:val="en-GB"/>
              </w:rPr>
            </w:pPr>
          </w:p>
        </w:tc>
      </w:tr>
      <w:tr w:rsidR="008D1B70" w:rsidRPr="00D30847" w14:paraId="01DA986A" w14:textId="77777777" w:rsidTr="008A2E35">
        <w:tc>
          <w:tcPr>
            <w:tcW w:w="1714" w:type="dxa"/>
            <w:shd w:val="clear" w:color="auto" w:fill="auto"/>
          </w:tcPr>
          <w:p w14:paraId="1B89F049" w14:textId="77777777" w:rsidR="008D1B70" w:rsidRPr="00D30847" w:rsidRDefault="008D1B70" w:rsidP="00E84CD0">
            <w:pPr>
              <w:spacing w:after="0" w:line="240" w:lineRule="auto"/>
              <w:jc w:val="both"/>
              <w:rPr>
                <w:rFonts w:eastAsia="Times New Roman" w:cs="Calibri"/>
                <w:color w:val="202124"/>
                <w:lang w:val="en-GB"/>
              </w:rPr>
            </w:pPr>
            <w:r w:rsidRPr="00D30847">
              <w:rPr>
                <w:rFonts w:eastAsia="Times New Roman" w:cs="Calibri"/>
                <w:color w:val="202124"/>
                <w:lang w:val="en-GB"/>
              </w:rPr>
              <w:t>Activity 2:</w:t>
            </w:r>
          </w:p>
          <w:p w14:paraId="15D3DA38" w14:textId="6B6D0512" w:rsidR="00FF03E7" w:rsidRPr="00D30847" w:rsidRDefault="00FF03E7" w:rsidP="00E84CD0">
            <w:pPr>
              <w:spacing w:after="0" w:line="240" w:lineRule="auto"/>
              <w:jc w:val="both"/>
              <w:rPr>
                <w:rFonts w:eastAsia="Times New Roman" w:cs="Calibri"/>
                <w:color w:val="202124"/>
                <w:lang w:val="en-GB"/>
              </w:rPr>
            </w:pPr>
          </w:p>
        </w:tc>
        <w:tc>
          <w:tcPr>
            <w:tcW w:w="6777" w:type="dxa"/>
            <w:shd w:val="clear" w:color="auto" w:fill="auto"/>
          </w:tcPr>
          <w:p w14:paraId="43BE9804" w14:textId="28750AE6" w:rsidR="00FF03E7" w:rsidRPr="00D30847" w:rsidRDefault="009E6698" w:rsidP="00E84CD0">
            <w:pPr>
              <w:spacing w:after="0" w:line="240" w:lineRule="auto"/>
              <w:jc w:val="both"/>
              <w:rPr>
                <w:rFonts w:eastAsia="Times New Roman" w:cs="Calibri"/>
                <w:color w:val="202124"/>
                <w:lang w:val="en-GB"/>
              </w:rPr>
            </w:pPr>
            <w:r w:rsidRPr="00D30847">
              <w:rPr>
                <w:rFonts w:asciiTheme="minorHAnsi" w:eastAsia="Times New Roman" w:hAnsiTheme="minorHAnsi" w:cstheme="minorHAnsi"/>
                <w:color w:val="202124"/>
                <w:lang w:val="en-GB" w:eastAsia="x-none"/>
              </w:rPr>
              <w:t>Organizing trainings</w:t>
            </w:r>
          </w:p>
        </w:tc>
      </w:tr>
      <w:tr w:rsidR="008D1B70" w:rsidRPr="00D30847" w14:paraId="28F74FF9" w14:textId="77777777" w:rsidTr="008A2E35">
        <w:tc>
          <w:tcPr>
            <w:tcW w:w="1714" w:type="dxa"/>
            <w:shd w:val="clear" w:color="auto" w:fill="auto"/>
          </w:tcPr>
          <w:p w14:paraId="3A15CE82" w14:textId="77777777" w:rsidR="008D1B70" w:rsidRPr="00D30847" w:rsidRDefault="008D1B70" w:rsidP="00E84CD0">
            <w:pPr>
              <w:spacing w:before="120" w:line="240" w:lineRule="auto"/>
              <w:jc w:val="both"/>
              <w:rPr>
                <w:rFonts w:eastAsia="Times New Roman" w:cs="Calibri"/>
                <w:b/>
                <w:color w:val="202124"/>
                <w:lang w:val="en-GB"/>
              </w:rPr>
            </w:pPr>
            <w:r w:rsidRPr="00D30847">
              <w:rPr>
                <w:rFonts w:eastAsia="Times New Roman" w:cs="Calibri"/>
                <w:b/>
                <w:color w:val="202124"/>
                <w:lang w:val="en-GB"/>
              </w:rPr>
              <w:t>Measure 3:</w:t>
            </w:r>
          </w:p>
        </w:tc>
        <w:tc>
          <w:tcPr>
            <w:tcW w:w="6777" w:type="dxa"/>
            <w:shd w:val="clear" w:color="auto" w:fill="auto"/>
          </w:tcPr>
          <w:p w14:paraId="71A02D50" w14:textId="2D2FE875" w:rsidR="008D1B70" w:rsidRPr="00D30847" w:rsidRDefault="009E6698" w:rsidP="00E84CD0">
            <w:pPr>
              <w:spacing w:before="120" w:line="240" w:lineRule="auto"/>
              <w:jc w:val="both"/>
              <w:rPr>
                <w:rFonts w:eastAsia="Times New Roman" w:cs="Calibri"/>
                <w:b/>
                <w:color w:val="202124"/>
                <w:lang w:val="en-GB"/>
              </w:rPr>
            </w:pPr>
            <w:r w:rsidRPr="00D30847">
              <w:rPr>
                <w:rFonts w:asciiTheme="minorHAnsi" w:eastAsia="Times New Roman" w:hAnsiTheme="minorHAnsi" w:cstheme="minorHAnsi"/>
                <w:b/>
                <w:color w:val="202124"/>
                <w:lang w:val="en-GB" w:eastAsia="x-none"/>
              </w:rPr>
              <w:t>Involvement of stakeholders and the public</w:t>
            </w:r>
          </w:p>
        </w:tc>
      </w:tr>
      <w:tr w:rsidR="008D1B70" w:rsidRPr="00D30847" w14:paraId="5EC9D011" w14:textId="77777777" w:rsidTr="008A2E35">
        <w:tc>
          <w:tcPr>
            <w:tcW w:w="1714" w:type="dxa"/>
            <w:shd w:val="clear" w:color="auto" w:fill="auto"/>
          </w:tcPr>
          <w:p w14:paraId="36FCBD6C" w14:textId="0C328D78" w:rsidR="00FF03E7" w:rsidRPr="00D30847" w:rsidRDefault="008D1B70" w:rsidP="00E84CD0">
            <w:pPr>
              <w:spacing w:after="0" w:line="240" w:lineRule="auto"/>
              <w:jc w:val="both"/>
              <w:rPr>
                <w:rFonts w:eastAsia="Times New Roman" w:cs="Calibri"/>
                <w:color w:val="202124"/>
                <w:lang w:val="en-GB"/>
              </w:rPr>
            </w:pPr>
            <w:r w:rsidRPr="00D30847">
              <w:rPr>
                <w:rFonts w:eastAsia="Times New Roman" w:cs="Calibri"/>
                <w:color w:val="202124"/>
                <w:lang w:val="en-GB"/>
              </w:rPr>
              <w:t>Activity 1:</w:t>
            </w:r>
          </w:p>
        </w:tc>
        <w:tc>
          <w:tcPr>
            <w:tcW w:w="6777" w:type="dxa"/>
            <w:shd w:val="clear" w:color="auto" w:fill="auto"/>
          </w:tcPr>
          <w:p w14:paraId="270AA788" w14:textId="3F08674A" w:rsidR="00FF03E7" w:rsidRPr="00D30847" w:rsidRDefault="00C618B1" w:rsidP="00C618B1">
            <w:pPr>
              <w:spacing w:after="0" w:line="240" w:lineRule="auto"/>
              <w:jc w:val="both"/>
              <w:rPr>
                <w:rFonts w:asciiTheme="minorHAnsi" w:eastAsia="Times New Roman" w:hAnsiTheme="minorHAnsi" w:cstheme="minorHAnsi"/>
                <w:color w:val="202124"/>
                <w:lang w:val="en-GB" w:eastAsia="x-none"/>
              </w:rPr>
            </w:pPr>
            <w:r w:rsidRPr="00D30847">
              <w:rPr>
                <w:rFonts w:asciiTheme="minorHAnsi" w:eastAsia="Times New Roman" w:hAnsiTheme="minorHAnsi" w:cstheme="minorHAnsi"/>
                <w:color w:val="202124"/>
                <w:lang w:val="en-GB" w:eastAsia="x-none"/>
              </w:rPr>
              <w:t xml:space="preserve">Developing a communication strategy </w:t>
            </w:r>
          </w:p>
        </w:tc>
      </w:tr>
      <w:tr w:rsidR="00C618B1" w:rsidRPr="00D30847" w14:paraId="1DFA8F34" w14:textId="77777777" w:rsidTr="008A2E35">
        <w:tc>
          <w:tcPr>
            <w:tcW w:w="1714" w:type="dxa"/>
            <w:shd w:val="clear" w:color="auto" w:fill="auto"/>
          </w:tcPr>
          <w:p w14:paraId="6808ADB7" w14:textId="76F8242E" w:rsidR="00C618B1" w:rsidRPr="00D30847" w:rsidRDefault="00C618B1" w:rsidP="00E84CD0">
            <w:pPr>
              <w:spacing w:after="0" w:line="240" w:lineRule="auto"/>
              <w:jc w:val="both"/>
              <w:rPr>
                <w:rFonts w:asciiTheme="minorHAnsi" w:eastAsia="Times New Roman" w:hAnsiTheme="minorHAnsi" w:cstheme="minorHAnsi"/>
                <w:color w:val="202124"/>
                <w:lang w:val="en-GB" w:eastAsia="x-none"/>
              </w:rPr>
            </w:pPr>
            <w:r w:rsidRPr="00D30847">
              <w:rPr>
                <w:rFonts w:asciiTheme="minorHAnsi" w:eastAsia="Times New Roman" w:hAnsiTheme="minorHAnsi" w:cstheme="minorHAnsi"/>
                <w:color w:val="202124"/>
                <w:lang w:val="en-GB" w:eastAsia="x-none"/>
              </w:rPr>
              <w:t xml:space="preserve">Activity 2: </w:t>
            </w:r>
          </w:p>
        </w:tc>
        <w:tc>
          <w:tcPr>
            <w:tcW w:w="6777" w:type="dxa"/>
            <w:shd w:val="clear" w:color="auto" w:fill="auto"/>
          </w:tcPr>
          <w:p w14:paraId="2CD614AE" w14:textId="77777777" w:rsidR="00C618B1" w:rsidRPr="00D30847" w:rsidRDefault="00C618B1" w:rsidP="00C618B1">
            <w:pPr>
              <w:spacing w:after="0" w:line="240" w:lineRule="auto"/>
              <w:jc w:val="both"/>
              <w:rPr>
                <w:rFonts w:asciiTheme="minorHAnsi" w:eastAsia="Times New Roman" w:hAnsiTheme="minorHAnsi" w:cstheme="minorHAnsi"/>
                <w:color w:val="202124"/>
                <w:lang w:val="en-GB" w:eastAsia="x-none"/>
              </w:rPr>
            </w:pPr>
            <w:r w:rsidRPr="00D30847">
              <w:rPr>
                <w:rFonts w:asciiTheme="minorHAnsi" w:eastAsia="Times New Roman" w:hAnsiTheme="minorHAnsi" w:cstheme="minorHAnsi"/>
                <w:color w:val="202124"/>
                <w:lang w:val="en-GB" w:eastAsia="x-none"/>
              </w:rPr>
              <w:t>Annual meeting: "All Unite"</w:t>
            </w:r>
          </w:p>
          <w:p w14:paraId="2FFD282A" w14:textId="4A97C20F" w:rsidR="00D86847" w:rsidRPr="00D30847" w:rsidRDefault="00D86847" w:rsidP="00C618B1">
            <w:pPr>
              <w:spacing w:after="0" w:line="240" w:lineRule="auto"/>
              <w:jc w:val="both"/>
              <w:rPr>
                <w:rFonts w:asciiTheme="minorHAnsi" w:eastAsia="Times New Roman" w:hAnsiTheme="minorHAnsi" w:cstheme="minorHAnsi"/>
                <w:color w:val="202124"/>
                <w:lang w:val="en-GB" w:eastAsia="x-none"/>
              </w:rPr>
            </w:pPr>
          </w:p>
        </w:tc>
      </w:tr>
      <w:tr w:rsidR="00C618B1" w:rsidRPr="00D30847" w14:paraId="58C9A55F" w14:textId="77777777" w:rsidTr="008A2E35">
        <w:tc>
          <w:tcPr>
            <w:tcW w:w="1714" w:type="dxa"/>
            <w:shd w:val="clear" w:color="auto" w:fill="auto"/>
          </w:tcPr>
          <w:p w14:paraId="188B0032" w14:textId="6273FA97" w:rsidR="00C618B1" w:rsidRPr="00D30847" w:rsidRDefault="00C618B1" w:rsidP="00E84CD0">
            <w:pPr>
              <w:spacing w:after="0" w:line="240" w:lineRule="auto"/>
              <w:jc w:val="both"/>
              <w:rPr>
                <w:rFonts w:asciiTheme="minorHAnsi" w:eastAsia="Times New Roman" w:hAnsiTheme="minorHAnsi" w:cstheme="minorHAnsi"/>
                <w:b/>
                <w:color w:val="202124"/>
                <w:lang w:val="en-GB" w:eastAsia="x-none"/>
              </w:rPr>
            </w:pPr>
            <w:r w:rsidRPr="00D30847">
              <w:rPr>
                <w:rFonts w:asciiTheme="minorHAnsi" w:eastAsia="Times New Roman" w:hAnsiTheme="minorHAnsi" w:cstheme="minorHAnsi"/>
                <w:b/>
                <w:color w:val="202124"/>
                <w:lang w:val="en-GB" w:eastAsia="x-none"/>
              </w:rPr>
              <w:t xml:space="preserve">Measure 4: </w:t>
            </w:r>
          </w:p>
        </w:tc>
        <w:tc>
          <w:tcPr>
            <w:tcW w:w="6777" w:type="dxa"/>
            <w:shd w:val="clear" w:color="auto" w:fill="auto"/>
          </w:tcPr>
          <w:p w14:paraId="27934BA4" w14:textId="276ED87D" w:rsidR="00C618B1" w:rsidRPr="00D30847" w:rsidRDefault="00C618B1" w:rsidP="00C618B1">
            <w:pPr>
              <w:spacing w:after="0" w:line="240" w:lineRule="auto"/>
              <w:jc w:val="both"/>
              <w:rPr>
                <w:rFonts w:asciiTheme="minorHAnsi" w:eastAsia="Times New Roman" w:hAnsiTheme="minorHAnsi" w:cstheme="minorHAnsi"/>
                <w:b/>
                <w:color w:val="202124"/>
                <w:lang w:val="en-GB" w:eastAsia="x-none"/>
              </w:rPr>
            </w:pPr>
            <w:r w:rsidRPr="00D30847">
              <w:rPr>
                <w:rFonts w:asciiTheme="minorHAnsi" w:eastAsia="Times New Roman" w:hAnsiTheme="minorHAnsi" w:cstheme="minorHAnsi"/>
                <w:b/>
                <w:color w:val="202124"/>
                <w:lang w:val="en-GB" w:eastAsia="x-none"/>
              </w:rPr>
              <w:t>Sustainable finance in the public sector</w:t>
            </w:r>
          </w:p>
        </w:tc>
      </w:tr>
      <w:tr w:rsidR="00C618B1" w:rsidRPr="00D30847" w14:paraId="1290258E" w14:textId="77777777" w:rsidTr="008A2E35">
        <w:tc>
          <w:tcPr>
            <w:tcW w:w="1714" w:type="dxa"/>
            <w:shd w:val="clear" w:color="auto" w:fill="auto"/>
          </w:tcPr>
          <w:p w14:paraId="23517B5D" w14:textId="6D199603" w:rsidR="00C618B1" w:rsidRPr="00D30847" w:rsidRDefault="00C618B1" w:rsidP="00C618B1">
            <w:pPr>
              <w:spacing w:after="0" w:line="240" w:lineRule="auto"/>
              <w:jc w:val="both"/>
              <w:rPr>
                <w:rFonts w:asciiTheme="minorHAnsi" w:eastAsia="Times New Roman" w:hAnsiTheme="minorHAnsi" w:cstheme="minorHAnsi"/>
                <w:color w:val="202124"/>
                <w:lang w:val="en-GB" w:eastAsia="x-none"/>
              </w:rPr>
            </w:pPr>
            <w:r w:rsidRPr="00D30847">
              <w:rPr>
                <w:rFonts w:asciiTheme="minorHAnsi" w:eastAsia="Times New Roman" w:hAnsiTheme="minorHAnsi" w:cstheme="minorHAnsi"/>
                <w:color w:val="202124"/>
                <w:lang w:val="en-GB" w:eastAsia="x-none"/>
              </w:rPr>
              <w:t>Activity 1:</w:t>
            </w:r>
          </w:p>
        </w:tc>
        <w:tc>
          <w:tcPr>
            <w:tcW w:w="6777" w:type="dxa"/>
            <w:shd w:val="clear" w:color="auto" w:fill="auto"/>
          </w:tcPr>
          <w:p w14:paraId="07F66512" w14:textId="63DEE7A1" w:rsidR="00C618B1" w:rsidRPr="00D30847" w:rsidRDefault="00C618B1" w:rsidP="00C618B1">
            <w:pPr>
              <w:spacing w:after="0" w:line="240" w:lineRule="auto"/>
              <w:jc w:val="both"/>
              <w:rPr>
                <w:rFonts w:asciiTheme="minorHAnsi" w:eastAsia="Times New Roman" w:hAnsiTheme="minorHAnsi" w:cstheme="minorHAnsi"/>
                <w:b/>
                <w:color w:val="202124"/>
                <w:lang w:val="en-GB" w:eastAsia="x-none"/>
              </w:rPr>
            </w:pPr>
            <w:r w:rsidRPr="00D30847">
              <w:rPr>
                <w:rFonts w:eastAsia="Times New Roman" w:cstheme="minorHAnsi"/>
                <w:color w:val="202124"/>
                <w:lang w:val="en-GB" w:eastAsia="x-none"/>
              </w:rPr>
              <w:t>Training of Trainers for employees of the Public Finance Academy</w:t>
            </w:r>
          </w:p>
        </w:tc>
      </w:tr>
      <w:tr w:rsidR="00C618B1" w:rsidRPr="00D30847" w14:paraId="318BA778" w14:textId="77777777" w:rsidTr="008A2E35">
        <w:tc>
          <w:tcPr>
            <w:tcW w:w="1714" w:type="dxa"/>
            <w:shd w:val="clear" w:color="auto" w:fill="auto"/>
          </w:tcPr>
          <w:p w14:paraId="242B1300" w14:textId="5DFAF436" w:rsidR="00C618B1" w:rsidRPr="00D30847" w:rsidRDefault="00C618B1" w:rsidP="00C618B1">
            <w:pPr>
              <w:spacing w:after="0" w:line="240" w:lineRule="auto"/>
              <w:jc w:val="both"/>
              <w:rPr>
                <w:rFonts w:asciiTheme="minorHAnsi" w:eastAsia="Times New Roman" w:hAnsiTheme="minorHAnsi" w:cstheme="minorHAnsi"/>
                <w:color w:val="202124"/>
                <w:lang w:val="en-GB" w:eastAsia="x-none"/>
              </w:rPr>
            </w:pPr>
            <w:r w:rsidRPr="00D30847">
              <w:rPr>
                <w:rFonts w:eastAsia="Times New Roman" w:cstheme="minorHAnsi"/>
                <w:color w:val="202124"/>
                <w:lang w:val="en-GB" w:eastAsia="x-none"/>
              </w:rPr>
              <w:t xml:space="preserve">Activity 2:  </w:t>
            </w:r>
          </w:p>
        </w:tc>
        <w:tc>
          <w:tcPr>
            <w:tcW w:w="6777" w:type="dxa"/>
            <w:shd w:val="clear" w:color="auto" w:fill="auto"/>
          </w:tcPr>
          <w:p w14:paraId="23849D1A" w14:textId="39A123B9" w:rsidR="00C618B1" w:rsidRPr="00D30847" w:rsidRDefault="00C618B1" w:rsidP="00C618B1">
            <w:pPr>
              <w:spacing w:after="0" w:line="240" w:lineRule="auto"/>
              <w:jc w:val="both"/>
              <w:rPr>
                <w:rFonts w:eastAsia="Times New Roman" w:cstheme="minorHAnsi"/>
                <w:color w:val="202124"/>
                <w:lang w:val="en-GB" w:eastAsia="x-none"/>
              </w:rPr>
            </w:pPr>
            <w:r w:rsidRPr="00D30847">
              <w:rPr>
                <w:rFonts w:eastAsia="Times New Roman" w:cstheme="minorHAnsi"/>
                <w:color w:val="202124"/>
                <w:lang w:val="en-GB" w:eastAsia="x-none"/>
              </w:rPr>
              <w:t>Organizing trainings in the area of sustainable finance</w:t>
            </w:r>
          </w:p>
        </w:tc>
      </w:tr>
    </w:tbl>
    <w:p w14:paraId="516126E2" w14:textId="77777777" w:rsidR="00C618B1" w:rsidRPr="00D30847" w:rsidRDefault="00C618B1" w:rsidP="00E84CD0">
      <w:pPr>
        <w:keepNext/>
        <w:keepLines/>
        <w:spacing w:before="160" w:after="60" w:line="240" w:lineRule="auto"/>
        <w:jc w:val="both"/>
        <w:outlineLvl w:val="3"/>
        <w:rPr>
          <w:rFonts w:eastAsia="MS PGothic" w:cs="Calibri"/>
          <w:b/>
          <w:bCs/>
          <w:i/>
          <w:iCs/>
          <w:color w:val="4F81BD"/>
          <w:lang w:val="en-GB" w:eastAsia="zh-CN"/>
        </w:rPr>
      </w:pPr>
    </w:p>
    <w:p w14:paraId="7F3FF6D6" w14:textId="75E44612" w:rsidR="008D1B70" w:rsidRPr="00D30847" w:rsidRDefault="008D1B70"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Outcome</w:t>
      </w:r>
    </w:p>
    <w:p w14:paraId="53ED67B4" w14:textId="77777777" w:rsidR="008D1B70" w:rsidRPr="00D30847" w:rsidRDefault="008D1B70" w:rsidP="005E137F">
      <w:pPr>
        <w:spacing w:after="0" w:line="240" w:lineRule="auto"/>
        <w:jc w:val="both"/>
        <w:rPr>
          <w:rFonts w:eastAsia="Times New Roman" w:cs="Calibri"/>
          <w:color w:val="202124"/>
          <w:lang w:val="en-GB"/>
        </w:rPr>
      </w:pPr>
      <w:r w:rsidRPr="00D30847">
        <w:rPr>
          <w:rFonts w:eastAsia="Times New Roman" w:cs="Calibri"/>
          <w:color w:val="202124"/>
          <w:lang w:val="en-GB"/>
        </w:rPr>
        <w:t>Provided continuous education in the field of public financial management.</w:t>
      </w:r>
    </w:p>
    <w:p w14:paraId="55B036E3" w14:textId="77777777" w:rsidR="008D1B70" w:rsidRPr="00D30847" w:rsidRDefault="008D1B70"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Outcome Indicator</w:t>
      </w:r>
    </w:p>
    <w:p w14:paraId="64AC61BE" w14:textId="4DCFAF3A" w:rsidR="00AB531B" w:rsidRPr="00D30847" w:rsidRDefault="005E137F" w:rsidP="00AB531B">
      <w:pPr>
        <w:jc w:val="both"/>
        <w:rPr>
          <w:rFonts w:asciiTheme="minorHAnsi" w:eastAsia="Times New Roman" w:hAnsiTheme="minorHAnsi" w:cstheme="minorHAnsi"/>
          <w:color w:val="202124"/>
          <w:lang w:val="en-GB" w:eastAsia="x-none"/>
        </w:rPr>
      </w:pPr>
      <w:r w:rsidRPr="00D30847">
        <w:rPr>
          <w:rFonts w:eastAsia="Times New Roman" w:cs="Calibri"/>
          <w:color w:val="202124"/>
          <w:lang w:val="en-GB"/>
        </w:rPr>
        <w:t xml:space="preserve">1. </w:t>
      </w:r>
      <w:r w:rsidR="00AB531B" w:rsidRPr="00D30847">
        <w:rPr>
          <w:rFonts w:asciiTheme="minorHAnsi" w:eastAsia="Times New Roman" w:hAnsiTheme="minorHAnsi" w:cstheme="minorHAnsi"/>
          <w:color w:val="202124"/>
          <w:lang w:val="en-GB" w:eastAsia="x-none"/>
        </w:rPr>
        <w:t>Number of successfully completed trainings in accordance with the Annual Training Program and ad hoc trainings.</w:t>
      </w:r>
    </w:p>
    <w:p w14:paraId="64367BC7" w14:textId="7A610B52" w:rsidR="008D1B70" w:rsidRPr="00D30847" w:rsidRDefault="008D1B70" w:rsidP="005E137F">
      <w:pPr>
        <w:tabs>
          <w:tab w:val="left" w:pos="851"/>
        </w:tabs>
        <w:spacing w:before="120" w:after="120" w:line="240" w:lineRule="auto"/>
        <w:jc w:val="both"/>
        <w:rPr>
          <w:rFonts w:eastAsia="Times New Roman" w:cs="Calibri"/>
          <w:color w:val="2021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503"/>
      </w:tblGrid>
      <w:tr w:rsidR="00460ED3" w:rsidRPr="00D30847" w14:paraId="618E67B4" w14:textId="77777777" w:rsidTr="00356610">
        <w:trPr>
          <w:trHeight w:val="395"/>
        </w:trPr>
        <w:tc>
          <w:tcPr>
            <w:tcW w:w="4500" w:type="dxa"/>
            <w:shd w:val="clear" w:color="auto" w:fill="E8E8E8"/>
          </w:tcPr>
          <w:p w14:paraId="19376EEA" w14:textId="77FC404C"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AB531B" w:rsidRPr="00D30847">
              <w:rPr>
                <w:rFonts w:eastAsia="Times New Roman" w:cs="Calibri"/>
                <w:b/>
                <w:bCs/>
                <w:i/>
                <w:iCs/>
                <w:color w:val="202124"/>
                <w:sz w:val="20"/>
                <w:szCs w:val="20"/>
                <w:lang w:val="en-GB"/>
              </w:rPr>
              <w:t>3</w:t>
            </w:r>
          </w:p>
        </w:tc>
        <w:tc>
          <w:tcPr>
            <w:tcW w:w="4608" w:type="dxa"/>
            <w:shd w:val="clear" w:color="auto" w:fill="E8E8E8"/>
          </w:tcPr>
          <w:p w14:paraId="7EA6D6E1" w14:textId="233B9906"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AB531B" w:rsidRPr="00D30847">
              <w:rPr>
                <w:rFonts w:eastAsia="Times New Roman" w:cs="Calibri"/>
                <w:b/>
                <w:bCs/>
                <w:i/>
                <w:iCs/>
                <w:color w:val="202124"/>
                <w:sz w:val="20"/>
                <w:szCs w:val="20"/>
                <w:lang w:val="en-GB"/>
              </w:rPr>
              <w:t>8</w:t>
            </w:r>
          </w:p>
        </w:tc>
      </w:tr>
      <w:tr w:rsidR="00460ED3" w:rsidRPr="00D30847" w14:paraId="075FB4AD" w14:textId="77777777" w:rsidTr="00356610">
        <w:trPr>
          <w:trHeight w:val="278"/>
        </w:trPr>
        <w:tc>
          <w:tcPr>
            <w:tcW w:w="4500" w:type="dxa"/>
            <w:shd w:val="clear" w:color="auto" w:fill="E8E8E8"/>
          </w:tcPr>
          <w:p w14:paraId="2F2D48DF" w14:textId="406A46EF" w:rsidR="00460ED3" w:rsidRPr="00D30847" w:rsidRDefault="00AB531B" w:rsidP="002B77A4">
            <w:pPr>
              <w:spacing w:line="240" w:lineRule="auto"/>
              <w:jc w:val="both"/>
              <w:rPr>
                <w:rFonts w:eastAsia="Times New Roman" w:cs="Calibri"/>
                <w:color w:val="202124"/>
                <w:sz w:val="20"/>
                <w:szCs w:val="20"/>
                <w:lang w:val="en-GB"/>
              </w:rPr>
            </w:pPr>
            <w:r w:rsidRPr="00D30847">
              <w:rPr>
                <w:rFonts w:eastAsia="Times New Roman" w:cstheme="minorHAnsi"/>
                <w:color w:val="202124"/>
                <w:lang w:val="en-GB"/>
              </w:rPr>
              <w:t>4 realized trainings in accordance with the Annual Training Program and 1 ad hoc training</w:t>
            </w:r>
            <w:r w:rsidRPr="00D30847" w:rsidDel="00AB531B">
              <w:rPr>
                <w:rFonts w:eastAsia="Times New Roman" w:cs="Calibri"/>
                <w:color w:val="202124"/>
                <w:sz w:val="20"/>
                <w:szCs w:val="20"/>
                <w:lang w:val="en-GB"/>
              </w:rPr>
              <w:t xml:space="preserve"> </w:t>
            </w:r>
          </w:p>
        </w:tc>
        <w:tc>
          <w:tcPr>
            <w:tcW w:w="4608" w:type="dxa"/>
            <w:shd w:val="clear" w:color="auto" w:fill="E8E8E8"/>
          </w:tcPr>
          <w:p w14:paraId="77515CBD" w14:textId="761B3B5A" w:rsidR="00460ED3" w:rsidRPr="00D30847" w:rsidRDefault="00AB531B" w:rsidP="002B77A4">
            <w:pPr>
              <w:spacing w:line="240" w:lineRule="auto"/>
              <w:jc w:val="both"/>
              <w:rPr>
                <w:rFonts w:eastAsia="Times New Roman" w:cs="Calibri"/>
                <w:color w:val="202124"/>
                <w:sz w:val="20"/>
                <w:szCs w:val="20"/>
                <w:lang w:val="en-GB"/>
              </w:rPr>
            </w:pPr>
            <w:r w:rsidRPr="00D30847">
              <w:rPr>
                <w:rFonts w:eastAsia="Times New Roman" w:cstheme="minorHAnsi"/>
                <w:color w:val="202124"/>
                <w:lang w:val="en-GB"/>
              </w:rPr>
              <w:t>50 realized trainings</w:t>
            </w:r>
            <w:r w:rsidRPr="00D30847" w:rsidDel="00AB531B">
              <w:rPr>
                <w:rFonts w:eastAsia="Times New Roman" w:cs="Calibri"/>
                <w:color w:val="202124"/>
                <w:sz w:val="20"/>
                <w:szCs w:val="20"/>
                <w:lang w:val="en-GB"/>
              </w:rPr>
              <w:t xml:space="preserve"> </w:t>
            </w:r>
          </w:p>
        </w:tc>
      </w:tr>
    </w:tbl>
    <w:p w14:paraId="054761C3" w14:textId="77777777" w:rsidR="00E91268" w:rsidRDefault="00E91268" w:rsidP="005C0E14">
      <w:pPr>
        <w:spacing w:before="360" w:after="0" w:line="240" w:lineRule="auto"/>
        <w:jc w:val="both"/>
        <w:rPr>
          <w:rFonts w:cs="Calibri"/>
          <w:b/>
          <w:bCs/>
          <w:iCs/>
          <w:color w:val="0070C0"/>
          <w:sz w:val="24"/>
          <w:szCs w:val="24"/>
          <w:lang w:val="en-GB"/>
        </w:rPr>
      </w:pPr>
    </w:p>
    <w:p w14:paraId="61CB4736" w14:textId="77777777" w:rsidR="00E91268" w:rsidRDefault="00E91268" w:rsidP="005C0E14">
      <w:pPr>
        <w:spacing w:before="360" w:after="0" w:line="240" w:lineRule="auto"/>
        <w:jc w:val="both"/>
        <w:rPr>
          <w:rFonts w:cs="Calibri"/>
          <w:b/>
          <w:bCs/>
          <w:iCs/>
          <w:color w:val="0070C0"/>
          <w:sz w:val="24"/>
          <w:szCs w:val="24"/>
          <w:lang w:val="en-GB"/>
        </w:rPr>
      </w:pPr>
    </w:p>
    <w:p w14:paraId="778AAA3E" w14:textId="65860719" w:rsidR="002F500A" w:rsidRPr="00D30847" w:rsidRDefault="002428A3" w:rsidP="005C0E14">
      <w:pPr>
        <w:spacing w:before="360" w:after="0" w:line="240" w:lineRule="auto"/>
        <w:jc w:val="both"/>
        <w:rPr>
          <w:rFonts w:cs="Calibri"/>
          <w:b/>
          <w:bCs/>
          <w:iCs/>
          <w:color w:val="0070C0"/>
          <w:sz w:val="24"/>
          <w:szCs w:val="24"/>
          <w:lang w:val="en-GB"/>
        </w:rPr>
      </w:pPr>
      <w:r w:rsidRPr="00D30847">
        <w:rPr>
          <w:rFonts w:cs="Calibri"/>
          <w:b/>
          <w:bCs/>
          <w:iCs/>
          <w:color w:val="0070C0"/>
          <w:sz w:val="24"/>
          <w:szCs w:val="24"/>
          <w:lang w:val="en-GB"/>
        </w:rPr>
        <w:lastRenderedPageBreak/>
        <w:t xml:space="preserve">Measure 1: </w:t>
      </w:r>
      <w:r w:rsidR="00AB531B" w:rsidRPr="00D30847">
        <w:rPr>
          <w:rFonts w:cs="Calibri"/>
          <w:b/>
          <w:bCs/>
          <w:iCs/>
          <w:color w:val="0070C0"/>
          <w:sz w:val="24"/>
          <w:szCs w:val="24"/>
          <w:lang w:val="en-GB"/>
        </w:rPr>
        <w:t>Digital presence of the Public Finance Academy</w:t>
      </w:r>
      <w:r w:rsidRPr="00D30847">
        <w:rPr>
          <w:rFonts w:cs="Calibri"/>
          <w:b/>
          <w:bCs/>
          <w:iCs/>
          <w:color w:val="0070C0"/>
          <w:sz w:val="24"/>
          <w:szCs w:val="24"/>
          <w:lang w:val="en-GB"/>
        </w:rPr>
        <w:tab/>
      </w:r>
    </w:p>
    <w:p w14:paraId="024A5667" w14:textId="45A21EF6" w:rsidR="005C0E14" w:rsidRPr="00D30847" w:rsidRDefault="002428A3" w:rsidP="005C0E14">
      <w:pPr>
        <w:spacing w:before="360" w:after="0"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07729E54" w14:textId="77777777" w:rsidR="00AB531B" w:rsidRPr="00D30847" w:rsidRDefault="00AB531B" w:rsidP="00AB531B">
      <w:pPr>
        <w:spacing w:after="0" w:line="240" w:lineRule="auto"/>
        <w:jc w:val="both"/>
        <w:rPr>
          <w:rFonts w:asciiTheme="minorHAnsi" w:hAnsiTheme="minorHAnsi" w:cstheme="minorHAnsi"/>
          <w:bCs/>
          <w:iCs/>
          <w:lang w:val="en-GB"/>
        </w:rPr>
      </w:pPr>
      <w:r w:rsidRPr="00D30847">
        <w:rPr>
          <w:rFonts w:eastAsia="MS PGothic" w:cs="Calibri"/>
          <w:bCs/>
          <w:iCs/>
          <w:lang w:val="en-GB" w:eastAsia="zh-CN"/>
        </w:rPr>
        <w:t>The digital presence aims to inform, establish, build trust, inspire and increase the reach and impact of the Academy. This encourages the e-learning process and supports the professional development of officials in the field of public finance in a simpler and more accessible way.</w:t>
      </w:r>
    </w:p>
    <w:p w14:paraId="7C870637" w14:textId="77777777" w:rsidR="005C0E14" w:rsidRPr="00D30847" w:rsidRDefault="002428A3" w:rsidP="005C0E14">
      <w:pPr>
        <w:spacing w:before="360" w:after="0" w:line="240" w:lineRule="auto"/>
        <w:jc w:val="both"/>
        <w:rPr>
          <w:rFonts w:eastAsia="MS PGothic" w:cs="Calibri"/>
          <w:b/>
          <w:bCs/>
          <w:i/>
          <w:iCs/>
          <w:color w:val="4F81BD"/>
          <w:lang w:val="en-GB" w:eastAsia="zh-CN"/>
        </w:rPr>
      </w:pPr>
      <w:r w:rsidRPr="00D30847">
        <w:rPr>
          <w:rFonts w:eastAsia="MS PGothic" w:cs="Calibri"/>
          <w:b/>
          <w:bCs/>
          <w:i/>
          <w:iCs/>
          <w:color w:val="4F81BD"/>
          <w:lang w:val="en-GB" w:eastAsia="zh-CN"/>
        </w:rPr>
        <w:t>Context/Background</w:t>
      </w:r>
    </w:p>
    <w:p w14:paraId="2897B70C" w14:textId="77777777" w:rsidR="00AB531B" w:rsidRPr="00D30847" w:rsidRDefault="00AB531B" w:rsidP="00D86847">
      <w:pPr>
        <w:spacing w:before="240" w:line="240" w:lineRule="auto"/>
        <w:jc w:val="both"/>
        <w:rPr>
          <w:rFonts w:asciiTheme="minorHAnsi" w:hAnsiTheme="minorHAnsi" w:cstheme="minorHAnsi"/>
          <w:b/>
          <w:bCs/>
          <w:i/>
          <w:iCs/>
          <w:color w:val="4F81BD"/>
          <w:lang w:val="en-GB"/>
        </w:rPr>
      </w:pPr>
      <w:r w:rsidRPr="00D30847">
        <w:rPr>
          <w:rFonts w:eastAsia="MS PGothic" w:cs="Calibri"/>
          <w:bCs/>
          <w:iCs/>
          <w:lang w:val="en-GB" w:eastAsia="zh-CN"/>
        </w:rPr>
        <w:t xml:space="preserve">This measure aims to modernize and modify the educational approach to better meet the needs of individuals who will be trained in the field of public finance. The e-learning platform will be designed with features that respond to different learning needs. E-learning allows for flexible, self-paced learning that can reach a wider audience. The digital presence of the Public Finance Academy refers to the use of social media to increase transparency, accountability and public access to educational information in the field of public finance. This digital approach can significantly contribute to effective communication, education and reforms in public finance management. </w:t>
      </w:r>
      <w:r w:rsidRPr="00D30847">
        <w:rPr>
          <w:rFonts w:asciiTheme="minorHAnsi" w:eastAsiaTheme="minorHAnsi" w:hAnsiTheme="minorHAnsi" w:cstheme="minorBidi"/>
          <w:lang w:val="en-GB"/>
        </w:rPr>
        <w:t>To achieve this goal, the Public Finance Academy has taken the initiative to seek donor support.</w:t>
      </w:r>
    </w:p>
    <w:p w14:paraId="7E48F512" w14:textId="15468CDC" w:rsidR="002428A3" w:rsidRPr="00D30847" w:rsidRDefault="002428A3" w:rsidP="00D86847">
      <w:pPr>
        <w:keepNext/>
        <w:keepLines/>
        <w:spacing w:before="240" w:line="240" w:lineRule="auto"/>
        <w:jc w:val="both"/>
        <w:outlineLvl w:val="3"/>
        <w:rPr>
          <w:rFonts w:eastAsia="MS PGothic" w:cs="Calibri"/>
          <w:b/>
          <w:bCs/>
          <w:iCs/>
          <w:color w:val="0070C0"/>
          <w:lang w:val="en-GB" w:eastAsia="zh-CN"/>
        </w:rPr>
      </w:pPr>
      <w:r w:rsidRPr="00D30847">
        <w:rPr>
          <w:rFonts w:eastAsia="MS PGothic" w:cs="Calibri"/>
          <w:b/>
          <w:bCs/>
          <w:iCs/>
          <w:color w:val="0070C0"/>
          <w:lang w:val="en-GB" w:eastAsia="zh-CN"/>
        </w:rPr>
        <w:t xml:space="preserve">Activity 1: </w:t>
      </w:r>
      <w:r w:rsidR="00AB531B" w:rsidRPr="00D30847">
        <w:rPr>
          <w:rFonts w:eastAsia="MS PGothic" w:cs="Calibri"/>
          <w:b/>
          <w:bCs/>
          <w:iCs/>
          <w:color w:val="0070C0"/>
          <w:lang w:val="en-GB" w:eastAsia="zh-CN"/>
        </w:rPr>
        <w:t>Developing an online platform</w:t>
      </w:r>
    </w:p>
    <w:p w14:paraId="22B7DB0C" w14:textId="77777777" w:rsidR="00AB531B" w:rsidRPr="00D30847" w:rsidRDefault="00AB531B" w:rsidP="00D86847">
      <w:pPr>
        <w:spacing w:before="240" w:line="240" w:lineRule="auto"/>
        <w:jc w:val="both"/>
        <w:rPr>
          <w:rFonts w:eastAsia="MS PGothic" w:cs="Calibri"/>
          <w:bCs/>
          <w:iCs/>
          <w:lang w:val="en-GB" w:eastAsia="zh-CN"/>
        </w:rPr>
      </w:pPr>
      <w:bookmarkStart w:id="58" w:name="_Hlk153543107"/>
      <w:r w:rsidRPr="00D30847">
        <w:rPr>
          <w:rFonts w:eastAsia="MS PGothic" w:cs="Calibri"/>
          <w:bCs/>
          <w:iCs/>
          <w:lang w:val="en-GB" w:eastAsia="zh-CN"/>
        </w:rPr>
        <w:t>The aim of this activity is to create a dynamic, accessible and user-friendly online space that offers a wide range of quality educational resources (E-library). This platform will provide users with easy access to training materials and resources, supporting continuous learning and skills development. Designed for compatibility with various smart devices, the platform ensures that users are always up to date with the latest practices in the field of public finance and will also serve as a tool for collaboration, interaction and knowledge sharing.</w:t>
      </w:r>
    </w:p>
    <w:p w14:paraId="63803383" w14:textId="6C7FDAEA" w:rsidR="002428A3" w:rsidRPr="00D30847" w:rsidRDefault="000304CE" w:rsidP="00D86847">
      <w:pPr>
        <w:keepNext/>
        <w:keepLines/>
        <w:spacing w:before="240" w:line="240" w:lineRule="auto"/>
        <w:jc w:val="both"/>
        <w:outlineLvl w:val="3"/>
        <w:rPr>
          <w:rFonts w:eastAsia="MS PGothic" w:cs="Calibri"/>
          <w:b/>
          <w:bCs/>
          <w:iCs/>
          <w:color w:val="0070C0"/>
          <w:lang w:val="en-GB" w:eastAsia="zh-CN"/>
        </w:rPr>
      </w:pPr>
      <w:r w:rsidRPr="00D30847">
        <w:rPr>
          <w:rFonts w:eastAsia="MS PGothic" w:cs="Calibri"/>
          <w:bCs/>
          <w:iCs/>
          <w:lang w:val="en-GB" w:eastAsia="zh-CN"/>
        </w:rPr>
        <w:t xml:space="preserve"> </w:t>
      </w:r>
      <w:bookmarkEnd w:id="58"/>
      <w:r w:rsidR="002428A3" w:rsidRPr="00D30847">
        <w:rPr>
          <w:rFonts w:eastAsia="MS PGothic" w:cs="Calibri"/>
          <w:b/>
          <w:bCs/>
          <w:iCs/>
          <w:color w:val="0070C0"/>
          <w:lang w:val="en-GB" w:eastAsia="zh-CN"/>
        </w:rPr>
        <w:t xml:space="preserve">Activity </w:t>
      </w:r>
      <w:r w:rsidRPr="00D30847">
        <w:rPr>
          <w:rFonts w:eastAsia="MS PGothic" w:cs="Calibri"/>
          <w:b/>
          <w:bCs/>
          <w:iCs/>
          <w:color w:val="0070C0"/>
          <w:lang w:val="en-GB" w:eastAsia="zh-CN"/>
        </w:rPr>
        <w:t>2</w:t>
      </w:r>
      <w:r w:rsidR="002428A3" w:rsidRPr="00D30847">
        <w:rPr>
          <w:rFonts w:eastAsia="MS PGothic" w:cs="Calibri"/>
          <w:b/>
          <w:bCs/>
          <w:iCs/>
          <w:color w:val="0070C0"/>
          <w:lang w:val="en-GB" w:eastAsia="zh-CN"/>
        </w:rPr>
        <w:t xml:space="preserve">: </w:t>
      </w:r>
      <w:r w:rsidR="00AB531B" w:rsidRPr="00D30847">
        <w:rPr>
          <w:rFonts w:eastAsia="MS PGothic" w:cs="Calibri"/>
          <w:b/>
          <w:bCs/>
          <w:iCs/>
          <w:color w:val="0070C0"/>
          <w:lang w:val="en-GB" w:eastAsia="zh-CN"/>
        </w:rPr>
        <w:t>Development of video tutorials and guidelines</w:t>
      </w:r>
    </w:p>
    <w:p w14:paraId="15331077" w14:textId="77777777" w:rsidR="00AB531B" w:rsidRPr="00D30847" w:rsidRDefault="00AB531B" w:rsidP="00D86847">
      <w:pPr>
        <w:spacing w:before="240" w:line="240" w:lineRule="auto"/>
        <w:jc w:val="both"/>
        <w:rPr>
          <w:rFonts w:eastAsia="MS PGothic" w:cs="Calibri"/>
          <w:bCs/>
          <w:iCs/>
          <w:lang w:val="en-GB" w:eastAsia="zh-CN"/>
        </w:rPr>
      </w:pPr>
      <w:r w:rsidRPr="00D30847">
        <w:rPr>
          <w:rFonts w:eastAsia="MS PGothic" w:cs="Calibri"/>
          <w:bCs/>
          <w:iCs/>
          <w:lang w:val="en-GB" w:eastAsia="zh-CN"/>
        </w:rPr>
        <w:t xml:space="preserve">Within this activity, the Public Finance Academy will offer comprehensive video tutorials and step-by-step guidelines </w:t>
      </w:r>
      <w:r w:rsidRPr="00D30847">
        <w:rPr>
          <w:rFonts w:asciiTheme="minorHAnsi" w:eastAsiaTheme="minorHAnsi" w:hAnsiTheme="minorHAnsi" w:cstheme="minorBidi"/>
          <w:lang w:val="en-GB"/>
        </w:rPr>
        <w:t>to equip users with the skills needed for effective use of the online platform</w:t>
      </w:r>
      <w:r w:rsidRPr="00D30847">
        <w:rPr>
          <w:rFonts w:eastAsia="MS PGothic" w:cs="Calibri"/>
          <w:bCs/>
          <w:iCs/>
          <w:lang w:val="en-GB" w:eastAsia="zh-CN"/>
        </w:rPr>
        <w:t>. In this way, the Academy will ensure seamless access, making the platform accessible and easy to use for all users.</w:t>
      </w:r>
    </w:p>
    <w:p w14:paraId="5D66F404" w14:textId="56B8336A" w:rsidR="00AB531B" w:rsidRPr="00D30847" w:rsidRDefault="00AB531B" w:rsidP="00D86847">
      <w:pPr>
        <w:spacing w:before="240" w:line="240" w:lineRule="auto"/>
        <w:jc w:val="both"/>
        <w:rPr>
          <w:rFonts w:eastAsia="MS PGothic" w:cs="Calibri"/>
          <w:b/>
          <w:bCs/>
          <w:iCs/>
          <w:color w:val="0070C0"/>
          <w:lang w:val="en-GB" w:eastAsia="zh-CN"/>
        </w:rPr>
      </w:pPr>
      <w:r w:rsidRPr="00D30847">
        <w:rPr>
          <w:rFonts w:eastAsia="MS PGothic" w:cs="Calibri"/>
          <w:b/>
          <w:bCs/>
          <w:iCs/>
          <w:color w:val="0070C0"/>
          <w:lang w:val="en-GB" w:eastAsia="zh-CN"/>
        </w:rPr>
        <w:t>Activity 3: Organizing online trainings</w:t>
      </w:r>
    </w:p>
    <w:p w14:paraId="53D2553A" w14:textId="73994BE3" w:rsidR="00AB531B" w:rsidRPr="00D30847" w:rsidRDefault="00AB531B" w:rsidP="00D86847">
      <w:pPr>
        <w:spacing w:before="240" w:line="240" w:lineRule="auto"/>
        <w:jc w:val="both"/>
        <w:rPr>
          <w:rFonts w:asciiTheme="minorHAnsi" w:hAnsiTheme="minorHAnsi" w:cstheme="minorHAnsi"/>
          <w:bCs/>
          <w:iCs/>
          <w:lang w:val="en-GB"/>
        </w:rPr>
      </w:pPr>
      <w:r w:rsidRPr="00D30847">
        <w:rPr>
          <w:rFonts w:eastAsia="MS PGothic" w:cs="Calibri"/>
          <w:bCs/>
          <w:iCs/>
          <w:lang w:val="en-GB" w:eastAsia="zh-CN"/>
        </w:rPr>
        <w:t>The aim of this activity is for the Public Finance Academy to organize online trainings that will enable a more accessible approach to learning. Through online trainings on the user-oriented platform, a more flexible and effective approach is ensured for users. This activity will not only simplify the learning process, but will also demonstrate the success of the platform as an important tool for professional development and advancement of knowledge in the field of public finance.</w:t>
      </w:r>
    </w:p>
    <w:p w14:paraId="437D5748" w14:textId="5B013042" w:rsidR="00AB531B" w:rsidRPr="00D30847" w:rsidRDefault="00AB531B" w:rsidP="00D86847">
      <w:pPr>
        <w:spacing w:before="240" w:line="240" w:lineRule="auto"/>
        <w:jc w:val="both"/>
        <w:rPr>
          <w:rFonts w:eastAsia="MS PGothic" w:cs="Calibri"/>
          <w:b/>
          <w:bCs/>
          <w:iCs/>
          <w:color w:val="0070C0"/>
          <w:lang w:val="en-GB" w:eastAsia="zh-CN"/>
        </w:rPr>
      </w:pPr>
      <w:r w:rsidRPr="00D30847">
        <w:rPr>
          <w:rFonts w:eastAsia="MS PGothic" w:cs="Calibri"/>
          <w:b/>
          <w:bCs/>
          <w:iCs/>
          <w:color w:val="0070C0"/>
          <w:lang w:val="en-GB" w:eastAsia="zh-CN"/>
        </w:rPr>
        <w:t>Activity 4: Social Media Presence for Increased Transparency and Education in Public Finance</w:t>
      </w:r>
    </w:p>
    <w:p w14:paraId="036F0081" w14:textId="6679E54E" w:rsidR="00AB531B" w:rsidRPr="00D30847" w:rsidRDefault="00AB531B" w:rsidP="00D86847">
      <w:pPr>
        <w:spacing w:before="240" w:line="240" w:lineRule="auto"/>
        <w:jc w:val="both"/>
        <w:rPr>
          <w:rFonts w:eastAsia="MS PGothic" w:cs="Calibri"/>
          <w:bCs/>
          <w:iCs/>
          <w:lang w:val="en-GB" w:eastAsia="zh-CN"/>
        </w:rPr>
      </w:pPr>
      <w:r w:rsidRPr="00D30847">
        <w:rPr>
          <w:rFonts w:eastAsia="MS PGothic" w:cs="Calibri"/>
          <w:bCs/>
          <w:iCs/>
          <w:lang w:val="en-GB" w:eastAsia="zh-CN"/>
        </w:rPr>
        <w:t>The Public Finance Academy’s presence on social media is of great importance for increasing accessibility and transparency. Social media can serve as powerful tools for sharing knowledge, news, and educational resources on public finance management. Publishing regular blogs or articles on topics in the field of public finance allows for the sharing of expert views, current news and policy changes, and new trends in public finance management. By networking with diverse groups, such as professionals in the field, students, and citizens, the Academy can promote discussions, encourage continuous learning, and develop a community focused on financial accountability and reform. This further allows the Academy to build credibility and position itself as a leader in public finance education.</w:t>
      </w:r>
    </w:p>
    <w:p w14:paraId="2440BCB2" w14:textId="77777777" w:rsidR="008D1B70" w:rsidRPr="00D30847" w:rsidRDefault="008D1B70"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lastRenderedPageBreak/>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8D1B70" w:rsidRPr="00D30847" w14:paraId="71CB4B5F" w14:textId="77777777" w:rsidTr="003A2F75">
        <w:tc>
          <w:tcPr>
            <w:tcW w:w="2518" w:type="dxa"/>
            <w:tcBorders>
              <w:top w:val="nil"/>
              <w:bottom w:val="single" w:sz="4" w:space="0" w:color="FFFFFF"/>
            </w:tcBorders>
            <w:shd w:val="clear" w:color="auto" w:fill="002060"/>
          </w:tcPr>
          <w:p w14:paraId="6293C8C3" w14:textId="77777777" w:rsidR="008D1B70" w:rsidRPr="00D30847" w:rsidRDefault="008D1B70" w:rsidP="00E84CD0">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Completed in year:</w:t>
            </w:r>
            <w:r w:rsidRPr="00D30847">
              <w:rPr>
                <w:rFonts w:eastAsia="Times New Roman" w:cs="Calibri"/>
                <w:b/>
                <w:color w:val="FFFFFF"/>
                <w:sz w:val="20"/>
                <w:szCs w:val="20"/>
                <w:lang w:val="en-GB"/>
              </w:rPr>
              <w:tab/>
            </w:r>
          </w:p>
        </w:tc>
        <w:tc>
          <w:tcPr>
            <w:tcW w:w="6246" w:type="dxa"/>
            <w:tcBorders>
              <w:top w:val="nil"/>
              <w:bottom w:val="single" w:sz="4" w:space="0" w:color="FFFFFF"/>
            </w:tcBorders>
            <w:shd w:val="clear" w:color="auto" w:fill="D9E2F3"/>
          </w:tcPr>
          <w:p w14:paraId="5A89C159" w14:textId="42F0C249" w:rsidR="008D1B70" w:rsidRPr="00D30847" w:rsidRDefault="0014474B" w:rsidP="0014474B">
            <w:pPr>
              <w:tabs>
                <w:tab w:val="left" w:pos="1526"/>
              </w:tabs>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202</w:t>
            </w:r>
            <w:r w:rsidR="00AB531B" w:rsidRPr="00D30847">
              <w:rPr>
                <w:rFonts w:eastAsia="Times New Roman" w:cs="Calibri"/>
                <w:color w:val="202124"/>
                <w:sz w:val="20"/>
                <w:szCs w:val="20"/>
                <w:lang w:val="en-GB"/>
              </w:rPr>
              <w:t>8</w:t>
            </w:r>
          </w:p>
        </w:tc>
      </w:tr>
      <w:tr w:rsidR="008D1B70" w:rsidRPr="00D30847" w14:paraId="6C53A68B" w14:textId="77777777" w:rsidTr="003A2F75">
        <w:tc>
          <w:tcPr>
            <w:tcW w:w="2518" w:type="dxa"/>
            <w:tcBorders>
              <w:top w:val="single" w:sz="4" w:space="0" w:color="FFFFFF"/>
              <w:bottom w:val="single" w:sz="4" w:space="0" w:color="FFFFFF"/>
            </w:tcBorders>
            <w:shd w:val="clear" w:color="auto" w:fill="002060"/>
          </w:tcPr>
          <w:p w14:paraId="1F1765C3" w14:textId="77777777" w:rsidR="008D1B70" w:rsidRPr="00D30847" w:rsidRDefault="008D1B70" w:rsidP="00E84CD0">
            <w:pPr>
              <w:tabs>
                <w:tab w:val="left" w:pos="4219"/>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1D6D5E92" w14:textId="77777777" w:rsidR="00AB531B" w:rsidRPr="00D30847" w:rsidRDefault="00AB531B" w:rsidP="00AB531B">
            <w:pPr>
              <w:tabs>
                <w:tab w:val="left" w:pos="122"/>
              </w:tabs>
              <w:spacing w:after="0" w:line="240" w:lineRule="auto"/>
              <w:contextualSpacing/>
              <w:jc w:val="both"/>
              <w:rPr>
                <w:rFonts w:eastAsia="Times New Roman" w:cstheme="minorHAnsi"/>
                <w:color w:val="202124"/>
                <w:lang w:val="en-GB" w:eastAsia="x-none"/>
              </w:rPr>
            </w:pPr>
            <w:r w:rsidRPr="00D30847">
              <w:rPr>
                <w:rFonts w:eastAsia="Times New Roman" w:cstheme="minorHAnsi"/>
                <w:color w:val="202124"/>
                <w:lang w:val="en-GB" w:eastAsia="x-none"/>
              </w:rPr>
              <w:t>-  Established online platform,</w:t>
            </w:r>
          </w:p>
          <w:p w14:paraId="07D1CDB3" w14:textId="77777777" w:rsidR="00AB531B" w:rsidRPr="00D30847" w:rsidRDefault="00AB531B" w:rsidP="00AB531B">
            <w:pPr>
              <w:tabs>
                <w:tab w:val="left" w:pos="122"/>
              </w:tabs>
              <w:spacing w:after="0" w:line="240" w:lineRule="auto"/>
              <w:contextualSpacing/>
              <w:jc w:val="both"/>
              <w:rPr>
                <w:rFonts w:eastAsia="Times New Roman" w:cstheme="minorHAnsi"/>
                <w:color w:val="202124"/>
                <w:lang w:val="en-GB" w:eastAsia="x-none"/>
              </w:rPr>
            </w:pPr>
            <w:r w:rsidRPr="00D30847">
              <w:rPr>
                <w:rFonts w:eastAsia="Times New Roman" w:cstheme="minorHAnsi"/>
                <w:color w:val="202124"/>
                <w:lang w:val="en-GB" w:eastAsia="x-none"/>
              </w:rPr>
              <w:t>-  developed video tutorials and guidelines,</w:t>
            </w:r>
          </w:p>
          <w:p w14:paraId="16CD0A85" w14:textId="77777777" w:rsidR="00AB531B" w:rsidRPr="00D30847" w:rsidRDefault="00AB531B" w:rsidP="00AB531B">
            <w:pPr>
              <w:tabs>
                <w:tab w:val="left" w:pos="122"/>
              </w:tabs>
              <w:spacing w:after="0" w:line="240" w:lineRule="auto"/>
              <w:contextualSpacing/>
              <w:jc w:val="both"/>
              <w:rPr>
                <w:rFonts w:eastAsia="Times New Roman" w:cstheme="minorHAnsi"/>
                <w:color w:val="202124"/>
                <w:lang w:val="en-GB" w:eastAsia="x-none"/>
              </w:rPr>
            </w:pPr>
            <w:r w:rsidRPr="00D30847">
              <w:rPr>
                <w:rFonts w:eastAsia="Times New Roman" w:cstheme="minorHAnsi"/>
                <w:color w:val="202124"/>
                <w:lang w:val="en-GB" w:eastAsia="x-none"/>
              </w:rPr>
              <w:t>-  organized and implemented online trainings,</w:t>
            </w:r>
          </w:p>
          <w:p w14:paraId="3F925856" w14:textId="0F59595D" w:rsidR="008D1B70" w:rsidRPr="00D30847" w:rsidRDefault="00AB531B" w:rsidP="00555720">
            <w:pPr>
              <w:numPr>
                <w:ilvl w:val="0"/>
                <w:numId w:val="2"/>
              </w:numPr>
              <w:tabs>
                <w:tab w:val="left" w:pos="162"/>
              </w:tabs>
              <w:spacing w:after="0" w:line="240" w:lineRule="auto"/>
              <w:ind w:left="183" w:hanging="183"/>
              <w:contextualSpacing/>
              <w:jc w:val="both"/>
              <w:rPr>
                <w:rFonts w:eastAsia="Times New Roman" w:cs="Calibri"/>
                <w:color w:val="202124"/>
                <w:sz w:val="20"/>
                <w:szCs w:val="20"/>
                <w:lang w:val="en-GB"/>
              </w:rPr>
            </w:pPr>
            <w:r w:rsidRPr="00D30847">
              <w:rPr>
                <w:rFonts w:eastAsia="Times New Roman" w:cstheme="minorHAnsi"/>
                <w:color w:val="202124"/>
                <w:lang w:val="en-GB" w:eastAsia="x-none"/>
              </w:rPr>
              <w:t>established social media presence and published blogs and articles on topics in the field of public finance.</w:t>
            </w:r>
          </w:p>
        </w:tc>
      </w:tr>
      <w:tr w:rsidR="008D1B70" w:rsidRPr="00D30847" w14:paraId="5DC36241" w14:textId="77777777" w:rsidTr="003A2F75">
        <w:tc>
          <w:tcPr>
            <w:tcW w:w="2518" w:type="dxa"/>
            <w:tcBorders>
              <w:top w:val="single" w:sz="4" w:space="0" w:color="FFFFFF"/>
              <w:bottom w:val="single" w:sz="4" w:space="0" w:color="FFFFFF"/>
            </w:tcBorders>
            <w:shd w:val="clear" w:color="auto" w:fill="002060"/>
          </w:tcPr>
          <w:p w14:paraId="60291163" w14:textId="77777777" w:rsidR="008D1B70" w:rsidRPr="00D30847" w:rsidRDefault="008D1B70" w:rsidP="00E84CD0">
            <w:pPr>
              <w:tabs>
                <w:tab w:val="left" w:pos="4219"/>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Cost implications:</w:t>
            </w:r>
          </w:p>
        </w:tc>
        <w:tc>
          <w:tcPr>
            <w:tcW w:w="6246" w:type="dxa"/>
            <w:tcBorders>
              <w:top w:val="single" w:sz="4" w:space="0" w:color="FFFFFF"/>
              <w:bottom w:val="single" w:sz="4" w:space="0" w:color="FFFFFF"/>
            </w:tcBorders>
            <w:shd w:val="clear" w:color="auto" w:fill="D9E2F3"/>
          </w:tcPr>
          <w:p w14:paraId="15C265AD" w14:textId="6399F6C7" w:rsidR="008D1B70" w:rsidRPr="00D30847" w:rsidRDefault="00AB531B" w:rsidP="00E84CD0">
            <w:pPr>
              <w:tabs>
                <w:tab w:val="left" w:pos="1526"/>
              </w:tabs>
              <w:spacing w:after="0" w:line="240" w:lineRule="auto"/>
              <w:jc w:val="both"/>
              <w:rPr>
                <w:rFonts w:eastAsia="Times New Roman" w:cs="Calibri"/>
                <w:color w:val="202124"/>
                <w:sz w:val="20"/>
                <w:szCs w:val="20"/>
                <w:lang w:val="en-GB"/>
              </w:rPr>
            </w:pPr>
            <w:r w:rsidRPr="00D30847">
              <w:rPr>
                <w:rFonts w:eastAsia="Times New Roman" w:cstheme="minorHAnsi"/>
                <w:color w:val="202124"/>
                <w:lang w:val="en-GB" w:eastAsia="x-none"/>
              </w:rPr>
              <w:t>EUR 50.000  (</w:t>
            </w:r>
            <w:r w:rsidR="00762AFA" w:rsidRPr="00D30847">
              <w:rPr>
                <w:rFonts w:eastAsia="Times New Roman" w:cstheme="minorHAnsi"/>
                <w:color w:val="202124"/>
                <w:lang w:val="en-GB" w:eastAsia="x-none"/>
              </w:rPr>
              <w:t xml:space="preserve">Financial gap </w:t>
            </w:r>
            <w:r w:rsidRPr="00D30847">
              <w:rPr>
                <w:rFonts w:eastAsia="Times New Roman" w:cstheme="minorHAnsi"/>
                <w:color w:val="202124"/>
                <w:lang w:val="en-GB" w:eastAsia="x-none"/>
              </w:rPr>
              <w:t>/MoF Budget)</w:t>
            </w:r>
          </w:p>
        </w:tc>
      </w:tr>
      <w:tr w:rsidR="008D1B70" w:rsidRPr="00D30847" w14:paraId="174E780D" w14:textId="77777777" w:rsidTr="003A2F75">
        <w:tc>
          <w:tcPr>
            <w:tcW w:w="2518" w:type="dxa"/>
            <w:tcBorders>
              <w:top w:val="single" w:sz="4" w:space="0" w:color="FFFFFF"/>
              <w:bottom w:val="single" w:sz="4" w:space="0" w:color="FFFFFF"/>
            </w:tcBorders>
            <w:shd w:val="clear" w:color="auto" w:fill="002060"/>
          </w:tcPr>
          <w:p w14:paraId="2B9D5199" w14:textId="77777777" w:rsidR="008D1B70" w:rsidRPr="00D30847" w:rsidRDefault="008D1B70" w:rsidP="00E84CD0">
            <w:pPr>
              <w:tabs>
                <w:tab w:val="left" w:pos="4219"/>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Responsible entity:</w:t>
            </w:r>
          </w:p>
        </w:tc>
        <w:tc>
          <w:tcPr>
            <w:tcW w:w="6246" w:type="dxa"/>
            <w:tcBorders>
              <w:top w:val="single" w:sz="4" w:space="0" w:color="FFFFFF"/>
              <w:bottom w:val="single" w:sz="4" w:space="0" w:color="FFFFFF"/>
            </w:tcBorders>
            <w:shd w:val="clear" w:color="auto" w:fill="D9E2F3"/>
          </w:tcPr>
          <w:p w14:paraId="4D502955" w14:textId="3CD68680" w:rsidR="008D1B70" w:rsidRPr="00D30847" w:rsidRDefault="00D3676F" w:rsidP="00E84CD0">
            <w:pPr>
              <w:tabs>
                <w:tab w:val="left" w:pos="4219"/>
              </w:tabs>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MoF </w:t>
            </w:r>
          </w:p>
        </w:tc>
      </w:tr>
      <w:tr w:rsidR="008D1B70" w:rsidRPr="00D30847" w14:paraId="126A0C43" w14:textId="77777777" w:rsidTr="003A2F75">
        <w:tc>
          <w:tcPr>
            <w:tcW w:w="2518" w:type="dxa"/>
            <w:tcBorders>
              <w:top w:val="single" w:sz="4" w:space="0" w:color="FFFFFF"/>
              <w:bottom w:val="nil"/>
            </w:tcBorders>
            <w:shd w:val="clear" w:color="auto" w:fill="002060"/>
          </w:tcPr>
          <w:p w14:paraId="386039DA" w14:textId="77777777" w:rsidR="008D1B70" w:rsidRPr="00D30847" w:rsidRDefault="008D1B70" w:rsidP="00E84CD0">
            <w:pPr>
              <w:tabs>
                <w:tab w:val="left" w:pos="4219"/>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Risk:</w:t>
            </w:r>
          </w:p>
        </w:tc>
        <w:tc>
          <w:tcPr>
            <w:tcW w:w="6246" w:type="dxa"/>
            <w:tcBorders>
              <w:top w:val="single" w:sz="4" w:space="0" w:color="FFFFFF"/>
              <w:bottom w:val="nil"/>
            </w:tcBorders>
            <w:shd w:val="clear" w:color="auto" w:fill="D9E2F3"/>
          </w:tcPr>
          <w:p w14:paraId="5E9843B3" w14:textId="54A67EEE" w:rsidR="008D1B70" w:rsidRPr="00D30847" w:rsidRDefault="00AB531B" w:rsidP="00AD2AD5">
            <w:pPr>
              <w:numPr>
                <w:ilvl w:val="0"/>
                <w:numId w:val="46"/>
              </w:numPr>
              <w:tabs>
                <w:tab w:val="left" w:pos="122"/>
              </w:tabs>
              <w:spacing w:after="0" w:line="240" w:lineRule="auto"/>
              <w:ind w:left="317"/>
              <w:contextualSpacing/>
              <w:jc w:val="both"/>
              <w:rPr>
                <w:rFonts w:eastAsia="Times New Roman" w:cs="Calibri"/>
                <w:color w:val="202124"/>
                <w:sz w:val="20"/>
                <w:szCs w:val="20"/>
                <w:lang w:val="en-GB"/>
              </w:rPr>
            </w:pPr>
            <w:r w:rsidRPr="00D30847">
              <w:rPr>
                <w:rFonts w:eastAsia="Times New Roman" w:cstheme="minorHAnsi"/>
                <w:color w:val="202124"/>
                <w:lang w:val="en-GB" w:eastAsia="x-none"/>
              </w:rPr>
              <w:t>Lack of technical support and maintenance, low responsiveness, acceptance and involvement of stakeholders.</w:t>
            </w:r>
          </w:p>
        </w:tc>
      </w:tr>
    </w:tbl>
    <w:p w14:paraId="075CCFF0" w14:textId="52FD9EDE" w:rsidR="002428A3" w:rsidRPr="00D30847" w:rsidRDefault="002428A3" w:rsidP="002428A3">
      <w:pPr>
        <w:spacing w:before="120" w:after="0" w:line="240" w:lineRule="auto"/>
        <w:jc w:val="both"/>
        <w:rPr>
          <w:rFonts w:eastAsia="Times New Roman" w:cs="Calibri"/>
          <w:b/>
          <w:color w:val="C00000"/>
          <w:lang w:val="en-GB"/>
        </w:rPr>
      </w:pPr>
      <w:r w:rsidRPr="00D30847">
        <w:rPr>
          <w:rFonts w:cs="Calibri"/>
          <w:b/>
          <w:bCs/>
          <w:iCs/>
          <w:color w:val="0070C0"/>
          <w:sz w:val="24"/>
          <w:szCs w:val="24"/>
          <w:lang w:val="en-GB"/>
        </w:rPr>
        <w:t>Measure</w:t>
      </w:r>
      <w:r w:rsidR="005E209F" w:rsidRPr="00D30847">
        <w:rPr>
          <w:rFonts w:cs="Calibri"/>
          <w:b/>
          <w:bCs/>
          <w:iCs/>
          <w:color w:val="0070C0"/>
          <w:sz w:val="24"/>
          <w:szCs w:val="24"/>
          <w:lang w:val="en-GB"/>
        </w:rPr>
        <w:t xml:space="preserve"> </w:t>
      </w:r>
      <w:r w:rsidRPr="00D30847">
        <w:rPr>
          <w:rFonts w:cs="Calibri"/>
          <w:b/>
          <w:bCs/>
          <w:iCs/>
          <w:color w:val="0070C0"/>
          <w:sz w:val="24"/>
          <w:szCs w:val="24"/>
          <w:lang w:val="en-GB"/>
        </w:rPr>
        <w:t xml:space="preserve">2: </w:t>
      </w:r>
      <w:r w:rsidR="00AB531B" w:rsidRPr="00D30847">
        <w:rPr>
          <w:rFonts w:cs="Calibri"/>
          <w:b/>
          <w:bCs/>
          <w:i/>
          <w:iCs/>
          <w:color w:val="0070C0"/>
          <w:sz w:val="24"/>
          <w:szCs w:val="24"/>
          <w:lang w:val="en-GB"/>
        </w:rPr>
        <w:t>Developing a program for head servants</w:t>
      </w:r>
      <w:r w:rsidRPr="00D30847">
        <w:rPr>
          <w:rFonts w:eastAsia="Times New Roman" w:cs="Calibri"/>
          <w:b/>
          <w:color w:val="C00000"/>
          <w:lang w:val="en-GB"/>
        </w:rPr>
        <w:tab/>
      </w:r>
    </w:p>
    <w:p w14:paraId="0EA1D5A6" w14:textId="77777777" w:rsidR="002428A3" w:rsidRPr="00D30847" w:rsidRDefault="002428A3" w:rsidP="002428A3">
      <w:pPr>
        <w:keepNext/>
        <w:keepLines/>
        <w:spacing w:before="160" w:after="60" w:line="240" w:lineRule="auto"/>
        <w:jc w:val="both"/>
        <w:outlineLvl w:val="3"/>
        <w:rPr>
          <w:rFonts w:cs="Calibri"/>
          <w:b/>
          <w:bCs/>
          <w:i/>
          <w:iCs/>
          <w:color w:val="4F81BD"/>
          <w:lang w:val="en-GB"/>
        </w:rPr>
      </w:pPr>
      <w:r w:rsidRPr="00D30847">
        <w:rPr>
          <w:rFonts w:cs="Calibri"/>
          <w:b/>
          <w:bCs/>
          <w:i/>
          <w:iCs/>
          <w:color w:val="4F81BD"/>
          <w:lang w:val="en-GB"/>
        </w:rPr>
        <w:t>Measure Objective</w:t>
      </w:r>
    </w:p>
    <w:p w14:paraId="67DEB07B" w14:textId="77777777" w:rsidR="00AB531B" w:rsidRPr="00D30847" w:rsidRDefault="00AB531B" w:rsidP="00AB531B">
      <w:pPr>
        <w:spacing w:after="0" w:line="240" w:lineRule="auto"/>
        <w:jc w:val="both"/>
        <w:rPr>
          <w:rFonts w:cs="Calibri"/>
          <w:bCs/>
          <w:iCs/>
          <w:sz w:val="24"/>
          <w:szCs w:val="24"/>
          <w:lang w:val="en-GB"/>
        </w:rPr>
      </w:pPr>
      <w:r w:rsidRPr="00D30847">
        <w:rPr>
          <w:rFonts w:cs="Calibri"/>
          <w:bCs/>
          <w:iCs/>
          <w:sz w:val="24"/>
          <w:szCs w:val="24"/>
          <w:lang w:val="en-GB"/>
        </w:rPr>
        <w:t>The aim of this measure is to develop a comprehensive program for head servants that offers specialized training to improve competencies in the field of public finance.</w:t>
      </w:r>
    </w:p>
    <w:p w14:paraId="6FF9D70C" w14:textId="77777777" w:rsidR="002428A3" w:rsidRPr="00D30847" w:rsidRDefault="002428A3" w:rsidP="002428A3">
      <w:pPr>
        <w:spacing w:after="0" w:line="240" w:lineRule="auto"/>
        <w:jc w:val="both"/>
        <w:rPr>
          <w:rFonts w:cs="Calibri"/>
          <w:b/>
          <w:bCs/>
          <w:i/>
          <w:iCs/>
          <w:color w:val="4F81BD"/>
          <w:lang w:val="en-GB"/>
        </w:rPr>
      </w:pPr>
    </w:p>
    <w:p w14:paraId="5EBBDA5F" w14:textId="77777777" w:rsidR="002428A3" w:rsidRPr="00D30847" w:rsidRDefault="002428A3" w:rsidP="002428A3">
      <w:pPr>
        <w:spacing w:after="0" w:line="240" w:lineRule="auto"/>
        <w:jc w:val="both"/>
        <w:rPr>
          <w:rFonts w:cs="Calibri"/>
          <w:b/>
          <w:bCs/>
          <w:i/>
          <w:iCs/>
          <w:color w:val="4F81BD"/>
          <w:lang w:val="en-GB"/>
        </w:rPr>
      </w:pPr>
      <w:r w:rsidRPr="00D30847">
        <w:rPr>
          <w:rFonts w:cs="Calibri"/>
          <w:b/>
          <w:bCs/>
          <w:i/>
          <w:iCs/>
          <w:color w:val="4F81BD"/>
          <w:lang w:val="en-GB"/>
        </w:rPr>
        <w:t>Context/Background</w:t>
      </w:r>
    </w:p>
    <w:p w14:paraId="707A196B" w14:textId="77777777" w:rsidR="00AB531B" w:rsidRPr="00D30847" w:rsidRDefault="00AB531B" w:rsidP="00AB531B">
      <w:pPr>
        <w:spacing w:after="0" w:line="240" w:lineRule="auto"/>
        <w:jc w:val="both"/>
        <w:rPr>
          <w:rFonts w:cs="Calibri"/>
          <w:bCs/>
          <w:iCs/>
          <w:sz w:val="24"/>
          <w:szCs w:val="24"/>
          <w:lang w:val="en-GB"/>
        </w:rPr>
      </w:pPr>
      <w:r w:rsidRPr="00D30847">
        <w:rPr>
          <w:rFonts w:cs="Calibri"/>
          <w:bCs/>
          <w:iCs/>
          <w:sz w:val="24"/>
          <w:szCs w:val="24"/>
          <w:lang w:val="en-GB"/>
        </w:rPr>
        <w:t>The development of a specialized program for head servants in public finance is crucial for enhancing competencies and efficiency in public finance management. In conditions of rapid changes in the economy and policies, the need for professional and qualified head servants in the public sector is increasing. The program will enable head servants to acquire advanced knowledge and skills for effective budget management, financial planning and application of international standards. This will improve transparency, accountability and efficiency in public finances, ensuring stability and responsibility in the public sector.</w:t>
      </w:r>
    </w:p>
    <w:p w14:paraId="355CC00D" w14:textId="77777777" w:rsidR="002428A3" w:rsidRPr="00D30847" w:rsidRDefault="002428A3" w:rsidP="002428A3">
      <w:pPr>
        <w:spacing w:after="0" w:line="240" w:lineRule="auto"/>
        <w:jc w:val="both"/>
        <w:rPr>
          <w:rFonts w:cs="Calibri"/>
          <w:b/>
          <w:bCs/>
          <w:i/>
          <w:iCs/>
          <w:color w:val="0070C0"/>
          <w:lang w:val="en-GB"/>
        </w:rPr>
      </w:pPr>
    </w:p>
    <w:p w14:paraId="409F8A85" w14:textId="64BDD41E" w:rsidR="002428A3" w:rsidRPr="00D30847" w:rsidRDefault="002428A3" w:rsidP="002428A3">
      <w:pPr>
        <w:spacing w:after="0" w:line="240" w:lineRule="auto"/>
        <w:jc w:val="both"/>
        <w:rPr>
          <w:rFonts w:cs="Calibri"/>
          <w:b/>
          <w:bCs/>
          <w:iCs/>
          <w:color w:val="0070C0"/>
          <w:lang w:val="en-GB"/>
        </w:rPr>
      </w:pPr>
      <w:r w:rsidRPr="00D30847">
        <w:rPr>
          <w:rFonts w:cs="Calibri"/>
          <w:b/>
          <w:bCs/>
          <w:iCs/>
          <w:color w:val="0070C0"/>
          <w:lang w:val="en-GB"/>
        </w:rPr>
        <w:t xml:space="preserve">Activity 1: </w:t>
      </w:r>
      <w:r w:rsidR="00AB531B" w:rsidRPr="00D30847">
        <w:rPr>
          <w:rFonts w:cs="Calibri"/>
          <w:b/>
          <w:bCs/>
          <w:iCs/>
          <w:color w:val="0070C0"/>
          <w:lang w:val="en-GB"/>
        </w:rPr>
        <w:t>Developing a methodology for preparing an annual training program</w:t>
      </w:r>
    </w:p>
    <w:p w14:paraId="3073E49B" w14:textId="32F2C830" w:rsidR="00E917C2" w:rsidRPr="00D30847" w:rsidRDefault="00E917C2" w:rsidP="00E917C2">
      <w:pPr>
        <w:spacing w:after="0" w:line="240" w:lineRule="auto"/>
        <w:jc w:val="both"/>
        <w:rPr>
          <w:rFonts w:eastAsia="MS PGothic" w:cs="Calibri"/>
          <w:bCs/>
          <w:iCs/>
          <w:lang w:val="en-GB" w:eastAsia="zh-CN"/>
        </w:rPr>
      </w:pPr>
      <w:r w:rsidRPr="00D30847">
        <w:rPr>
          <w:rFonts w:asciiTheme="minorHAnsi" w:eastAsiaTheme="minorHAnsi" w:hAnsiTheme="minorHAnsi" w:cstheme="minorBidi"/>
          <w:lang w:val="en-GB"/>
        </w:rPr>
        <w:t xml:space="preserve">As part of this activity, the Public Finance Academy will develop a comprehensive methodology for creating the annual training program, which will be aimed at </w:t>
      </w:r>
      <w:r w:rsidRPr="00D30847">
        <w:rPr>
          <w:rFonts w:eastAsia="MS PGothic" w:cs="Calibri"/>
          <w:bCs/>
          <w:iCs/>
          <w:lang w:val="en-GB" w:eastAsia="zh-CN"/>
        </w:rPr>
        <w:t xml:space="preserve">head </w:t>
      </w:r>
      <w:r w:rsidR="002F500A" w:rsidRPr="00D30847">
        <w:rPr>
          <w:rFonts w:asciiTheme="minorHAnsi" w:eastAsiaTheme="minorHAnsi" w:hAnsiTheme="minorHAnsi" w:cstheme="minorBidi"/>
          <w:lang w:val="en-GB"/>
        </w:rPr>
        <w:t xml:space="preserve">officials. </w:t>
      </w:r>
      <w:r w:rsidR="002F500A" w:rsidRPr="00D30847">
        <w:rPr>
          <w:rFonts w:eastAsia="MS PGothic" w:cs="Calibri"/>
          <w:bCs/>
          <w:iCs/>
          <w:lang w:val="en-GB" w:eastAsia="zh-CN"/>
        </w:rPr>
        <w:t>This</w:t>
      </w:r>
      <w:r w:rsidRPr="00D30847">
        <w:rPr>
          <w:rFonts w:eastAsia="MS PGothic" w:cs="Calibri"/>
          <w:bCs/>
          <w:iCs/>
          <w:lang w:val="en-GB" w:eastAsia="zh-CN"/>
        </w:rPr>
        <w:t xml:space="preserve"> methodology will enable the effective assessment of a training needs, </w:t>
      </w:r>
      <w:r w:rsidRPr="00D30847">
        <w:rPr>
          <w:rFonts w:asciiTheme="minorHAnsi" w:eastAsiaTheme="minorHAnsi" w:hAnsiTheme="minorHAnsi" w:cstheme="minorBidi"/>
          <w:lang w:val="en-GB"/>
        </w:rPr>
        <w:t>resulting in the creation of an Annual Training Program fully tailored to the needs and challenges faced by head officials.</w:t>
      </w:r>
      <w:r w:rsidRPr="00D30847">
        <w:rPr>
          <w:rFonts w:eastAsia="MS PGothic" w:cs="Calibri"/>
          <w:bCs/>
          <w:iCs/>
          <w:lang w:val="en-GB" w:eastAsia="zh-CN"/>
        </w:rPr>
        <w:t xml:space="preserve"> This process will ensure continuous education and improvement of competencies that are necessary for successful management of public finances.</w:t>
      </w:r>
    </w:p>
    <w:p w14:paraId="2915C024" w14:textId="77777777" w:rsidR="00E917C2" w:rsidRPr="00D30847" w:rsidRDefault="00E917C2" w:rsidP="00E917C2">
      <w:pPr>
        <w:keepNext/>
        <w:keepLines/>
        <w:spacing w:before="160" w:after="60" w:line="240" w:lineRule="auto"/>
        <w:jc w:val="both"/>
        <w:outlineLvl w:val="3"/>
        <w:rPr>
          <w:rFonts w:cs="Calibri"/>
          <w:b/>
          <w:bCs/>
          <w:iCs/>
          <w:color w:val="0070C0"/>
          <w:lang w:val="en-GB"/>
        </w:rPr>
      </w:pPr>
      <w:r w:rsidRPr="00D30847">
        <w:rPr>
          <w:rFonts w:cs="Calibri"/>
          <w:b/>
          <w:bCs/>
          <w:iCs/>
          <w:color w:val="0070C0"/>
          <w:lang w:val="en-GB"/>
        </w:rPr>
        <w:t>Activity 2: Organizing trainings</w:t>
      </w:r>
    </w:p>
    <w:p w14:paraId="410667FF" w14:textId="77777777" w:rsidR="00E917C2" w:rsidRPr="00D30847" w:rsidRDefault="00E917C2" w:rsidP="00E917C2">
      <w:pPr>
        <w:keepNext/>
        <w:keepLines/>
        <w:spacing w:before="160" w:after="60" w:line="240" w:lineRule="auto"/>
        <w:jc w:val="both"/>
        <w:outlineLvl w:val="3"/>
        <w:rPr>
          <w:rFonts w:eastAsia="MS PGothic" w:cs="Calibri"/>
          <w:bCs/>
          <w:iCs/>
          <w:lang w:val="en-GB" w:eastAsia="zh-CN"/>
        </w:rPr>
      </w:pPr>
      <w:r w:rsidRPr="00D30847">
        <w:rPr>
          <w:rFonts w:eastAsia="MS PGothic" w:cs="Calibri"/>
          <w:bCs/>
          <w:iCs/>
          <w:lang w:val="en-GB" w:eastAsia="zh-CN"/>
        </w:rPr>
        <w:t>The aim of this activity is for the Public Finance Academy to implement trainings focused at strengthening human capacities. These trainings will concentrate on improving skills and competencies in the field of public finance that are necessary for head servants. By acquiring new knowledge and applying appropriate tools, the quality of public finance management will be improved, which will contribute to a more efficient and accountable functioning of the public sector.</w:t>
      </w:r>
    </w:p>
    <w:p w14:paraId="229DBF9D" w14:textId="77777777" w:rsidR="008D1B70" w:rsidRPr="00D30847" w:rsidRDefault="008D1B70" w:rsidP="00E84CD0">
      <w:pPr>
        <w:keepNext/>
        <w:keepLines/>
        <w:spacing w:before="160" w:after="60" w:line="240" w:lineRule="auto"/>
        <w:jc w:val="both"/>
        <w:outlineLvl w:val="3"/>
        <w:rPr>
          <w:rFonts w:cs="Calibri"/>
          <w:b/>
          <w:bCs/>
          <w:i/>
          <w:iCs/>
          <w:color w:val="4F81BD"/>
          <w:lang w:val="en-GB"/>
        </w:rPr>
      </w:pPr>
      <w:r w:rsidRPr="00D30847">
        <w:rPr>
          <w:rFonts w:cs="Calibri"/>
          <w:b/>
          <w:bCs/>
          <w:i/>
          <w:iCs/>
          <w:color w:val="4F81BD"/>
          <w:lang w:val="en-GB"/>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8D1B70" w:rsidRPr="00D30847" w14:paraId="5486357D" w14:textId="77777777" w:rsidTr="003A2F75">
        <w:tc>
          <w:tcPr>
            <w:tcW w:w="2518" w:type="dxa"/>
            <w:tcBorders>
              <w:top w:val="nil"/>
              <w:bottom w:val="single" w:sz="4" w:space="0" w:color="FFFFFF"/>
            </w:tcBorders>
            <w:shd w:val="clear" w:color="auto" w:fill="002060"/>
          </w:tcPr>
          <w:p w14:paraId="18CCAF7F" w14:textId="77777777" w:rsidR="008D1B70" w:rsidRPr="00D30847" w:rsidRDefault="008D1B70" w:rsidP="00E84CD0">
            <w:pPr>
              <w:tabs>
                <w:tab w:val="left" w:pos="1526"/>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Completed in year:</w:t>
            </w:r>
            <w:r w:rsidRPr="00D30847">
              <w:rPr>
                <w:rFonts w:eastAsia="Times New Roman" w:cs="Calibri"/>
                <w:b/>
                <w:color w:val="FFFFFF"/>
                <w:sz w:val="20"/>
                <w:szCs w:val="20"/>
                <w:lang w:val="en-GB"/>
              </w:rPr>
              <w:tab/>
            </w:r>
          </w:p>
        </w:tc>
        <w:tc>
          <w:tcPr>
            <w:tcW w:w="6246" w:type="dxa"/>
            <w:tcBorders>
              <w:top w:val="nil"/>
              <w:bottom w:val="single" w:sz="4" w:space="0" w:color="FFFFFF"/>
            </w:tcBorders>
            <w:shd w:val="clear" w:color="auto" w:fill="D9E2F3"/>
          </w:tcPr>
          <w:p w14:paraId="7F755D38" w14:textId="52AD2115" w:rsidR="008D1B70" w:rsidRPr="00D30847" w:rsidRDefault="008D1B70" w:rsidP="00E84CD0">
            <w:pPr>
              <w:tabs>
                <w:tab w:val="left" w:pos="1526"/>
              </w:tabs>
              <w:spacing w:after="0" w:line="240" w:lineRule="auto"/>
              <w:jc w:val="both"/>
              <w:rPr>
                <w:rFonts w:eastAsia="Times New Roman" w:cs="Calibri"/>
                <w:color w:val="202124"/>
                <w:lang w:val="en-GB"/>
              </w:rPr>
            </w:pPr>
            <w:r w:rsidRPr="00D30847">
              <w:rPr>
                <w:rFonts w:eastAsia="Times New Roman" w:cs="Calibri"/>
                <w:color w:val="202124"/>
                <w:lang w:val="en-GB"/>
              </w:rPr>
              <w:t>202</w:t>
            </w:r>
            <w:r w:rsidR="00E917C2" w:rsidRPr="00D30847">
              <w:rPr>
                <w:rFonts w:eastAsia="Times New Roman" w:cs="Calibri"/>
                <w:color w:val="202124"/>
                <w:lang w:val="en-GB"/>
              </w:rPr>
              <w:t>8</w:t>
            </w:r>
          </w:p>
        </w:tc>
      </w:tr>
      <w:tr w:rsidR="008D1B70" w:rsidRPr="00D30847" w14:paraId="36A51EB8" w14:textId="77777777" w:rsidTr="003A2F75">
        <w:tc>
          <w:tcPr>
            <w:tcW w:w="2518" w:type="dxa"/>
            <w:tcBorders>
              <w:top w:val="single" w:sz="4" w:space="0" w:color="FFFFFF"/>
              <w:bottom w:val="single" w:sz="4" w:space="0" w:color="FFFFFF"/>
            </w:tcBorders>
            <w:shd w:val="clear" w:color="auto" w:fill="002060"/>
          </w:tcPr>
          <w:p w14:paraId="3BBED7E6" w14:textId="77777777" w:rsidR="008D1B70" w:rsidRPr="00D30847" w:rsidRDefault="008D1B70" w:rsidP="00E84CD0">
            <w:pPr>
              <w:tabs>
                <w:tab w:val="left" w:pos="4219"/>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1EFD385E" w14:textId="77777777" w:rsidR="00E917C2" w:rsidRPr="00D30847" w:rsidRDefault="00E917C2" w:rsidP="00E917C2">
            <w:pPr>
              <w:tabs>
                <w:tab w:val="left" w:pos="1526"/>
              </w:tabs>
              <w:spacing w:after="0" w:line="240" w:lineRule="auto"/>
              <w:jc w:val="both"/>
              <w:rPr>
                <w:rFonts w:cstheme="minorHAnsi"/>
                <w:lang w:val="en-GB"/>
              </w:rPr>
            </w:pPr>
            <w:r w:rsidRPr="00D30847">
              <w:rPr>
                <w:rFonts w:cstheme="minorHAnsi"/>
                <w:lang w:val="en-GB"/>
              </w:rPr>
              <w:t>- Methodology for preparing an annual training program</w:t>
            </w:r>
          </w:p>
          <w:p w14:paraId="236D6414" w14:textId="649B23F4" w:rsidR="008D1B70" w:rsidRPr="00D30847" w:rsidRDefault="00E917C2" w:rsidP="00E95EE5">
            <w:pPr>
              <w:tabs>
                <w:tab w:val="left" w:pos="1526"/>
              </w:tabs>
              <w:spacing w:after="0" w:line="240" w:lineRule="auto"/>
              <w:jc w:val="both"/>
              <w:rPr>
                <w:rFonts w:cstheme="minorHAnsi"/>
                <w:lang w:val="en-GB"/>
              </w:rPr>
            </w:pPr>
            <w:r w:rsidRPr="00D30847">
              <w:rPr>
                <w:rFonts w:cstheme="minorHAnsi"/>
                <w:lang w:val="en-GB"/>
              </w:rPr>
              <w:t>- Organized and implemented training for head servants</w:t>
            </w:r>
          </w:p>
        </w:tc>
      </w:tr>
      <w:tr w:rsidR="008D1B70" w:rsidRPr="00D30847" w14:paraId="6AA90E45" w14:textId="77777777" w:rsidTr="003A2F75">
        <w:tc>
          <w:tcPr>
            <w:tcW w:w="2518" w:type="dxa"/>
            <w:tcBorders>
              <w:top w:val="single" w:sz="4" w:space="0" w:color="FFFFFF"/>
              <w:bottom w:val="single" w:sz="4" w:space="0" w:color="FFFFFF"/>
            </w:tcBorders>
            <w:shd w:val="clear" w:color="auto" w:fill="002060"/>
          </w:tcPr>
          <w:p w14:paraId="77984F4F" w14:textId="6584E755" w:rsidR="008D1B70" w:rsidRPr="00D30847" w:rsidRDefault="008D1B70" w:rsidP="00E84CD0">
            <w:pPr>
              <w:tabs>
                <w:tab w:val="left" w:pos="4219"/>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Cost implications:</w:t>
            </w:r>
          </w:p>
        </w:tc>
        <w:tc>
          <w:tcPr>
            <w:tcW w:w="6246" w:type="dxa"/>
            <w:tcBorders>
              <w:top w:val="single" w:sz="4" w:space="0" w:color="FFFFFF"/>
              <w:bottom w:val="single" w:sz="4" w:space="0" w:color="FFFFFF"/>
            </w:tcBorders>
            <w:shd w:val="clear" w:color="auto" w:fill="D9E2F3"/>
          </w:tcPr>
          <w:p w14:paraId="29277B11" w14:textId="758C7A62" w:rsidR="008D1B70" w:rsidRPr="00D30847" w:rsidRDefault="000304CE" w:rsidP="00E84CD0">
            <w:pPr>
              <w:tabs>
                <w:tab w:val="left" w:pos="1526"/>
              </w:tabs>
              <w:spacing w:after="0" w:line="240" w:lineRule="auto"/>
              <w:jc w:val="both"/>
              <w:rPr>
                <w:rFonts w:eastAsia="Times New Roman" w:cs="Calibri"/>
                <w:color w:val="202124"/>
                <w:lang w:val="en-GB"/>
              </w:rPr>
            </w:pPr>
            <w:r w:rsidRPr="00D30847">
              <w:rPr>
                <w:rFonts w:eastAsia="Times New Roman" w:cs="Calibri"/>
                <w:lang w:val="en-GB"/>
              </w:rPr>
              <w:t xml:space="preserve">EUR </w:t>
            </w:r>
            <w:r w:rsidR="00E917C2" w:rsidRPr="00D30847">
              <w:rPr>
                <w:rFonts w:eastAsia="Times New Roman" w:cs="Calibri"/>
                <w:lang w:val="en-GB"/>
              </w:rPr>
              <w:t>1</w:t>
            </w:r>
            <w:r w:rsidRPr="00D30847">
              <w:rPr>
                <w:rFonts w:eastAsia="Times New Roman" w:cs="Calibri"/>
                <w:lang w:val="en-GB"/>
              </w:rPr>
              <w:t xml:space="preserve">0.000 </w:t>
            </w:r>
            <w:r w:rsidR="00E917C2" w:rsidRPr="00D30847">
              <w:rPr>
                <w:rFonts w:eastAsia="Times New Roman" w:cstheme="minorHAnsi"/>
                <w:lang w:val="en-GB" w:eastAsia="x-none"/>
              </w:rPr>
              <w:t>(</w:t>
            </w:r>
            <w:r w:rsidR="00F826DE" w:rsidRPr="00D30847">
              <w:rPr>
                <w:rFonts w:eastAsia="Times New Roman" w:cstheme="minorHAnsi"/>
                <w:lang w:val="en-GB" w:eastAsia="x-none"/>
              </w:rPr>
              <w:t>Financial gap</w:t>
            </w:r>
            <w:r w:rsidR="00E917C2" w:rsidRPr="00D30847">
              <w:rPr>
                <w:rFonts w:eastAsia="Times New Roman" w:cstheme="minorHAnsi"/>
                <w:lang w:val="en-GB" w:eastAsia="x-none"/>
              </w:rPr>
              <w:t>/MoF budget)</w:t>
            </w:r>
            <w:r w:rsidR="00E917C2" w:rsidRPr="00D30847">
              <w:rPr>
                <w:rFonts w:eastAsia="Times New Roman" w:cs="Calibri"/>
                <w:lang w:val="en-GB"/>
              </w:rPr>
              <w:t xml:space="preserve"> </w:t>
            </w:r>
          </w:p>
        </w:tc>
      </w:tr>
      <w:tr w:rsidR="008D1B70" w:rsidRPr="00D30847" w14:paraId="5D5D9281" w14:textId="77777777" w:rsidTr="003A2F75">
        <w:tc>
          <w:tcPr>
            <w:tcW w:w="2518" w:type="dxa"/>
            <w:tcBorders>
              <w:top w:val="single" w:sz="4" w:space="0" w:color="FFFFFF"/>
              <w:bottom w:val="single" w:sz="4" w:space="0" w:color="FFFFFF"/>
            </w:tcBorders>
            <w:shd w:val="clear" w:color="auto" w:fill="002060"/>
          </w:tcPr>
          <w:p w14:paraId="729557C3" w14:textId="2AC01C29" w:rsidR="008D1B70" w:rsidRPr="00D30847" w:rsidRDefault="00514D12" w:rsidP="00E84CD0">
            <w:pPr>
              <w:tabs>
                <w:tab w:val="left" w:pos="4219"/>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Responsible</w:t>
            </w:r>
            <w:r w:rsidR="008D1B70" w:rsidRPr="00D30847">
              <w:rPr>
                <w:rFonts w:eastAsia="Times New Roman" w:cs="Calibri"/>
                <w:b/>
                <w:color w:val="FFFFFF"/>
                <w:sz w:val="20"/>
                <w:szCs w:val="20"/>
                <w:lang w:val="en-GB"/>
              </w:rPr>
              <w:t xml:space="preserve"> entity:</w:t>
            </w:r>
          </w:p>
        </w:tc>
        <w:tc>
          <w:tcPr>
            <w:tcW w:w="6246" w:type="dxa"/>
            <w:tcBorders>
              <w:top w:val="single" w:sz="4" w:space="0" w:color="FFFFFF"/>
              <w:bottom w:val="single" w:sz="4" w:space="0" w:color="FFFFFF"/>
            </w:tcBorders>
            <w:shd w:val="clear" w:color="auto" w:fill="D9E2F3"/>
          </w:tcPr>
          <w:p w14:paraId="6654C6DA" w14:textId="57A005DE" w:rsidR="008D1B70" w:rsidRPr="00D30847" w:rsidRDefault="00D3676F" w:rsidP="00E84CD0">
            <w:pPr>
              <w:tabs>
                <w:tab w:val="left" w:pos="4219"/>
              </w:tabs>
              <w:spacing w:after="0" w:line="240" w:lineRule="auto"/>
              <w:jc w:val="both"/>
              <w:rPr>
                <w:rFonts w:eastAsia="Times New Roman" w:cs="Calibri"/>
                <w:color w:val="202124"/>
                <w:lang w:val="en-GB"/>
              </w:rPr>
            </w:pPr>
            <w:r w:rsidRPr="00D30847">
              <w:rPr>
                <w:rFonts w:eastAsia="Times New Roman" w:cs="Calibri"/>
                <w:color w:val="202124"/>
                <w:lang w:val="en-GB"/>
              </w:rPr>
              <w:t xml:space="preserve">MoF </w:t>
            </w:r>
          </w:p>
        </w:tc>
      </w:tr>
      <w:tr w:rsidR="008D1B70" w:rsidRPr="00D30847" w14:paraId="507E17F0" w14:textId="77777777" w:rsidTr="003A2F75">
        <w:tc>
          <w:tcPr>
            <w:tcW w:w="2518" w:type="dxa"/>
            <w:tcBorders>
              <w:top w:val="single" w:sz="4" w:space="0" w:color="FFFFFF"/>
              <w:bottom w:val="nil"/>
            </w:tcBorders>
            <w:shd w:val="clear" w:color="auto" w:fill="002060"/>
          </w:tcPr>
          <w:p w14:paraId="69CA3B9F" w14:textId="77777777" w:rsidR="008D1B70" w:rsidRPr="00D30847" w:rsidRDefault="008D1B70" w:rsidP="00E84CD0">
            <w:pPr>
              <w:tabs>
                <w:tab w:val="left" w:pos="4219"/>
              </w:tabs>
              <w:spacing w:after="0" w:line="240" w:lineRule="auto"/>
              <w:jc w:val="both"/>
              <w:rPr>
                <w:rFonts w:eastAsia="Times New Roman" w:cs="Calibri"/>
                <w:b/>
                <w:color w:val="FFFFFF"/>
                <w:sz w:val="20"/>
                <w:szCs w:val="20"/>
                <w:lang w:val="en-GB"/>
              </w:rPr>
            </w:pPr>
            <w:r w:rsidRPr="00D30847">
              <w:rPr>
                <w:rFonts w:eastAsia="Times New Roman" w:cs="Calibri"/>
                <w:b/>
                <w:color w:val="FFFFFF"/>
                <w:sz w:val="20"/>
                <w:szCs w:val="20"/>
                <w:lang w:val="en-GB"/>
              </w:rPr>
              <w:t>Risk:</w:t>
            </w:r>
          </w:p>
        </w:tc>
        <w:tc>
          <w:tcPr>
            <w:tcW w:w="6246" w:type="dxa"/>
            <w:tcBorders>
              <w:top w:val="single" w:sz="4" w:space="0" w:color="FFFFFF"/>
              <w:bottom w:val="nil"/>
            </w:tcBorders>
            <w:shd w:val="clear" w:color="auto" w:fill="D9E2F3"/>
          </w:tcPr>
          <w:p w14:paraId="0E5E3E06" w14:textId="0249D650" w:rsidR="008D1B70" w:rsidRPr="00D30847" w:rsidRDefault="00E917C2" w:rsidP="00555720">
            <w:pPr>
              <w:numPr>
                <w:ilvl w:val="0"/>
                <w:numId w:val="1"/>
              </w:numPr>
              <w:tabs>
                <w:tab w:val="left" w:pos="183"/>
              </w:tabs>
              <w:spacing w:after="0" w:line="240" w:lineRule="auto"/>
              <w:ind w:left="183" w:hanging="180"/>
              <w:contextualSpacing/>
              <w:jc w:val="both"/>
              <w:rPr>
                <w:rFonts w:eastAsia="Times New Roman" w:cs="Calibri"/>
                <w:color w:val="202124"/>
                <w:lang w:val="en-GB"/>
              </w:rPr>
            </w:pPr>
            <w:r w:rsidRPr="00D30847">
              <w:rPr>
                <w:rFonts w:cstheme="minorHAnsi"/>
                <w:lang w:val="en-GB"/>
              </w:rPr>
              <w:t>Low responsiveness of stakeholders, resistance to new learning styles approach for head servants</w:t>
            </w:r>
          </w:p>
        </w:tc>
      </w:tr>
    </w:tbl>
    <w:p w14:paraId="10692F07" w14:textId="77777777" w:rsidR="008D1B70" w:rsidRPr="00D30847" w:rsidRDefault="008D1B70" w:rsidP="00E84CD0">
      <w:pPr>
        <w:spacing w:after="0" w:line="240" w:lineRule="auto"/>
        <w:ind w:firstLine="720"/>
        <w:jc w:val="both"/>
        <w:rPr>
          <w:rFonts w:cs="Calibri"/>
          <w:color w:val="FF0000"/>
          <w:lang w:val="en-GB"/>
        </w:rPr>
      </w:pPr>
    </w:p>
    <w:p w14:paraId="2A219639" w14:textId="77777777" w:rsidR="00E91268" w:rsidRDefault="00E91268" w:rsidP="002428A3">
      <w:pPr>
        <w:spacing w:before="120" w:after="0" w:line="240" w:lineRule="auto"/>
        <w:jc w:val="both"/>
        <w:rPr>
          <w:rFonts w:cs="Calibri"/>
          <w:b/>
          <w:bCs/>
          <w:iCs/>
          <w:color w:val="0070C0"/>
          <w:sz w:val="24"/>
          <w:szCs w:val="24"/>
          <w:lang w:val="en-GB"/>
        </w:rPr>
      </w:pPr>
    </w:p>
    <w:p w14:paraId="2E3DD50B" w14:textId="2F249980" w:rsidR="002428A3" w:rsidRPr="00D30847" w:rsidRDefault="002428A3" w:rsidP="002428A3">
      <w:pPr>
        <w:spacing w:before="120" w:after="0" w:line="240" w:lineRule="auto"/>
        <w:jc w:val="both"/>
        <w:rPr>
          <w:rFonts w:cs="Calibri"/>
          <w:b/>
          <w:bCs/>
          <w:iCs/>
          <w:color w:val="0070C0"/>
          <w:sz w:val="24"/>
          <w:szCs w:val="24"/>
          <w:lang w:val="en-GB"/>
        </w:rPr>
      </w:pPr>
      <w:r w:rsidRPr="00D30847">
        <w:rPr>
          <w:rFonts w:cs="Calibri"/>
          <w:b/>
          <w:bCs/>
          <w:iCs/>
          <w:color w:val="0070C0"/>
          <w:sz w:val="24"/>
          <w:szCs w:val="24"/>
          <w:lang w:val="en-GB"/>
        </w:rPr>
        <w:lastRenderedPageBreak/>
        <w:t>Measure</w:t>
      </w:r>
      <w:r w:rsidR="005E209F" w:rsidRPr="00D30847">
        <w:rPr>
          <w:rFonts w:cs="Calibri"/>
          <w:b/>
          <w:bCs/>
          <w:iCs/>
          <w:color w:val="0070C0"/>
          <w:sz w:val="24"/>
          <w:szCs w:val="24"/>
          <w:lang w:val="en-GB"/>
        </w:rPr>
        <w:t xml:space="preserve"> </w:t>
      </w:r>
      <w:r w:rsidRPr="00D30847">
        <w:rPr>
          <w:rFonts w:cs="Calibri"/>
          <w:b/>
          <w:bCs/>
          <w:iCs/>
          <w:color w:val="0070C0"/>
          <w:sz w:val="24"/>
          <w:szCs w:val="24"/>
          <w:lang w:val="en-GB"/>
        </w:rPr>
        <w:t xml:space="preserve">3: </w:t>
      </w:r>
      <w:r w:rsidR="00387A8E" w:rsidRPr="00D30847">
        <w:rPr>
          <w:rFonts w:cs="Calibri"/>
          <w:b/>
          <w:bCs/>
          <w:iCs/>
          <w:color w:val="0070C0"/>
          <w:sz w:val="24"/>
          <w:szCs w:val="24"/>
          <w:lang w:val="en-GB"/>
        </w:rPr>
        <w:t>Involvement of stakeholders and the public</w:t>
      </w:r>
    </w:p>
    <w:p w14:paraId="1522D500" w14:textId="77777777" w:rsidR="002428A3" w:rsidRPr="00D30847" w:rsidRDefault="002428A3" w:rsidP="002428A3">
      <w:pPr>
        <w:keepNext/>
        <w:keepLines/>
        <w:spacing w:before="160" w:after="60" w:line="240" w:lineRule="auto"/>
        <w:jc w:val="both"/>
        <w:outlineLvl w:val="3"/>
        <w:rPr>
          <w:rFonts w:cs="Calibri"/>
          <w:b/>
          <w:bCs/>
          <w:i/>
          <w:iCs/>
          <w:color w:val="4F81BD"/>
          <w:lang w:val="en-GB"/>
        </w:rPr>
      </w:pPr>
      <w:r w:rsidRPr="00D30847">
        <w:rPr>
          <w:rFonts w:cs="Calibri"/>
          <w:b/>
          <w:bCs/>
          <w:i/>
          <w:iCs/>
          <w:color w:val="4F81BD"/>
          <w:lang w:val="en-GB"/>
        </w:rPr>
        <w:t>Measure Objective</w:t>
      </w:r>
    </w:p>
    <w:p w14:paraId="0C69B82D" w14:textId="36AB955A" w:rsidR="002428A3" w:rsidRPr="00D30847" w:rsidRDefault="003C4E43" w:rsidP="00B739E8">
      <w:pPr>
        <w:spacing w:after="160" w:line="240" w:lineRule="auto"/>
        <w:jc w:val="both"/>
        <w:rPr>
          <w:rFonts w:asciiTheme="minorHAnsi" w:eastAsiaTheme="minorHAnsi" w:hAnsiTheme="minorHAnsi" w:cs="Calibri"/>
          <w:lang w:val="en-GB" w:eastAsia="zh-CN"/>
        </w:rPr>
      </w:pPr>
      <w:r w:rsidRPr="00D30847">
        <w:rPr>
          <w:rFonts w:asciiTheme="minorHAnsi" w:eastAsiaTheme="minorHAnsi" w:hAnsiTheme="minorHAnsi" w:cs="Calibri"/>
          <w:lang w:val="en-GB" w:eastAsia="zh-CN"/>
        </w:rPr>
        <w:t xml:space="preserve">The objective of community engagement and outreach is to foster inclusive participation, build public trust, and enhance the transparency and accountability in public finances. </w:t>
      </w:r>
    </w:p>
    <w:p w14:paraId="4ECB4FD1" w14:textId="77777777" w:rsidR="002428A3" w:rsidRPr="00D30847" w:rsidRDefault="002428A3" w:rsidP="002428A3">
      <w:pPr>
        <w:spacing w:after="0" w:line="240" w:lineRule="auto"/>
        <w:jc w:val="both"/>
        <w:rPr>
          <w:rFonts w:cs="Calibri"/>
          <w:b/>
          <w:bCs/>
          <w:i/>
          <w:iCs/>
          <w:color w:val="4F81BD"/>
          <w:lang w:val="en-GB"/>
        </w:rPr>
      </w:pPr>
      <w:r w:rsidRPr="00D30847">
        <w:rPr>
          <w:rFonts w:cs="Calibri"/>
          <w:b/>
          <w:bCs/>
          <w:i/>
          <w:iCs/>
          <w:color w:val="4F81BD"/>
          <w:lang w:val="en-GB"/>
        </w:rPr>
        <w:t>Context/Background</w:t>
      </w:r>
    </w:p>
    <w:p w14:paraId="68C1EAFA" w14:textId="77777777" w:rsidR="002428A3" w:rsidRPr="00D30847" w:rsidRDefault="002428A3" w:rsidP="002428A3">
      <w:pPr>
        <w:spacing w:after="0" w:line="240" w:lineRule="auto"/>
        <w:jc w:val="both"/>
        <w:rPr>
          <w:rFonts w:cs="Calibri"/>
          <w:b/>
          <w:bCs/>
          <w:i/>
          <w:iCs/>
          <w:color w:val="4F81BD"/>
          <w:lang w:val="en-GB"/>
        </w:rPr>
      </w:pPr>
    </w:p>
    <w:p w14:paraId="0EF4610E" w14:textId="73517B34" w:rsidR="002F500A" w:rsidRPr="00E91268" w:rsidRDefault="003C4E43" w:rsidP="00E91268">
      <w:pPr>
        <w:spacing w:after="160" w:line="240" w:lineRule="auto"/>
        <w:jc w:val="both"/>
        <w:rPr>
          <w:rFonts w:asciiTheme="minorHAnsi" w:eastAsiaTheme="minorHAnsi" w:hAnsiTheme="minorHAnsi" w:cs="Calibri"/>
          <w:b/>
          <w:color w:val="2F5496"/>
          <w:lang w:val="en-GB" w:eastAsia="zh-CN"/>
        </w:rPr>
      </w:pPr>
      <w:r w:rsidRPr="00D30847">
        <w:rPr>
          <w:rFonts w:asciiTheme="minorHAnsi" w:eastAsiaTheme="minorHAnsi" w:hAnsiTheme="minorHAnsi" w:cstheme="minorBidi"/>
          <w:lang w:val="en-GB"/>
        </w:rPr>
        <w:t>The Public Finance Academy seeks to foster an open and constructive dialogue among the public, government, and all relevant stakeholders to enhance communication and understanding of fiscal policies. By actively engaging stakeholders and the public, this measure aims to increase awareness of the significance of public finances, collect valuable feedback, and promote a shared sense of responsibility in the management of financial resources. This approach will strengthen transparency, accountability, and effectiveness in decision-making processes, contributing to the sustainable economic development of the country.</w:t>
      </w:r>
    </w:p>
    <w:p w14:paraId="769494F1" w14:textId="0F6E20FE" w:rsidR="002428A3" w:rsidRPr="00D30847" w:rsidRDefault="002428A3" w:rsidP="000304CE">
      <w:pPr>
        <w:spacing w:after="0" w:line="240" w:lineRule="auto"/>
        <w:jc w:val="both"/>
        <w:rPr>
          <w:rFonts w:cs="Calibri"/>
          <w:b/>
          <w:bCs/>
          <w:iCs/>
          <w:color w:val="0070C0"/>
          <w:lang w:val="en-GB"/>
        </w:rPr>
      </w:pPr>
      <w:r w:rsidRPr="00D30847">
        <w:rPr>
          <w:rFonts w:cs="Calibri"/>
          <w:b/>
          <w:bCs/>
          <w:iCs/>
          <w:color w:val="0070C0"/>
          <w:lang w:val="en-GB"/>
        </w:rPr>
        <w:t xml:space="preserve">Activity 1: </w:t>
      </w:r>
      <w:r w:rsidR="003C4E43" w:rsidRPr="00D30847">
        <w:rPr>
          <w:rFonts w:cs="Calibri"/>
          <w:b/>
          <w:bCs/>
          <w:iCs/>
          <w:color w:val="0070C0"/>
          <w:lang w:val="en-GB"/>
        </w:rPr>
        <w:t>Developing a communication strategy</w:t>
      </w:r>
    </w:p>
    <w:p w14:paraId="3D22C67B" w14:textId="77777777" w:rsidR="000304CE" w:rsidRPr="00D30847" w:rsidRDefault="000304CE" w:rsidP="000304CE">
      <w:pPr>
        <w:spacing w:after="0" w:line="240" w:lineRule="auto"/>
        <w:jc w:val="both"/>
        <w:rPr>
          <w:rFonts w:cs="Calibri"/>
          <w:b/>
          <w:bCs/>
          <w:i/>
          <w:iCs/>
          <w:color w:val="4F81BD"/>
          <w:lang w:val="en-GB"/>
        </w:rPr>
      </w:pPr>
    </w:p>
    <w:p w14:paraId="2B842AF5" w14:textId="1D9A9DB3" w:rsidR="005E209F" w:rsidRPr="00D30847" w:rsidRDefault="003C4E43" w:rsidP="00B739E8">
      <w:pPr>
        <w:spacing w:line="240" w:lineRule="auto"/>
        <w:jc w:val="both"/>
        <w:rPr>
          <w:rFonts w:asciiTheme="minorHAnsi" w:eastAsiaTheme="minorHAnsi" w:hAnsiTheme="minorHAnsi" w:cs="Calibri"/>
          <w:lang w:val="en-GB" w:eastAsia="zh-CN"/>
        </w:rPr>
      </w:pPr>
      <w:r w:rsidRPr="00D30847">
        <w:rPr>
          <w:rFonts w:asciiTheme="minorHAnsi" w:eastAsiaTheme="minorHAnsi" w:hAnsiTheme="minorHAnsi" w:cs="Calibri"/>
          <w:lang w:val="en-GB" w:eastAsia="zh-CN"/>
        </w:rPr>
        <w:t>Developing a communication strategy with a plan is essential for the Public Finance Academy to effectively convey its mission, programs, and impact. A communication strategy ensures consistency in messaging, aligns outreach efforts to enhance accessibility, and facilitates the engagement of target audiences. By establishing clear communication channels, the plan enables the timely dissemination of information, encourages stakeholder participation, and strengthens the Academy's role in fostering knowledge and innovation in public finance. As part of this initiative, a media campaign aimed at raising public awareness will be developed, targeting public sector institutions and the broader community. Such a campaign serves as a self-promotion tool that highlights the Academy's role in enhancing public financial management. Additionally, the creation of promotional materials ensures clear and concise information delivery, making it easier to reach and engage the intended audiences effectively.</w:t>
      </w:r>
    </w:p>
    <w:p w14:paraId="786819C1" w14:textId="41C8AC18" w:rsidR="002428A3" w:rsidRPr="00D30847" w:rsidRDefault="002428A3" w:rsidP="002428A3">
      <w:pPr>
        <w:spacing w:after="0" w:line="240" w:lineRule="auto"/>
        <w:jc w:val="both"/>
        <w:rPr>
          <w:rFonts w:cs="Calibri"/>
          <w:b/>
          <w:bCs/>
          <w:iCs/>
          <w:color w:val="0070C0"/>
          <w:lang w:val="en-GB"/>
        </w:rPr>
      </w:pPr>
      <w:r w:rsidRPr="00D30847">
        <w:rPr>
          <w:rFonts w:cs="Calibri"/>
          <w:b/>
          <w:bCs/>
          <w:iCs/>
          <w:color w:val="0070C0"/>
          <w:lang w:val="en-GB"/>
        </w:rPr>
        <w:t xml:space="preserve">Activity </w:t>
      </w:r>
      <w:r w:rsidR="000304CE" w:rsidRPr="00D30847">
        <w:rPr>
          <w:rFonts w:cs="Calibri"/>
          <w:b/>
          <w:bCs/>
          <w:iCs/>
          <w:color w:val="0070C0"/>
          <w:lang w:val="en-GB"/>
        </w:rPr>
        <w:t>2</w:t>
      </w:r>
      <w:r w:rsidRPr="00D30847">
        <w:rPr>
          <w:rFonts w:cs="Calibri"/>
          <w:b/>
          <w:bCs/>
          <w:iCs/>
          <w:color w:val="0070C0"/>
          <w:lang w:val="en-GB"/>
        </w:rPr>
        <w:t xml:space="preserve">: </w:t>
      </w:r>
      <w:r w:rsidR="00387A8E" w:rsidRPr="00D30847">
        <w:rPr>
          <w:rFonts w:cs="Calibri"/>
          <w:b/>
          <w:bCs/>
          <w:iCs/>
          <w:color w:val="0070C0"/>
          <w:lang w:val="en-GB"/>
        </w:rPr>
        <w:t xml:space="preserve">Annual Meeting "All </w:t>
      </w:r>
      <w:r w:rsidR="009604D1" w:rsidRPr="00D30847">
        <w:rPr>
          <w:rFonts w:cs="Calibri"/>
          <w:b/>
          <w:bCs/>
          <w:iCs/>
          <w:color w:val="0070C0"/>
          <w:lang w:val="en-GB"/>
        </w:rPr>
        <w:t>Unite</w:t>
      </w:r>
      <w:r w:rsidR="00387A8E" w:rsidRPr="00D30847">
        <w:rPr>
          <w:rFonts w:cs="Calibri"/>
          <w:b/>
          <w:bCs/>
          <w:iCs/>
          <w:color w:val="0070C0"/>
          <w:lang w:val="en-GB"/>
        </w:rPr>
        <w:t xml:space="preserve">" </w:t>
      </w:r>
    </w:p>
    <w:p w14:paraId="4B0C8F17" w14:textId="77777777" w:rsidR="002F500A" w:rsidRPr="00D30847" w:rsidRDefault="002F500A" w:rsidP="002428A3">
      <w:pPr>
        <w:spacing w:after="0" w:line="240" w:lineRule="auto"/>
        <w:jc w:val="both"/>
        <w:rPr>
          <w:rFonts w:cs="Calibri"/>
          <w:b/>
          <w:bCs/>
          <w:iCs/>
          <w:color w:val="0070C0"/>
          <w:lang w:val="en-GB"/>
        </w:rPr>
      </w:pPr>
    </w:p>
    <w:p w14:paraId="3C502066" w14:textId="4FA09965" w:rsidR="002428A3" w:rsidRPr="00D30847" w:rsidRDefault="003C4E43" w:rsidP="00B739E8">
      <w:pPr>
        <w:spacing w:after="160" w:line="240" w:lineRule="auto"/>
        <w:jc w:val="both"/>
        <w:rPr>
          <w:rFonts w:asciiTheme="minorHAnsi" w:eastAsiaTheme="minorHAnsi" w:hAnsiTheme="minorHAnsi" w:cstheme="minorBidi"/>
          <w:lang w:val="en-GB"/>
        </w:rPr>
      </w:pPr>
      <w:r w:rsidRPr="00D30847">
        <w:rPr>
          <w:rFonts w:asciiTheme="minorHAnsi" w:eastAsiaTheme="minorHAnsi" w:hAnsiTheme="minorHAnsi" w:cstheme="minorBidi"/>
          <w:lang w:val="en-GB"/>
        </w:rPr>
        <w:t>The objective of organizing the Annual Meeting of the Public Finance Academy is to strengthen collaboration, knowledge exchange, and capacity building among stakeholders and partners. The meeting aims to bring together professionals, experts, and policymakers to review progress, share best practices, discuss challenges, and align future goals in the field. This activity contributes to community building, promotes strategic partnerships, and reinforces the Academy's role in fostering continuous improvement and innovation in public finance.</w:t>
      </w:r>
    </w:p>
    <w:p w14:paraId="68F7C25E" w14:textId="77777777" w:rsidR="008D1B70" w:rsidRPr="00D30847" w:rsidRDefault="008D1B70" w:rsidP="00E84CD0">
      <w:pPr>
        <w:keepNext/>
        <w:keepLines/>
        <w:spacing w:before="160" w:after="60" w:line="240" w:lineRule="auto"/>
        <w:jc w:val="both"/>
        <w:outlineLvl w:val="3"/>
        <w:rPr>
          <w:rFonts w:cs="Calibri"/>
          <w:b/>
          <w:bCs/>
          <w:i/>
          <w:iCs/>
          <w:color w:val="4F81BD"/>
          <w:lang w:val="en-GB"/>
        </w:rPr>
      </w:pPr>
      <w:r w:rsidRPr="00D30847">
        <w:rPr>
          <w:rFonts w:cs="Calibri"/>
          <w:b/>
          <w:bCs/>
          <w:i/>
          <w:iCs/>
          <w:color w:val="4F81BD"/>
          <w:lang w:val="en-GB"/>
        </w:rPr>
        <w:t>Implementation</w:t>
      </w:r>
    </w:p>
    <w:tbl>
      <w:tblPr>
        <w:tblW w:w="0" w:type="auto"/>
        <w:tblBorders>
          <w:insideH w:val="single" w:sz="4" w:space="0" w:color="FFFFFF"/>
        </w:tblBorders>
        <w:tblLayout w:type="fixed"/>
        <w:tblLook w:val="0080" w:firstRow="0" w:lastRow="0" w:firstColumn="1" w:lastColumn="0" w:noHBand="0" w:noVBand="0"/>
      </w:tblPr>
      <w:tblGrid>
        <w:gridCol w:w="2660"/>
        <w:gridCol w:w="6104"/>
      </w:tblGrid>
      <w:tr w:rsidR="008D1B70" w:rsidRPr="00D30847" w14:paraId="3AEFC0A7" w14:textId="77777777" w:rsidTr="003A2F75">
        <w:trPr>
          <w:trHeight w:val="391"/>
        </w:trPr>
        <w:tc>
          <w:tcPr>
            <w:tcW w:w="2660" w:type="dxa"/>
            <w:tcBorders>
              <w:top w:val="nil"/>
              <w:bottom w:val="single" w:sz="4" w:space="0" w:color="FFFFFF"/>
            </w:tcBorders>
            <w:shd w:val="clear" w:color="auto" w:fill="002060"/>
          </w:tcPr>
          <w:p w14:paraId="03E87DC6" w14:textId="77777777" w:rsidR="008D1B70" w:rsidRPr="00D30847" w:rsidRDefault="008D1B70" w:rsidP="00E84CD0">
            <w:pPr>
              <w:tabs>
                <w:tab w:val="left" w:pos="1526"/>
              </w:tabs>
              <w:spacing w:after="0" w:line="240" w:lineRule="auto"/>
              <w:jc w:val="both"/>
              <w:rPr>
                <w:rFonts w:cs="Calibri"/>
                <w:color w:val="FFFFFF"/>
                <w:sz w:val="20"/>
                <w:szCs w:val="20"/>
                <w:lang w:val="en-GB"/>
              </w:rPr>
            </w:pPr>
            <w:r w:rsidRPr="00D30847">
              <w:rPr>
                <w:rFonts w:cs="Calibri"/>
                <w:b/>
                <w:color w:val="FFFFFF"/>
                <w:sz w:val="20"/>
                <w:szCs w:val="20"/>
                <w:lang w:val="en-GB"/>
              </w:rPr>
              <w:t>Completed in year:</w:t>
            </w:r>
            <w:r w:rsidRPr="00D30847">
              <w:rPr>
                <w:rFonts w:cs="Calibri"/>
                <w:color w:val="FFFFFF"/>
                <w:sz w:val="20"/>
                <w:szCs w:val="20"/>
                <w:lang w:val="en-GB"/>
              </w:rPr>
              <w:tab/>
            </w:r>
          </w:p>
        </w:tc>
        <w:tc>
          <w:tcPr>
            <w:tcW w:w="6104" w:type="dxa"/>
            <w:tcBorders>
              <w:top w:val="nil"/>
              <w:bottom w:val="single" w:sz="4" w:space="0" w:color="FFFFFF"/>
            </w:tcBorders>
            <w:shd w:val="clear" w:color="auto" w:fill="D9E2F3"/>
          </w:tcPr>
          <w:p w14:paraId="092DBE72" w14:textId="374A05D5" w:rsidR="008D1B70" w:rsidRPr="00D30847" w:rsidRDefault="008D1B70" w:rsidP="00E84CD0">
            <w:pPr>
              <w:tabs>
                <w:tab w:val="left" w:pos="1526"/>
              </w:tabs>
              <w:spacing w:after="0" w:line="240" w:lineRule="auto"/>
              <w:jc w:val="both"/>
              <w:rPr>
                <w:rFonts w:cs="Calibri"/>
                <w:lang w:val="en-GB"/>
              </w:rPr>
            </w:pPr>
            <w:r w:rsidRPr="00D30847">
              <w:rPr>
                <w:rFonts w:cs="Calibri"/>
                <w:lang w:val="en-GB"/>
              </w:rPr>
              <w:t>202</w:t>
            </w:r>
            <w:r w:rsidR="003C4E43" w:rsidRPr="00D30847">
              <w:rPr>
                <w:rFonts w:cs="Calibri"/>
                <w:lang w:val="en-GB"/>
              </w:rPr>
              <w:t>8</w:t>
            </w:r>
          </w:p>
        </w:tc>
      </w:tr>
      <w:tr w:rsidR="008D1B70" w:rsidRPr="00D30847" w14:paraId="7D7A1ABA" w14:textId="77777777" w:rsidTr="003A2F75">
        <w:trPr>
          <w:trHeight w:val="429"/>
        </w:trPr>
        <w:tc>
          <w:tcPr>
            <w:tcW w:w="2660" w:type="dxa"/>
            <w:tcBorders>
              <w:top w:val="single" w:sz="4" w:space="0" w:color="FFFFFF"/>
              <w:bottom w:val="single" w:sz="4" w:space="0" w:color="FFFFFF"/>
            </w:tcBorders>
            <w:shd w:val="clear" w:color="auto" w:fill="002060"/>
          </w:tcPr>
          <w:p w14:paraId="1ABEAB13" w14:textId="77777777" w:rsidR="008D1B70" w:rsidRPr="00D30847" w:rsidRDefault="008D1B70" w:rsidP="00E84CD0">
            <w:pPr>
              <w:tabs>
                <w:tab w:val="left" w:pos="4219"/>
              </w:tabs>
              <w:spacing w:after="0" w:line="240" w:lineRule="auto"/>
              <w:jc w:val="both"/>
              <w:rPr>
                <w:rFonts w:cs="Calibri"/>
                <w:color w:val="FFFFFF"/>
                <w:sz w:val="20"/>
                <w:szCs w:val="20"/>
                <w:lang w:val="en-GB"/>
              </w:rPr>
            </w:pPr>
            <w:r w:rsidRPr="00D30847">
              <w:rPr>
                <w:rFonts w:cs="Calibri"/>
                <w:b/>
                <w:color w:val="FFFFFF"/>
                <w:sz w:val="20"/>
                <w:szCs w:val="20"/>
                <w:lang w:val="en-GB"/>
              </w:rPr>
              <w:t>Deliverables:</w:t>
            </w:r>
          </w:p>
        </w:tc>
        <w:tc>
          <w:tcPr>
            <w:tcW w:w="6104" w:type="dxa"/>
            <w:tcBorders>
              <w:top w:val="single" w:sz="4" w:space="0" w:color="FFFFFF"/>
              <w:bottom w:val="single" w:sz="4" w:space="0" w:color="FFFFFF"/>
            </w:tcBorders>
            <w:shd w:val="clear" w:color="auto" w:fill="D9E2F3"/>
          </w:tcPr>
          <w:p w14:paraId="3AA41F09" w14:textId="77777777" w:rsidR="003C4E43" w:rsidRPr="00D30847" w:rsidRDefault="003C4E43" w:rsidP="003C4E43">
            <w:pPr>
              <w:tabs>
                <w:tab w:val="left" w:pos="1526"/>
              </w:tabs>
              <w:spacing w:after="0" w:line="240" w:lineRule="auto"/>
              <w:jc w:val="both"/>
              <w:rPr>
                <w:rFonts w:asciiTheme="minorHAnsi" w:eastAsiaTheme="minorHAnsi" w:hAnsiTheme="minorHAnsi" w:cstheme="minorBidi"/>
                <w:lang w:val="en-GB"/>
              </w:rPr>
            </w:pPr>
            <w:r w:rsidRPr="00D30847">
              <w:rPr>
                <w:rFonts w:asciiTheme="minorHAnsi" w:eastAsiaTheme="minorHAnsi" w:hAnsiTheme="minorHAnsi" w:cstheme="minorBidi"/>
                <w:lang w:val="en-GB"/>
              </w:rPr>
              <w:t>- Communication Strategy with a plan</w:t>
            </w:r>
          </w:p>
          <w:p w14:paraId="45476087" w14:textId="77777777" w:rsidR="003C4E43" w:rsidRPr="00D30847" w:rsidRDefault="003C4E43" w:rsidP="003C4E43">
            <w:pPr>
              <w:tabs>
                <w:tab w:val="left" w:pos="1526"/>
              </w:tabs>
              <w:spacing w:after="0" w:line="240" w:lineRule="auto"/>
              <w:jc w:val="both"/>
              <w:rPr>
                <w:rFonts w:asciiTheme="minorHAnsi" w:eastAsiaTheme="minorHAnsi" w:hAnsiTheme="minorHAnsi" w:cstheme="minorBidi"/>
                <w:lang w:val="en-GB"/>
              </w:rPr>
            </w:pPr>
            <w:r w:rsidRPr="00D30847">
              <w:rPr>
                <w:rFonts w:asciiTheme="minorHAnsi" w:eastAsiaTheme="minorHAnsi" w:hAnsiTheme="minorHAnsi" w:cstheme="minorBidi"/>
                <w:lang w:val="en-GB"/>
              </w:rPr>
              <w:t xml:space="preserve">- Developed media </w:t>
            </w:r>
            <w:proofErr w:type="spellStart"/>
            <w:r w:rsidRPr="00D30847">
              <w:rPr>
                <w:rFonts w:asciiTheme="minorHAnsi" w:eastAsiaTheme="minorHAnsi" w:hAnsiTheme="minorHAnsi" w:cstheme="minorBidi"/>
                <w:lang w:val="en-GB"/>
              </w:rPr>
              <w:t>campaigne</w:t>
            </w:r>
            <w:proofErr w:type="spellEnd"/>
            <w:r w:rsidRPr="00D30847">
              <w:rPr>
                <w:rFonts w:asciiTheme="minorHAnsi" w:eastAsiaTheme="minorHAnsi" w:hAnsiTheme="minorHAnsi" w:cstheme="minorBidi"/>
                <w:lang w:val="en-GB"/>
              </w:rPr>
              <w:t xml:space="preserve"> and promotional materials </w:t>
            </w:r>
          </w:p>
          <w:p w14:paraId="19C6DF88" w14:textId="41AE2FDE" w:rsidR="008D1B70" w:rsidRPr="00D30847" w:rsidRDefault="003C4E43" w:rsidP="00E84CD0">
            <w:pPr>
              <w:tabs>
                <w:tab w:val="left" w:pos="1526"/>
              </w:tabs>
              <w:spacing w:after="0" w:line="240" w:lineRule="auto"/>
              <w:jc w:val="both"/>
              <w:rPr>
                <w:rFonts w:cs="Calibri"/>
                <w:lang w:val="en-GB"/>
              </w:rPr>
            </w:pPr>
            <w:r w:rsidRPr="00D30847">
              <w:rPr>
                <w:rFonts w:asciiTheme="minorHAnsi" w:eastAsiaTheme="minorHAnsi" w:hAnsiTheme="minorHAnsi" w:cstheme="minorBidi"/>
                <w:lang w:val="en-GB"/>
              </w:rPr>
              <w:t xml:space="preserve">- Conducted end-of-year meeting  </w:t>
            </w:r>
          </w:p>
        </w:tc>
      </w:tr>
      <w:tr w:rsidR="008D1B70" w:rsidRPr="00D30847" w14:paraId="70D22AB7" w14:textId="77777777" w:rsidTr="003A2F75">
        <w:trPr>
          <w:trHeight w:val="407"/>
        </w:trPr>
        <w:tc>
          <w:tcPr>
            <w:tcW w:w="2660" w:type="dxa"/>
            <w:tcBorders>
              <w:top w:val="single" w:sz="4" w:space="0" w:color="FFFFFF"/>
              <w:bottom w:val="single" w:sz="4" w:space="0" w:color="FFFFFF"/>
            </w:tcBorders>
            <w:shd w:val="clear" w:color="auto" w:fill="002060"/>
          </w:tcPr>
          <w:p w14:paraId="506045DC" w14:textId="5F298876" w:rsidR="008D1B70" w:rsidRPr="00D30847" w:rsidRDefault="008D1B70"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Cost implications:</w:t>
            </w:r>
          </w:p>
        </w:tc>
        <w:tc>
          <w:tcPr>
            <w:tcW w:w="6104" w:type="dxa"/>
            <w:tcBorders>
              <w:top w:val="single" w:sz="4" w:space="0" w:color="FFFFFF"/>
              <w:bottom w:val="single" w:sz="4" w:space="0" w:color="FFFFFF"/>
            </w:tcBorders>
            <w:shd w:val="clear" w:color="auto" w:fill="D9E2F3"/>
          </w:tcPr>
          <w:p w14:paraId="1864DF2B" w14:textId="5933CB4F" w:rsidR="008D1B70" w:rsidRPr="00D30847" w:rsidRDefault="000304CE" w:rsidP="00E84CD0">
            <w:pPr>
              <w:tabs>
                <w:tab w:val="left" w:pos="1526"/>
              </w:tabs>
              <w:spacing w:after="0" w:line="240" w:lineRule="auto"/>
              <w:jc w:val="both"/>
              <w:rPr>
                <w:rFonts w:eastAsia="Times New Roman" w:cs="Calibri"/>
                <w:lang w:val="en-GB"/>
              </w:rPr>
            </w:pPr>
            <w:r w:rsidRPr="00D30847">
              <w:rPr>
                <w:rFonts w:eastAsia="Times New Roman" w:cs="Calibri"/>
                <w:lang w:val="en-GB"/>
              </w:rPr>
              <w:t xml:space="preserve"> EUR </w:t>
            </w:r>
            <w:r w:rsidR="003C4E43" w:rsidRPr="00D30847">
              <w:rPr>
                <w:rFonts w:eastAsia="Times New Roman" w:cs="Calibri"/>
                <w:lang w:val="en-GB"/>
              </w:rPr>
              <w:t>1</w:t>
            </w:r>
            <w:r w:rsidR="00387A8E" w:rsidRPr="00D30847">
              <w:rPr>
                <w:rFonts w:eastAsia="Times New Roman" w:cs="Calibri"/>
                <w:lang w:val="en-GB"/>
              </w:rPr>
              <w:t>6</w:t>
            </w:r>
            <w:r w:rsidRPr="00D30847">
              <w:rPr>
                <w:rFonts w:eastAsia="Times New Roman" w:cs="Calibri"/>
                <w:lang w:val="en-GB"/>
              </w:rPr>
              <w:t xml:space="preserve">.000 </w:t>
            </w:r>
            <w:r w:rsidR="003C4E43" w:rsidRPr="00D30847">
              <w:rPr>
                <w:lang w:val="en-GB"/>
              </w:rPr>
              <w:t>(</w:t>
            </w:r>
            <w:r w:rsidR="00B731FD" w:rsidRPr="00D30847">
              <w:rPr>
                <w:lang w:val="en-GB"/>
              </w:rPr>
              <w:t>Financial gap</w:t>
            </w:r>
            <w:r w:rsidR="003C4E43" w:rsidRPr="00D30847">
              <w:rPr>
                <w:lang w:val="en-GB"/>
              </w:rPr>
              <w:t>/MoF Budget)</w:t>
            </w:r>
          </w:p>
        </w:tc>
      </w:tr>
      <w:tr w:rsidR="008D1B70" w:rsidRPr="00D30847" w14:paraId="65A8630E" w14:textId="77777777" w:rsidTr="003A2F75">
        <w:trPr>
          <w:trHeight w:val="413"/>
        </w:trPr>
        <w:tc>
          <w:tcPr>
            <w:tcW w:w="2660" w:type="dxa"/>
            <w:tcBorders>
              <w:top w:val="single" w:sz="4" w:space="0" w:color="FFFFFF"/>
              <w:bottom w:val="single" w:sz="4" w:space="0" w:color="FFFFFF"/>
            </w:tcBorders>
            <w:shd w:val="clear" w:color="auto" w:fill="002060"/>
          </w:tcPr>
          <w:p w14:paraId="49BDB43A" w14:textId="77777777" w:rsidR="008D1B70" w:rsidRPr="00D30847" w:rsidRDefault="008D1B70"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Responsible entity:</w:t>
            </w:r>
          </w:p>
        </w:tc>
        <w:tc>
          <w:tcPr>
            <w:tcW w:w="6104" w:type="dxa"/>
            <w:tcBorders>
              <w:top w:val="single" w:sz="4" w:space="0" w:color="FFFFFF"/>
              <w:bottom w:val="single" w:sz="4" w:space="0" w:color="FFFFFF"/>
            </w:tcBorders>
            <w:shd w:val="clear" w:color="auto" w:fill="D9E2F3"/>
          </w:tcPr>
          <w:p w14:paraId="0DB7F7C1" w14:textId="0F96439E" w:rsidR="008D1B70" w:rsidRPr="00D30847" w:rsidRDefault="00D3676F" w:rsidP="00E84CD0">
            <w:pPr>
              <w:tabs>
                <w:tab w:val="left" w:pos="4219"/>
              </w:tabs>
              <w:spacing w:after="0" w:line="240" w:lineRule="auto"/>
              <w:jc w:val="both"/>
              <w:rPr>
                <w:rFonts w:eastAsia="Times New Roman" w:cs="Calibri"/>
                <w:lang w:val="en-GB"/>
              </w:rPr>
            </w:pPr>
            <w:r w:rsidRPr="00D30847">
              <w:rPr>
                <w:rFonts w:eastAsia="Times New Roman" w:cs="Calibri"/>
                <w:lang w:val="en-GB"/>
              </w:rPr>
              <w:t xml:space="preserve">MoF </w:t>
            </w:r>
          </w:p>
        </w:tc>
      </w:tr>
      <w:tr w:rsidR="008D1B70" w:rsidRPr="00D30847" w14:paraId="0C615F77" w14:textId="77777777" w:rsidTr="003A2F75">
        <w:trPr>
          <w:trHeight w:val="418"/>
        </w:trPr>
        <w:tc>
          <w:tcPr>
            <w:tcW w:w="2660" w:type="dxa"/>
            <w:tcBorders>
              <w:top w:val="single" w:sz="4" w:space="0" w:color="FFFFFF"/>
              <w:bottom w:val="nil"/>
            </w:tcBorders>
            <w:shd w:val="clear" w:color="auto" w:fill="002060"/>
          </w:tcPr>
          <w:p w14:paraId="07ECF5EB" w14:textId="77777777" w:rsidR="008D1B70" w:rsidRPr="00D30847" w:rsidRDefault="008D1B70"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Risk:</w:t>
            </w:r>
          </w:p>
        </w:tc>
        <w:tc>
          <w:tcPr>
            <w:tcW w:w="6104" w:type="dxa"/>
            <w:tcBorders>
              <w:top w:val="single" w:sz="4" w:space="0" w:color="FFFFFF"/>
              <w:bottom w:val="nil"/>
            </w:tcBorders>
            <w:shd w:val="clear" w:color="auto" w:fill="D9E2F3"/>
          </w:tcPr>
          <w:p w14:paraId="28A2E614" w14:textId="1E648EA7" w:rsidR="008D1B70" w:rsidRPr="00D30847" w:rsidRDefault="003C4E43" w:rsidP="002E4AA9">
            <w:pPr>
              <w:pStyle w:val="ListParagraph"/>
              <w:numPr>
                <w:ilvl w:val="0"/>
                <w:numId w:val="1"/>
              </w:numPr>
              <w:tabs>
                <w:tab w:val="left" w:pos="122"/>
              </w:tabs>
              <w:spacing w:after="0" w:line="240" w:lineRule="auto"/>
              <w:ind w:left="136" w:hanging="134"/>
              <w:rPr>
                <w:rFonts w:cs="Calibri"/>
              </w:rPr>
            </w:pPr>
            <w:r w:rsidRPr="00D30847">
              <w:rPr>
                <w:rFonts w:cs="Calibri"/>
              </w:rPr>
              <w:t xml:space="preserve">Low responsiveness of the stakeholders, financial (cost) risk, lack of support from the top management </w:t>
            </w:r>
          </w:p>
        </w:tc>
      </w:tr>
    </w:tbl>
    <w:p w14:paraId="65E575A0" w14:textId="77777777" w:rsidR="003C4E43" w:rsidRPr="00D30847" w:rsidRDefault="003C4E43" w:rsidP="003C4E43">
      <w:pPr>
        <w:spacing w:after="160" w:line="240" w:lineRule="auto"/>
        <w:jc w:val="both"/>
        <w:rPr>
          <w:rFonts w:asciiTheme="minorHAnsi" w:eastAsiaTheme="minorHAnsi" w:hAnsiTheme="minorHAnsi" w:cs="Calibri"/>
          <w:b/>
          <w:color w:val="2F5496"/>
          <w:lang w:val="en-GB" w:eastAsia="zh-CN"/>
        </w:rPr>
      </w:pPr>
    </w:p>
    <w:p w14:paraId="6B712CE6" w14:textId="77777777" w:rsidR="00E91268" w:rsidRDefault="00E91268" w:rsidP="003C4E43">
      <w:pPr>
        <w:spacing w:after="120" w:line="240" w:lineRule="auto"/>
        <w:jc w:val="both"/>
        <w:rPr>
          <w:rFonts w:cs="Calibri"/>
          <w:b/>
          <w:bCs/>
          <w:iCs/>
          <w:color w:val="0070C0"/>
          <w:lang w:val="en-GB"/>
        </w:rPr>
      </w:pPr>
    </w:p>
    <w:p w14:paraId="3B05C78B" w14:textId="77777777" w:rsidR="00E91268" w:rsidRDefault="00E91268" w:rsidP="003C4E43">
      <w:pPr>
        <w:spacing w:after="120" w:line="240" w:lineRule="auto"/>
        <w:jc w:val="both"/>
        <w:rPr>
          <w:rFonts w:cs="Calibri"/>
          <w:b/>
          <w:bCs/>
          <w:iCs/>
          <w:color w:val="0070C0"/>
          <w:lang w:val="en-GB"/>
        </w:rPr>
      </w:pPr>
    </w:p>
    <w:p w14:paraId="2EDE733D" w14:textId="23EC4AFE" w:rsidR="003C4E43" w:rsidRPr="00D30847" w:rsidRDefault="003C4E43" w:rsidP="003C4E43">
      <w:pPr>
        <w:spacing w:after="120" w:line="240" w:lineRule="auto"/>
        <w:jc w:val="both"/>
        <w:rPr>
          <w:rFonts w:cs="Calibri"/>
          <w:b/>
          <w:bCs/>
          <w:iCs/>
          <w:color w:val="0070C0"/>
          <w:lang w:val="en-GB"/>
        </w:rPr>
      </w:pPr>
      <w:r w:rsidRPr="00D30847">
        <w:rPr>
          <w:rFonts w:cs="Calibri"/>
          <w:b/>
          <w:bCs/>
          <w:iCs/>
          <w:color w:val="0070C0"/>
          <w:lang w:val="en-GB"/>
        </w:rPr>
        <w:lastRenderedPageBreak/>
        <w:t xml:space="preserve">Measure 4: Sustainable Finance in the public sector  </w:t>
      </w:r>
    </w:p>
    <w:p w14:paraId="56C30C83" w14:textId="77777777" w:rsidR="003C4E43" w:rsidRPr="00D30847" w:rsidRDefault="003C4E43" w:rsidP="002F500A">
      <w:pPr>
        <w:spacing w:after="120" w:line="240" w:lineRule="auto"/>
        <w:jc w:val="both"/>
        <w:rPr>
          <w:rFonts w:cs="Calibri"/>
          <w:b/>
          <w:bCs/>
          <w:iCs/>
          <w:color w:val="0070C0"/>
          <w:lang w:val="en-GB"/>
        </w:rPr>
      </w:pPr>
      <w:r w:rsidRPr="00D30847">
        <w:rPr>
          <w:rFonts w:cs="Calibri"/>
          <w:b/>
          <w:bCs/>
          <w:iCs/>
          <w:color w:val="0070C0"/>
          <w:lang w:val="en-GB"/>
        </w:rPr>
        <w:t>Measure Objective</w:t>
      </w:r>
    </w:p>
    <w:p w14:paraId="5CC49644" w14:textId="6FB56AB8" w:rsidR="003C4E43" w:rsidRPr="00D30847" w:rsidRDefault="003C4E43" w:rsidP="003C4E43">
      <w:pPr>
        <w:spacing w:after="120" w:line="240" w:lineRule="auto"/>
        <w:jc w:val="both"/>
        <w:rPr>
          <w:rFonts w:asciiTheme="minorHAnsi" w:eastAsia="Times New Roman" w:hAnsiTheme="minorHAnsi" w:cs="Calibri"/>
          <w:color w:val="000000"/>
          <w:lang w:val="en-GB" w:eastAsia="en-GB"/>
        </w:rPr>
      </w:pPr>
      <w:r w:rsidRPr="00D30847">
        <w:rPr>
          <w:rFonts w:asciiTheme="minorHAnsi" w:eastAsiaTheme="minorHAnsi" w:hAnsiTheme="minorHAnsi" w:cstheme="minorBidi"/>
          <w:lang w:val="en-GB"/>
        </w:rPr>
        <w:t xml:space="preserve">Sustainable public sector finance refers to the integration of environmental, social, and governance (ESG) principles into public financial policies. Its aim is to achieve long-term fiscal stability while </w:t>
      </w:r>
      <w:r w:rsidRPr="00D30847">
        <w:rPr>
          <w:rFonts w:asciiTheme="minorHAnsi" w:eastAsia="Times New Roman" w:hAnsiTheme="minorHAnsi" w:cs="Calibri"/>
          <w:color w:val="000000"/>
          <w:lang w:val="en-GB" w:eastAsia="en-GB"/>
        </w:rPr>
        <w:t xml:space="preserve">promoting </w:t>
      </w:r>
      <w:r w:rsidRPr="00D30847">
        <w:rPr>
          <w:rFonts w:asciiTheme="minorHAnsi" w:eastAsiaTheme="minorHAnsi" w:hAnsiTheme="minorHAnsi" w:cstheme="minorBidi"/>
          <w:lang w:val="en-GB"/>
        </w:rPr>
        <w:t>sustainable development goals.</w:t>
      </w:r>
    </w:p>
    <w:p w14:paraId="7CC5A4B6" w14:textId="77777777" w:rsidR="003C4E43" w:rsidRPr="00D30847" w:rsidRDefault="003C4E43" w:rsidP="003C4E43">
      <w:pPr>
        <w:spacing w:after="120" w:line="240" w:lineRule="auto"/>
        <w:jc w:val="both"/>
        <w:rPr>
          <w:rFonts w:cs="Calibri"/>
          <w:b/>
          <w:bCs/>
          <w:iCs/>
          <w:color w:val="0070C0"/>
          <w:lang w:val="en-GB"/>
        </w:rPr>
      </w:pPr>
      <w:r w:rsidRPr="00D30847">
        <w:rPr>
          <w:rFonts w:cs="Calibri"/>
          <w:b/>
          <w:bCs/>
          <w:iCs/>
          <w:color w:val="0070C0"/>
          <w:lang w:val="en-GB"/>
        </w:rPr>
        <w:t>Context/Background</w:t>
      </w:r>
    </w:p>
    <w:p w14:paraId="454CDD8B" w14:textId="77777777" w:rsidR="003C4E43" w:rsidRPr="00D30847" w:rsidRDefault="003C4E43" w:rsidP="003C4E43">
      <w:pPr>
        <w:spacing w:after="120" w:line="240" w:lineRule="auto"/>
        <w:jc w:val="both"/>
        <w:rPr>
          <w:rFonts w:asciiTheme="minorHAnsi" w:eastAsia="Times New Roman" w:hAnsiTheme="minorHAnsi" w:cs="Calibri"/>
          <w:color w:val="000000"/>
          <w:lang w:val="en-GB" w:eastAsia="en-GB"/>
        </w:rPr>
      </w:pPr>
      <w:r w:rsidRPr="00D30847">
        <w:rPr>
          <w:rFonts w:asciiTheme="minorHAnsi" w:eastAsiaTheme="minorHAnsi" w:hAnsiTheme="minorHAnsi" w:cstheme="minorBidi"/>
          <w:lang w:val="en-GB"/>
        </w:rPr>
        <w:t>This approach focuses on aligning public sector financial management with strategies that support environmental protection, social welfare, and economic growth. By adopting sustainable financial practices, governments can effectively manage risks, allocate resources more efficiently, and contribute to building a sustainable and inclusive economy that benefits both current and future generations.</w:t>
      </w:r>
    </w:p>
    <w:p w14:paraId="30DBE80D" w14:textId="77777777" w:rsidR="003C4E43" w:rsidRPr="00D30847" w:rsidRDefault="003C4E43" w:rsidP="003C4E43">
      <w:pPr>
        <w:spacing w:after="120" w:line="240" w:lineRule="auto"/>
        <w:jc w:val="both"/>
        <w:rPr>
          <w:rFonts w:cs="Calibri"/>
          <w:b/>
          <w:bCs/>
          <w:iCs/>
          <w:color w:val="0070C0"/>
          <w:lang w:val="en-GB"/>
        </w:rPr>
      </w:pPr>
    </w:p>
    <w:p w14:paraId="7F620A4B" w14:textId="77777777" w:rsidR="003C4E43" w:rsidRPr="00D30847" w:rsidRDefault="003C4E43" w:rsidP="003C4E43">
      <w:pPr>
        <w:spacing w:after="120" w:line="240" w:lineRule="auto"/>
        <w:jc w:val="both"/>
        <w:rPr>
          <w:rFonts w:cs="Calibri"/>
          <w:b/>
          <w:bCs/>
          <w:iCs/>
          <w:color w:val="0070C0"/>
          <w:lang w:val="en-GB"/>
        </w:rPr>
      </w:pPr>
      <w:r w:rsidRPr="00D30847">
        <w:rPr>
          <w:rFonts w:cs="Calibri"/>
          <w:b/>
          <w:bCs/>
          <w:iCs/>
          <w:color w:val="0070C0"/>
          <w:lang w:val="en-GB"/>
        </w:rPr>
        <w:t xml:space="preserve">Activity 1: Training of Trainers for employees of the Public Finance Academy </w:t>
      </w:r>
    </w:p>
    <w:p w14:paraId="6F31DBB3" w14:textId="77777777" w:rsidR="003C4E43" w:rsidRPr="00D30847" w:rsidRDefault="003C4E43" w:rsidP="003C4E43">
      <w:pPr>
        <w:spacing w:after="120" w:line="240" w:lineRule="auto"/>
        <w:jc w:val="both"/>
        <w:rPr>
          <w:rFonts w:asciiTheme="minorHAnsi" w:eastAsia="Times New Roman" w:hAnsiTheme="minorHAnsi" w:cs="Calibri"/>
          <w:color w:val="000000"/>
          <w:lang w:val="en-GB" w:eastAsia="en-GB"/>
        </w:rPr>
      </w:pPr>
      <w:r w:rsidRPr="00D30847">
        <w:rPr>
          <w:rFonts w:asciiTheme="minorHAnsi" w:eastAsia="Times New Roman" w:hAnsiTheme="minorHAnsi" w:cs="Calibri"/>
          <w:color w:val="000000"/>
          <w:lang w:val="en-GB" w:eastAsia="en-GB"/>
        </w:rPr>
        <w:t>The Training of Trainers (</w:t>
      </w:r>
      <w:proofErr w:type="spellStart"/>
      <w:r w:rsidRPr="00D30847">
        <w:rPr>
          <w:rFonts w:asciiTheme="minorHAnsi" w:eastAsia="Times New Roman" w:hAnsiTheme="minorHAnsi" w:cs="Calibri"/>
          <w:color w:val="000000"/>
          <w:lang w:val="en-GB" w:eastAsia="en-GB"/>
        </w:rPr>
        <w:t>ToT</w:t>
      </w:r>
      <w:proofErr w:type="spellEnd"/>
      <w:r w:rsidRPr="00D30847">
        <w:rPr>
          <w:rFonts w:asciiTheme="minorHAnsi" w:eastAsia="Times New Roman" w:hAnsiTheme="minorHAnsi" w:cs="Calibri"/>
          <w:color w:val="000000"/>
          <w:lang w:val="en-GB" w:eastAsia="en-GB"/>
        </w:rPr>
        <w:t>) for employees of the Public Finance Academy is a crucial activity within the measure of sustainable finance in the public sector. Through this activity, employees will acquire the necessary knowledge and skills related to the principles of sustainable finance in the public sector. The training will strengthen the Academy's capacity, foster a culture of sustainability, and encourage innovative solutions to financial challenges, taking into account environmental and social aspects.</w:t>
      </w:r>
    </w:p>
    <w:p w14:paraId="66C656FD" w14:textId="77777777" w:rsidR="003C4E43" w:rsidRPr="00D30847" w:rsidRDefault="003C4E43" w:rsidP="003C4E43">
      <w:pPr>
        <w:spacing w:after="120" w:line="240" w:lineRule="auto"/>
        <w:jc w:val="both"/>
        <w:rPr>
          <w:rFonts w:asciiTheme="minorHAnsi" w:eastAsia="Times New Roman" w:hAnsiTheme="minorHAnsi" w:cs="Calibri"/>
          <w:color w:val="000000"/>
          <w:lang w:val="en-GB" w:eastAsia="en-GB"/>
        </w:rPr>
      </w:pPr>
    </w:p>
    <w:p w14:paraId="62041694" w14:textId="77777777" w:rsidR="003C4E43" w:rsidRPr="00D30847" w:rsidRDefault="003C4E43" w:rsidP="003C4E43">
      <w:pPr>
        <w:spacing w:after="120" w:line="240" w:lineRule="auto"/>
        <w:jc w:val="both"/>
        <w:rPr>
          <w:rFonts w:cs="Calibri"/>
          <w:b/>
          <w:bCs/>
          <w:iCs/>
          <w:color w:val="0070C0"/>
          <w:lang w:val="en-GB"/>
        </w:rPr>
      </w:pPr>
      <w:r w:rsidRPr="00D30847">
        <w:rPr>
          <w:rFonts w:cs="Calibri"/>
          <w:b/>
          <w:bCs/>
          <w:iCs/>
          <w:color w:val="0070C0"/>
          <w:lang w:val="en-GB"/>
        </w:rPr>
        <w:t>Activity 2: Organizing trainings in the area of sustainable finance</w:t>
      </w:r>
    </w:p>
    <w:p w14:paraId="51E31078" w14:textId="68AF2C23" w:rsidR="003C4E43" w:rsidRPr="00D30847" w:rsidRDefault="003C4E43" w:rsidP="003C4E43">
      <w:pPr>
        <w:spacing w:after="120" w:line="240" w:lineRule="auto"/>
        <w:jc w:val="both"/>
        <w:rPr>
          <w:rFonts w:asciiTheme="minorHAnsi" w:eastAsia="Times New Roman" w:hAnsiTheme="minorHAnsi" w:cs="Calibri"/>
          <w:color w:val="000000"/>
          <w:lang w:val="en-GB" w:eastAsia="en-GB"/>
        </w:rPr>
      </w:pPr>
      <w:r w:rsidRPr="00D30847">
        <w:rPr>
          <w:rFonts w:asciiTheme="minorHAnsi" w:eastAsia="Times New Roman" w:hAnsiTheme="minorHAnsi" w:cs="Calibri"/>
          <w:color w:val="000000"/>
          <w:lang w:val="en-GB" w:eastAsia="en-GB"/>
        </w:rPr>
        <w:t>The goal of organizing trainings in the area of sustainable finance is to enhance the understanding of key principles, policies, and practices for sustainable financing, enabling participants to acquire skills for integrating sustainability into public sector finances and make informed decisions that will ensure the long-term sustainability and stability of public finances.</w:t>
      </w:r>
    </w:p>
    <w:p w14:paraId="59E53F54" w14:textId="04C71BAF" w:rsidR="00375719" w:rsidRPr="00D30847" w:rsidRDefault="00375719" w:rsidP="00A01770">
      <w:pPr>
        <w:rPr>
          <w:rFonts w:asciiTheme="minorHAnsi" w:eastAsia="Times New Roman" w:hAnsiTheme="minorHAnsi" w:cs="Calibri"/>
          <w:color w:val="000000"/>
          <w:lang w:val="en-GB" w:eastAsia="en-GB"/>
        </w:rPr>
      </w:pPr>
    </w:p>
    <w:tbl>
      <w:tblPr>
        <w:tblW w:w="0" w:type="auto"/>
        <w:tblBorders>
          <w:insideH w:val="single" w:sz="4" w:space="0" w:color="FFFFFF"/>
        </w:tblBorders>
        <w:tblLayout w:type="fixed"/>
        <w:tblLook w:val="0080" w:firstRow="0" w:lastRow="0" w:firstColumn="1" w:lastColumn="0" w:noHBand="0" w:noVBand="0"/>
      </w:tblPr>
      <w:tblGrid>
        <w:gridCol w:w="2660"/>
        <w:gridCol w:w="6104"/>
      </w:tblGrid>
      <w:tr w:rsidR="00C472FB" w:rsidRPr="00D30847" w14:paraId="26E21496" w14:textId="77777777" w:rsidTr="00B03862">
        <w:trPr>
          <w:trHeight w:val="391"/>
        </w:trPr>
        <w:tc>
          <w:tcPr>
            <w:tcW w:w="2660" w:type="dxa"/>
            <w:tcBorders>
              <w:top w:val="nil"/>
              <w:bottom w:val="single" w:sz="4" w:space="0" w:color="FFFFFF"/>
            </w:tcBorders>
            <w:shd w:val="clear" w:color="auto" w:fill="002060"/>
          </w:tcPr>
          <w:p w14:paraId="4BEF7DA1" w14:textId="77777777" w:rsidR="00C472FB" w:rsidRPr="00D30847" w:rsidRDefault="00C472FB" w:rsidP="00B03862">
            <w:pPr>
              <w:tabs>
                <w:tab w:val="left" w:pos="1526"/>
              </w:tabs>
              <w:spacing w:after="0" w:line="240" w:lineRule="auto"/>
              <w:jc w:val="both"/>
              <w:rPr>
                <w:rFonts w:cs="Calibri"/>
                <w:color w:val="FFFFFF"/>
                <w:sz w:val="20"/>
                <w:szCs w:val="20"/>
                <w:lang w:val="en-GB"/>
              </w:rPr>
            </w:pPr>
            <w:r w:rsidRPr="00D30847">
              <w:rPr>
                <w:rFonts w:cs="Calibri"/>
                <w:b/>
                <w:color w:val="FFFFFF"/>
                <w:sz w:val="20"/>
                <w:szCs w:val="20"/>
                <w:lang w:val="en-GB"/>
              </w:rPr>
              <w:t>Completed in year:</w:t>
            </w:r>
            <w:r w:rsidRPr="00D30847">
              <w:rPr>
                <w:rFonts w:cs="Calibri"/>
                <w:color w:val="FFFFFF"/>
                <w:sz w:val="20"/>
                <w:szCs w:val="20"/>
                <w:lang w:val="en-GB"/>
              </w:rPr>
              <w:tab/>
            </w:r>
          </w:p>
        </w:tc>
        <w:tc>
          <w:tcPr>
            <w:tcW w:w="6104" w:type="dxa"/>
            <w:tcBorders>
              <w:top w:val="nil"/>
              <w:bottom w:val="single" w:sz="4" w:space="0" w:color="FFFFFF"/>
            </w:tcBorders>
            <w:shd w:val="clear" w:color="auto" w:fill="D9E2F3"/>
          </w:tcPr>
          <w:p w14:paraId="3DB36979" w14:textId="77777777" w:rsidR="00C472FB" w:rsidRPr="00D30847" w:rsidRDefault="00C472FB" w:rsidP="00B03862">
            <w:pPr>
              <w:tabs>
                <w:tab w:val="left" w:pos="1526"/>
              </w:tabs>
              <w:spacing w:after="0" w:line="240" w:lineRule="auto"/>
              <w:jc w:val="both"/>
              <w:rPr>
                <w:rFonts w:cs="Calibri"/>
                <w:sz w:val="20"/>
                <w:szCs w:val="20"/>
                <w:lang w:val="en-GB"/>
              </w:rPr>
            </w:pPr>
            <w:r w:rsidRPr="00D30847">
              <w:rPr>
                <w:rFonts w:cs="Calibri"/>
                <w:sz w:val="20"/>
                <w:szCs w:val="20"/>
                <w:lang w:val="en-GB"/>
              </w:rPr>
              <w:t>2028</w:t>
            </w:r>
          </w:p>
        </w:tc>
      </w:tr>
      <w:tr w:rsidR="00C472FB" w:rsidRPr="00D30847" w14:paraId="413A0819" w14:textId="77777777" w:rsidTr="00B03862">
        <w:trPr>
          <w:trHeight w:val="429"/>
        </w:trPr>
        <w:tc>
          <w:tcPr>
            <w:tcW w:w="2660" w:type="dxa"/>
            <w:tcBorders>
              <w:top w:val="single" w:sz="4" w:space="0" w:color="FFFFFF"/>
              <w:bottom w:val="single" w:sz="4" w:space="0" w:color="FFFFFF"/>
            </w:tcBorders>
            <w:shd w:val="clear" w:color="auto" w:fill="002060"/>
          </w:tcPr>
          <w:p w14:paraId="4A3C78DC" w14:textId="77777777" w:rsidR="00C472FB" w:rsidRPr="00D30847" w:rsidRDefault="00C472FB" w:rsidP="00B03862">
            <w:pPr>
              <w:tabs>
                <w:tab w:val="left" w:pos="4219"/>
              </w:tabs>
              <w:spacing w:after="0" w:line="240" w:lineRule="auto"/>
              <w:jc w:val="both"/>
              <w:rPr>
                <w:rFonts w:cs="Calibri"/>
                <w:color w:val="FFFFFF"/>
                <w:sz w:val="20"/>
                <w:szCs w:val="20"/>
                <w:lang w:val="en-GB"/>
              </w:rPr>
            </w:pPr>
            <w:r w:rsidRPr="00D30847">
              <w:rPr>
                <w:rFonts w:cs="Calibri"/>
                <w:b/>
                <w:color w:val="FFFFFF"/>
                <w:sz w:val="20"/>
                <w:szCs w:val="20"/>
                <w:lang w:val="en-GB"/>
              </w:rPr>
              <w:t>Deliverables:</w:t>
            </w:r>
          </w:p>
        </w:tc>
        <w:tc>
          <w:tcPr>
            <w:tcW w:w="6104" w:type="dxa"/>
            <w:tcBorders>
              <w:top w:val="single" w:sz="4" w:space="0" w:color="FFFFFF"/>
              <w:bottom w:val="single" w:sz="4" w:space="0" w:color="FFFFFF"/>
            </w:tcBorders>
            <w:shd w:val="clear" w:color="auto" w:fill="D9E2F3"/>
          </w:tcPr>
          <w:p w14:paraId="0CF57CDF" w14:textId="77777777" w:rsidR="00C472FB" w:rsidRPr="00D30847" w:rsidRDefault="00C472FB" w:rsidP="00B03862">
            <w:pPr>
              <w:tabs>
                <w:tab w:val="left" w:pos="1526"/>
              </w:tabs>
              <w:spacing w:after="0" w:line="240" w:lineRule="auto"/>
              <w:jc w:val="both"/>
              <w:rPr>
                <w:rFonts w:asciiTheme="minorHAnsi" w:eastAsiaTheme="minorHAnsi" w:hAnsiTheme="minorHAnsi" w:cstheme="minorBidi"/>
                <w:sz w:val="20"/>
                <w:szCs w:val="20"/>
                <w:lang w:val="en-GB"/>
              </w:rPr>
            </w:pPr>
            <w:r w:rsidRPr="00D30847">
              <w:rPr>
                <w:rFonts w:asciiTheme="minorHAnsi" w:eastAsiaTheme="minorHAnsi" w:hAnsiTheme="minorHAnsi" w:cstheme="minorBidi"/>
                <w:sz w:val="20"/>
                <w:szCs w:val="20"/>
                <w:lang w:val="en-GB"/>
              </w:rPr>
              <w:t xml:space="preserve">- </w:t>
            </w:r>
            <w:proofErr w:type="spellStart"/>
            <w:r w:rsidRPr="00D30847">
              <w:rPr>
                <w:rFonts w:asciiTheme="minorHAnsi" w:eastAsiaTheme="minorHAnsi" w:hAnsiTheme="minorHAnsi" w:cstheme="minorBidi"/>
                <w:sz w:val="20"/>
                <w:szCs w:val="20"/>
                <w:lang w:val="en-GB"/>
              </w:rPr>
              <w:t>Delievered</w:t>
            </w:r>
            <w:proofErr w:type="spellEnd"/>
            <w:r w:rsidRPr="00D30847">
              <w:rPr>
                <w:rFonts w:asciiTheme="minorHAnsi" w:eastAsiaTheme="minorHAnsi" w:hAnsiTheme="minorHAnsi" w:cstheme="minorBidi"/>
                <w:sz w:val="20"/>
                <w:szCs w:val="20"/>
                <w:lang w:val="en-GB"/>
              </w:rPr>
              <w:t xml:space="preserve"> </w:t>
            </w:r>
            <w:proofErr w:type="spellStart"/>
            <w:r w:rsidRPr="00D30847">
              <w:rPr>
                <w:rFonts w:asciiTheme="minorHAnsi" w:eastAsiaTheme="minorHAnsi" w:hAnsiTheme="minorHAnsi" w:cstheme="minorBidi"/>
                <w:sz w:val="20"/>
                <w:szCs w:val="20"/>
                <w:lang w:val="en-GB"/>
              </w:rPr>
              <w:t>ToT</w:t>
            </w:r>
            <w:proofErr w:type="spellEnd"/>
            <w:r w:rsidRPr="00D30847">
              <w:rPr>
                <w:rFonts w:asciiTheme="minorHAnsi" w:eastAsiaTheme="minorHAnsi" w:hAnsiTheme="minorHAnsi" w:cstheme="minorBidi"/>
                <w:sz w:val="20"/>
                <w:szCs w:val="20"/>
                <w:lang w:val="en-GB"/>
              </w:rPr>
              <w:t>,</w:t>
            </w:r>
          </w:p>
          <w:p w14:paraId="40C42E89" w14:textId="77777777" w:rsidR="00C472FB" w:rsidRPr="00D30847" w:rsidRDefault="00C472FB" w:rsidP="00B03862">
            <w:pPr>
              <w:tabs>
                <w:tab w:val="left" w:pos="1526"/>
              </w:tabs>
              <w:spacing w:after="0" w:line="240" w:lineRule="auto"/>
              <w:jc w:val="both"/>
              <w:rPr>
                <w:rFonts w:cs="Calibri"/>
                <w:sz w:val="20"/>
                <w:szCs w:val="20"/>
                <w:lang w:val="en-GB"/>
              </w:rPr>
            </w:pPr>
            <w:r w:rsidRPr="00D30847">
              <w:rPr>
                <w:rFonts w:cs="Calibri"/>
                <w:sz w:val="20"/>
                <w:szCs w:val="20"/>
                <w:lang w:val="en-GB"/>
              </w:rPr>
              <w:t>-Organized trainings in the area of sustainable finance</w:t>
            </w:r>
          </w:p>
        </w:tc>
      </w:tr>
      <w:tr w:rsidR="00C472FB" w:rsidRPr="00D30847" w14:paraId="19A0B7AD" w14:textId="77777777" w:rsidTr="00B03862">
        <w:trPr>
          <w:trHeight w:val="407"/>
        </w:trPr>
        <w:tc>
          <w:tcPr>
            <w:tcW w:w="2660" w:type="dxa"/>
            <w:tcBorders>
              <w:top w:val="single" w:sz="4" w:space="0" w:color="FFFFFF"/>
              <w:bottom w:val="single" w:sz="4" w:space="0" w:color="FFFFFF"/>
            </w:tcBorders>
            <w:shd w:val="clear" w:color="auto" w:fill="002060"/>
          </w:tcPr>
          <w:p w14:paraId="6A55881D" w14:textId="77777777" w:rsidR="00C472FB" w:rsidRPr="00D30847" w:rsidRDefault="00C472FB" w:rsidP="00B03862">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Cost implications:</w:t>
            </w:r>
          </w:p>
        </w:tc>
        <w:tc>
          <w:tcPr>
            <w:tcW w:w="6104" w:type="dxa"/>
            <w:tcBorders>
              <w:top w:val="single" w:sz="4" w:space="0" w:color="FFFFFF"/>
              <w:bottom w:val="single" w:sz="4" w:space="0" w:color="FFFFFF"/>
            </w:tcBorders>
            <w:shd w:val="clear" w:color="auto" w:fill="D9E2F3"/>
          </w:tcPr>
          <w:p w14:paraId="6E53A2FD" w14:textId="77777777" w:rsidR="00C472FB" w:rsidRPr="00D30847" w:rsidRDefault="00C472FB" w:rsidP="00B03862">
            <w:pPr>
              <w:tabs>
                <w:tab w:val="left" w:pos="1526"/>
              </w:tabs>
              <w:spacing w:after="0" w:line="240" w:lineRule="auto"/>
              <w:jc w:val="both"/>
              <w:rPr>
                <w:rFonts w:eastAsia="Times New Roman" w:cs="Calibri"/>
                <w:sz w:val="20"/>
                <w:szCs w:val="20"/>
                <w:lang w:val="en-GB"/>
              </w:rPr>
            </w:pPr>
            <w:r w:rsidRPr="00D30847">
              <w:rPr>
                <w:rFonts w:eastAsia="Times New Roman" w:cs="Calibri"/>
                <w:sz w:val="20"/>
                <w:szCs w:val="20"/>
                <w:lang w:val="en-GB"/>
              </w:rPr>
              <w:t xml:space="preserve"> EUR 28.000 </w:t>
            </w:r>
            <w:r w:rsidRPr="00D30847">
              <w:rPr>
                <w:sz w:val="20"/>
                <w:szCs w:val="20"/>
                <w:lang w:val="en-GB"/>
              </w:rPr>
              <w:t>(Financial gap/MoF Budget)</w:t>
            </w:r>
          </w:p>
        </w:tc>
      </w:tr>
      <w:tr w:rsidR="00C472FB" w:rsidRPr="00D30847" w14:paraId="3A392066" w14:textId="77777777" w:rsidTr="00B03862">
        <w:trPr>
          <w:trHeight w:val="413"/>
        </w:trPr>
        <w:tc>
          <w:tcPr>
            <w:tcW w:w="2660" w:type="dxa"/>
            <w:tcBorders>
              <w:top w:val="single" w:sz="4" w:space="0" w:color="FFFFFF"/>
              <w:bottom w:val="single" w:sz="4" w:space="0" w:color="FFFFFF"/>
            </w:tcBorders>
            <w:shd w:val="clear" w:color="auto" w:fill="002060"/>
          </w:tcPr>
          <w:p w14:paraId="45B333C0" w14:textId="77777777" w:rsidR="00C472FB" w:rsidRPr="00D30847" w:rsidRDefault="00C472FB" w:rsidP="00B03862">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Responsible entity:</w:t>
            </w:r>
          </w:p>
        </w:tc>
        <w:tc>
          <w:tcPr>
            <w:tcW w:w="6104" w:type="dxa"/>
            <w:tcBorders>
              <w:top w:val="single" w:sz="4" w:space="0" w:color="FFFFFF"/>
              <w:bottom w:val="single" w:sz="4" w:space="0" w:color="FFFFFF"/>
            </w:tcBorders>
            <w:shd w:val="clear" w:color="auto" w:fill="D9E2F3"/>
          </w:tcPr>
          <w:p w14:paraId="06D526AB" w14:textId="77777777" w:rsidR="00C472FB" w:rsidRPr="00D30847" w:rsidRDefault="00C472FB" w:rsidP="00B03862">
            <w:pPr>
              <w:tabs>
                <w:tab w:val="left" w:pos="4219"/>
              </w:tabs>
              <w:spacing w:after="0" w:line="240" w:lineRule="auto"/>
              <w:jc w:val="both"/>
              <w:rPr>
                <w:rFonts w:eastAsia="Times New Roman" w:cs="Calibri"/>
                <w:sz w:val="20"/>
                <w:szCs w:val="20"/>
                <w:lang w:val="en-GB"/>
              </w:rPr>
            </w:pPr>
            <w:r w:rsidRPr="00D30847">
              <w:rPr>
                <w:rFonts w:eastAsia="Times New Roman" w:cs="Calibri"/>
                <w:sz w:val="20"/>
                <w:szCs w:val="20"/>
                <w:lang w:val="en-GB"/>
              </w:rPr>
              <w:t xml:space="preserve">MoF </w:t>
            </w:r>
          </w:p>
        </w:tc>
      </w:tr>
      <w:tr w:rsidR="00C472FB" w:rsidRPr="00D30847" w14:paraId="43E06858" w14:textId="77777777" w:rsidTr="00B03862">
        <w:trPr>
          <w:trHeight w:val="418"/>
        </w:trPr>
        <w:tc>
          <w:tcPr>
            <w:tcW w:w="2660" w:type="dxa"/>
            <w:tcBorders>
              <w:top w:val="single" w:sz="4" w:space="0" w:color="FFFFFF"/>
              <w:bottom w:val="nil"/>
            </w:tcBorders>
            <w:shd w:val="clear" w:color="auto" w:fill="002060"/>
          </w:tcPr>
          <w:p w14:paraId="3C9CBE53" w14:textId="77777777" w:rsidR="00C472FB" w:rsidRPr="00D30847" w:rsidRDefault="00C472FB" w:rsidP="00B03862">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Risk:</w:t>
            </w:r>
          </w:p>
        </w:tc>
        <w:tc>
          <w:tcPr>
            <w:tcW w:w="6104" w:type="dxa"/>
            <w:tcBorders>
              <w:top w:val="single" w:sz="4" w:space="0" w:color="FFFFFF"/>
              <w:bottom w:val="nil"/>
            </w:tcBorders>
            <w:shd w:val="clear" w:color="auto" w:fill="D9E2F3"/>
          </w:tcPr>
          <w:p w14:paraId="643E44C0" w14:textId="77777777" w:rsidR="00C472FB" w:rsidRPr="00D30847" w:rsidRDefault="00C472FB" w:rsidP="00B03862">
            <w:pPr>
              <w:pStyle w:val="ListParagraph"/>
              <w:numPr>
                <w:ilvl w:val="0"/>
                <w:numId w:val="1"/>
              </w:numPr>
              <w:tabs>
                <w:tab w:val="left" w:pos="122"/>
              </w:tabs>
              <w:spacing w:after="0" w:line="240" w:lineRule="auto"/>
              <w:ind w:left="136" w:hanging="134"/>
              <w:rPr>
                <w:rFonts w:cs="Calibri"/>
                <w:sz w:val="20"/>
                <w:szCs w:val="20"/>
              </w:rPr>
            </w:pPr>
            <w:r w:rsidRPr="00D30847">
              <w:rPr>
                <w:rFonts w:cs="Calibri"/>
                <w:sz w:val="20"/>
                <w:szCs w:val="20"/>
              </w:rPr>
              <w:t xml:space="preserve">Low responsiveness of the stakeholders, financial (cost) risk, lack of experts in the area of sustainable finance. </w:t>
            </w:r>
          </w:p>
        </w:tc>
      </w:tr>
    </w:tbl>
    <w:p w14:paraId="10FA9D7E" w14:textId="77777777" w:rsidR="00D3676F" w:rsidRPr="00D30847" w:rsidRDefault="00D3676F" w:rsidP="008D2563">
      <w:pPr>
        <w:pStyle w:val="Heading1"/>
        <w:spacing w:line="240" w:lineRule="auto"/>
        <w:jc w:val="both"/>
        <w:rPr>
          <w:rFonts w:ascii="Calibri" w:hAnsi="Calibri" w:cs="Calibri"/>
          <w:color w:val="2F5496"/>
          <w:lang w:val="en-GB"/>
        </w:rPr>
      </w:pPr>
    </w:p>
    <w:p w14:paraId="257556BD" w14:textId="77777777" w:rsidR="00D3676F" w:rsidRPr="00D30847" w:rsidRDefault="00D3676F" w:rsidP="008D2563">
      <w:pPr>
        <w:pStyle w:val="Heading1"/>
        <w:spacing w:line="240" w:lineRule="auto"/>
        <w:jc w:val="both"/>
        <w:rPr>
          <w:rFonts w:ascii="Calibri" w:hAnsi="Calibri" w:cs="Calibri"/>
          <w:color w:val="2F5496"/>
          <w:lang w:val="en-GB"/>
        </w:rPr>
      </w:pPr>
    </w:p>
    <w:p w14:paraId="5D3F2CAE" w14:textId="77777777" w:rsidR="00D3676F" w:rsidRPr="00D30847" w:rsidRDefault="00D3676F" w:rsidP="008D2563">
      <w:pPr>
        <w:pStyle w:val="Heading1"/>
        <w:spacing w:line="240" w:lineRule="auto"/>
        <w:jc w:val="both"/>
        <w:rPr>
          <w:rFonts w:ascii="Calibri" w:hAnsi="Calibri" w:cs="Calibri"/>
          <w:color w:val="2F5496"/>
          <w:lang w:val="en-GB"/>
        </w:rPr>
      </w:pPr>
    </w:p>
    <w:p w14:paraId="7144DD8D" w14:textId="77777777" w:rsidR="00D3676F" w:rsidRPr="00D30847" w:rsidRDefault="00D3676F" w:rsidP="008D2563">
      <w:pPr>
        <w:pStyle w:val="Heading1"/>
        <w:spacing w:line="240" w:lineRule="auto"/>
        <w:jc w:val="both"/>
        <w:rPr>
          <w:rFonts w:ascii="Calibri" w:hAnsi="Calibri" w:cs="Calibri"/>
          <w:color w:val="2F5496"/>
          <w:lang w:val="en-GB"/>
        </w:rPr>
      </w:pPr>
    </w:p>
    <w:p w14:paraId="2E2E2598" w14:textId="77777777" w:rsidR="00D3676F" w:rsidRPr="00D30847" w:rsidRDefault="00D3676F" w:rsidP="008D2563">
      <w:pPr>
        <w:pStyle w:val="Heading1"/>
        <w:spacing w:line="240" w:lineRule="auto"/>
        <w:jc w:val="both"/>
        <w:rPr>
          <w:rFonts w:ascii="Calibri" w:hAnsi="Calibri" w:cs="Calibri"/>
          <w:color w:val="2F5496"/>
          <w:lang w:val="en-GB"/>
        </w:rPr>
      </w:pPr>
    </w:p>
    <w:p w14:paraId="4D3FCAFC" w14:textId="77777777" w:rsidR="004062ED" w:rsidRPr="00D30847" w:rsidRDefault="004062ED" w:rsidP="004062ED">
      <w:pPr>
        <w:rPr>
          <w:lang w:val="en-GB"/>
        </w:rPr>
      </w:pPr>
    </w:p>
    <w:p w14:paraId="235B023C" w14:textId="77777777" w:rsidR="004062ED" w:rsidRPr="00D30847" w:rsidRDefault="004062ED" w:rsidP="004062ED">
      <w:pPr>
        <w:rPr>
          <w:lang w:val="en-GB"/>
        </w:rPr>
      </w:pPr>
    </w:p>
    <w:p w14:paraId="757185B8" w14:textId="77777777" w:rsidR="004062ED" w:rsidRPr="00D30847" w:rsidRDefault="004062ED" w:rsidP="004062ED">
      <w:pPr>
        <w:rPr>
          <w:lang w:val="en-GB"/>
        </w:rPr>
      </w:pPr>
    </w:p>
    <w:p w14:paraId="361A26F2" w14:textId="77777777" w:rsidR="00D3676F" w:rsidRPr="000C713A" w:rsidRDefault="00D3676F" w:rsidP="000C713A">
      <w:pPr>
        <w:pStyle w:val="Heading1"/>
        <w:rPr>
          <w:rFonts w:ascii="Calibri" w:hAnsi="Calibri" w:cs="Calibri"/>
          <w:color w:val="2F5496"/>
          <w:lang w:val="en-GB"/>
        </w:rPr>
      </w:pPr>
      <w:bookmarkStart w:id="59" w:name="_Toc187841818"/>
      <w:r w:rsidRPr="000C713A">
        <w:rPr>
          <w:rFonts w:ascii="Calibri" w:hAnsi="Calibri" w:cs="Calibri"/>
          <w:color w:val="2F5496"/>
          <w:lang w:val="en-GB"/>
        </w:rPr>
        <w:t>PILLAR VI - Public Internal Financial Control</w:t>
      </w:r>
      <w:bookmarkEnd w:id="59"/>
    </w:p>
    <w:p w14:paraId="56AA94D4" w14:textId="77777777" w:rsidR="00D3676F" w:rsidRPr="00D30847" w:rsidRDefault="00D3676F" w:rsidP="002E4AA9">
      <w:pPr>
        <w:autoSpaceDE w:val="0"/>
        <w:autoSpaceDN w:val="0"/>
        <w:adjustRightInd w:val="0"/>
        <w:spacing w:after="0" w:line="240" w:lineRule="auto"/>
        <w:jc w:val="both"/>
        <w:rPr>
          <w:rFonts w:eastAsia="StobiSerifRegular-Identity-H" w:cs="Calibri"/>
          <w:lang w:val="en-GB"/>
        </w:rPr>
      </w:pPr>
    </w:p>
    <w:p w14:paraId="5E1C351C" w14:textId="77777777" w:rsidR="004545A2" w:rsidRPr="00D30847" w:rsidRDefault="004545A2" w:rsidP="004545A2">
      <w:pPr>
        <w:autoSpaceDE w:val="0"/>
        <w:autoSpaceDN w:val="0"/>
        <w:adjustRightInd w:val="0"/>
        <w:spacing w:after="0" w:line="240" w:lineRule="auto"/>
        <w:jc w:val="both"/>
        <w:rPr>
          <w:rFonts w:eastAsia="StobiSerifRegular-Identity-H" w:cs="Calibri"/>
          <w:lang w:val="en-GB"/>
        </w:rPr>
      </w:pPr>
      <w:r w:rsidRPr="00D30847">
        <w:rPr>
          <w:rFonts w:eastAsia="StobiSerifRegular-Identity-H" w:cs="Calibri"/>
          <w:color w:val="002060"/>
          <w:lang w:val="en-GB"/>
        </w:rPr>
        <w:t>Public</w:t>
      </w:r>
      <w:r w:rsidRPr="00D30847">
        <w:rPr>
          <w:rFonts w:eastAsia="StobiSerifRegular-Identity-H" w:cs="Calibri"/>
          <w:lang w:val="en-GB"/>
        </w:rPr>
        <w:t xml:space="preserve"> internal financial control as a whole is an integral element of national public financial management. It is a comprehensive concept that applies to the entire public sector, especially central government revenues and expenditures, including foreign funds.</w:t>
      </w:r>
    </w:p>
    <w:p w14:paraId="7B2E57B9" w14:textId="77777777" w:rsidR="004545A2" w:rsidRPr="00D30847" w:rsidRDefault="004545A2" w:rsidP="004545A2">
      <w:pPr>
        <w:autoSpaceDE w:val="0"/>
        <w:autoSpaceDN w:val="0"/>
        <w:adjustRightInd w:val="0"/>
        <w:spacing w:after="0" w:line="240" w:lineRule="auto"/>
        <w:jc w:val="both"/>
        <w:rPr>
          <w:rFonts w:eastAsia="StobiSerifRegular-Identity-H" w:cs="Calibri"/>
          <w:lang w:val="en-GB"/>
        </w:rPr>
      </w:pPr>
    </w:p>
    <w:p w14:paraId="3BE84B45" w14:textId="77777777" w:rsidR="004545A2" w:rsidRPr="00D30847" w:rsidRDefault="004545A2" w:rsidP="004545A2">
      <w:pPr>
        <w:autoSpaceDE w:val="0"/>
        <w:autoSpaceDN w:val="0"/>
        <w:adjustRightInd w:val="0"/>
        <w:spacing w:after="0" w:line="240" w:lineRule="auto"/>
        <w:jc w:val="both"/>
        <w:rPr>
          <w:rFonts w:eastAsia="StobiSerifRegular-Identity-H" w:cs="Calibri"/>
          <w:lang w:val="en-GB"/>
        </w:rPr>
      </w:pPr>
      <w:r w:rsidRPr="00D30847">
        <w:rPr>
          <w:rFonts w:eastAsia="StobiSerifRegular-Identity-H" w:cs="Calibri"/>
          <w:lang w:val="en-GB"/>
        </w:rPr>
        <w:t>Public internal financial control covers financial management and control, internal audit and</w:t>
      </w:r>
    </w:p>
    <w:p w14:paraId="599C61AB" w14:textId="77777777" w:rsidR="004545A2" w:rsidRPr="00D30847" w:rsidRDefault="004545A2" w:rsidP="004545A2">
      <w:pPr>
        <w:autoSpaceDE w:val="0"/>
        <w:autoSpaceDN w:val="0"/>
        <w:adjustRightInd w:val="0"/>
        <w:spacing w:after="0" w:line="240" w:lineRule="auto"/>
        <w:jc w:val="both"/>
        <w:rPr>
          <w:rFonts w:eastAsia="StobiSerifRegular-Identity-H" w:cs="Calibri"/>
          <w:lang w:val="en-GB"/>
        </w:rPr>
      </w:pPr>
      <w:r w:rsidRPr="00D30847">
        <w:rPr>
          <w:rFonts w:eastAsia="StobiSerifRegular-Identity-H" w:cs="Calibri"/>
          <w:lang w:val="en-GB"/>
        </w:rPr>
        <w:t xml:space="preserve">their harmonization, in our country it is established in accordance with the international standards for internal control and internal audit. </w:t>
      </w:r>
    </w:p>
    <w:p w14:paraId="5F5BC186" w14:textId="77777777" w:rsidR="004545A2" w:rsidRPr="00D30847" w:rsidRDefault="004545A2" w:rsidP="004545A2">
      <w:pPr>
        <w:autoSpaceDE w:val="0"/>
        <w:autoSpaceDN w:val="0"/>
        <w:adjustRightInd w:val="0"/>
        <w:spacing w:after="0" w:line="240" w:lineRule="auto"/>
        <w:jc w:val="both"/>
        <w:rPr>
          <w:rFonts w:eastAsia="StobiSerifRegular-Identity-H" w:cs="Calibri"/>
          <w:lang w:val="en-GB"/>
        </w:rPr>
      </w:pPr>
    </w:p>
    <w:p w14:paraId="5E1C1ACD" w14:textId="77777777" w:rsidR="004545A2" w:rsidRPr="00D30847" w:rsidRDefault="004545A2" w:rsidP="004545A2">
      <w:pPr>
        <w:autoSpaceDE w:val="0"/>
        <w:autoSpaceDN w:val="0"/>
        <w:adjustRightInd w:val="0"/>
        <w:spacing w:after="0" w:line="240" w:lineRule="auto"/>
        <w:jc w:val="both"/>
        <w:rPr>
          <w:rFonts w:eastAsia="StobiSerifRegular-Identity-H" w:cs="Calibri"/>
          <w:lang w:val="en-GB"/>
        </w:rPr>
      </w:pPr>
      <w:r w:rsidRPr="00D30847">
        <w:rPr>
          <w:rFonts w:eastAsia="StobiSerifRegular-Identity-H" w:cs="Calibri"/>
          <w:lang w:val="en-GB"/>
        </w:rPr>
        <w:t>The Minister of Finance is responsible for coordinating the development, the establishment, implementation and maintenance of the system of public internal financial control, and on its behalf the Central Harmonization Unit in the Ministry of Finance.</w:t>
      </w:r>
    </w:p>
    <w:p w14:paraId="773D249A" w14:textId="77777777" w:rsidR="004545A2" w:rsidRPr="00D30847" w:rsidRDefault="004545A2" w:rsidP="004545A2">
      <w:pPr>
        <w:autoSpaceDE w:val="0"/>
        <w:autoSpaceDN w:val="0"/>
        <w:adjustRightInd w:val="0"/>
        <w:spacing w:after="0" w:line="240" w:lineRule="auto"/>
        <w:jc w:val="both"/>
        <w:rPr>
          <w:rFonts w:eastAsia="StobiSerifRegular-Identity-H" w:cs="Calibri"/>
          <w:lang w:val="en-GB"/>
        </w:rPr>
      </w:pPr>
      <w:r w:rsidRPr="00D30847">
        <w:rPr>
          <w:rFonts w:eastAsia="StobiSerifRegular-Identity-H" w:cs="Calibri"/>
          <w:lang w:val="en-GB"/>
        </w:rPr>
        <w:t>Coordination is done through:</w:t>
      </w:r>
    </w:p>
    <w:p w14:paraId="7FB22AFE" w14:textId="77777777" w:rsidR="004545A2" w:rsidRPr="00D30847" w:rsidRDefault="004545A2" w:rsidP="004545A2">
      <w:pPr>
        <w:autoSpaceDE w:val="0"/>
        <w:autoSpaceDN w:val="0"/>
        <w:adjustRightInd w:val="0"/>
        <w:spacing w:after="0" w:line="240" w:lineRule="auto"/>
        <w:jc w:val="both"/>
        <w:rPr>
          <w:rFonts w:eastAsia="StobiSerifRegular-Identity-H" w:cs="Calibri"/>
          <w:lang w:val="en-GB"/>
        </w:rPr>
      </w:pPr>
    </w:p>
    <w:p w14:paraId="712846A2" w14:textId="77777777" w:rsidR="004545A2" w:rsidRPr="00D30847" w:rsidRDefault="004545A2" w:rsidP="004545A2">
      <w:pPr>
        <w:autoSpaceDE w:val="0"/>
        <w:autoSpaceDN w:val="0"/>
        <w:adjustRightInd w:val="0"/>
        <w:spacing w:after="0" w:line="240" w:lineRule="auto"/>
        <w:jc w:val="both"/>
        <w:rPr>
          <w:rFonts w:eastAsia="StobiSerifRegular-Identity-H" w:cs="Calibri"/>
          <w:lang w:val="en-GB"/>
        </w:rPr>
      </w:pPr>
      <w:r w:rsidRPr="00D30847">
        <w:rPr>
          <w:rFonts w:eastAsia="StobiSerifRegular-Identity-H" w:cs="Calibri"/>
          <w:lang w:val="en-GB"/>
        </w:rPr>
        <w:t>- harmonization and supervision of financial management and control,</w:t>
      </w:r>
    </w:p>
    <w:p w14:paraId="312AB880" w14:textId="77777777" w:rsidR="004545A2" w:rsidRPr="00D30847" w:rsidRDefault="004545A2" w:rsidP="004545A2">
      <w:pPr>
        <w:autoSpaceDE w:val="0"/>
        <w:autoSpaceDN w:val="0"/>
        <w:adjustRightInd w:val="0"/>
        <w:spacing w:after="0" w:line="240" w:lineRule="auto"/>
        <w:jc w:val="both"/>
        <w:rPr>
          <w:rFonts w:eastAsia="StobiSerifRegular-Identity-H" w:cs="Calibri"/>
          <w:lang w:val="en-GB"/>
        </w:rPr>
      </w:pPr>
      <w:r w:rsidRPr="00D30847">
        <w:rPr>
          <w:rFonts w:eastAsia="StobiSerifRegular-Identity-H" w:cs="Calibri"/>
          <w:lang w:val="en-GB"/>
        </w:rPr>
        <w:t>- harmonization and supervision of the internal audit and</w:t>
      </w:r>
    </w:p>
    <w:p w14:paraId="4EF4E5E2" w14:textId="77777777" w:rsidR="004545A2" w:rsidRPr="00D30847" w:rsidRDefault="004545A2" w:rsidP="004545A2">
      <w:pPr>
        <w:autoSpaceDE w:val="0"/>
        <w:autoSpaceDN w:val="0"/>
        <w:adjustRightInd w:val="0"/>
        <w:spacing w:after="0" w:line="240" w:lineRule="auto"/>
        <w:jc w:val="both"/>
        <w:rPr>
          <w:rFonts w:eastAsia="StobiSerifRegular-Identity-H" w:cs="Calibri"/>
          <w:lang w:val="en-GB"/>
        </w:rPr>
      </w:pPr>
      <w:r w:rsidRPr="00D30847">
        <w:rPr>
          <w:rFonts w:eastAsia="StobiSerifRegular-Identity-H" w:cs="Calibri"/>
          <w:lang w:val="en-GB"/>
        </w:rPr>
        <w:t>- preparation and adoption of by-laws, manuals and guidelines.</w:t>
      </w:r>
    </w:p>
    <w:p w14:paraId="2423F1B6" w14:textId="77777777" w:rsidR="004545A2" w:rsidRPr="00D30847" w:rsidRDefault="004545A2" w:rsidP="004545A2">
      <w:pPr>
        <w:autoSpaceDE w:val="0"/>
        <w:autoSpaceDN w:val="0"/>
        <w:adjustRightInd w:val="0"/>
        <w:spacing w:after="0" w:line="240" w:lineRule="auto"/>
        <w:jc w:val="both"/>
        <w:rPr>
          <w:rFonts w:eastAsia="StobiSerifRegular-Identity-H" w:cs="Calibri"/>
          <w:lang w:val="en-GB"/>
        </w:rPr>
      </w:pPr>
    </w:p>
    <w:p w14:paraId="11FC8818" w14:textId="77777777" w:rsidR="004545A2" w:rsidRPr="00D30847" w:rsidRDefault="004545A2" w:rsidP="004545A2">
      <w:pPr>
        <w:autoSpaceDE w:val="0"/>
        <w:autoSpaceDN w:val="0"/>
        <w:adjustRightInd w:val="0"/>
        <w:spacing w:after="0" w:line="240" w:lineRule="auto"/>
        <w:jc w:val="both"/>
        <w:rPr>
          <w:rFonts w:eastAsia="StobiSerifRegular-Identity-H" w:cs="Calibri"/>
          <w:lang w:val="en-GB"/>
        </w:rPr>
      </w:pPr>
      <w:r w:rsidRPr="00D30847">
        <w:rPr>
          <w:rFonts w:eastAsia="StobiSerifRegular-Identity-H" w:cs="Calibri"/>
          <w:lang w:val="en-GB"/>
        </w:rPr>
        <w:t>Under this Program document, effectiveness of the public internal financial control system will be strengthened by implementing measures and activities under the following three priorities:</w:t>
      </w:r>
    </w:p>
    <w:p w14:paraId="1FFDC44E" w14:textId="77777777" w:rsidR="004545A2" w:rsidRPr="00E91268" w:rsidRDefault="004545A2" w:rsidP="004545A2">
      <w:pPr>
        <w:autoSpaceDE w:val="0"/>
        <w:autoSpaceDN w:val="0"/>
        <w:adjustRightInd w:val="0"/>
        <w:spacing w:after="0" w:line="240" w:lineRule="auto"/>
        <w:jc w:val="both"/>
        <w:rPr>
          <w:rFonts w:eastAsia="StobiSerifRegular-Identity-H" w:cs="Calibri"/>
          <w:b/>
          <w:lang w:val="en-GB"/>
        </w:rPr>
      </w:pPr>
    </w:p>
    <w:p w14:paraId="6560B807" w14:textId="77777777" w:rsidR="004545A2" w:rsidRPr="00E91268" w:rsidRDefault="004545A2" w:rsidP="004545A2">
      <w:pPr>
        <w:pStyle w:val="ListParagraph"/>
        <w:numPr>
          <w:ilvl w:val="0"/>
          <w:numId w:val="70"/>
        </w:numPr>
        <w:autoSpaceDE w:val="0"/>
        <w:autoSpaceDN w:val="0"/>
        <w:adjustRightInd w:val="0"/>
        <w:spacing w:after="0" w:line="240" w:lineRule="auto"/>
        <w:rPr>
          <w:rFonts w:eastAsia="StobiSerifRegular-Identity-H" w:cs="Calibri"/>
          <w:b/>
        </w:rPr>
      </w:pPr>
      <w:r w:rsidRPr="00E91268">
        <w:rPr>
          <w:rFonts w:cs="Calibri"/>
          <w:b/>
          <w:shd w:val="clear" w:color="auto" w:fill="FFFFFF"/>
        </w:rPr>
        <w:t xml:space="preserve">Priority 1: </w:t>
      </w:r>
      <w:r w:rsidRPr="00E91268">
        <w:rPr>
          <w:rFonts w:eastAsia="StobiSerifRegular-Identity-H" w:cs="Calibri"/>
          <w:b/>
        </w:rPr>
        <w:t>Financial management and control</w:t>
      </w:r>
    </w:p>
    <w:p w14:paraId="4A80E0A0" w14:textId="77777777" w:rsidR="004545A2" w:rsidRPr="00E91268" w:rsidRDefault="004545A2" w:rsidP="004545A2">
      <w:pPr>
        <w:pStyle w:val="ListParagraph"/>
        <w:numPr>
          <w:ilvl w:val="0"/>
          <w:numId w:val="70"/>
        </w:numPr>
        <w:autoSpaceDE w:val="0"/>
        <w:autoSpaceDN w:val="0"/>
        <w:adjustRightInd w:val="0"/>
        <w:spacing w:after="0" w:line="240" w:lineRule="auto"/>
        <w:rPr>
          <w:rFonts w:eastAsia="StobiSerifRegular-Identity-H" w:cs="Calibri"/>
          <w:b/>
        </w:rPr>
      </w:pPr>
      <w:r w:rsidRPr="00E91268">
        <w:rPr>
          <w:rFonts w:cs="Calibri"/>
          <w:b/>
          <w:shd w:val="clear" w:color="auto" w:fill="FFFFFF"/>
        </w:rPr>
        <w:t xml:space="preserve">Priority 2: </w:t>
      </w:r>
      <w:r w:rsidRPr="00E91268">
        <w:rPr>
          <w:rFonts w:eastAsia="StobiSerifRegular-Identity-H" w:cs="Calibri"/>
          <w:b/>
        </w:rPr>
        <w:t>Internal audit</w:t>
      </w:r>
    </w:p>
    <w:p w14:paraId="4D362C2C" w14:textId="77777777" w:rsidR="004545A2" w:rsidRPr="00D30847" w:rsidRDefault="004545A2" w:rsidP="004545A2">
      <w:pPr>
        <w:autoSpaceDE w:val="0"/>
        <w:autoSpaceDN w:val="0"/>
        <w:adjustRightInd w:val="0"/>
        <w:spacing w:after="0" w:line="240" w:lineRule="auto"/>
        <w:jc w:val="both"/>
        <w:rPr>
          <w:rFonts w:eastAsia="StobiSerifRegular-Identity-H" w:cs="Calibri"/>
          <w:lang w:val="en-GB"/>
        </w:rPr>
      </w:pPr>
    </w:p>
    <w:p w14:paraId="324969DA" w14:textId="77777777" w:rsidR="004545A2" w:rsidRPr="00D30847" w:rsidRDefault="004545A2" w:rsidP="004545A2">
      <w:pPr>
        <w:autoSpaceDE w:val="0"/>
        <w:autoSpaceDN w:val="0"/>
        <w:adjustRightInd w:val="0"/>
        <w:spacing w:after="0" w:line="240" w:lineRule="auto"/>
        <w:jc w:val="both"/>
        <w:rPr>
          <w:rFonts w:eastAsia="StobiSerifRegular-Identity-H" w:cs="Calibri"/>
          <w:b/>
          <w:lang w:val="en-GB"/>
        </w:rPr>
      </w:pPr>
      <w:r w:rsidRPr="00D30847">
        <w:rPr>
          <w:rFonts w:cs="Calibri"/>
          <w:b/>
          <w:shd w:val="clear" w:color="auto" w:fill="FFFFFF"/>
          <w:lang w:val="en-GB"/>
        </w:rPr>
        <w:t xml:space="preserve">Priority 1: </w:t>
      </w:r>
      <w:r w:rsidRPr="00D30847">
        <w:rPr>
          <w:rFonts w:eastAsia="StobiSerifRegular-Identity-H" w:cs="Calibri"/>
          <w:b/>
          <w:lang w:val="en-GB"/>
        </w:rPr>
        <w:t>Financial management and control</w:t>
      </w:r>
    </w:p>
    <w:p w14:paraId="456EB02E" w14:textId="77777777" w:rsidR="004545A2" w:rsidRPr="00D30847" w:rsidRDefault="004545A2" w:rsidP="004545A2">
      <w:pPr>
        <w:autoSpaceDE w:val="0"/>
        <w:autoSpaceDN w:val="0"/>
        <w:adjustRightInd w:val="0"/>
        <w:spacing w:after="0" w:line="240" w:lineRule="auto"/>
        <w:jc w:val="both"/>
        <w:rPr>
          <w:rFonts w:eastAsia="StobiSerifRegular-Identity-H" w:cs="Calibri"/>
          <w:b/>
          <w:sz w:val="10"/>
          <w:szCs w:val="10"/>
          <w:lang w:val="en-GB"/>
        </w:rPr>
      </w:pPr>
    </w:p>
    <w:p w14:paraId="4269A256" w14:textId="77777777" w:rsidR="004545A2" w:rsidRPr="00D30847" w:rsidRDefault="004545A2" w:rsidP="004545A2">
      <w:pPr>
        <w:autoSpaceDE w:val="0"/>
        <w:autoSpaceDN w:val="0"/>
        <w:adjustRightInd w:val="0"/>
        <w:spacing w:after="0" w:line="240" w:lineRule="auto"/>
        <w:jc w:val="both"/>
        <w:rPr>
          <w:rFonts w:eastAsia="StobiSerifRegular-Identity-H" w:cs="Calibri"/>
          <w:lang w:val="en-GB"/>
        </w:rPr>
      </w:pPr>
      <w:r w:rsidRPr="00D30847">
        <w:rPr>
          <w:rFonts w:eastAsia="StobiSerifRegular-Identity-H" w:cs="Calibri"/>
          <w:lang w:val="en-GB"/>
        </w:rPr>
        <w:t>The goal is to increase the effectiveness of internal controls in financial management, thus ensuring implementation of the key financial processes in accordance with internal acts based on risk management.</w:t>
      </w:r>
    </w:p>
    <w:p w14:paraId="69859DF9" w14:textId="77777777" w:rsidR="004545A2" w:rsidRPr="00D30847" w:rsidRDefault="004545A2" w:rsidP="004545A2">
      <w:pPr>
        <w:autoSpaceDE w:val="0"/>
        <w:autoSpaceDN w:val="0"/>
        <w:adjustRightInd w:val="0"/>
        <w:spacing w:after="0" w:line="240" w:lineRule="auto"/>
        <w:jc w:val="both"/>
        <w:rPr>
          <w:rFonts w:eastAsia="StobiSerifRegular-Identity-H" w:cs="Calibri"/>
          <w:lang w:val="en-GB"/>
        </w:rPr>
      </w:pPr>
    </w:p>
    <w:p w14:paraId="460A4667" w14:textId="77777777" w:rsidR="004545A2" w:rsidRPr="00D30847" w:rsidRDefault="004545A2" w:rsidP="004545A2">
      <w:pPr>
        <w:autoSpaceDE w:val="0"/>
        <w:autoSpaceDN w:val="0"/>
        <w:adjustRightInd w:val="0"/>
        <w:spacing w:after="0" w:line="240" w:lineRule="auto"/>
        <w:jc w:val="both"/>
        <w:rPr>
          <w:rFonts w:eastAsia="StobiSerifRegular-Identity-H" w:cs="Calibri"/>
          <w:b/>
          <w:lang w:val="en-GB"/>
        </w:rPr>
      </w:pPr>
      <w:r w:rsidRPr="00D30847">
        <w:rPr>
          <w:rFonts w:cs="Calibri"/>
          <w:b/>
          <w:shd w:val="clear" w:color="auto" w:fill="FFFFFF"/>
          <w:lang w:val="en-GB"/>
        </w:rPr>
        <w:t xml:space="preserve">Priority 2: </w:t>
      </w:r>
      <w:r w:rsidRPr="00D30847">
        <w:rPr>
          <w:rFonts w:eastAsia="StobiSerifRegular-Identity-H" w:cs="Calibri"/>
          <w:b/>
          <w:lang w:val="en-GB"/>
        </w:rPr>
        <w:t>Internal audit</w:t>
      </w:r>
    </w:p>
    <w:p w14:paraId="133BBB4E" w14:textId="77777777" w:rsidR="004545A2" w:rsidRPr="00D30847" w:rsidRDefault="004545A2" w:rsidP="004545A2">
      <w:pPr>
        <w:autoSpaceDE w:val="0"/>
        <w:autoSpaceDN w:val="0"/>
        <w:adjustRightInd w:val="0"/>
        <w:spacing w:after="0" w:line="240" w:lineRule="auto"/>
        <w:jc w:val="both"/>
        <w:rPr>
          <w:rFonts w:eastAsia="StobiSerifRegular-Identity-H" w:cs="Calibri"/>
          <w:b/>
          <w:sz w:val="10"/>
          <w:szCs w:val="10"/>
          <w:lang w:val="en-GB"/>
        </w:rPr>
      </w:pPr>
    </w:p>
    <w:p w14:paraId="758D69A9" w14:textId="77777777" w:rsidR="004545A2" w:rsidRPr="00D30847" w:rsidRDefault="004545A2" w:rsidP="004545A2">
      <w:pPr>
        <w:autoSpaceDE w:val="0"/>
        <w:autoSpaceDN w:val="0"/>
        <w:adjustRightInd w:val="0"/>
        <w:spacing w:after="0" w:line="240" w:lineRule="auto"/>
        <w:jc w:val="both"/>
        <w:rPr>
          <w:rFonts w:eastAsia="StobiSerifRegular-Identity-H" w:cs="Calibri"/>
          <w:lang w:val="en-GB"/>
        </w:rPr>
      </w:pPr>
      <w:r w:rsidRPr="00D30847">
        <w:rPr>
          <w:rFonts w:eastAsia="StobiSerifRegular-Identity-H" w:cs="Calibri"/>
          <w:lang w:val="en-GB"/>
        </w:rPr>
        <w:t>The goal is to strengthen the effectiveness of internal audit in the public sector, so that the internal audit units, through their assurance and consulting engagements, will contribute to achieving the goals of public sector institutions.</w:t>
      </w:r>
    </w:p>
    <w:p w14:paraId="3062B2A0" w14:textId="77777777" w:rsidR="002F500A" w:rsidRPr="00D30847" w:rsidRDefault="002F500A" w:rsidP="008739B8">
      <w:pPr>
        <w:autoSpaceDE w:val="0"/>
        <w:autoSpaceDN w:val="0"/>
        <w:adjustRightInd w:val="0"/>
        <w:spacing w:after="0" w:line="240" w:lineRule="auto"/>
        <w:jc w:val="both"/>
        <w:rPr>
          <w:rFonts w:eastAsia="StobiSerifRegular-Identity-H" w:cs="Calibri"/>
          <w:lang w:val="en-GB"/>
        </w:rPr>
      </w:pPr>
    </w:p>
    <w:p w14:paraId="7F66C3FB" w14:textId="77777777" w:rsidR="00E91268" w:rsidRDefault="00E91268" w:rsidP="00D71473">
      <w:pPr>
        <w:pStyle w:val="Heading1"/>
        <w:rPr>
          <w:rFonts w:ascii="Calibri" w:eastAsia="MS PGothic" w:hAnsi="Calibri" w:cs="Calibri"/>
          <w:color w:val="0070C0"/>
          <w:sz w:val="28"/>
          <w:szCs w:val="28"/>
          <w:lang w:val="en-GB"/>
        </w:rPr>
      </w:pPr>
    </w:p>
    <w:p w14:paraId="698FEE84" w14:textId="77777777" w:rsidR="00E91268" w:rsidRDefault="00E91268" w:rsidP="00D71473">
      <w:pPr>
        <w:pStyle w:val="Heading1"/>
        <w:rPr>
          <w:rFonts w:ascii="Calibri" w:eastAsia="MS PGothic" w:hAnsi="Calibri" w:cs="Calibri"/>
          <w:color w:val="0070C0"/>
          <w:sz w:val="28"/>
          <w:szCs w:val="28"/>
          <w:lang w:val="en-GB"/>
        </w:rPr>
      </w:pPr>
    </w:p>
    <w:p w14:paraId="6357BCEA" w14:textId="6DFA01D7" w:rsidR="00E91268" w:rsidRDefault="00E91268" w:rsidP="00D71473">
      <w:pPr>
        <w:pStyle w:val="Heading1"/>
        <w:rPr>
          <w:rFonts w:ascii="Calibri" w:eastAsia="MS PGothic" w:hAnsi="Calibri" w:cs="Calibri"/>
          <w:color w:val="0070C0"/>
          <w:sz w:val="28"/>
          <w:szCs w:val="28"/>
          <w:lang w:val="en-GB"/>
        </w:rPr>
      </w:pPr>
    </w:p>
    <w:p w14:paraId="2B25740B" w14:textId="77777777" w:rsidR="00E91268" w:rsidRPr="00E91268" w:rsidRDefault="00E91268" w:rsidP="00E91268">
      <w:pPr>
        <w:rPr>
          <w:lang w:val="en-GB"/>
        </w:rPr>
      </w:pPr>
    </w:p>
    <w:p w14:paraId="3937E302" w14:textId="4D0F69B9" w:rsidR="007733B2" w:rsidRPr="00D30847" w:rsidRDefault="007733B2" w:rsidP="00D71473">
      <w:pPr>
        <w:pStyle w:val="Heading1"/>
        <w:rPr>
          <w:rFonts w:ascii="Calibri" w:hAnsi="Calibri" w:cs="Calibri"/>
          <w:color w:val="0070C0"/>
          <w:sz w:val="28"/>
          <w:szCs w:val="28"/>
          <w:lang w:val="en-GB"/>
        </w:rPr>
      </w:pPr>
      <w:bookmarkStart w:id="60" w:name="_Toc187841819"/>
      <w:r w:rsidRPr="00D30847">
        <w:rPr>
          <w:rFonts w:ascii="Calibri" w:eastAsia="MS PGothic" w:hAnsi="Calibri" w:cs="Calibri"/>
          <w:color w:val="0070C0"/>
          <w:sz w:val="28"/>
          <w:szCs w:val="28"/>
          <w:lang w:val="en-GB"/>
        </w:rPr>
        <w:lastRenderedPageBreak/>
        <w:t>Priority 1: Financial Manageme</w:t>
      </w:r>
      <w:r w:rsidR="00F31729" w:rsidRPr="00D30847">
        <w:rPr>
          <w:rFonts w:ascii="Calibri" w:eastAsia="MS PGothic" w:hAnsi="Calibri" w:cs="Calibri"/>
          <w:color w:val="0070C0"/>
          <w:sz w:val="28"/>
          <w:szCs w:val="28"/>
          <w:lang w:val="en-GB"/>
        </w:rPr>
        <w:t>n</w:t>
      </w:r>
      <w:r w:rsidRPr="00D30847">
        <w:rPr>
          <w:rFonts w:ascii="Calibri" w:eastAsia="MS PGothic" w:hAnsi="Calibri" w:cs="Calibri"/>
          <w:color w:val="0070C0"/>
          <w:sz w:val="28"/>
          <w:szCs w:val="28"/>
          <w:lang w:val="en-GB"/>
        </w:rPr>
        <w:t>t and Control</w:t>
      </w:r>
      <w:bookmarkEnd w:id="60"/>
    </w:p>
    <w:p w14:paraId="45687262" w14:textId="77777777" w:rsidR="007733B2" w:rsidRPr="00D30847" w:rsidRDefault="007733B2"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Objective</w:t>
      </w:r>
    </w:p>
    <w:p w14:paraId="52F8E667" w14:textId="77777777" w:rsidR="007733B2" w:rsidRPr="00D30847" w:rsidRDefault="007733B2" w:rsidP="00E84CD0">
      <w:pPr>
        <w:spacing w:before="80" w:after="80" w:line="240" w:lineRule="auto"/>
        <w:jc w:val="both"/>
        <w:rPr>
          <w:rFonts w:eastAsia="MS PGothic" w:cs="Calibri"/>
          <w:lang w:val="en-GB" w:eastAsia="zh-CN"/>
        </w:rPr>
      </w:pPr>
      <w:r w:rsidRPr="00D30847">
        <w:rPr>
          <w:rFonts w:eastAsia="Times New Roman" w:cs="Calibri"/>
          <w:color w:val="202124"/>
          <w:lang w:val="en-GB"/>
        </w:rPr>
        <w:t xml:space="preserve">Increased effectiveness of internal controls in public sector financial management </w:t>
      </w:r>
    </w:p>
    <w:p w14:paraId="31ABDE3A" w14:textId="77777777" w:rsidR="007733B2" w:rsidRPr="00D30847" w:rsidRDefault="007733B2" w:rsidP="00E84CD0">
      <w:pPr>
        <w:spacing w:before="80" w:after="80" w:line="240" w:lineRule="auto"/>
        <w:jc w:val="both"/>
        <w:rPr>
          <w:rFonts w:eastAsia="MS PGothic" w:cs="Calibri"/>
          <w:lang w:val="en-GB" w:eastAsia="zh-CN"/>
        </w:rPr>
      </w:pPr>
    </w:p>
    <w:p w14:paraId="2979249F" w14:textId="77777777" w:rsidR="007733B2" w:rsidRPr="00D30847" w:rsidRDefault="007733B2" w:rsidP="00E84CD0">
      <w:pPr>
        <w:spacing w:before="80" w:after="80" w:line="240" w:lineRule="auto"/>
        <w:jc w:val="both"/>
        <w:rPr>
          <w:rFonts w:eastAsia="MS PGothic" w:cs="Calibri"/>
          <w:lang w:val="en-GB" w:eastAsia="zh-CN"/>
        </w:rPr>
      </w:pPr>
      <w:r w:rsidRPr="00D30847">
        <w:rPr>
          <w:rFonts w:eastAsia="MS PGothic" w:cs="Calibri"/>
          <w:lang w:val="en-GB" w:eastAsia="zh-CN"/>
        </w:rPr>
        <w:t>The objective of this priority will be achieved through the following measures and activities:</w:t>
      </w:r>
    </w:p>
    <w:tbl>
      <w:tblPr>
        <w:tblW w:w="8140" w:type="dxa"/>
        <w:tblLook w:val="01E0" w:firstRow="1" w:lastRow="1" w:firstColumn="1" w:lastColumn="1" w:noHBand="0" w:noVBand="0"/>
      </w:tblPr>
      <w:tblGrid>
        <w:gridCol w:w="1629"/>
        <w:gridCol w:w="6511"/>
      </w:tblGrid>
      <w:tr w:rsidR="007733B2" w:rsidRPr="00D30847" w14:paraId="72E8D6E5" w14:textId="77777777" w:rsidTr="008A2E35">
        <w:tc>
          <w:tcPr>
            <w:tcW w:w="1629" w:type="dxa"/>
            <w:shd w:val="clear" w:color="auto" w:fill="auto"/>
          </w:tcPr>
          <w:p w14:paraId="277EC187" w14:textId="77777777" w:rsidR="007733B2" w:rsidRPr="00D30847" w:rsidRDefault="007733B2" w:rsidP="008A2E35">
            <w:pPr>
              <w:spacing w:line="240" w:lineRule="auto"/>
              <w:jc w:val="both"/>
              <w:rPr>
                <w:rFonts w:cs="Calibri"/>
                <w:b/>
                <w:lang w:val="en-GB"/>
              </w:rPr>
            </w:pPr>
            <w:r w:rsidRPr="00D30847">
              <w:rPr>
                <w:rFonts w:cs="Calibri"/>
                <w:b/>
                <w:lang w:val="en-GB"/>
              </w:rPr>
              <w:t>Measure 1:</w:t>
            </w:r>
          </w:p>
        </w:tc>
        <w:tc>
          <w:tcPr>
            <w:tcW w:w="6511" w:type="dxa"/>
            <w:shd w:val="clear" w:color="auto" w:fill="auto"/>
          </w:tcPr>
          <w:p w14:paraId="44D322BF" w14:textId="23EEA4FA" w:rsidR="007733B2" w:rsidRPr="00D30847" w:rsidRDefault="00482674" w:rsidP="008A2E35">
            <w:pPr>
              <w:spacing w:line="240" w:lineRule="auto"/>
              <w:jc w:val="both"/>
              <w:rPr>
                <w:rFonts w:cs="Calibri"/>
                <w:b/>
                <w:lang w:val="en-GB"/>
              </w:rPr>
            </w:pPr>
            <w:r w:rsidRPr="00D30847">
              <w:rPr>
                <w:rFonts w:cs="Calibri"/>
                <w:b/>
                <w:bCs/>
                <w:iCs/>
                <w:lang w:val="en-GB"/>
              </w:rPr>
              <w:t>Creating the conditions for improvement of a system of financial management based on risk management</w:t>
            </w:r>
          </w:p>
        </w:tc>
      </w:tr>
      <w:tr w:rsidR="007733B2" w:rsidRPr="00D30847" w14:paraId="6C2AE589" w14:textId="77777777" w:rsidTr="008A2E35">
        <w:tc>
          <w:tcPr>
            <w:tcW w:w="1629" w:type="dxa"/>
            <w:shd w:val="clear" w:color="auto" w:fill="auto"/>
          </w:tcPr>
          <w:p w14:paraId="69890367" w14:textId="77777777" w:rsidR="007733B2" w:rsidRPr="00D30847" w:rsidRDefault="007733B2" w:rsidP="008A2E35">
            <w:pPr>
              <w:spacing w:line="240" w:lineRule="auto"/>
              <w:jc w:val="both"/>
              <w:rPr>
                <w:rFonts w:cs="Calibri"/>
                <w:lang w:val="en-GB"/>
              </w:rPr>
            </w:pPr>
            <w:r w:rsidRPr="00D30847">
              <w:rPr>
                <w:rFonts w:cs="Calibri"/>
                <w:lang w:val="en-GB"/>
              </w:rPr>
              <w:t>Activity 1:</w:t>
            </w:r>
          </w:p>
        </w:tc>
        <w:tc>
          <w:tcPr>
            <w:tcW w:w="6511" w:type="dxa"/>
            <w:shd w:val="clear" w:color="auto" w:fill="auto"/>
          </w:tcPr>
          <w:p w14:paraId="48547C21" w14:textId="0D60D05E" w:rsidR="007733B2" w:rsidRPr="00D30847" w:rsidRDefault="00114EDE" w:rsidP="008A2E35">
            <w:pPr>
              <w:spacing w:line="240" w:lineRule="auto"/>
              <w:jc w:val="both"/>
              <w:rPr>
                <w:rFonts w:cs="Calibri"/>
                <w:lang w:val="en-GB"/>
              </w:rPr>
            </w:pPr>
            <w:r w:rsidRPr="00D30847">
              <w:rPr>
                <w:rFonts w:eastAsia="Times New Roman" w:cs="Calibri"/>
                <w:color w:val="202124"/>
                <w:lang w:val="en-GB"/>
              </w:rPr>
              <w:t xml:space="preserve">Strengthen the capacity of the CHU to </w:t>
            </w:r>
            <w:r w:rsidRPr="00D30847">
              <w:rPr>
                <w:lang w:val="en-GB"/>
              </w:rPr>
              <w:t>monitor</w:t>
            </w:r>
            <w:r w:rsidR="005C0E14" w:rsidRPr="00D30847">
              <w:rPr>
                <w:lang w:val="en-GB"/>
              </w:rPr>
              <w:t xml:space="preserve"> </w:t>
            </w:r>
            <w:r w:rsidRPr="00D30847">
              <w:rPr>
                <w:lang w:val="en-GB"/>
              </w:rPr>
              <w:t>and</w:t>
            </w:r>
            <w:r w:rsidR="005C0E14" w:rsidRPr="00D30847">
              <w:rPr>
                <w:lang w:val="en-GB"/>
              </w:rPr>
              <w:t xml:space="preserve"> </w:t>
            </w:r>
            <w:r w:rsidRPr="00D30847">
              <w:rPr>
                <w:lang w:val="en-GB"/>
              </w:rPr>
              <w:t>report</w:t>
            </w:r>
            <w:r w:rsidR="005C0E14" w:rsidRPr="00D30847">
              <w:rPr>
                <w:lang w:val="en-GB"/>
              </w:rPr>
              <w:t xml:space="preserve"> </w:t>
            </w:r>
            <w:r w:rsidRPr="00D30847">
              <w:rPr>
                <w:lang w:val="en-GB"/>
              </w:rPr>
              <w:t>on</w:t>
            </w:r>
            <w:r w:rsidR="005C0E14" w:rsidRPr="00D30847">
              <w:rPr>
                <w:lang w:val="en-GB"/>
              </w:rPr>
              <w:t xml:space="preserve"> </w:t>
            </w:r>
            <w:r w:rsidRPr="00D30847">
              <w:rPr>
                <w:lang w:val="en-GB"/>
              </w:rPr>
              <w:t>the</w:t>
            </w:r>
            <w:r w:rsidR="005C0E14" w:rsidRPr="00D30847">
              <w:rPr>
                <w:lang w:val="en-GB"/>
              </w:rPr>
              <w:t xml:space="preserve"> </w:t>
            </w:r>
            <w:r w:rsidRPr="00D30847">
              <w:rPr>
                <w:lang w:val="en-GB"/>
              </w:rPr>
              <w:t>functioning</w:t>
            </w:r>
            <w:r w:rsidR="005C0E14" w:rsidRPr="00D30847">
              <w:rPr>
                <w:lang w:val="en-GB"/>
              </w:rPr>
              <w:t xml:space="preserve"> </w:t>
            </w:r>
            <w:r w:rsidRPr="00D30847">
              <w:rPr>
                <w:lang w:val="en-GB"/>
              </w:rPr>
              <w:t>of</w:t>
            </w:r>
            <w:r w:rsidR="005C0E14" w:rsidRPr="00D30847">
              <w:rPr>
                <w:lang w:val="en-GB"/>
              </w:rPr>
              <w:t xml:space="preserve"> </w:t>
            </w:r>
            <w:r w:rsidRPr="00D30847">
              <w:rPr>
                <w:lang w:val="en-GB"/>
              </w:rPr>
              <w:t>the</w:t>
            </w:r>
            <w:r w:rsidR="005C0E14" w:rsidRPr="00D30847">
              <w:rPr>
                <w:lang w:val="en-GB"/>
              </w:rPr>
              <w:t xml:space="preserve"> overall </w:t>
            </w:r>
            <w:r w:rsidRPr="00D30847">
              <w:rPr>
                <w:lang w:val="en-GB"/>
              </w:rPr>
              <w:t>internal</w:t>
            </w:r>
            <w:r w:rsidR="005C0E14" w:rsidRPr="00D30847">
              <w:rPr>
                <w:lang w:val="en-GB"/>
              </w:rPr>
              <w:t xml:space="preserve"> </w:t>
            </w:r>
            <w:r w:rsidRPr="00D30847">
              <w:rPr>
                <w:lang w:val="en-GB"/>
              </w:rPr>
              <w:t>control</w:t>
            </w:r>
            <w:r w:rsidR="005C0E14" w:rsidRPr="00D30847">
              <w:rPr>
                <w:lang w:val="en-GB"/>
              </w:rPr>
              <w:t xml:space="preserve"> </w:t>
            </w:r>
            <w:r w:rsidRPr="00D30847">
              <w:rPr>
                <w:lang w:val="en-GB"/>
              </w:rPr>
              <w:t>system</w:t>
            </w:r>
            <w:r w:rsidR="007733B2" w:rsidRPr="00D30847">
              <w:rPr>
                <w:rFonts w:eastAsia="Times New Roman" w:cs="Calibri"/>
                <w:color w:val="202124"/>
                <w:lang w:val="en-GB"/>
              </w:rPr>
              <w:t>;</w:t>
            </w:r>
          </w:p>
        </w:tc>
      </w:tr>
      <w:tr w:rsidR="007733B2" w:rsidRPr="00D30847" w14:paraId="1AED47B8" w14:textId="77777777" w:rsidTr="008A2E35">
        <w:tc>
          <w:tcPr>
            <w:tcW w:w="1629" w:type="dxa"/>
            <w:shd w:val="clear" w:color="auto" w:fill="auto"/>
          </w:tcPr>
          <w:p w14:paraId="44B4BA05" w14:textId="77777777" w:rsidR="007733B2" w:rsidRPr="00D30847" w:rsidRDefault="007733B2" w:rsidP="008A2E35">
            <w:pPr>
              <w:spacing w:line="240" w:lineRule="auto"/>
              <w:jc w:val="both"/>
              <w:rPr>
                <w:rFonts w:cs="Calibri"/>
                <w:lang w:val="en-GB"/>
              </w:rPr>
            </w:pPr>
            <w:r w:rsidRPr="00D30847">
              <w:rPr>
                <w:rFonts w:cs="Calibri"/>
                <w:lang w:val="en-GB"/>
              </w:rPr>
              <w:t>Activity 2:</w:t>
            </w:r>
          </w:p>
        </w:tc>
        <w:tc>
          <w:tcPr>
            <w:tcW w:w="6511" w:type="dxa"/>
            <w:shd w:val="clear" w:color="auto" w:fill="auto"/>
          </w:tcPr>
          <w:p w14:paraId="64513864" w14:textId="2B71C9D4" w:rsidR="007733B2" w:rsidRPr="00D30847" w:rsidRDefault="00482674" w:rsidP="008A2E35">
            <w:pPr>
              <w:spacing w:line="240" w:lineRule="auto"/>
              <w:jc w:val="both"/>
              <w:rPr>
                <w:rFonts w:cs="Calibri"/>
                <w:lang w:val="en-GB"/>
              </w:rPr>
            </w:pPr>
            <w:r w:rsidRPr="00D30847">
              <w:rPr>
                <w:rFonts w:eastAsia="Times New Roman" w:cs="Calibri"/>
                <w:color w:val="202124"/>
                <w:lang w:val="en-GB"/>
              </w:rPr>
              <w:t>Preparation of the methodology for specific Financial Management and Control issues;</w:t>
            </w:r>
          </w:p>
        </w:tc>
      </w:tr>
      <w:tr w:rsidR="007733B2" w:rsidRPr="00D30847" w14:paraId="1EF88F96" w14:textId="77777777" w:rsidTr="008A2E35">
        <w:trPr>
          <w:trHeight w:val="532"/>
        </w:trPr>
        <w:tc>
          <w:tcPr>
            <w:tcW w:w="1629" w:type="dxa"/>
            <w:shd w:val="clear" w:color="auto" w:fill="auto"/>
          </w:tcPr>
          <w:p w14:paraId="1BE52D32" w14:textId="77777777" w:rsidR="007733B2" w:rsidRPr="00D30847" w:rsidRDefault="007733B2" w:rsidP="008A2E35">
            <w:pPr>
              <w:spacing w:line="240" w:lineRule="auto"/>
              <w:jc w:val="both"/>
              <w:rPr>
                <w:rFonts w:cs="Calibri"/>
                <w:lang w:val="en-GB"/>
              </w:rPr>
            </w:pPr>
            <w:r w:rsidRPr="00D30847">
              <w:rPr>
                <w:rFonts w:cs="Calibri"/>
                <w:lang w:val="en-GB"/>
              </w:rPr>
              <w:t>Activity 3:</w:t>
            </w:r>
          </w:p>
        </w:tc>
        <w:tc>
          <w:tcPr>
            <w:tcW w:w="6511" w:type="dxa"/>
            <w:shd w:val="clear" w:color="auto" w:fill="auto"/>
          </w:tcPr>
          <w:p w14:paraId="4203985A" w14:textId="2DE3821F" w:rsidR="007733B2" w:rsidRPr="00D30847" w:rsidRDefault="00482674" w:rsidP="008A2E35">
            <w:pPr>
              <w:spacing w:line="240" w:lineRule="auto"/>
              <w:jc w:val="both"/>
              <w:rPr>
                <w:rFonts w:cs="Calibri"/>
                <w:lang w:val="en-GB"/>
              </w:rPr>
            </w:pPr>
            <w:r w:rsidRPr="00D30847">
              <w:rPr>
                <w:rFonts w:eastAsia="Times New Roman" w:cs="Calibri"/>
                <w:color w:val="202124"/>
                <w:lang w:val="en-GB"/>
              </w:rPr>
              <w:t>Establishment of a network of institutions’ financial affairs units in coordination with the CHU, for exchange of experiences, best practices and raising awareness at public sector entities about responsibilities for the quality of financial management and control.</w:t>
            </w:r>
          </w:p>
        </w:tc>
      </w:tr>
    </w:tbl>
    <w:p w14:paraId="350592B6" w14:textId="77777777" w:rsidR="007733B2" w:rsidRPr="00D30847" w:rsidRDefault="007733B2"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Outcome</w:t>
      </w:r>
    </w:p>
    <w:p w14:paraId="31DA2E87" w14:textId="77777777" w:rsidR="00482674" w:rsidRPr="00D30847" w:rsidRDefault="00482674" w:rsidP="00482674">
      <w:pPr>
        <w:keepNext/>
        <w:keepLines/>
        <w:spacing w:before="160" w:after="60" w:line="240" w:lineRule="auto"/>
        <w:jc w:val="both"/>
        <w:outlineLvl w:val="3"/>
        <w:rPr>
          <w:rFonts w:eastAsia="Times New Roman" w:cs="Calibri"/>
          <w:color w:val="202124"/>
          <w:lang w:val="en-GB"/>
        </w:rPr>
      </w:pPr>
      <w:r w:rsidRPr="00D30847">
        <w:rPr>
          <w:rFonts w:eastAsia="Times New Roman" w:cs="Calibri"/>
          <w:color w:val="202124"/>
          <w:lang w:val="en-GB"/>
        </w:rPr>
        <w:t>Prepared procedures for key financial management elements</w:t>
      </w:r>
    </w:p>
    <w:p w14:paraId="68AB9A91" w14:textId="77777777" w:rsidR="007733B2" w:rsidRPr="00D30847" w:rsidRDefault="007733B2"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Outcome indicators</w:t>
      </w:r>
    </w:p>
    <w:p w14:paraId="1A5591C2" w14:textId="21653D83" w:rsidR="00E17781" w:rsidRPr="00D30847" w:rsidRDefault="00CB6D79" w:rsidP="00CB6D79">
      <w:pPr>
        <w:spacing w:before="120" w:after="120" w:line="240" w:lineRule="auto"/>
        <w:jc w:val="both"/>
        <w:rPr>
          <w:rFonts w:eastAsia="Times New Roman" w:cs="Calibri"/>
          <w:color w:val="202124"/>
          <w:lang w:val="en-GB"/>
        </w:rPr>
      </w:pPr>
      <w:r w:rsidRPr="00D30847">
        <w:rPr>
          <w:rFonts w:eastAsia="Times New Roman" w:cs="Calibri"/>
          <w:color w:val="202124"/>
          <w:lang w:val="en-GB"/>
        </w:rPr>
        <w:t xml:space="preserve">1. </w:t>
      </w:r>
      <w:r w:rsidR="00E17781" w:rsidRPr="00D30847">
        <w:rPr>
          <w:rFonts w:eastAsia="Times New Roman" w:cs="Calibri"/>
          <w:color w:val="202124"/>
          <w:lang w:val="en-GB"/>
        </w:rPr>
        <w:t>Percentage of institutions that have applied the guidelines for risk management in their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460ED3" w:rsidRPr="00D30847" w14:paraId="2872FA98" w14:textId="77777777" w:rsidTr="002B77A4">
        <w:trPr>
          <w:trHeight w:val="395"/>
        </w:trPr>
        <w:tc>
          <w:tcPr>
            <w:tcW w:w="4608" w:type="dxa"/>
            <w:shd w:val="clear" w:color="auto" w:fill="E8E8E8"/>
          </w:tcPr>
          <w:p w14:paraId="5FC57439" w14:textId="7A7D092C"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4545A2" w:rsidRPr="00D30847">
              <w:rPr>
                <w:rFonts w:eastAsia="Times New Roman" w:cs="Calibri"/>
                <w:b/>
                <w:bCs/>
                <w:i/>
                <w:iCs/>
                <w:color w:val="202124"/>
                <w:sz w:val="20"/>
                <w:szCs w:val="20"/>
                <w:lang w:val="en-GB"/>
              </w:rPr>
              <w:t>3</w:t>
            </w:r>
          </w:p>
        </w:tc>
        <w:tc>
          <w:tcPr>
            <w:tcW w:w="4608" w:type="dxa"/>
            <w:shd w:val="clear" w:color="auto" w:fill="E8E8E8"/>
          </w:tcPr>
          <w:p w14:paraId="3508AA1D" w14:textId="29D5E1E9"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ED5883" w:rsidRPr="00D30847">
              <w:rPr>
                <w:rFonts w:eastAsia="Times New Roman" w:cs="Calibri"/>
                <w:b/>
                <w:bCs/>
                <w:i/>
                <w:iCs/>
                <w:color w:val="202124"/>
                <w:sz w:val="20"/>
                <w:szCs w:val="20"/>
                <w:lang w:val="en-GB"/>
              </w:rPr>
              <w:t>8</w:t>
            </w:r>
          </w:p>
        </w:tc>
      </w:tr>
      <w:tr w:rsidR="00460ED3" w:rsidRPr="00D30847" w14:paraId="6C35024D" w14:textId="77777777" w:rsidTr="002B77A4">
        <w:trPr>
          <w:trHeight w:val="278"/>
        </w:trPr>
        <w:tc>
          <w:tcPr>
            <w:tcW w:w="4608" w:type="dxa"/>
            <w:shd w:val="clear" w:color="auto" w:fill="E8E8E8"/>
          </w:tcPr>
          <w:p w14:paraId="5E046DD0" w14:textId="0D48641D" w:rsidR="00460ED3" w:rsidRPr="00D30847" w:rsidRDefault="00ED5883"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49</w:t>
            </w:r>
          </w:p>
        </w:tc>
        <w:tc>
          <w:tcPr>
            <w:tcW w:w="4608" w:type="dxa"/>
            <w:shd w:val="clear" w:color="auto" w:fill="E8E8E8"/>
          </w:tcPr>
          <w:p w14:paraId="6AF5A12C" w14:textId="77777777" w:rsidR="00460ED3" w:rsidRPr="00D30847" w:rsidRDefault="003C160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70</w:t>
            </w:r>
          </w:p>
        </w:tc>
      </w:tr>
    </w:tbl>
    <w:p w14:paraId="48A644C6" w14:textId="77777777" w:rsidR="00460ED3" w:rsidRPr="00D30847" w:rsidRDefault="00460ED3" w:rsidP="00460ED3">
      <w:pPr>
        <w:spacing w:before="120" w:after="120" w:line="240" w:lineRule="auto"/>
        <w:ind w:left="720"/>
        <w:jc w:val="both"/>
        <w:rPr>
          <w:rFonts w:eastAsia="Times New Roman" w:cs="Calibri"/>
          <w:color w:val="202124"/>
          <w:lang w:val="en-GB"/>
        </w:rPr>
      </w:pPr>
    </w:p>
    <w:p w14:paraId="2DA94310" w14:textId="69206D4A" w:rsidR="00E17781" w:rsidRPr="00D30847" w:rsidRDefault="00CB6D79" w:rsidP="00CB6D79">
      <w:pPr>
        <w:spacing w:before="120" w:after="120" w:line="240" w:lineRule="auto"/>
        <w:jc w:val="both"/>
        <w:rPr>
          <w:rFonts w:eastAsia="Times New Roman" w:cs="Calibri"/>
          <w:color w:val="202124"/>
          <w:lang w:val="en-GB"/>
        </w:rPr>
      </w:pPr>
      <w:r w:rsidRPr="00D30847">
        <w:rPr>
          <w:rFonts w:eastAsia="Times New Roman" w:cs="Calibri"/>
          <w:color w:val="202124"/>
          <w:lang w:val="en-GB"/>
        </w:rPr>
        <w:t xml:space="preserve">2. </w:t>
      </w:r>
      <w:r w:rsidR="00E17781" w:rsidRPr="00D30847">
        <w:rPr>
          <w:rFonts w:eastAsia="Times New Roman" w:cs="Calibri"/>
          <w:color w:val="202124"/>
          <w:lang w:val="en-GB"/>
        </w:rPr>
        <w:t>Percentage of institutions that have delegated authorities and responsibilities for financial management and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460ED3" w:rsidRPr="00D30847" w14:paraId="61F31D97" w14:textId="77777777" w:rsidTr="002B77A4">
        <w:trPr>
          <w:trHeight w:val="395"/>
        </w:trPr>
        <w:tc>
          <w:tcPr>
            <w:tcW w:w="4608" w:type="dxa"/>
            <w:shd w:val="clear" w:color="auto" w:fill="E8E8E8"/>
          </w:tcPr>
          <w:p w14:paraId="517E7C33" w14:textId="2D35766A"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ED5883" w:rsidRPr="00D30847">
              <w:rPr>
                <w:rFonts w:eastAsia="Times New Roman" w:cs="Calibri"/>
                <w:b/>
                <w:bCs/>
                <w:i/>
                <w:iCs/>
                <w:color w:val="202124"/>
                <w:sz w:val="20"/>
                <w:szCs w:val="20"/>
                <w:lang w:val="en-GB"/>
              </w:rPr>
              <w:t>3</w:t>
            </w:r>
          </w:p>
        </w:tc>
        <w:tc>
          <w:tcPr>
            <w:tcW w:w="4608" w:type="dxa"/>
            <w:shd w:val="clear" w:color="auto" w:fill="E8E8E8"/>
          </w:tcPr>
          <w:p w14:paraId="7C6FA3FD" w14:textId="770C9E17"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ED5883" w:rsidRPr="00D30847">
              <w:rPr>
                <w:rFonts w:eastAsia="Times New Roman" w:cs="Calibri"/>
                <w:b/>
                <w:bCs/>
                <w:i/>
                <w:iCs/>
                <w:color w:val="202124"/>
                <w:sz w:val="20"/>
                <w:szCs w:val="20"/>
                <w:lang w:val="en-GB"/>
              </w:rPr>
              <w:t>8</w:t>
            </w:r>
          </w:p>
        </w:tc>
      </w:tr>
      <w:tr w:rsidR="00460ED3" w:rsidRPr="00D30847" w14:paraId="3DAFCFA3" w14:textId="77777777" w:rsidTr="002B77A4">
        <w:trPr>
          <w:trHeight w:val="278"/>
        </w:trPr>
        <w:tc>
          <w:tcPr>
            <w:tcW w:w="4608" w:type="dxa"/>
            <w:shd w:val="clear" w:color="auto" w:fill="E8E8E8"/>
          </w:tcPr>
          <w:p w14:paraId="46C30D49" w14:textId="77777777" w:rsidR="00460ED3" w:rsidRPr="00D30847" w:rsidRDefault="003C160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40</w:t>
            </w:r>
          </w:p>
        </w:tc>
        <w:tc>
          <w:tcPr>
            <w:tcW w:w="4608" w:type="dxa"/>
            <w:shd w:val="clear" w:color="auto" w:fill="E8E8E8"/>
          </w:tcPr>
          <w:p w14:paraId="43E184C8" w14:textId="77777777" w:rsidR="00460ED3" w:rsidRPr="00D30847" w:rsidRDefault="003C160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80</w:t>
            </w:r>
          </w:p>
        </w:tc>
      </w:tr>
    </w:tbl>
    <w:p w14:paraId="1CBD7809" w14:textId="77777777" w:rsidR="00460ED3" w:rsidRPr="00D30847" w:rsidRDefault="00460ED3" w:rsidP="00460ED3">
      <w:pPr>
        <w:spacing w:before="120" w:after="120" w:line="240" w:lineRule="auto"/>
        <w:ind w:left="720"/>
        <w:jc w:val="both"/>
        <w:rPr>
          <w:rFonts w:eastAsia="Times New Roman" w:cs="Calibri"/>
          <w:color w:val="202124"/>
          <w:lang w:val="en-GB"/>
        </w:rPr>
      </w:pPr>
    </w:p>
    <w:p w14:paraId="2BB2A040" w14:textId="6494ECFC" w:rsidR="00E17781" w:rsidRPr="00D30847" w:rsidRDefault="00CB6D79" w:rsidP="00CB6D79">
      <w:pPr>
        <w:spacing w:before="120" w:after="120" w:line="240" w:lineRule="auto"/>
        <w:jc w:val="both"/>
        <w:rPr>
          <w:rFonts w:eastAsia="MS PGothic" w:cs="Calibri"/>
          <w:lang w:val="en-GB" w:eastAsia="zh-CN"/>
        </w:rPr>
      </w:pPr>
      <w:r w:rsidRPr="00D30847">
        <w:rPr>
          <w:rFonts w:eastAsia="Times New Roman" w:cs="Calibri"/>
          <w:color w:val="202124"/>
          <w:lang w:val="en-GB"/>
        </w:rPr>
        <w:t xml:space="preserve">3. </w:t>
      </w:r>
      <w:r w:rsidR="00E17781" w:rsidRPr="00D30847">
        <w:rPr>
          <w:rFonts w:eastAsia="Times New Roman" w:cs="Calibri"/>
          <w:color w:val="202124"/>
          <w:lang w:val="en-GB"/>
        </w:rPr>
        <w:t>Percentage of implemented recommendations given during quality checks.</w:t>
      </w:r>
    </w:p>
    <w:p w14:paraId="7EBA8CD1" w14:textId="77777777" w:rsidR="00460ED3" w:rsidRPr="00D30847" w:rsidRDefault="00460ED3" w:rsidP="00460ED3">
      <w:pPr>
        <w:spacing w:before="120" w:after="120" w:line="240" w:lineRule="auto"/>
        <w:ind w:left="720"/>
        <w:jc w:val="both"/>
        <w:rPr>
          <w:rFonts w:eastAsia="MS PGothic" w:cs="Calibri"/>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460ED3" w:rsidRPr="00D30847" w14:paraId="7F260D5C" w14:textId="77777777" w:rsidTr="002B77A4">
        <w:trPr>
          <w:trHeight w:val="395"/>
        </w:trPr>
        <w:tc>
          <w:tcPr>
            <w:tcW w:w="4608" w:type="dxa"/>
            <w:shd w:val="clear" w:color="auto" w:fill="E8E8E8"/>
          </w:tcPr>
          <w:p w14:paraId="55B91866" w14:textId="3A19D38A"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ED5883" w:rsidRPr="00D30847">
              <w:rPr>
                <w:rFonts w:eastAsia="Times New Roman" w:cs="Calibri"/>
                <w:b/>
                <w:bCs/>
                <w:i/>
                <w:iCs/>
                <w:color w:val="202124"/>
                <w:sz w:val="20"/>
                <w:szCs w:val="20"/>
                <w:lang w:val="en-GB"/>
              </w:rPr>
              <w:t>3</w:t>
            </w:r>
          </w:p>
        </w:tc>
        <w:tc>
          <w:tcPr>
            <w:tcW w:w="4608" w:type="dxa"/>
            <w:shd w:val="clear" w:color="auto" w:fill="E8E8E8"/>
          </w:tcPr>
          <w:p w14:paraId="38E9DF3E" w14:textId="0BD5204A"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ED5883" w:rsidRPr="00D30847">
              <w:rPr>
                <w:rFonts w:eastAsia="Times New Roman" w:cs="Calibri"/>
                <w:b/>
                <w:bCs/>
                <w:i/>
                <w:iCs/>
                <w:color w:val="202124"/>
                <w:sz w:val="20"/>
                <w:szCs w:val="20"/>
                <w:lang w:val="en-GB"/>
              </w:rPr>
              <w:t>8</w:t>
            </w:r>
          </w:p>
        </w:tc>
      </w:tr>
      <w:tr w:rsidR="00460ED3" w:rsidRPr="00D30847" w14:paraId="75E5D200" w14:textId="77777777" w:rsidTr="002B77A4">
        <w:trPr>
          <w:trHeight w:val="278"/>
        </w:trPr>
        <w:tc>
          <w:tcPr>
            <w:tcW w:w="4608" w:type="dxa"/>
            <w:shd w:val="clear" w:color="auto" w:fill="E8E8E8"/>
          </w:tcPr>
          <w:p w14:paraId="71DB7955" w14:textId="77777777" w:rsidR="00460ED3" w:rsidRPr="00D30847" w:rsidRDefault="003C160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0</w:t>
            </w:r>
          </w:p>
        </w:tc>
        <w:tc>
          <w:tcPr>
            <w:tcW w:w="4608" w:type="dxa"/>
            <w:shd w:val="clear" w:color="auto" w:fill="E8E8E8"/>
          </w:tcPr>
          <w:p w14:paraId="0BCA95E9" w14:textId="77777777" w:rsidR="00460ED3" w:rsidRPr="00D30847" w:rsidRDefault="003C160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80</w:t>
            </w:r>
          </w:p>
        </w:tc>
      </w:tr>
    </w:tbl>
    <w:p w14:paraId="11C054D8" w14:textId="77777777" w:rsidR="002F500A" w:rsidRPr="00D30847" w:rsidRDefault="002F500A" w:rsidP="00E84CD0">
      <w:pPr>
        <w:spacing w:before="120" w:after="0" w:line="240" w:lineRule="auto"/>
        <w:jc w:val="both"/>
        <w:rPr>
          <w:rFonts w:cs="Calibri"/>
          <w:b/>
          <w:bCs/>
          <w:iCs/>
          <w:color w:val="0070C0"/>
          <w:sz w:val="24"/>
          <w:szCs w:val="24"/>
          <w:lang w:val="en-GB"/>
        </w:rPr>
      </w:pPr>
    </w:p>
    <w:p w14:paraId="41884176" w14:textId="77777777" w:rsidR="00E91268" w:rsidRDefault="00E91268" w:rsidP="00E84CD0">
      <w:pPr>
        <w:spacing w:before="120" w:after="0" w:line="240" w:lineRule="auto"/>
        <w:jc w:val="both"/>
        <w:rPr>
          <w:rFonts w:cs="Calibri"/>
          <w:b/>
          <w:bCs/>
          <w:iCs/>
          <w:color w:val="0070C0"/>
          <w:sz w:val="24"/>
          <w:szCs w:val="24"/>
          <w:lang w:val="en-GB"/>
        </w:rPr>
      </w:pPr>
    </w:p>
    <w:p w14:paraId="3B45A463" w14:textId="77777777" w:rsidR="00E91268" w:rsidRDefault="00E91268" w:rsidP="00E84CD0">
      <w:pPr>
        <w:spacing w:before="120" w:after="0" w:line="240" w:lineRule="auto"/>
        <w:jc w:val="both"/>
        <w:rPr>
          <w:rFonts w:cs="Calibri"/>
          <w:b/>
          <w:bCs/>
          <w:iCs/>
          <w:color w:val="0070C0"/>
          <w:sz w:val="24"/>
          <w:szCs w:val="24"/>
          <w:lang w:val="en-GB"/>
        </w:rPr>
      </w:pPr>
    </w:p>
    <w:p w14:paraId="5AABE20B" w14:textId="7FD57710" w:rsidR="007733B2" w:rsidRPr="00D30847" w:rsidRDefault="00A70273" w:rsidP="00E84CD0">
      <w:pPr>
        <w:spacing w:before="120" w:after="0" w:line="240" w:lineRule="auto"/>
        <w:jc w:val="both"/>
        <w:rPr>
          <w:rFonts w:cs="Calibri"/>
          <w:b/>
          <w:bCs/>
          <w:iCs/>
          <w:color w:val="CD0000"/>
          <w:lang w:val="en-GB"/>
        </w:rPr>
      </w:pPr>
      <w:r w:rsidRPr="00D30847">
        <w:rPr>
          <w:rFonts w:cs="Calibri"/>
          <w:b/>
          <w:bCs/>
          <w:iCs/>
          <w:color w:val="0070C0"/>
          <w:sz w:val="24"/>
          <w:szCs w:val="24"/>
          <w:lang w:val="en-GB"/>
        </w:rPr>
        <w:lastRenderedPageBreak/>
        <w:t>Measure 1: Creating the conditions for improvement of a system of financial management based on risk management</w:t>
      </w:r>
      <w:r w:rsidR="007733B2" w:rsidRPr="00D30847">
        <w:rPr>
          <w:rFonts w:cs="Calibri"/>
          <w:b/>
          <w:bCs/>
          <w:iCs/>
          <w:color w:val="FF0000"/>
          <w:lang w:val="en-GB"/>
        </w:rPr>
        <w:tab/>
      </w:r>
    </w:p>
    <w:p w14:paraId="0F0BA4C7" w14:textId="77777777" w:rsidR="007733B2" w:rsidRPr="00D30847" w:rsidRDefault="007733B2"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4CBD2588" w14:textId="77777777" w:rsidR="007733B2" w:rsidRPr="00D30847" w:rsidRDefault="007733B2" w:rsidP="00E84CD0">
      <w:pPr>
        <w:spacing w:after="0" w:line="240" w:lineRule="auto"/>
        <w:jc w:val="both"/>
        <w:rPr>
          <w:rFonts w:cs="Calibri"/>
          <w:color w:val="FF0000"/>
          <w:lang w:val="en-GB"/>
        </w:rPr>
      </w:pPr>
    </w:p>
    <w:p w14:paraId="0F55B7F0" w14:textId="77777777" w:rsidR="007733B2" w:rsidRPr="00D30847" w:rsidRDefault="007733B2" w:rsidP="00E84CD0">
      <w:pPr>
        <w:spacing w:after="0" w:line="240" w:lineRule="auto"/>
        <w:jc w:val="both"/>
        <w:rPr>
          <w:rFonts w:cs="Calibri"/>
          <w:lang w:val="en-GB"/>
        </w:rPr>
      </w:pPr>
      <w:r w:rsidRPr="00D30847">
        <w:rPr>
          <w:rFonts w:eastAsia="Times New Roman" w:cs="Calibri"/>
          <w:color w:val="202124"/>
          <w:lang w:val="en-GB"/>
        </w:rPr>
        <w:t>Establishment of a comprehensive system of controls based on risk management, which guarantees the reasonable use of public funds by applying the principle of managerial accountability.</w:t>
      </w:r>
    </w:p>
    <w:p w14:paraId="667E2A62" w14:textId="77777777" w:rsidR="007733B2" w:rsidRPr="00D30847" w:rsidRDefault="007733B2"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Reference to findings from external assessments: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40"/>
        <w:gridCol w:w="7974"/>
      </w:tblGrid>
      <w:tr w:rsidR="007733B2" w:rsidRPr="00D30847" w14:paraId="06C228EC" w14:textId="77777777" w:rsidTr="008E06E4">
        <w:tc>
          <w:tcPr>
            <w:tcW w:w="1240" w:type="dxa"/>
            <w:shd w:val="clear" w:color="auto" w:fill="DDDDDD"/>
          </w:tcPr>
          <w:p w14:paraId="112CD449" w14:textId="77777777" w:rsidR="007733B2" w:rsidRPr="00D30847" w:rsidRDefault="007733B2" w:rsidP="00E84CD0">
            <w:pPr>
              <w:spacing w:before="80" w:after="0" w:line="240" w:lineRule="auto"/>
              <w:jc w:val="both"/>
              <w:rPr>
                <w:rFonts w:cs="Calibri"/>
                <w:b/>
                <w:sz w:val="20"/>
                <w:szCs w:val="20"/>
                <w:lang w:val="en-GB"/>
              </w:rPr>
            </w:pPr>
            <w:r w:rsidRPr="00D30847">
              <w:rPr>
                <w:rFonts w:cs="Calibri"/>
                <w:b/>
                <w:sz w:val="20"/>
                <w:szCs w:val="20"/>
                <w:lang w:val="en-GB"/>
              </w:rPr>
              <w:t>PEFA</w:t>
            </w:r>
          </w:p>
          <w:p w14:paraId="7FD8B075" w14:textId="215315DA" w:rsidR="007733B2" w:rsidRPr="00D30847" w:rsidRDefault="007733B2" w:rsidP="00E84CD0">
            <w:pPr>
              <w:spacing w:before="80" w:after="0" w:line="240" w:lineRule="auto"/>
              <w:jc w:val="both"/>
              <w:rPr>
                <w:rFonts w:cs="Calibri"/>
                <w:sz w:val="20"/>
                <w:szCs w:val="20"/>
                <w:lang w:val="en-GB"/>
              </w:rPr>
            </w:pPr>
            <w:r w:rsidRPr="00D30847">
              <w:rPr>
                <w:rFonts w:cs="Calibri"/>
                <w:b/>
                <w:sz w:val="20"/>
                <w:szCs w:val="20"/>
                <w:lang w:val="en-GB"/>
              </w:rPr>
              <w:t>2021</w:t>
            </w:r>
          </w:p>
        </w:tc>
        <w:tc>
          <w:tcPr>
            <w:tcW w:w="7974" w:type="dxa"/>
            <w:shd w:val="clear" w:color="auto" w:fill="DDDDDD"/>
          </w:tcPr>
          <w:p w14:paraId="36F684B2" w14:textId="77777777" w:rsidR="007733B2" w:rsidRPr="00D30847" w:rsidRDefault="007733B2" w:rsidP="00E84CD0">
            <w:pPr>
              <w:spacing w:line="240" w:lineRule="auto"/>
              <w:jc w:val="both"/>
              <w:rPr>
                <w:rFonts w:eastAsia="Times New Roman" w:cs="Calibri"/>
                <w:sz w:val="20"/>
                <w:szCs w:val="20"/>
                <w:lang w:val="en-GB"/>
              </w:rPr>
            </w:pPr>
            <w:r w:rsidRPr="00D30847">
              <w:rPr>
                <w:rFonts w:cs="Calibri"/>
                <w:sz w:val="20"/>
                <w:szCs w:val="20"/>
                <w:lang w:val="en-GB"/>
              </w:rPr>
              <w:t>Continuous efforts are made to promote sound financial management and control through internal rules and procedures, with a view to strengthen decentralized management and control in spending units.</w:t>
            </w:r>
            <w:r w:rsidRPr="00D30847">
              <w:rPr>
                <w:rFonts w:eastAsia="Times New Roman" w:cs="Calibri"/>
                <w:sz w:val="20"/>
                <w:szCs w:val="20"/>
                <w:lang w:val="en-GB"/>
              </w:rPr>
              <w:t> (PI-25).</w:t>
            </w:r>
          </w:p>
          <w:p w14:paraId="2A4D74CF" w14:textId="77777777" w:rsidR="007733B2" w:rsidRPr="00D30847" w:rsidRDefault="007733B2" w:rsidP="00E84CD0">
            <w:pPr>
              <w:spacing w:after="0" w:line="240" w:lineRule="auto"/>
              <w:jc w:val="both"/>
              <w:rPr>
                <w:rFonts w:eastAsia="Times New Roman" w:cs="Calibri"/>
                <w:sz w:val="20"/>
                <w:szCs w:val="20"/>
                <w:lang w:val="en-GB" w:eastAsia="mk-MK"/>
              </w:rPr>
            </w:pPr>
            <w:r w:rsidRPr="00D30847">
              <w:rPr>
                <w:rFonts w:cs="Calibri"/>
                <w:sz w:val="20"/>
                <w:szCs w:val="20"/>
                <w:lang w:val="en-GB"/>
              </w:rPr>
              <w:t xml:space="preserve">Operationalization of the managerial accountability concept through delegation of </w:t>
            </w:r>
            <w:r w:rsidRPr="00D30847">
              <w:rPr>
                <w:rFonts w:cs="Calibri"/>
                <w:i/>
                <w:sz w:val="20"/>
                <w:szCs w:val="20"/>
                <w:lang w:val="en-GB"/>
              </w:rPr>
              <w:t>budgets for programs under their purview will require</w:t>
            </w:r>
            <w:r w:rsidRPr="00D30847">
              <w:rPr>
                <w:rFonts w:cs="Calibri"/>
                <w:sz w:val="20"/>
                <w:szCs w:val="20"/>
                <w:lang w:val="en-GB"/>
              </w:rPr>
              <w:t xml:space="preserve"> stronger independent assurance on adequacy and effectiveness of the prescribed controls</w:t>
            </w:r>
            <w:r w:rsidRPr="00D30847">
              <w:rPr>
                <w:rFonts w:eastAsia="Times New Roman" w:cs="Calibri"/>
                <w:color w:val="202124"/>
                <w:sz w:val="20"/>
                <w:szCs w:val="20"/>
                <w:lang w:val="en-GB"/>
              </w:rPr>
              <w:t>.</w:t>
            </w:r>
          </w:p>
          <w:p w14:paraId="7887025C" w14:textId="14DF4399" w:rsidR="007733B2" w:rsidRPr="00D30847" w:rsidRDefault="007733B2" w:rsidP="00E84CD0">
            <w:pPr>
              <w:spacing w:after="0" w:line="240" w:lineRule="auto"/>
              <w:jc w:val="both"/>
              <w:rPr>
                <w:rFonts w:eastAsia="Times New Roman" w:cs="Calibri"/>
                <w:sz w:val="20"/>
                <w:szCs w:val="20"/>
                <w:lang w:val="en-GB"/>
              </w:rPr>
            </w:pPr>
            <w:r w:rsidRPr="00D30847">
              <w:rPr>
                <w:rFonts w:cs="Calibri"/>
                <w:sz w:val="20"/>
                <w:szCs w:val="20"/>
                <w:lang w:val="en-GB"/>
              </w:rPr>
              <w:t>The initiative is complementary to internal and external audit work on strengthening internal controls and could compensate for some of coverage gaps in those functions due to resource constraints</w:t>
            </w:r>
            <w:r w:rsidRPr="00D30847">
              <w:rPr>
                <w:rFonts w:eastAsia="Times New Roman" w:cs="Calibri"/>
                <w:color w:val="202124"/>
                <w:sz w:val="20"/>
                <w:szCs w:val="20"/>
                <w:lang w:val="en-GB"/>
              </w:rPr>
              <w:t>.</w:t>
            </w:r>
            <w:r w:rsidR="00163B4D" w:rsidRPr="00D30847">
              <w:rPr>
                <w:rFonts w:eastAsia="Times New Roman" w:cs="Calibri"/>
                <w:color w:val="202124"/>
                <w:sz w:val="20"/>
                <w:szCs w:val="20"/>
                <w:lang w:val="en-GB"/>
              </w:rPr>
              <w:t xml:space="preserve"> </w:t>
            </w:r>
            <w:r w:rsidRPr="00D30847">
              <w:rPr>
                <w:rFonts w:cs="Calibri"/>
                <w:sz w:val="20"/>
                <w:szCs w:val="20"/>
                <w:lang w:val="en-GB"/>
              </w:rPr>
              <w:t>Links with the ongoing initiatives to strengthen integrity and quality management in public institutions can be better leveraged</w:t>
            </w:r>
            <w:r w:rsidRPr="00D30847">
              <w:rPr>
                <w:rFonts w:eastAsia="Times New Roman" w:cs="Calibri"/>
                <w:color w:val="202124"/>
                <w:sz w:val="20"/>
                <w:szCs w:val="20"/>
                <w:lang w:val="en-GB"/>
              </w:rPr>
              <w:t>.</w:t>
            </w:r>
          </w:p>
          <w:p w14:paraId="6E728977" w14:textId="77777777" w:rsidR="007733B2" w:rsidRPr="00D30847" w:rsidRDefault="007733B2" w:rsidP="00E84CD0">
            <w:pPr>
              <w:spacing w:line="240" w:lineRule="auto"/>
              <w:jc w:val="both"/>
              <w:rPr>
                <w:rFonts w:eastAsia="Times New Roman" w:cs="Calibri"/>
                <w:b/>
                <w:sz w:val="20"/>
                <w:szCs w:val="20"/>
                <w:lang w:val="en-GB"/>
              </w:rPr>
            </w:pPr>
            <w:r w:rsidRPr="00D30847">
              <w:rPr>
                <w:rFonts w:eastAsia="Times New Roman" w:cs="Calibri"/>
                <w:b/>
                <w:sz w:val="20"/>
                <w:szCs w:val="20"/>
                <w:lang w:val="en-GB"/>
              </w:rPr>
              <w:t>Proposed Action</w:t>
            </w:r>
          </w:p>
          <w:p w14:paraId="3B1098C9" w14:textId="52E56807" w:rsidR="007733B2" w:rsidRPr="00D30847" w:rsidRDefault="007733B2" w:rsidP="00E84CD0">
            <w:pPr>
              <w:spacing w:line="240" w:lineRule="auto"/>
              <w:jc w:val="both"/>
              <w:rPr>
                <w:rFonts w:eastAsia="Times New Roman" w:cs="Calibri"/>
                <w:sz w:val="20"/>
                <w:szCs w:val="20"/>
                <w:lang w:val="en-GB"/>
              </w:rPr>
            </w:pPr>
            <w:r w:rsidRPr="00D30847">
              <w:rPr>
                <w:rFonts w:cs="Calibri"/>
                <w:sz w:val="20"/>
                <w:szCs w:val="20"/>
                <w:lang w:val="en-GB"/>
              </w:rPr>
              <w:t xml:space="preserve">Enhance the capacity of MoF CHU to carry out quality reviews of risk management and internal control </w:t>
            </w:r>
            <w:r w:rsidR="00163B4D" w:rsidRPr="00D30847">
              <w:rPr>
                <w:rFonts w:cs="Calibri"/>
                <w:sz w:val="20"/>
                <w:szCs w:val="20"/>
                <w:lang w:val="en-GB"/>
              </w:rPr>
              <w:t>effectiveness</w:t>
            </w:r>
            <w:r w:rsidR="00163B4D" w:rsidRPr="00D30847">
              <w:rPr>
                <w:rFonts w:eastAsia="Times New Roman" w:cs="Calibri"/>
                <w:color w:val="202124"/>
                <w:sz w:val="20"/>
                <w:szCs w:val="20"/>
                <w:lang w:val="en-GB"/>
              </w:rPr>
              <w:t>.</w:t>
            </w:r>
            <w:r w:rsidR="00163B4D" w:rsidRPr="00D30847">
              <w:rPr>
                <w:rFonts w:cs="Calibri"/>
                <w:sz w:val="20"/>
                <w:szCs w:val="20"/>
                <w:lang w:val="en-GB"/>
              </w:rPr>
              <w:t xml:space="preserve"> Guidelines</w:t>
            </w:r>
            <w:r w:rsidRPr="00D30847">
              <w:rPr>
                <w:rFonts w:cs="Calibri"/>
                <w:sz w:val="20"/>
                <w:szCs w:val="20"/>
                <w:lang w:val="en-GB"/>
              </w:rPr>
              <w:t xml:space="preserve"> envisaged under the new PIFC Law should allow the MoF to assess effectiveness of internal control procedures in spending units</w:t>
            </w:r>
            <w:r w:rsidRPr="00D30847">
              <w:rPr>
                <w:rFonts w:eastAsia="Times New Roman" w:cs="Calibri"/>
                <w:color w:val="202124"/>
                <w:sz w:val="20"/>
                <w:szCs w:val="20"/>
                <w:lang w:val="en-GB"/>
              </w:rPr>
              <w:t>.</w:t>
            </w:r>
          </w:p>
        </w:tc>
      </w:tr>
      <w:tr w:rsidR="007733B2" w:rsidRPr="00D30847" w14:paraId="316D8932" w14:textId="77777777" w:rsidTr="008E06E4">
        <w:tc>
          <w:tcPr>
            <w:tcW w:w="1240" w:type="dxa"/>
            <w:shd w:val="clear" w:color="auto" w:fill="DDDDDD"/>
          </w:tcPr>
          <w:p w14:paraId="61A8874D" w14:textId="77777777" w:rsidR="007733B2" w:rsidRPr="00D30847" w:rsidRDefault="007733B2" w:rsidP="00E84CD0">
            <w:pPr>
              <w:spacing w:before="80" w:after="0" w:line="240" w:lineRule="auto"/>
              <w:jc w:val="both"/>
              <w:rPr>
                <w:rFonts w:cs="Calibri"/>
                <w:b/>
                <w:sz w:val="20"/>
                <w:szCs w:val="20"/>
                <w:lang w:val="en-GB"/>
              </w:rPr>
            </w:pPr>
            <w:r w:rsidRPr="00D30847">
              <w:rPr>
                <w:rFonts w:cs="Calibri"/>
                <w:b/>
                <w:sz w:val="20"/>
                <w:szCs w:val="20"/>
                <w:lang w:val="en-GB"/>
              </w:rPr>
              <w:t>SIGMA</w:t>
            </w:r>
          </w:p>
          <w:p w14:paraId="195B7D33" w14:textId="1136BB3E" w:rsidR="007733B2" w:rsidRPr="00D30847" w:rsidRDefault="007733B2" w:rsidP="00E84CD0">
            <w:pPr>
              <w:spacing w:before="80" w:after="0" w:line="240" w:lineRule="auto"/>
              <w:jc w:val="both"/>
              <w:rPr>
                <w:rFonts w:cs="Calibri"/>
                <w:sz w:val="20"/>
                <w:szCs w:val="20"/>
                <w:lang w:val="en-GB"/>
              </w:rPr>
            </w:pPr>
            <w:r w:rsidRPr="00D30847">
              <w:rPr>
                <w:rFonts w:cs="Calibri"/>
                <w:b/>
                <w:sz w:val="20"/>
                <w:szCs w:val="20"/>
                <w:lang w:val="en-GB"/>
              </w:rPr>
              <w:t>2021</w:t>
            </w:r>
          </w:p>
        </w:tc>
        <w:tc>
          <w:tcPr>
            <w:tcW w:w="7974" w:type="dxa"/>
            <w:shd w:val="clear" w:color="auto" w:fill="DDDDDD"/>
          </w:tcPr>
          <w:p w14:paraId="65DEDA67" w14:textId="77777777" w:rsidR="007733B2" w:rsidRPr="00D30847" w:rsidRDefault="007733B2" w:rsidP="00E84CD0">
            <w:pPr>
              <w:spacing w:line="240" w:lineRule="auto"/>
              <w:jc w:val="both"/>
              <w:rPr>
                <w:rFonts w:eastAsia="Times New Roman" w:cs="Calibri"/>
                <w:color w:val="000000"/>
                <w:sz w:val="20"/>
                <w:szCs w:val="20"/>
                <w:lang w:val="en-GB"/>
              </w:rPr>
            </w:pPr>
            <w:r w:rsidRPr="00D30847">
              <w:rPr>
                <w:rFonts w:eastAsia="Times New Roman" w:cs="Calibri"/>
                <w:color w:val="202124"/>
                <w:sz w:val="20"/>
                <w:szCs w:val="20"/>
                <w:lang w:val="en-GB"/>
              </w:rPr>
              <w:t>Although the operational framework of internal control is generally in place, the implementation of good practices for IC and managerial accountability suffers from the scattered accountability structure in the overall organization of the public administration.</w:t>
            </w:r>
            <w:r w:rsidRPr="00D30847">
              <w:rPr>
                <w:rFonts w:eastAsia="Times New Roman" w:cs="Calibri"/>
                <w:color w:val="000000"/>
                <w:sz w:val="20"/>
                <w:szCs w:val="20"/>
                <w:lang w:val="en-GB"/>
              </w:rPr>
              <w:t> </w:t>
            </w:r>
            <w:r w:rsidRPr="00D30847">
              <w:rPr>
                <w:rFonts w:cs="Calibri"/>
                <w:sz w:val="20"/>
                <w:szCs w:val="20"/>
                <w:lang w:val="en-GB"/>
              </w:rPr>
              <w:t xml:space="preserve"> Not all budget organisations follow the legal obligations for putting in place internal procedures for the delegation of tasks, risk management and the definition and monitoring of performance indicators.</w:t>
            </w:r>
            <w:r w:rsidRPr="00D30847">
              <w:rPr>
                <w:rFonts w:eastAsia="Times New Roman" w:cs="Calibri"/>
                <w:color w:val="000000"/>
                <w:sz w:val="20"/>
                <w:szCs w:val="20"/>
                <w:lang w:val="en-GB"/>
              </w:rPr>
              <w:t> </w:t>
            </w:r>
            <w:r w:rsidRPr="00D30847">
              <w:rPr>
                <w:rFonts w:cs="Calibri"/>
                <w:sz w:val="20"/>
                <w:szCs w:val="20"/>
                <w:lang w:val="en-GB"/>
              </w:rPr>
              <w:t xml:space="preserve"> PIFC-related manuals do not appear to be consistently applied by budget organisations, and the IC requirements are perceived as an administrative burden rather than as useful management tools.</w:t>
            </w:r>
            <w:r w:rsidRPr="00D30847">
              <w:rPr>
                <w:rFonts w:eastAsia="Times New Roman" w:cs="Calibri"/>
                <w:color w:val="000000"/>
                <w:sz w:val="20"/>
                <w:szCs w:val="20"/>
                <w:lang w:val="en-GB"/>
              </w:rPr>
              <w:t> </w:t>
            </w:r>
            <w:r w:rsidRPr="00D30847">
              <w:rPr>
                <w:rFonts w:cs="Calibri"/>
                <w:sz w:val="20"/>
                <w:szCs w:val="20"/>
                <w:lang w:val="en-GB"/>
              </w:rPr>
              <w:t xml:space="preserve"> The new PIFC Law introducing the concept of parent budget users can potentially streamline accountability, monitoring and reporting lines.</w:t>
            </w:r>
          </w:p>
        </w:tc>
      </w:tr>
      <w:tr w:rsidR="007733B2" w:rsidRPr="00D30847" w14:paraId="1169F838" w14:textId="77777777" w:rsidTr="008E06E4">
        <w:tc>
          <w:tcPr>
            <w:tcW w:w="1240" w:type="dxa"/>
            <w:shd w:val="clear" w:color="auto" w:fill="DDDDDD"/>
          </w:tcPr>
          <w:p w14:paraId="2AB2E2ED" w14:textId="77777777" w:rsidR="00ED5883" w:rsidRPr="00D30847" w:rsidRDefault="00ED5883" w:rsidP="00ED5883">
            <w:pPr>
              <w:spacing w:before="80" w:after="0" w:line="240" w:lineRule="auto"/>
              <w:jc w:val="both"/>
              <w:rPr>
                <w:rFonts w:cs="Calibri"/>
                <w:b/>
                <w:sz w:val="20"/>
                <w:szCs w:val="20"/>
                <w:lang w:val="en-GB"/>
              </w:rPr>
            </w:pPr>
            <w:r w:rsidRPr="00D30847">
              <w:rPr>
                <w:rFonts w:cs="Calibri"/>
                <w:b/>
                <w:sz w:val="20"/>
                <w:szCs w:val="20"/>
                <w:lang w:val="en-GB"/>
              </w:rPr>
              <w:t>EU</w:t>
            </w:r>
          </w:p>
          <w:p w14:paraId="52350C98" w14:textId="0A44717B" w:rsidR="007733B2" w:rsidRPr="00D30847" w:rsidRDefault="00ED5883" w:rsidP="00ED5883">
            <w:pPr>
              <w:spacing w:before="80" w:after="0" w:line="240" w:lineRule="auto"/>
              <w:jc w:val="both"/>
              <w:rPr>
                <w:rFonts w:cs="Calibri"/>
                <w:b/>
                <w:sz w:val="20"/>
                <w:szCs w:val="20"/>
                <w:lang w:val="en-GB"/>
              </w:rPr>
            </w:pPr>
            <w:r w:rsidRPr="00D30847">
              <w:rPr>
                <w:rFonts w:cs="Calibri"/>
                <w:b/>
                <w:sz w:val="20"/>
                <w:szCs w:val="20"/>
                <w:lang w:val="en-GB"/>
              </w:rPr>
              <w:t>2024</w:t>
            </w:r>
          </w:p>
        </w:tc>
        <w:tc>
          <w:tcPr>
            <w:tcW w:w="7974" w:type="dxa"/>
            <w:shd w:val="clear" w:color="auto" w:fill="DDDDDD"/>
          </w:tcPr>
          <w:p w14:paraId="14CF8993" w14:textId="3969E301" w:rsidR="00ED5883" w:rsidRPr="00D30847" w:rsidRDefault="00ED5883" w:rsidP="00E17781">
            <w:pPr>
              <w:spacing w:line="240" w:lineRule="auto"/>
              <w:jc w:val="both"/>
              <w:rPr>
                <w:rFonts w:cs="Calibri"/>
                <w:sz w:val="20"/>
                <w:szCs w:val="20"/>
                <w:lang w:val="en-GB"/>
              </w:rPr>
            </w:pPr>
            <w:r w:rsidRPr="00D30847">
              <w:rPr>
                <w:rFonts w:cs="Calibri"/>
                <w:sz w:val="20"/>
                <w:szCs w:val="20"/>
                <w:lang w:val="en-GB"/>
              </w:rPr>
              <w:t xml:space="preserve">Central Harmonisation </w:t>
            </w:r>
            <w:r w:rsidR="002F500A" w:rsidRPr="00D30847">
              <w:rPr>
                <w:rFonts w:cs="Calibri"/>
                <w:sz w:val="20"/>
                <w:szCs w:val="20"/>
                <w:lang w:val="en-GB"/>
              </w:rPr>
              <w:t>Unit has</w:t>
            </w:r>
            <w:r w:rsidRPr="00D30847">
              <w:rPr>
                <w:rFonts w:cs="Calibri"/>
                <w:sz w:val="20"/>
                <w:szCs w:val="20"/>
                <w:lang w:val="en-GB"/>
              </w:rPr>
              <w:t xml:space="preserve"> produced the annual report on the functioning of Public Internal Financial Controls but it was still pending adoption by the government by September 2024. Implementation of PIFC reforms continued to be hindered by the substantial delay in adoption of the PIFC law, still in Parliamentary procedure after more than three years, and by the insufficient capacity of key institutions.</w:t>
            </w:r>
          </w:p>
          <w:p w14:paraId="1A7E8617" w14:textId="77777777" w:rsidR="00ED5883" w:rsidRPr="00D30847" w:rsidRDefault="00ED5883" w:rsidP="00ED5883">
            <w:pPr>
              <w:spacing w:line="240" w:lineRule="auto"/>
              <w:jc w:val="both"/>
              <w:rPr>
                <w:rFonts w:cs="Calibri"/>
                <w:sz w:val="20"/>
                <w:szCs w:val="20"/>
                <w:lang w:val="en-GB"/>
              </w:rPr>
            </w:pPr>
            <w:r w:rsidRPr="00D30847">
              <w:rPr>
                <w:rFonts w:cs="Calibri"/>
                <w:sz w:val="20"/>
                <w:szCs w:val="20"/>
                <w:lang w:val="en-GB"/>
              </w:rPr>
              <w:t>The legal framework on internal control is broadly harmonised with international standards but implementation needs to be further reinforced. Efficient implementation of managerial accountability remains a challenge for budget users at central and local levels. Coherent application of the manual on managerial accountability is yet to be ensured. Risk management needs to be further strengthened. In 2022, 70% of institutions at central level had a risk management strategy and only 59.8% had prepared risk registers.</w:t>
            </w:r>
          </w:p>
          <w:p w14:paraId="6A74799A" w14:textId="1744280F" w:rsidR="007733B2" w:rsidRPr="00D30847" w:rsidRDefault="00ED5883" w:rsidP="00E84CD0">
            <w:pPr>
              <w:spacing w:line="240" w:lineRule="auto"/>
              <w:jc w:val="both"/>
              <w:rPr>
                <w:rFonts w:cs="Calibri"/>
                <w:sz w:val="20"/>
                <w:szCs w:val="20"/>
                <w:lang w:val="en-GB"/>
              </w:rPr>
            </w:pPr>
            <w:r w:rsidRPr="00D30847">
              <w:rPr>
                <w:rFonts w:cs="Calibri"/>
                <w:sz w:val="20"/>
                <w:szCs w:val="20"/>
                <w:lang w:val="en-GB"/>
              </w:rPr>
              <w:t>The Central Harmonisation Unit provides methodological guidance and coordinates financial management and control and internal audit in the public sector. Its capacities remain insufficient for monitoring and reporting on the functioning of the overall internal control system of 1 380 public entities.</w:t>
            </w:r>
          </w:p>
        </w:tc>
      </w:tr>
    </w:tbl>
    <w:p w14:paraId="296425B5" w14:textId="77777777" w:rsidR="007733B2" w:rsidRPr="00D30847" w:rsidRDefault="007733B2"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Context/Background</w:t>
      </w:r>
    </w:p>
    <w:p w14:paraId="02074E6D" w14:textId="54485426" w:rsidR="00E17781" w:rsidRPr="00D30847" w:rsidRDefault="00E17781" w:rsidP="00E17781">
      <w:pPr>
        <w:shd w:val="clear" w:color="auto" w:fill="FFFFFF"/>
        <w:spacing w:line="240" w:lineRule="auto"/>
        <w:jc w:val="both"/>
        <w:rPr>
          <w:rFonts w:cs="Calibri"/>
          <w:lang w:val="en-GB"/>
        </w:rPr>
      </w:pPr>
      <w:r w:rsidRPr="00D30847">
        <w:rPr>
          <w:lang w:val="en-GB"/>
        </w:rPr>
        <w:t>The</w:t>
      </w:r>
      <w:r w:rsidR="007D6CD2" w:rsidRPr="00D30847">
        <w:rPr>
          <w:lang w:val="en-GB"/>
        </w:rPr>
        <w:t xml:space="preserve"> </w:t>
      </w:r>
      <w:r w:rsidRPr="00D30847">
        <w:rPr>
          <w:lang w:val="en-GB"/>
        </w:rPr>
        <w:t>country</w:t>
      </w:r>
      <w:r w:rsidR="007D6CD2" w:rsidRPr="00D30847">
        <w:rPr>
          <w:lang w:val="en-GB"/>
        </w:rPr>
        <w:t xml:space="preserve"> </w:t>
      </w:r>
      <w:r w:rsidRPr="00D30847">
        <w:rPr>
          <w:lang w:val="en-GB"/>
        </w:rPr>
        <w:t>is</w:t>
      </w:r>
      <w:r w:rsidR="007D6CD2" w:rsidRPr="00D30847">
        <w:rPr>
          <w:lang w:val="en-GB"/>
        </w:rPr>
        <w:t xml:space="preserve"> </w:t>
      </w:r>
      <w:r w:rsidRPr="00D30847">
        <w:rPr>
          <w:b/>
          <w:bCs/>
          <w:lang w:val="en-GB"/>
        </w:rPr>
        <w:t>moderately</w:t>
      </w:r>
      <w:r w:rsidR="007D6CD2" w:rsidRPr="00D30847">
        <w:rPr>
          <w:b/>
          <w:bCs/>
          <w:lang w:val="en-GB"/>
        </w:rPr>
        <w:t xml:space="preserve"> </w:t>
      </w:r>
      <w:r w:rsidRPr="00D30847">
        <w:rPr>
          <w:b/>
          <w:bCs/>
          <w:lang w:val="en-GB"/>
        </w:rPr>
        <w:t>prepared</w:t>
      </w:r>
      <w:r w:rsidR="007D6CD2" w:rsidRPr="00D30847">
        <w:rPr>
          <w:b/>
          <w:bCs/>
          <w:lang w:val="en-GB"/>
        </w:rPr>
        <w:t xml:space="preserve"> </w:t>
      </w:r>
      <w:r w:rsidRPr="00D30847">
        <w:rPr>
          <w:lang w:val="en-GB"/>
        </w:rPr>
        <w:t>in</w:t>
      </w:r>
      <w:r w:rsidR="007D6CD2" w:rsidRPr="00D30847">
        <w:rPr>
          <w:lang w:val="en-GB"/>
        </w:rPr>
        <w:t xml:space="preserve"> </w:t>
      </w:r>
      <w:r w:rsidRPr="00D30847">
        <w:rPr>
          <w:lang w:val="en-GB"/>
        </w:rPr>
        <w:t>the</w:t>
      </w:r>
      <w:r w:rsidR="007D6CD2" w:rsidRPr="00D30847">
        <w:rPr>
          <w:lang w:val="en-GB"/>
        </w:rPr>
        <w:t xml:space="preserve"> </w:t>
      </w:r>
      <w:r w:rsidRPr="00D30847">
        <w:rPr>
          <w:lang w:val="en-GB"/>
        </w:rPr>
        <w:t>area</w:t>
      </w:r>
      <w:r w:rsidR="007D6CD2" w:rsidRPr="00D30847">
        <w:rPr>
          <w:lang w:val="en-GB"/>
        </w:rPr>
        <w:t xml:space="preserve"> </w:t>
      </w:r>
      <w:r w:rsidRPr="00D30847">
        <w:rPr>
          <w:lang w:val="en-GB"/>
        </w:rPr>
        <w:t>of</w:t>
      </w:r>
      <w:r w:rsidR="007D6CD2" w:rsidRPr="00D30847">
        <w:rPr>
          <w:lang w:val="en-GB"/>
        </w:rPr>
        <w:t xml:space="preserve"> </w:t>
      </w:r>
      <w:r w:rsidRPr="00D30847">
        <w:rPr>
          <w:lang w:val="en-GB"/>
        </w:rPr>
        <w:t>financial</w:t>
      </w:r>
      <w:r w:rsidR="007D6CD2" w:rsidRPr="00D30847">
        <w:rPr>
          <w:lang w:val="en-GB"/>
        </w:rPr>
        <w:t xml:space="preserve"> </w:t>
      </w:r>
      <w:r w:rsidRPr="00D30847">
        <w:rPr>
          <w:lang w:val="en-GB"/>
        </w:rPr>
        <w:t>control</w:t>
      </w:r>
      <w:r w:rsidRPr="00D30847">
        <w:rPr>
          <w:rFonts w:cs="Calibri"/>
          <w:lang w:val="en-GB"/>
        </w:rPr>
        <w:t xml:space="preserve">. </w:t>
      </w:r>
      <w:r w:rsidRPr="00D30847">
        <w:rPr>
          <w:rFonts w:eastAsia="Times New Roman" w:cs="Calibri"/>
          <w:color w:val="202124"/>
          <w:lang w:val="en-GB"/>
        </w:rPr>
        <w:t xml:space="preserve">The legal framework for internal </w:t>
      </w:r>
      <w:r w:rsidRPr="00D30847">
        <w:rPr>
          <w:rFonts w:eastAsia="Times New Roman" w:cs="Calibri"/>
          <w:lang w:val="en-GB"/>
        </w:rPr>
        <w:t xml:space="preserve">control is broadly harmonised with international standards. Its implementation needs to be further </w:t>
      </w:r>
      <w:r w:rsidRPr="00D30847">
        <w:rPr>
          <w:rFonts w:eastAsia="Times New Roman" w:cs="Calibri"/>
          <w:lang w:val="en-GB"/>
        </w:rPr>
        <w:lastRenderedPageBreak/>
        <w:t>strengthened. In the coming period, it is necessary to adopt and effectively implement the Law on Public Internal Financial Control System and their methodological tools on order to ensure their efficient implementation in coordination with reforms</w:t>
      </w:r>
      <w:r w:rsidRPr="00D30847">
        <w:rPr>
          <w:rFonts w:eastAsia="Times New Roman" w:cs="Calibri"/>
          <w:color w:val="202124"/>
          <w:lang w:val="en-GB"/>
        </w:rPr>
        <w:t xml:space="preserve"> of the new Organic Budget </w:t>
      </w:r>
      <w:r w:rsidR="00163B4D" w:rsidRPr="00D30847">
        <w:rPr>
          <w:rFonts w:eastAsia="Times New Roman" w:cs="Calibri"/>
          <w:color w:val="202124"/>
          <w:lang w:val="en-GB"/>
        </w:rPr>
        <w:t>Law. The</w:t>
      </w:r>
      <w:r w:rsidRPr="00D30847">
        <w:rPr>
          <w:rFonts w:eastAsia="Times New Roman" w:cs="Calibri"/>
          <w:color w:val="202124"/>
          <w:lang w:val="en-GB"/>
        </w:rPr>
        <w:t xml:space="preserve"> draft Law on Public Internal Financial Control System defines the new model of managerial accountability according to which the head of the parent budget user is accountable for the development of an efficient and effective system for financial management and control of the body having appointed the respective head, the head of the budget user is accountable to the head of the parent budget user, and the head of the publicly owned enterprise is accountable to the supervisory board. Thereby, the head of the budget user and the head of the publicly owned enterprise adhere to the procedures and guidelines given by the parent budget user.</w:t>
      </w:r>
    </w:p>
    <w:p w14:paraId="6D584B84" w14:textId="77777777" w:rsidR="007733B2" w:rsidRPr="00D30847" w:rsidRDefault="007733B2" w:rsidP="00E84CD0">
      <w:pPr>
        <w:shd w:val="clear" w:color="auto" w:fill="FFFFFF"/>
        <w:spacing w:line="240" w:lineRule="auto"/>
        <w:jc w:val="both"/>
        <w:rPr>
          <w:rFonts w:cs="Calibri"/>
          <w:lang w:val="en-GB"/>
        </w:rPr>
      </w:pPr>
      <w:r w:rsidRPr="00D30847">
        <w:rPr>
          <w:rFonts w:eastAsia="Times New Roman" w:cs="Calibri"/>
          <w:color w:val="202124"/>
          <w:lang w:val="en-GB"/>
        </w:rPr>
        <w:t>The Law also defines the manner of delegating powers and responsibilities in the implementation of the key processes for financial management and control, whereby the delegation of powers and responsibilities does not exclude the accountability of the head of the public sector entity. When delegating powers and responsibilities, the head of the entity is obliged to apply the principle of segregation of duties in a manner that will not allow for one official to be responsible for approval of financial obligations, approval of payment and accounting at the same time.</w:t>
      </w:r>
    </w:p>
    <w:p w14:paraId="6F55EF54" w14:textId="77777777" w:rsidR="00E17781" w:rsidRPr="00D30847" w:rsidRDefault="00E17781" w:rsidP="00E84CD0">
      <w:pPr>
        <w:keepNext/>
        <w:keepLines/>
        <w:spacing w:before="160" w:after="60" w:line="240" w:lineRule="auto"/>
        <w:jc w:val="both"/>
        <w:outlineLvl w:val="3"/>
        <w:rPr>
          <w:rFonts w:eastAsia="Times New Roman" w:cs="Calibri"/>
          <w:color w:val="202124"/>
          <w:lang w:val="en-GB"/>
        </w:rPr>
      </w:pPr>
      <w:r w:rsidRPr="00D30847">
        <w:rPr>
          <w:rFonts w:eastAsia="Times New Roman" w:cs="Calibri"/>
          <w:color w:val="202124"/>
          <w:lang w:val="en-GB"/>
        </w:rPr>
        <w:t>Despite ongoing work to provide further guidance, the efficient implementation of managerial accountability remains a challenge for budget users at central and local levels. Coherent and consistent application of the manual on managerial accountability is yet to be ensured.</w:t>
      </w:r>
    </w:p>
    <w:p w14:paraId="4ECB5B55" w14:textId="0926C89A" w:rsidR="00E17781" w:rsidRPr="00D30847" w:rsidRDefault="007733B2" w:rsidP="00E84CD0">
      <w:pPr>
        <w:keepNext/>
        <w:keepLines/>
        <w:spacing w:before="160" w:after="60" w:line="240" w:lineRule="auto"/>
        <w:jc w:val="both"/>
        <w:outlineLvl w:val="3"/>
        <w:rPr>
          <w:rFonts w:eastAsia="MS PGothic" w:cs="Calibri"/>
          <w:b/>
          <w:bCs/>
          <w:iCs/>
          <w:color w:val="0070C0"/>
          <w:lang w:val="en-GB" w:eastAsia="zh-CN"/>
        </w:rPr>
      </w:pPr>
      <w:r w:rsidRPr="00D30847">
        <w:rPr>
          <w:rFonts w:eastAsia="MS PGothic" w:cs="Calibri"/>
          <w:b/>
          <w:bCs/>
          <w:iCs/>
          <w:color w:val="0070C0"/>
          <w:lang w:val="en-GB" w:eastAsia="zh-CN"/>
        </w:rPr>
        <w:t>Activity 1:</w:t>
      </w:r>
      <w:r w:rsidR="009A7962" w:rsidRPr="00D30847">
        <w:rPr>
          <w:rFonts w:eastAsia="MS PGothic" w:cs="Calibri"/>
          <w:b/>
          <w:bCs/>
          <w:iCs/>
          <w:color w:val="0070C0"/>
          <w:lang w:val="en-GB" w:eastAsia="zh-CN"/>
        </w:rPr>
        <w:t xml:space="preserve"> </w:t>
      </w:r>
      <w:r w:rsidR="00E17781" w:rsidRPr="00D30847">
        <w:rPr>
          <w:rFonts w:eastAsia="MS PGothic" w:cs="Calibri"/>
          <w:b/>
          <w:bCs/>
          <w:iCs/>
          <w:color w:val="0070C0"/>
          <w:lang w:val="en-GB" w:eastAsia="zh-CN"/>
        </w:rPr>
        <w:t>Strengthen the capacity of the CHU to monitor and report on the functioning of the overall internal control system</w:t>
      </w:r>
    </w:p>
    <w:p w14:paraId="34BE2DFD" w14:textId="77777777" w:rsidR="00A70273" w:rsidRPr="00D30847" w:rsidRDefault="00A70273" w:rsidP="00A70273">
      <w:pPr>
        <w:keepNext/>
        <w:keepLines/>
        <w:spacing w:before="160" w:after="60" w:line="240" w:lineRule="auto"/>
        <w:jc w:val="both"/>
        <w:outlineLvl w:val="3"/>
        <w:rPr>
          <w:rFonts w:cs="Calibri"/>
          <w:lang w:val="en-GB"/>
        </w:rPr>
      </w:pPr>
      <w:r w:rsidRPr="00D30847">
        <w:rPr>
          <w:rFonts w:cs="Calibri"/>
          <w:lang w:val="en-GB"/>
        </w:rPr>
        <w:t>Capacity of CHU to check the quality of financial management and control will be strengthened by adequate staffing and training.</w:t>
      </w:r>
    </w:p>
    <w:p w14:paraId="04E096E1" w14:textId="6EFBECFE" w:rsidR="008E06E4" w:rsidRPr="00D30847" w:rsidRDefault="00A70273" w:rsidP="008E06E4">
      <w:pPr>
        <w:spacing w:line="240" w:lineRule="auto"/>
        <w:jc w:val="both"/>
        <w:rPr>
          <w:rFonts w:eastAsia="MS PGothic" w:cs="Calibri"/>
          <w:lang w:val="en-GB" w:eastAsia="zh-CN"/>
        </w:rPr>
      </w:pPr>
      <w:r w:rsidRPr="00D30847">
        <w:rPr>
          <w:rFonts w:eastAsia="MS PGothic" w:cs="Calibri"/>
          <w:lang w:val="en-GB" w:eastAsia="zh-CN"/>
        </w:rPr>
        <w:t xml:space="preserve">Public Internal Financial Control, is a separate module in IFMIS, this will </w:t>
      </w:r>
      <w:r w:rsidR="00163B4D" w:rsidRPr="00D30847">
        <w:rPr>
          <w:rFonts w:eastAsia="MS PGothic" w:cs="Calibri"/>
          <w:lang w:val="en-GB" w:eastAsia="zh-CN"/>
        </w:rPr>
        <w:t>provide</w:t>
      </w:r>
      <w:r w:rsidRPr="00D30847">
        <w:rPr>
          <w:rFonts w:eastAsia="MS PGothic" w:cs="Calibri"/>
          <w:lang w:val="en-GB" w:eastAsia="zh-CN"/>
        </w:rPr>
        <w:t xml:space="preserve"> comprehensiveness and accuracy in the reporting by the parent budget users, budget users and publicly owned enterprises will be ensured. This activity will be in generally contribute to raising awareness and strengthening </w:t>
      </w:r>
      <w:r w:rsidR="00163B4D" w:rsidRPr="00D30847">
        <w:rPr>
          <w:rFonts w:eastAsia="MS PGothic" w:cs="Calibri"/>
          <w:lang w:val="en-GB" w:eastAsia="zh-CN"/>
        </w:rPr>
        <w:t>managerial</w:t>
      </w:r>
      <w:r w:rsidRPr="00D30847">
        <w:rPr>
          <w:rFonts w:eastAsia="MS PGothic" w:cs="Calibri"/>
          <w:lang w:val="en-GB" w:eastAsia="zh-CN"/>
        </w:rPr>
        <w:t xml:space="preserve"> accountability.</w:t>
      </w:r>
    </w:p>
    <w:p w14:paraId="6035FDA9" w14:textId="77777777" w:rsidR="008E06E4" w:rsidRPr="00D30847" w:rsidRDefault="00482674" w:rsidP="008E06E4">
      <w:pPr>
        <w:spacing w:line="240" w:lineRule="auto"/>
        <w:jc w:val="both"/>
        <w:rPr>
          <w:rFonts w:eastAsia="MS PGothic" w:cs="Calibri"/>
          <w:b/>
          <w:bCs/>
          <w:iCs/>
          <w:color w:val="0070C0"/>
          <w:lang w:val="en-GB" w:eastAsia="zh-CN"/>
        </w:rPr>
      </w:pPr>
      <w:r w:rsidRPr="00D30847">
        <w:rPr>
          <w:rFonts w:eastAsia="MS PGothic" w:cs="Calibri"/>
          <w:b/>
          <w:bCs/>
          <w:iCs/>
          <w:color w:val="0070C0"/>
          <w:lang w:val="en-GB" w:eastAsia="zh-CN"/>
        </w:rPr>
        <w:t>Activity 2: Preparation of the methodology for specific Financial Management and Control issues</w:t>
      </w:r>
    </w:p>
    <w:p w14:paraId="1AFE5DD2" w14:textId="3135046C" w:rsidR="008E06E4" w:rsidRPr="00D30847" w:rsidRDefault="00E17781" w:rsidP="008E06E4">
      <w:pPr>
        <w:spacing w:line="240" w:lineRule="auto"/>
        <w:jc w:val="both"/>
        <w:rPr>
          <w:rFonts w:eastAsia="MS PGothic" w:cs="Calibri"/>
          <w:lang w:val="en-GB" w:eastAsia="zh-CN"/>
        </w:rPr>
      </w:pPr>
      <w:r w:rsidRPr="00D30847">
        <w:rPr>
          <w:rFonts w:eastAsia="MS PGothic" w:cs="Calibri"/>
          <w:lang w:val="en-GB" w:eastAsia="zh-CN"/>
        </w:rPr>
        <w:t xml:space="preserve">Central Harmonization Unit, on based on previously prepared outputs for risk management in the frame of the </w:t>
      </w:r>
      <w:r w:rsidR="00163B4D" w:rsidRPr="00D30847">
        <w:rPr>
          <w:rFonts w:eastAsia="MS PGothic" w:cs="Calibri"/>
          <w:lang w:val="en-GB" w:eastAsia="zh-CN"/>
        </w:rPr>
        <w:t>Twining</w:t>
      </w:r>
      <w:r w:rsidRPr="00D30847">
        <w:rPr>
          <w:rFonts w:eastAsia="MS PGothic" w:cs="Calibri"/>
          <w:lang w:val="en-GB" w:eastAsia="zh-CN"/>
        </w:rPr>
        <w:t xml:space="preserve"> project will prepare new more practical and simplified guideline for risk management process which besides other, will cover the topic for corruption risks.</w:t>
      </w:r>
      <w:r w:rsidR="008E06E4" w:rsidRPr="00D30847">
        <w:rPr>
          <w:rFonts w:eastAsia="MS PGothic" w:cs="Calibri"/>
          <w:lang w:val="en-GB" w:eastAsia="zh-CN"/>
        </w:rPr>
        <w:t xml:space="preserve"> </w:t>
      </w:r>
    </w:p>
    <w:p w14:paraId="69FAB12F" w14:textId="6953EF15" w:rsidR="00482674" w:rsidRPr="00D30847" w:rsidRDefault="00E17781" w:rsidP="008E06E4">
      <w:pPr>
        <w:spacing w:line="240" w:lineRule="auto"/>
        <w:jc w:val="both"/>
        <w:rPr>
          <w:rFonts w:eastAsia="MS PGothic" w:cs="Calibri"/>
          <w:b/>
          <w:bCs/>
          <w:iCs/>
          <w:color w:val="2E74B5"/>
          <w:lang w:val="en-GB" w:eastAsia="zh-CN"/>
        </w:rPr>
      </w:pPr>
      <w:r w:rsidRPr="00D30847">
        <w:rPr>
          <w:rFonts w:eastAsia="MS PGothic" w:cs="Calibri"/>
          <w:lang w:val="en-GB" w:eastAsia="zh-CN"/>
        </w:rPr>
        <w:t>After finalization of this guideline, Central Harmonization Unit will promote this document and support the institutions in the its implementation</w:t>
      </w:r>
      <w:r w:rsidR="008E06E4" w:rsidRPr="00D30847">
        <w:rPr>
          <w:rFonts w:eastAsia="MS PGothic" w:cs="Calibri"/>
          <w:lang w:val="en-GB" w:eastAsia="zh-CN"/>
        </w:rPr>
        <w:t xml:space="preserve">. </w:t>
      </w:r>
      <w:r w:rsidR="00482674" w:rsidRPr="00D30847">
        <w:rPr>
          <w:rFonts w:eastAsia="MS PGothic" w:cs="Calibri"/>
          <w:lang w:val="en-GB" w:eastAsia="zh-CN"/>
        </w:rPr>
        <w:t>Also,</w:t>
      </w:r>
      <w:r w:rsidR="00482674" w:rsidRPr="00D30847">
        <w:rPr>
          <w:rFonts w:eastAsia="MS PGothic" w:cs="Calibri"/>
          <w:b/>
          <w:bCs/>
          <w:iCs/>
          <w:color w:val="2E74B5"/>
          <w:lang w:val="en-GB" w:eastAsia="zh-CN"/>
        </w:rPr>
        <w:t xml:space="preserve"> </w:t>
      </w:r>
      <w:r w:rsidR="00482674" w:rsidRPr="00D30847">
        <w:rPr>
          <w:rFonts w:eastAsia="MS PGothic" w:cs="Calibri"/>
          <w:lang w:val="en-GB" w:eastAsia="zh-CN"/>
        </w:rPr>
        <w:t>Central Harmonization Unit, on based on previously prepared outputs for</w:t>
      </w:r>
      <w:r w:rsidR="00163B4D" w:rsidRPr="00D30847">
        <w:rPr>
          <w:rFonts w:eastAsia="MS PGothic" w:cs="Calibri"/>
          <w:lang w:val="en-GB" w:eastAsia="zh-CN"/>
        </w:rPr>
        <w:t xml:space="preserve"> </w:t>
      </w:r>
      <w:r w:rsidR="00482674" w:rsidRPr="00D30847">
        <w:rPr>
          <w:rFonts w:eastAsia="MS PGothic" w:cs="Calibri"/>
          <w:lang w:val="en-GB" w:eastAsia="zh-CN"/>
        </w:rPr>
        <w:t xml:space="preserve">managerial accountability in the frame of the </w:t>
      </w:r>
      <w:r w:rsidR="00163B4D" w:rsidRPr="00D30847">
        <w:rPr>
          <w:rFonts w:eastAsia="MS PGothic" w:cs="Calibri"/>
          <w:lang w:val="en-GB" w:eastAsia="zh-CN"/>
        </w:rPr>
        <w:t>twinning</w:t>
      </w:r>
      <w:r w:rsidR="00482674" w:rsidRPr="00D30847">
        <w:rPr>
          <w:rFonts w:eastAsia="MS PGothic" w:cs="Calibri"/>
          <w:lang w:val="en-GB" w:eastAsia="zh-CN"/>
        </w:rPr>
        <w:t xml:space="preserve"> project will prepare practical guideline for managerial accountability.</w:t>
      </w:r>
      <w:r w:rsidR="008E06E4" w:rsidRPr="00D30847">
        <w:rPr>
          <w:rFonts w:eastAsia="MS PGothic" w:cs="Calibri"/>
          <w:lang w:val="en-GB" w:eastAsia="zh-CN"/>
        </w:rPr>
        <w:t xml:space="preserve"> </w:t>
      </w:r>
      <w:r w:rsidR="00482674" w:rsidRPr="00D30847">
        <w:rPr>
          <w:rFonts w:eastAsia="MS PGothic" w:cs="Calibri"/>
          <w:lang w:val="en-GB" w:eastAsia="zh-CN"/>
        </w:rPr>
        <w:t xml:space="preserve">After finalization of this guideline, Central Harmonization Unit will promote this document to </w:t>
      </w:r>
      <w:r w:rsidR="00163B4D" w:rsidRPr="00D30847">
        <w:rPr>
          <w:rFonts w:eastAsia="MS PGothic" w:cs="Calibri"/>
          <w:lang w:val="en-GB" w:eastAsia="zh-CN"/>
        </w:rPr>
        <w:t>high</w:t>
      </w:r>
      <w:r w:rsidR="00482674" w:rsidRPr="00D30847">
        <w:rPr>
          <w:rFonts w:eastAsia="MS PGothic" w:cs="Calibri"/>
          <w:lang w:val="en-GB" w:eastAsia="zh-CN"/>
        </w:rPr>
        <w:t xml:space="preserve"> level management and support the institutions i</w:t>
      </w:r>
      <w:r w:rsidR="00163B4D" w:rsidRPr="00D30847">
        <w:rPr>
          <w:rFonts w:eastAsia="MS PGothic" w:cs="Calibri"/>
          <w:lang w:val="en-GB" w:eastAsia="zh-CN"/>
        </w:rPr>
        <w:t>n the its implementation. Also,</w:t>
      </w:r>
      <w:r w:rsidR="00482674" w:rsidRPr="00D30847">
        <w:rPr>
          <w:rFonts w:eastAsia="MS PGothic" w:cs="Calibri"/>
          <w:lang w:val="en-GB" w:eastAsia="zh-CN"/>
        </w:rPr>
        <w:t xml:space="preserve"> will be educated employees in the Financial affairs units and other relevant organizational units.</w:t>
      </w:r>
    </w:p>
    <w:p w14:paraId="4432F116" w14:textId="77777777" w:rsidR="00482674" w:rsidRPr="00E91268" w:rsidRDefault="00482674" w:rsidP="00E91268">
      <w:pPr>
        <w:spacing w:line="240" w:lineRule="auto"/>
        <w:jc w:val="both"/>
        <w:rPr>
          <w:rFonts w:eastAsia="MS PGothic" w:cs="Calibri"/>
          <w:b/>
          <w:bCs/>
          <w:iCs/>
          <w:color w:val="0070C0"/>
          <w:lang w:val="en-GB" w:eastAsia="zh-CN"/>
        </w:rPr>
      </w:pPr>
      <w:r w:rsidRPr="00E91268">
        <w:rPr>
          <w:rFonts w:eastAsia="MS PGothic" w:cs="Calibri"/>
          <w:b/>
          <w:bCs/>
          <w:iCs/>
          <w:color w:val="0070C0"/>
          <w:lang w:val="en-GB" w:eastAsia="zh-CN"/>
        </w:rPr>
        <w:t>Activity 3: Establishment of a network of institutions’ financial affairs units in coordination with the CHU, for exchange of experiences, best practices and raising awareness at public sector entities about responsibilities for the quality of financial management and control</w:t>
      </w:r>
    </w:p>
    <w:p w14:paraId="4C6EA74F" w14:textId="77777777" w:rsidR="00482674" w:rsidRPr="00D30847" w:rsidRDefault="00482674" w:rsidP="00482674">
      <w:pPr>
        <w:spacing w:before="80" w:after="80" w:line="240" w:lineRule="auto"/>
        <w:jc w:val="both"/>
        <w:rPr>
          <w:rFonts w:eastAsia="MS PGothic" w:cs="Calibri"/>
          <w:lang w:val="en-GB" w:eastAsia="zh-CN"/>
        </w:rPr>
      </w:pPr>
      <w:r w:rsidRPr="00D30847">
        <w:rPr>
          <w:rFonts w:eastAsia="Times New Roman" w:cs="Calibri"/>
          <w:color w:val="202124"/>
          <w:lang w:val="en-GB"/>
        </w:rPr>
        <w:t>Under this activity, financial affairs units will be provided access to the newly established web platform “Network of Institutions’ Financial Affairs Units” in coordination with the CHU in order to ensure cooperation and exchange of experiences and raising awareness at public sector entities about responsibilities for the quality of financial management and control.</w:t>
      </w:r>
    </w:p>
    <w:p w14:paraId="2D32EE9C" w14:textId="77777777" w:rsidR="007733B2" w:rsidRPr="00D30847" w:rsidRDefault="007733B2"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lastRenderedPageBreak/>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7733B2" w:rsidRPr="00D30847" w14:paraId="12EF5D1A" w14:textId="77777777" w:rsidTr="003A2F75">
        <w:tc>
          <w:tcPr>
            <w:tcW w:w="2518" w:type="dxa"/>
            <w:tcBorders>
              <w:top w:val="nil"/>
              <w:bottom w:val="single" w:sz="4" w:space="0" w:color="FFFFFF"/>
            </w:tcBorders>
            <w:shd w:val="clear" w:color="auto" w:fill="002060"/>
          </w:tcPr>
          <w:p w14:paraId="15F8A3ED" w14:textId="77777777" w:rsidR="007733B2" w:rsidRPr="00D30847" w:rsidRDefault="007733B2" w:rsidP="00E84CD0">
            <w:pPr>
              <w:tabs>
                <w:tab w:val="left" w:pos="1526"/>
              </w:tabs>
              <w:spacing w:after="0" w:line="240" w:lineRule="auto"/>
              <w:jc w:val="both"/>
              <w:rPr>
                <w:rFonts w:cs="Calibri"/>
                <w:color w:val="FFFFFF"/>
                <w:sz w:val="20"/>
                <w:szCs w:val="20"/>
                <w:lang w:val="en-GB"/>
              </w:rPr>
            </w:pPr>
            <w:r w:rsidRPr="00D30847">
              <w:rPr>
                <w:rFonts w:cs="Calibri"/>
                <w:b/>
                <w:color w:val="FFFFFF"/>
                <w:sz w:val="20"/>
                <w:szCs w:val="20"/>
                <w:lang w:val="en-GB"/>
              </w:rPr>
              <w:t>Completed in year:</w:t>
            </w:r>
            <w:r w:rsidRPr="00D30847">
              <w:rPr>
                <w:rFonts w:cs="Calibri"/>
                <w:color w:val="FFFFFF"/>
                <w:sz w:val="20"/>
                <w:szCs w:val="20"/>
                <w:lang w:val="en-GB"/>
              </w:rPr>
              <w:tab/>
            </w:r>
          </w:p>
        </w:tc>
        <w:tc>
          <w:tcPr>
            <w:tcW w:w="6246" w:type="dxa"/>
            <w:tcBorders>
              <w:top w:val="nil"/>
              <w:bottom w:val="single" w:sz="4" w:space="0" w:color="FFFFFF"/>
            </w:tcBorders>
            <w:shd w:val="clear" w:color="auto" w:fill="D9E2F3"/>
          </w:tcPr>
          <w:p w14:paraId="7EB578FC" w14:textId="2CC17A2D" w:rsidR="007733B2" w:rsidRPr="00D30847" w:rsidRDefault="00FC206B" w:rsidP="00FC206B">
            <w:pPr>
              <w:tabs>
                <w:tab w:val="left" w:pos="183"/>
              </w:tabs>
              <w:spacing w:after="0" w:line="240" w:lineRule="auto"/>
              <w:jc w:val="both"/>
              <w:rPr>
                <w:rFonts w:cs="Calibri"/>
                <w:sz w:val="20"/>
                <w:szCs w:val="20"/>
                <w:lang w:val="en-GB"/>
              </w:rPr>
            </w:pPr>
            <w:r w:rsidRPr="00D30847">
              <w:rPr>
                <w:rFonts w:cs="Calibri"/>
                <w:sz w:val="20"/>
                <w:szCs w:val="20"/>
                <w:lang w:val="en-GB"/>
              </w:rPr>
              <w:t xml:space="preserve">- </w:t>
            </w:r>
            <w:r w:rsidR="003172CB" w:rsidRPr="00D30847">
              <w:rPr>
                <w:rFonts w:cs="Calibri"/>
                <w:sz w:val="20"/>
                <w:szCs w:val="20"/>
                <w:lang w:val="en-GB"/>
              </w:rPr>
              <w:t>202</w:t>
            </w:r>
            <w:r w:rsidR="00ED5883" w:rsidRPr="00D30847">
              <w:rPr>
                <w:rFonts w:cs="Calibri"/>
                <w:sz w:val="20"/>
                <w:szCs w:val="20"/>
                <w:lang w:val="en-GB"/>
              </w:rPr>
              <w:t>8</w:t>
            </w:r>
          </w:p>
        </w:tc>
      </w:tr>
      <w:tr w:rsidR="007733B2" w:rsidRPr="00D30847" w14:paraId="039EB0B6" w14:textId="77777777" w:rsidTr="003A2F75">
        <w:tc>
          <w:tcPr>
            <w:tcW w:w="2518" w:type="dxa"/>
            <w:tcBorders>
              <w:top w:val="single" w:sz="4" w:space="0" w:color="FFFFFF"/>
              <w:bottom w:val="single" w:sz="4" w:space="0" w:color="FFFFFF"/>
            </w:tcBorders>
            <w:shd w:val="clear" w:color="auto" w:fill="002060"/>
          </w:tcPr>
          <w:p w14:paraId="03D3642C" w14:textId="77777777" w:rsidR="007733B2" w:rsidRPr="00D30847" w:rsidRDefault="007733B2" w:rsidP="00E84CD0">
            <w:pPr>
              <w:tabs>
                <w:tab w:val="left" w:pos="4219"/>
              </w:tabs>
              <w:spacing w:after="0" w:line="240" w:lineRule="auto"/>
              <w:jc w:val="both"/>
              <w:rPr>
                <w:rFonts w:cs="Calibri"/>
                <w:color w:val="FFFFFF"/>
                <w:sz w:val="20"/>
                <w:szCs w:val="20"/>
                <w:lang w:val="en-GB"/>
              </w:rPr>
            </w:pPr>
            <w:r w:rsidRPr="00D30847">
              <w:rPr>
                <w:rFonts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5FB6A886" w14:textId="57901C19" w:rsidR="00E17781" w:rsidRPr="00D30847" w:rsidRDefault="00FC206B" w:rsidP="00FC206B">
            <w:pPr>
              <w:tabs>
                <w:tab w:val="left" w:pos="183"/>
                <w:tab w:val="left" w:pos="363"/>
              </w:tabs>
              <w:spacing w:after="0" w:line="240" w:lineRule="auto"/>
              <w:jc w:val="both"/>
              <w:rPr>
                <w:rFonts w:cs="Calibri"/>
                <w:sz w:val="20"/>
                <w:szCs w:val="20"/>
                <w:lang w:val="en-GB"/>
              </w:rPr>
            </w:pPr>
            <w:r w:rsidRPr="00D30847">
              <w:rPr>
                <w:rFonts w:cs="Calibri"/>
                <w:sz w:val="20"/>
                <w:szCs w:val="20"/>
                <w:lang w:val="en-GB"/>
              </w:rPr>
              <w:t xml:space="preserve">- </w:t>
            </w:r>
            <w:r w:rsidR="00E17781" w:rsidRPr="00D30847">
              <w:rPr>
                <w:rFonts w:cs="Calibri"/>
                <w:sz w:val="20"/>
                <w:szCs w:val="20"/>
                <w:lang w:val="en-GB"/>
              </w:rPr>
              <w:t>Simplified guideline for risk management process</w:t>
            </w:r>
          </w:p>
          <w:p w14:paraId="7D6C13E3" w14:textId="59983992" w:rsidR="00AD58AF" w:rsidRPr="00D30847" w:rsidRDefault="00FC206B" w:rsidP="00FC206B">
            <w:pPr>
              <w:tabs>
                <w:tab w:val="left" w:pos="183"/>
              </w:tabs>
              <w:spacing w:after="0" w:line="240" w:lineRule="auto"/>
              <w:jc w:val="both"/>
              <w:rPr>
                <w:rFonts w:cs="Calibri"/>
                <w:sz w:val="20"/>
                <w:szCs w:val="20"/>
                <w:lang w:val="en-GB"/>
              </w:rPr>
            </w:pPr>
            <w:r w:rsidRPr="00D30847">
              <w:rPr>
                <w:rFonts w:cs="Calibri"/>
                <w:sz w:val="20"/>
                <w:szCs w:val="20"/>
                <w:lang w:val="en-GB"/>
              </w:rPr>
              <w:t xml:space="preserve">- </w:t>
            </w:r>
            <w:r w:rsidR="00AD58AF" w:rsidRPr="00D30847">
              <w:rPr>
                <w:rFonts w:cs="Calibri"/>
                <w:sz w:val="20"/>
                <w:szCs w:val="20"/>
                <w:lang w:val="en-GB"/>
              </w:rPr>
              <w:t xml:space="preserve">Guideline for managerial accountability </w:t>
            </w:r>
          </w:p>
          <w:p w14:paraId="1A60836D" w14:textId="63F2CF04" w:rsidR="003C20E4" w:rsidRPr="00D30847" w:rsidRDefault="00FC206B" w:rsidP="00FC206B">
            <w:pPr>
              <w:tabs>
                <w:tab w:val="left" w:pos="183"/>
              </w:tabs>
              <w:spacing w:after="0" w:line="240" w:lineRule="auto"/>
              <w:jc w:val="both"/>
              <w:rPr>
                <w:rFonts w:cs="Calibri"/>
                <w:sz w:val="20"/>
                <w:szCs w:val="20"/>
                <w:lang w:val="en-GB"/>
              </w:rPr>
            </w:pPr>
            <w:r w:rsidRPr="00D30847">
              <w:rPr>
                <w:rFonts w:cs="Calibri"/>
                <w:sz w:val="20"/>
                <w:szCs w:val="20"/>
                <w:lang w:val="en-GB"/>
              </w:rPr>
              <w:t xml:space="preserve">- </w:t>
            </w:r>
            <w:r w:rsidR="007733B2" w:rsidRPr="00D30847">
              <w:rPr>
                <w:rFonts w:cs="Calibri"/>
                <w:sz w:val="20"/>
                <w:szCs w:val="20"/>
                <w:lang w:val="en-GB"/>
              </w:rPr>
              <w:t>Strengthen</w:t>
            </w:r>
            <w:r w:rsidR="00AD58AF" w:rsidRPr="00D30847">
              <w:rPr>
                <w:rFonts w:cs="Calibri"/>
                <w:sz w:val="20"/>
                <w:szCs w:val="20"/>
                <w:lang w:val="en-GB"/>
              </w:rPr>
              <w:t>ed</w:t>
            </w:r>
            <w:r w:rsidR="007733B2" w:rsidRPr="00D30847">
              <w:rPr>
                <w:rFonts w:cs="Calibri"/>
                <w:sz w:val="20"/>
                <w:szCs w:val="20"/>
                <w:lang w:val="en-GB"/>
              </w:rPr>
              <w:t xml:space="preserve"> the CHU capacities</w:t>
            </w:r>
          </w:p>
        </w:tc>
      </w:tr>
      <w:tr w:rsidR="007733B2" w:rsidRPr="00D30847" w14:paraId="052BC110" w14:textId="77777777" w:rsidTr="003A2F75">
        <w:tc>
          <w:tcPr>
            <w:tcW w:w="2518" w:type="dxa"/>
            <w:tcBorders>
              <w:top w:val="single" w:sz="4" w:space="0" w:color="FFFFFF"/>
              <w:bottom w:val="single" w:sz="4" w:space="0" w:color="FFFFFF"/>
            </w:tcBorders>
            <w:shd w:val="clear" w:color="auto" w:fill="002060"/>
          </w:tcPr>
          <w:p w14:paraId="79EDEDDC" w14:textId="77777777" w:rsidR="007733B2" w:rsidRPr="00D30847" w:rsidRDefault="007733B2"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Cost implications:</w:t>
            </w:r>
            <w:r w:rsidRPr="00D30847">
              <w:rPr>
                <w:rFonts w:cs="Calibri"/>
                <w:color w:val="FFFFFF"/>
                <w:sz w:val="20"/>
                <w:szCs w:val="20"/>
                <w:lang w:val="en-GB"/>
              </w:rPr>
              <w:tab/>
            </w:r>
          </w:p>
        </w:tc>
        <w:tc>
          <w:tcPr>
            <w:tcW w:w="6246" w:type="dxa"/>
            <w:tcBorders>
              <w:top w:val="single" w:sz="4" w:space="0" w:color="FFFFFF"/>
              <w:bottom w:val="single" w:sz="4" w:space="0" w:color="FFFFFF"/>
            </w:tcBorders>
            <w:shd w:val="clear" w:color="auto" w:fill="D9E2F3"/>
          </w:tcPr>
          <w:p w14:paraId="37CB1685" w14:textId="1D252A2B" w:rsidR="007733B2" w:rsidRPr="00D30847" w:rsidRDefault="00FC206B" w:rsidP="00FC206B">
            <w:pPr>
              <w:tabs>
                <w:tab w:val="left" w:pos="183"/>
              </w:tabs>
              <w:spacing w:after="0" w:line="240" w:lineRule="auto"/>
              <w:jc w:val="both"/>
              <w:rPr>
                <w:rFonts w:cs="Calibri"/>
                <w:sz w:val="20"/>
                <w:szCs w:val="20"/>
                <w:lang w:val="en-GB"/>
              </w:rPr>
            </w:pPr>
            <w:r w:rsidRPr="00D30847">
              <w:rPr>
                <w:rFonts w:eastAsia="Times New Roman" w:cs="Calibri"/>
                <w:sz w:val="20"/>
                <w:szCs w:val="20"/>
                <w:lang w:val="en-GB"/>
              </w:rPr>
              <w:t xml:space="preserve">- </w:t>
            </w:r>
            <w:r w:rsidR="009A7962" w:rsidRPr="00D30847">
              <w:rPr>
                <w:rFonts w:eastAsia="Times New Roman" w:cs="Calibri"/>
                <w:sz w:val="20"/>
                <w:szCs w:val="20"/>
                <w:lang w:val="en-GB"/>
              </w:rPr>
              <w:t>86</w:t>
            </w:r>
            <w:r w:rsidR="00482674" w:rsidRPr="00D30847">
              <w:rPr>
                <w:rFonts w:eastAsia="Times New Roman" w:cs="Calibri"/>
                <w:sz w:val="20"/>
                <w:szCs w:val="20"/>
                <w:lang w:val="en-GB"/>
              </w:rPr>
              <w:t xml:space="preserve">,000 </w:t>
            </w:r>
            <w:r w:rsidR="007733B2" w:rsidRPr="00D30847">
              <w:rPr>
                <w:rFonts w:eastAsia="Times New Roman" w:cs="Calibri"/>
                <w:sz w:val="20"/>
                <w:szCs w:val="20"/>
                <w:lang w:val="en-GB"/>
              </w:rPr>
              <w:t xml:space="preserve">EUR </w:t>
            </w:r>
          </w:p>
        </w:tc>
      </w:tr>
      <w:tr w:rsidR="007733B2" w:rsidRPr="00D30847" w14:paraId="758A0CAA" w14:textId="77777777" w:rsidTr="003A2F75">
        <w:tc>
          <w:tcPr>
            <w:tcW w:w="2518" w:type="dxa"/>
            <w:tcBorders>
              <w:top w:val="single" w:sz="4" w:space="0" w:color="FFFFFF"/>
              <w:bottom w:val="single" w:sz="4" w:space="0" w:color="FFFFFF"/>
            </w:tcBorders>
            <w:shd w:val="clear" w:color="auto" w:fill="002060"/>
          </w:tcPr>
          <w:p w14:paraId="7A9A46FE" w14:textId="77777777" w:rsidR="007733B2" w:rsidRPr="00D30847" w:rsidRDefault="007733B2"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Responsible entity:</w:t>
            </w:r>
          </w:p>
        </w:tc>
        <w:tc>
          <w:tcPr>
            <w:tcW w:w="6246" w:type="dxa"/>
            <w:tcBorders>
              <w:top w:val="single" w:sz="4" w:space="0" w:color="FFFFFF"/>
              <w:bottom w:val="single" w:sz="4" w:space="0" w:color="FFFFFF"/>
            </w:tcBorders>
            <w:shd w:val="clear" w:color="auto" w:fill="D9E2F3"/>
          </w:tcPr>
          <w:p w14:paraId="0BA289B8" w14:textId="60EDDBBB" w:rsidR="007733B2" w:rsidRPr="00D30847" w:rsidRDefault="00FC206B" w:rsidP="00FC206B">
            <w:pPr>
              <w:tabs>
                <w:tab w:val="left" w:pos="183"/>
              </w:tabs>
              <w:spacing w:after="0" w:line="240" w:lineRule="auto"/>
              <w:jc w:val="both"/>
              <w:rPr>
                <w:rFonts w:cs="Calibri"/>
                <w:sz w:val="20"/>
                <w:szCs w:val="20"/>
                <w:lang w:val="en-GB"/>
              </w:rPr>
            </w:pPr>
            <w:r w:rsidRPr="00D30847">
              <w:rPr>
                <w:rFonts w:cs="Calibri"/>
                <w:sz w:val="20"/>
                <w:szCs w:val="20"/>
                <w:lang w:val="en-GB"/>
              </w:rPr>
              <w:t xml:space="preserve">- </w:t>
            </w:r>
            <w:r w:rsidR="007733B2" w:rsidRPr="00D30847">
              <w:rPr>
                <w:rFonts w:cs="Calibri"/>
                <w:sz w:val="20"/>
                <w:szCs w:val="20"/>
                <w:lang w:val="en-GB"/>
              </w:rPr>
              <w:t xml:space="preserve">Ministry of Finance </w:t>
            </w:r>
            <w:r w:rsidR="00D3676F" w:rsidRPr="00D30847">
              <w:rPr>
                <w:rFonts w:cs="Calibri"/>
                <w:sz w:val="20"/>
                <w:szCs w:val="20"/>
                <w:lang w:val="en-GB"/>
              </w:rPr>
              <w:t>- PIFC</w:t>
            </w:r>
          </w:p>
        </w:tc>
      </w:tr>
      <w:tr w:rsidR="007733B2" w:rsidRPr="00D30847" w14:paraId="62AB27DA" w14:textId="77777777" w:rsidTr="003A2F75">
        <w:tc>
          <w:tcPr>
            <w:tcW w:w="2518" w:type="dxa"/>
            <w:tcBorders>
              <w:top w:val="single" w:sz="4" w:space="0" w:color="FFFFFF"/>
              <w:bottom w:val="nil"/>
            </w:tcBorders>
            <w:shd w:val="clear" w:color="auto" w:fill="002060"/>
          </w:tcPr>
          <w:p w14:paraId="4C14D822" w14:textId="77777777" w:rsidR="007733B2" w:rsidRPr="00D30847" w:rsidRDefault="007733B2"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Risk:</w:t>
            </w:r>
          </w:p>
        </w:tc>
        <w:tc>
          <w:tcPr>
            <w:tcW w:w="6246" w:type="dxa"/>
            <w:tcBorders>
              <w:top w:val="single" w:sz="4" w:space="0" w:color="FFFFFF"/>
              <w:bottom w:val="nil"/>
            </w:tcBorders>
            <w:shd w:val="clear" w:color="auto" w:fill="D9E2F3"/>
          </w:tcPr>
          <w:p w14:paraId="56B46C4A" w14:textId="594BBC78" w:rsidR="007733B2" w:rsidRPr="00D30847" w:rsidRDefault="00FC206B" w:rsidP="00FC206B">
            <w:pPr>
              <w:tabs>
                <w:tab w:val="left" w:pos="183"/>
              </w:tabs>
              <w:spacing w:after="0" w:line="240" w:lineRule="auto"/>
              <w:jc w:val="both"/>
              <w:rPr>
                <w:rFonts w:cs="Calibri"/>
                <w:sz w:val="20"/>
                <w:szCs w:val="20"/>
                <w:lang w:val="en-GB"/>
              </w:rPr>
            </w:pPr>
            <w:r w:rsidRPr="00D30847">
              <w:rPr>
                <w:rFonts w:eastAsia="Times New Roman" w:cs="Calibri"/>
                <w:sz w:val="20"/>
                <w:szCs w:val="20"/>
                <w:lang w:val="en-GB"/>
              </w:rPr>
              <w:t xml:space="preserve">- </w:t>
            </w:r>
            <w:r w:rsidR="00482674" w:rsidRPr="00D30847">
              <w:rPr>
                <w:rFonts w:eastAsia="Times New Roman" w:cs="Calibri"/>
                <w:sz w:val="20"/>
                <w:szCs w:val="20"/>
                <w:lang w:val="en-GB"/>
              </w:rPr>
              <w:t>Insufficient staffing and insufficient training of human resources</w:t>
            </w:r>
            <w:r w:rsidR="00482674" w:rsidRPr="00D30847">
              <w:rPr>
                <w:rFonts w:cs="Calibri"/>
                <w:sz w:val="20"/>
                <w:szCs w:val="20"/>
                <w:lang w:val="en-GB"/>
              </w:rPr>
              <w:t>(in the CHU and Financial Affairs Units</w:t>
            </w:r>
          </w:p>
        </w:tc>
      </w:tr>
    </w:tbl>
    <w:p w14:paraId="3102304B" w14:textId="76FDE2B0" w:rsidR="00A01770" w:rsidRDefault="00A01770" w:rsidP="008D42D0">
      <w:pPr>
        <w:pStyle w:val="Heading1"/>
        <w:rPr>
          <w:rFonts w:ascii="Calibri" w:eastAsia="MS PGothic" w:hAnsi="Calibri" w:cs="Calibri"/>
          <w:color w:val="0070C0"/>
          <w:sz w:val="28"/>
          <w:szCs w:val="28"/>
          <w:lang w:val="en-GB"/>
        </w:rPr>
      </w:pPr>
    </w:p>
    <w:p w14:paraId="04EE74F9" w14:textId="7B65D258" w:rsidR="00E91268" w:rsidRDefault="00E91268" w:rsidP="00E91268">
      <w:pPr>
        <w:rPr>
          <w:lang w:val="en-GB"/>
        </w:rPr>
      </w:pPr>
    </w:p>
    <w:p w14:paraId="0C436292" w14:textId="08470FF1" w:rsidR="00E91268" w:rsidRDefault="00E91268" w:rsidP="00E91268">
      <w:pPr>
        <w:rPr>
          <w:lang w:val="en-GB"/>
        </w:rPr>
      </w:pPr>
    </w:p>
    <w:p w14:paraId="293B36C4" w14:textId="720897DB" w:rsidR="00E91268" w:rsidRDefault="00E91268" w:rsidP="00E91268">
      <w:pPr>
        <w:rPr>
          <w:lang w:val="en-GB"/>
        </w:rPr>
      </w:pPr>
    </w:p>
    <w:p w14:paraId="4EB6A7D1" w14:textId="4D87C58B" w:rsidR="00E91268" w:rsidRDefault="00E91268" w:rsidP="00E91268">
      <w:pPr>
        <w:rPr>
          <w:lang w:val="en-GB"/>
        </w:rPr>
      </w:pPr>
    </w:p>
    <w:p w14:paraId="6CB256EF" w14:textId="3C37B617" w:rsidR="00E91268" w:rsidRDefault="00E91268" w:rsidP="00E91268">
      <w:pPr>
        <w:rPr>
          <w:lang w:val="en-GB"/>
        </w:rPr>
      </w:pPr>
    </w:p>
    <w:p w14:paraId="405177C2" w14:textId="7D96E11F" w:rsidR="00E91268" w:rsidRDefault="00E91268" w:rsidP="00E91268">
      <w:pPr>
        <w:rPr>
          <w:lang w:val="en-GB"/>
        </w:rPr>
      </w:pPr>
    </w:p>
    <w:p w14:paraId="20474B63" w14:textId="1DC5806F" w:rsidR="00E91268" w:rsidRDefault="00E91268" w:rsidP="00E91268">
      <w:pPr>
        <w:rPr>
          <w:lang w:val="en-GB"/>
        </w:rPr>
      </w:pPr>
    </w:p>
    <w:p w14:paraId="3CDCF592" w14:textId="06D0CD31" w:rsidR="00E91268" w:rsidRDefault="00E91268" w:rsidP="00E91268">
      <w:pPr>
        <w:rPr>
          <w:lang w:val="en-GB"/>
        </w:rPr>
      </w:pPr>
    </w:p>
    <w:p w14:paraId="135C8FAB" w14:textId="48D7E30D" w:rsidR="00E91268" w:rsidRDefault="00E91268" w:rsidP="00E91268">
      <w:pPr>
        <w:rPr>
          <w:lang w:val="en-GB"/>
        </w:rPr>
      </w:pPr>
    </w:p>
    <w:p w14:paraId="1D2E32DB" w14:textId="15C31D6D" w:rsidR="00E91268" w:rsidRDefault="00E91268" w:rsidP="00E91268">
      <w:pPr>
        <w:rPr>
          <w:lang w:val="en-GB"/>
        </w:rPr>
      </w:pPr>
    </w:p>
    <w:p w14:paraId="794C9D62" w14:textId="30F6164F" w:rsidR="00E91268" w:rsidRDefault="00E91268" w:rsidP="00E91268">
      <w:pPr>
        <w:rPr>
          <w:lang w:val="en-GB"/>
        </w:rPr>
      </w:pPr>
    </w:p>
    <w:p w14:paraId="6BC2A877" w14:textId="78F0CB72" w:rsidR="00E91268" w:rsidRDefault="00E91268" w:rsidP="00E91268">
      <w:pPr>
        <w:rPr>
          <w:lang w:val="en-GB"/>
        </w:rPr>
      </w:pPr>
    </w:p>
    <w:p w14:paraId="48B9D285" w14:textId="576BBB4A" w:rsidR="00E91268" w:rsidRDefault="00E91268" w:rsidP="00E91268">
      <w:pPr>
        <w:rPr>
          <w:lang w:val="en-GB"/>
        </w:rPr>
      </w:pPr>
    </w:p>
    <w:p w14:paraId="5AFCE08B" w14:textId="7C470CE5" w:rsidR="00E91268" w:rsidRDefault="00E91268" w:rsidP="00E91268">
      <w:pPr>
        <w:rPr>
          <w:lang w:val="en-GB"/>
        </w:rPr>
      </w:pPr>
    </w:p>
    <w:p w14:paraId="4CC69BDC" w14:textId="1CE0951B" w:rsidR="00E91268" w:rsidRDefault="00E91268" w:rsidP="00E91268">
      <w:pPr>
        <w:rPr>
          <w:lang w:val="en-GB"/>
        </w:rPr>
      </w:pPr>
    </w:p>
    <w:p w14:paraId="6EC4EB99" w14:textId="208AFE18" w:rsidR="00E91268" w:rsidRDefault="00E91268" w:rsidP="00E91268">
      <w:pPr>
        <w:rPr>
          <w:lang w:val="en-GB"/>
        </w:rPr>
      </w:pPr>
    </w:p>
    <w:p w14:paraId="0F42A0CF" w14:textId="13671AA2" w:rsidR="00E91268" w:rsidRDefault="00E91268" w:rsidP="00E91268">
      <w:pPr>
        <w:rPr>
          <w:lang w:val="en-GB"/>
        </w:rPr>
      </w:pPr>
    </w:p>
    <w:p w14:paraId="757577A3" w14:textId="048B01FC" w:rsidR="00E91268" w:rsidRDefault="00E91268" w:rsidP="00E91268">
      <w:pPr>
        <w:rPr>
          <w:lang w:val="en-GB"/>
        </w:rPr>
      </w:pPr>
    </w:p>
    <w:p w14:paraId="63D7CEB3" w14:textId="77777777" w:rsidR="00E91268" w:rsidRPr="00E91268" w:rsidRDefault="00E91268" w:rsidP="00E91268">
      <w:pPr>
        <w:rPr>
          <w:lang w:val="en-GB"/>
        </w:rPr>
      </w:pPr>
    </w:p>
    <w:p w14:paraId="03C11EA2" w14:textId="3D47DBBF" w:rsidR="002F500A" w:rsidRPr="00D30847" w:rsidRDefault="002F500A" w:rsidP="002F500A">
      <w:pPr>
        <w:rPr>
          <w:lang w:val="en-GB"/>
        </w:rPr>
      </w:pPr>
    </w:p>
    <w:p w14:paraId="7B254B26" w14:textId="6E403A1C" w:rsidR="007733B2" w:rsidRPr="00D30847" w:rsidRDefault="007733B2" w:rsidP="008B435E">
      <w:pPr>
        <w:pStyle w:val="Heading1"/>
        <w:spacing w:line="240" w:lineRule="auto"/>
        <w:rPr>
          <w:rFonts w:ascii="Calibri" w:eastAsia="MS PGothic" w:hAnsi="Calibri" w:cs="Calibri"/>
          <w:color w:val="0070C0"/>
          <w:sz w:val="28"/>
          <w:szCs w:val="28"/>
          <w:lang w:val="en-GB"/>
        </w:rPr>
      </w:pPr>
      <w:bookmarkStart w:id="61" w:name="_Toc187841820"/>
      <w:r w:rsidRPr="00D30847">
        <w:rPr>
          <w:rFonts w:ascii="Calibri" w:eastAsia="MS PGothic" w:hAnsi="Calibri" w:cs="Calibri"/>
          <w:color w:val="0070C0"/>
          <w:sz w:val="28"/>
          <w:szCs w:val="28"/>
          <w:lang w:val="en-GB"/>
        </w:rPr>
        <w:lastRenderedPageBreak/>
        <w:t>Priority 2: Internal Audit</w:t>
      </w:r>
      <w:bookmarkEnd w:id="61"/>
    </w:p>
    <w:p w14:paraId="30904609" w14:textId="77777777" w:rsidR="007733B2" w:rsidRPr="00D30847" w:rsidRDefault="007733B2" w:rsidP="008B435E">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Objective</w:t>
      </w:r>
    </w:p>
    <w:p w14:paraId="67733B5A" w14:textId="3F9AF5E7" w:rsidR="007733B2" w:rsidRPr="00D30847" w:rsidRDefault="007733B2" w:rsidP="008B435E">
      <w:pPr>
        <w:spacing w:before="80" w:after="80" w:line="240" w:lineRule="auto"/>
        <w:jc w:val="both"/>
        <w:rPr>
          <w:rFonts w:eastAsia="MS PGothic" w:cs="Calibri"/>
          <w:color w:val="000000"/>
          <w:lang w:val="en-GB" w:eastAsia="zh-CN"/>
        </w:rPr>
      </w:pPr>
      <w:r w:rsidRPr="00D30847">
        <w:rPr>
          <w:rFonts w:eastAsia="MS PGothic" w:cs="Calibri"/>
          <w:lang w:val="en-GB" w:eastAsia="mk-MK"/>
        </w:rPr>
        <w:t xml:space="preserve">Increased effectiveness of public sector internal audit. </w:t>
      </w:r>
    </w:p>
    <w:p w14:paraId="36D867AD" w14:textId="77777777" w:rsidR="008E06E4" w:rsidRPr="00D30847" w:rsidRDefault="008E06E4" w:rsidP="008B435E">
      <w:pPr>
        <w:spacing w:before="80" w:after="80" w:line="240" w:lineRule="auto"/>
        <w:jc w:val="both"/>
        <w:rPr>
          <w:rFonts w:eastAsia="MS PGothic" w:cs="Calibri"/>
          <w:color w:val="000000"/>
          <w:sz w:val="16"/>
          <w:szCs w:val="16"/>
          <w:lang w:val="en-GB" w:eastAsia="zh-CN"/>
        </w:rPr>
      </w:pPr>
    </w:p>
    <w:p w14:paraId="4AB8EC46" w14:textId="77777777" w:rsidR="007733B2" w:rsidRPr="00D30847" w:rsidRDefault="007733B2" w:rsidP="008B435E">
      <w:pPr>
        <w:spacing w:before="80" w:after="80" w:line="240" w:lineRule="auto"/>
        <w:jc w:val="both"/>
        <w:rPr>
          <w:rFonts w:eastAsia="MS PGothic" w:cs="Calibri"/>
          <w:lang w:val="en-GB" w:eastAsia="zh-CN"/>
        </w:rPr>
      </w:pPr>
      <w:r w:rsidRPr="00D30847">
        <w:rPr>
          <w:rFonts w:eastAsia="MS PGothic" w:cs="Calibri"/>
          <w:lang w:val="en-GB" w:eastAsia="zh-CN"/>
        </w:rPr>
        <w:t>The objective of this priority will be achieved through the following measures and activities:</w:t>
      </w:r>
    </w:p>
    <w:tbl>
      <w:tblPr>
        <w:tblW w:w="8140" w:type="dxa"/>
        <w:tblInd w:w="548" w:type="dxa"/>
        <w:tblLook w:val="01E0" w:firstRow="1" w:lastRow="1" w:firstColumn="1" w:lastColumn="1" w:noHBand="0" w:noVBand="0"/>
      </w:tblPr>
      <w:tblGrid>
        <w:gridCol w:w="1714"/>
        <w:gridCol w:w="6426"/>
      </w:tblGrid>
      <w:tr w:rsidR="007733B2" w:rsidRPr="00D30847" w14:paraId="0B25181C" w14:textId="77777777" w:rsidTr="00BA5E44">
        <w:tc>
          <w:tcPr>
            <w:tcW w:w="1714" w:type="dxa"/>
            <w:shd w:val="clear" w:color="auto" w:fill="auto"/>
          </w:tcPr>
          <w:p w14:paraId="334D0795" w14:textId="77777777" w:rsidR="007733B2" w:rsidRPr="00D30847" w:rsidRDefault="007733B2" w:rsidP="008A2E35">
            <w:pPr>
              <w:spacing w:after="0" w:line="240" w:lineRule="auto"/>
              <w:jc w:val="both"/>
              <w:rPr>
                <w:rFonts w:cs="Calibri"/>
                <w:b/>
                <w:lang w:val="en-GB"/>
              </w:rPr>
            </w:pPr>
            <w:r w:rsidRPr="00D30847">
              <w:rPr>
                <w:rFonts w:cs="Calibri"/>
                <w:b/>
                <w:lang w:val="en-GB"/>
              </w:rPr>
              <w:t>Measure 1:</w:t>
            </w:r>
          </w:p>
        </w:tc>
        <w:tc>
          <w:tcPr>
            <w:tcW w:w="6426" w:type="dxa"/>
            <w:shd w:val="clear" w:color="auto" w:fill="auto"/>
          </w:tcPr>
          <w:p w14:paraId="2D28A3EA" w14:textId="77777777" w:rsidR="007733B2" w:rsidRPr="00D30847" w:rsidRDefault="007733B2" w:rsidP="008A2E35">
            <w:pPr>
              <w:spacing w:after="0" w:line="240" w:lineRule="auto"/>
              <w:jc w:val="both"/>
              <w:rPr>
                <w:rFonts w:cs="Calibri"/>
                <w:b/>
                <w:lang w:val="en-GB"/>
              </w:rPr>
            </w:pPr>
            <w:r w:rsidRPr="00D30847">
              <w:rPr>
                <w:rFonts w:cs="Calibri"/>
                <w:b/>
                <w:lang w:val="en-GB"/>
              </w:rPr>
              <w:t>Strengthening the quality of work of the internal audit units at the Ministries</w:t>
            </w:r>
          </w:p>
        </w:tc>
      </w:tr>
      <w:tr w:rsidR="007733B2" w:rsidRPr="00D30847" w14:paraId="4C35E20A" w14:textId="77777777" w:rsidTr="00BA5E44">
        <w:tc>
          <w:tcPr>
            <w:tcW w:w="1714" w:type="dxa"/>
            <w:shd w:val="clear" w:color="auto" w:fill="auto"/>
          </w:tcPr>
          <w:p w14:paraId="291AA451" w14:textId="77777777" w:rsidR="007733B2" w:rsidRPr="00D30847" w:rsidRDefault="007733B2" w:rsidP="008A2E35">
            <w:pPr>
              <w:spacing w:after="0" w:line="240" w:lineRule="auto"/>
              <w:jc w:val="both"/>
              <w:rPr>
                <w:rFonts w:cs="Calibri"/>
                <w:lang w:val="en-GB"/>
              </w:rPr>
            </w:pPr>
            <w:r w:rsidRPr="00D30847">
              <w:rPr>
                <w:rFonts w:cs="Calibri"/>
                <w:lang w:val="en-GB"/>
              </w:rPr>
              <w:t>Activity 1:</w:t>
            </w:r>
          </w:p>
        </w:tc>
        <w:tc>
          <w:tcPr>
            <w:tcW w:w="6426" w:type="dxa"/>
            <w:shd w:val="clear" w:color="auto" w:fill="auto"/>
          </w:tcPr>
          <w:p w14:paraId="7E1E8F77" w14:textId="77777777" w:rsidR="007733B2" w:rsidRPr="00D30847" w:rsidRDefault="00AD58AF" w:rsidP="008A2E35">
            <w:pPr>
              <w:spacing w:after="0" w:line="240" w:lineRule="auto"/>
              <w:jc w:val="both"/>
              <w:rPr>
                <w:rFonts w:cs="Calibri"/>
                <w:lang w:val="en-GB"/>
              </w:rPr>
            </w:pPr>
            <w:r w:rsidRPr="00D30847">
              <w:rPr>
                <w:rFonts w:cs="Calibri"/>
                <w:lang w:val="en-GB"/>
              </w:rPr>
              <w:t>Improving of Human Resources capacities of Internal Audit Units in the Ministries through adequate staffing and Continuous Professional Development at the internal auditors</w:t>
            </w:r>
            <w:r w:rsidR="007733B2" w:rsidRPr="00D30847">
              <w:rPr>
                <w:rFonts w:cs="Calibri"/>
                <w:lang w:val="en-GB"/>
              </w:rPr>
              <w:t>;</w:t>
            </w:r>
          </w:p>
          <w:p w14:paraId="7572B27A" w14:textId="77777777" w:rsidR="007733B2" w:rsidRPr="00D30847" w:rsidRDefault="007733B2" w:rsidP="008A2E35">
            <w:pPr>
              <w:spacing w:after="0" w:line="240" w:lineRule="auto"/>
              <w:jc w:val="both"/>
              <w:rPr>
                <w:rFonts w:cs="Calibri"/>
                <w:color w:val="FF0000"/>
                <w:sz w:val="16"/>
                <w:szCs w:val="16"/>
                <w:lang w:val="en-GB"/>
              </w:rPr>
            </w:pPr>
          </w:p>
        </w:tc>
      </w:tr>
      <w:tr w:rsidR="007733B2" w:rsidRPr="00D30847" w14:paraId="72D0A878" w14:textId="77777777" w:rsidTr="00BA5E44">
        <w:tc>
          <w:tcPr>
            <w:tcW w:w="1714" w:type="dxa"/>
            <w:shd w:val="clear" w:color="auto" w:fill="auto"/>
          </w:tcPr>
          <w:p w14:paraId="01C67320" w14:textId="77777777" w:rsidR="007733B2" w:rsidRPr="00D30847" w:rsidRDefault="007733B2" w:rsidP="008A2E35">
            <w:pPr>
              <w:spacing w:after="0" w:line="240" w:lineRule="auto"/>
              <w:jc w:val="both"/>
              <w:rPr>
                <w:rFonts w:cs="Calibri"/>
                <w:lang w:val="en-GB"/>
              </w:rPr>
            </w:pPr>
            <w:r w:rsidRPr="00D30847">
              <w:rPr>
                <w:rFonts w:cs="Calibri"/>
                <w:lang w:val="en-GB"/>
              </w:rPr>
              <w:t xml:space="preserve">Activity </w:t>
            </w:r>
            <w:r w:rsidR="00AD58AF" w:rsidRPr="00D30847">
              <w:rPr>
                <w:rFonts w:cs="Calibri"/>
                <w:lang w:val="en-GB"/>
              </w:rPr>
              <w:t>2:</w:t>
            </w:r>
          </w:p>
        </w:tc>
        <w:tc>
          <w:tcPr>
            <w:tcW w:w="6426" w:type="dxa"/>
            <w:shd w:val="clear" w:color="auto" w:fill="auto"/>
          </w:tcPr>
          <w:p w14:paraId="353B3B03" w14:textId="558B909A" w:rsidR="00AD58AF" w:rsidRPr="00D30847" w:rsidRDefault="00AD58AF" w:rsidP="008A2E35">
            <w:pPr>
              <w:spacing w:after="0" w:line="240" w:lineRule="auto"/>
              <w:jc w:val="both"/>
              <w:rPr>
                <w:rFonts w:cs="Calibri"/>
                <w:lang w:val="en-GB"/>
              </w:rPr>
            </w:pPr>
            <w:r w:rsidRPr="00D30847">
              <w:rPr>
                <w:rFonts w:cs="Calibri"/>
                <w:lang w:val="en-GB"/>
              </w:rPr>
              <w:t>Strengthen the capacity of the CHU to monitor and report on the quality of operations of the internal audit units;</w:t>
            </w:r>
          </w:p>
          <w:p w14:paraId="3C53B843" w14:textId="77777777" w:rsidR="007733B2" w:rsidRPr="00D30847" w:rsidRDefault="007733B2" w:rsidP="008A2E35">
            <w:pPr>
              <w:spacing w:after="0" w:line="240" w:lineRule="auto"/>
              <w:jc w:val="both"/>
              <w:rPr>
                <w:rFonts w:cs="Calibri"/>
                <w:color w:val="FF0000"/>
                <w:sz w:val="16"/>
                <w:szCs w:val="16"/>
                <w:lang w:val="en-GB"/>
              </w:rPr>
            </w:pPr>
          </w:p>
        </w:tc>
      </w:tr>
      <w:tr w:rsidR="007733B2" w:rsidRPr="00D30847" w14:paraId="05CB530C" w14:textId="77777777" w:rsidTr="00BA5E44">
        <w:tc>
          <w:tcPr>
            <w:tcW w:w="1714" w:type="dxa"/>
            <w:shd w:val="clear" w:color="auto" w:fill="auto"/>
          </w:tcPr>
          <w:p w14:paraId="49DC0465" w14:textId="77777777" w:rsidR="007733B2" w:rsidRPr="00D30847" w:rsidRDefault="007733B2" w:rsidP="008A2E35">
            <w:pPr>
              <w:spacing w:after="0" w:line="240" w:lineRule="auto"/>
              <w:jc w:val="both"/>
              <w:rPr>
                <w:rFonts w:cs="Calibri"/>
                <w:lang w:val="en-GB"/>
              </w:rPr>
            </w:pPr>
            <w:r w:rsidRPr="00D30847">
              <w:rPr>
                <w:rFonts w:cs="Calibri"/>
                <w:lang w:val="en-GB"/>
              </w:rPr>
              <w:t xml:space="preserve">Activity </w:t>
            </w:r>
            <w:r w:rsidR="00AD58AF" w:rsidRPr="00D30847">
              <w:rPr>
                <w:rFonts w:cs="Calibri"/>
                <w:lang w:val="en-GB"/>
              </w:rPr>
              <w:t>3</w:t>
            </w:r>
            <w:r w:rsidRPr="00D30847">
              <w:rPr>
                <w:rFonts w:cs="Calibri"/>
                <w:lang w:val="en-GB"/>
              </w:rPr>
              <w:t>:</w:t>
            </w:r>
          </w:p>
        </w:tc>
        <w:tc>
          <w:tcPr>
            <w:tcW w:w="6426" w:type="dxa"/>
            <w:shd w:val="clear" w:color="auto" w:fill="auto"/>
          </w:tcPr>
          <w:p w14:paraId="18A179D3" w14:textId="77777777" w:rsidR="007733B2" w:rsidRPr="00D30847" w:rsidRDefault="007733B2" w:rsidP="008A2E35">
            <w:pPr>
              <w:spacing w:after="0" w:line="240" w:lineRule="auto"/>
              <w:jc w:val="both"/>
              <w:rPr>
                <w:rFonts w:cs="Calibri"/>
                <w:color w:val="FF0000"/>
                <w:lang w:val="en-GB"/>
              </w:rPr>
            </w:pPr>
            <w:r w:rsidRPr="00D30847">
              <w:rPr>
                <w:rFonts w:eastAsia="Times New Roman" w:cs="Calibri"/>
                <w:color w:val="202124"/>
                <w:lang w:val="en-GB"/>
              </w:rPr>
              <w:t>Establishment of a network of institutions’ internal audit units in coordination with the CHU, for exchange of experience and best practices.</w:t>
            </w:r>
          </w:p>
        </w:tc>
      </w:tr>
      <w:tr w:rsidR="007733B2" w:rsidRPr="00D30847" w14:paraId="7B50377B" w14:textId="77777777" w:rsidTr="00BA5E44">
        <w:tc>
          <w:tcPr>
            <w:tcW w:w="1714" w:type="dxa"/>
            <w:shd w:val="clear" w:color="auto" w:fill="auto"/>
          </w:tcPr>
          <w:p w14:paraId="643D9A18" w14:textId="77777777" w:rsidR="007733B2" w:rsidRPr="00D30847" w:rsidRDefault="007733B2" w:rsidP="008A2E35">
            <w:pPr>
              <w:spacing w:after="0" w:line="240" w:lineRule="auto"/>
              <w:jc w:val="both"/>
              <w:rPr>
                <w:rFonts w:cs="Calibri"/>
                <w:b/>
                <w:lang w:val="en-GB"/>
              </w:rPr>
            </w:pPr>
            <w:r w:rsidRPr="00D30847">
              <w:rPr>
                <w:rFonts w:cs="Calibri"/>
                <w:b/>
                <w:lang w:val="en-GB"/>
              </w:rPr>
              <w:t>Measure 2:</w:t>
            </w:r>
          </w:p>
        </w:tc>
        <w:tc>
          <w:tcPr>
            <w:tcW w:w="6426" w:type="dxa"/>
            <w:shd w:val="clear" w:color="auto" w:fill="auto"/>
          </w:tcPr>
          <w:p w14:paraId="2A4D8767" w14:textId="77777777" w:rsidR="007733B2" w:rsidRPr="00D30847" w:rsidRDefault="00AD58AF" w:rsidP="008A2E35">
            <w:pPr>
              <w:spacing w:after="0" w:line="240" w:lineRule="auto"/>
              <w:jc w:val="both"/>
              <w:rPr>
                <w:rFonts w:cs="Calibri"/>
                <w:color w:val="FF0000"/>
                <w:lang w:val="en-GB"/>
              </w:rPr>
            </w:pPr>
            <w:r w:rsidRPr="00D30847">
              <w:rPr>
                <w:rFonts w:cs="Calibri"/>
                <w:b/>
                <w:lang w:val="en-GB"/>
              </w:rPr>
              <w:t>Improving the abilities to carry out performance and IT internal audits in the public sector institutions</w:t>
            </w:r>
            <w:r w:rsidR="007733B2" w:rsidRPr="00D30847">
              <w:rPr>
                <w:rFonts w:cs="Calibri"/>
                <w:b/>
                <w:lang w:val="en-GB"/>
              </w:rPr>
              <w:tab/>
            </w:r>
            <w:r w:rsidR="007733B2" w:rsidRPr="00D30847">
              <w:rPr>
                <w:rFonts w:cs="Calibri"/>
                <w:b/>
                <w:color w:val="FF0000"/>
                <w:lang w:val="en-GB"/>
              </w:rPr>
              <w:tab/>
            </w:r>
          </w:p>
        </w:tc>
      </w:tr>
      <w:tr w:rsidR="007733B2" w:rsidRPr="00D30847" w14:paraId="78AAB26F" w14:textId="77777777" w:rsidTr="008E06E4">
        <w:trPr>
          <w:trHeight w:val="662"/>
        </w:trPr>
        <w:tc>
          <w:tcPr>
            <w:tcW w:w="1714" w:type="dxa"/>
            <w:shd w:val="clear" w:color="auto" w:fill="auto"/>
          </w:tcPr>
          <w:p w14:paraId="4F6D6B4F" w14:textId="77777777" w:rsidR="007733B2" w:rsidRPr="00D30847" w:rsidRDefault="007733B2" w:rsidP="008A2E35">
            <w:pPr>
              <w:spacing w:after="0" w:line="240" w:lineRule="auto"/>
              <w:jc w:val="both"/>
              <w:rPr>
                <w:rFonts w:cs="Calibri"/>
                <w:lang w:val="en-GB"/>
              </w:rPr>
            </w:pPr>
            <w:r w:rsidRPr="00D30847">
              <w:rPr>
                <w:rFonts w:cs="Calibri"/>
                <w:lang w:val="en-GB"/>
              </w:rPr>
              <w:t>Activity 1:</w:t>
            </w:r>
          </w:p>
        </w:tc>
        <w:tc>
          <w:tcPr>
            <w:tcW w:w="6426" w:type="dxa"/>
            <w:shd w:val="clear" w:color="auto" w:fill="auto"/>
          </w:tcPr>
          <w:p w14:paraId="63596CAA" w14:textId="77E19512" w:rsidR="007733B2" w:rsidRPr="00D30847" w:rsidRDefault="00542194" w:rsidP="008A2E35">
            <w:pPr>
              <w:spacing w:after="0" w:line="240" w:lineRule="auto"/>
              <w:jc w:val="both"/>
              <w:rPr>
                <w:rFonts w:cs="Calibri"/>
                <w:lang w:val="en-GB"/>
              </w:rPr>
            </w:pPr>
            <w:r w:rsidRPr="00D30847">
              <w:rPr>
                <w:rFonts w:cs="Calibri"/>
                <w:lang w:val="en-GB"/>
              </w:rPr>
              <w:t>Preparation and promotion methodology for specific type of internal audits</w:t>
            </w:r>
            <w:r w:rsidR="008E06E4" w:rsidRPr="00D30847">
              <w:rPr>
                <w:rFonts w:cs="Calibri"/>
                <w:lang w:val="en-GB"/>
              </w:rPr>
              <w:t>;</w:t>
            </w:r>
          </w:p>
        </w:tc>
      </w:tr>
      <w:tr w:rsidR="007733B2" w:rsidRPr="00D30847" w14:paraId="447C9267" w14:textId="77777777" w:rsidTr="00BA5E44">
        <w:tc>
          <w:tcPr>
            <w:tcW w:w="1714" w:type="dxa"/>
            <w:shd w:val="clear" w:color="auto" w:fill="auto"/>
          </w:tcPr>
          <w:p w14:paraId="766D1FBE" w14:textId="77777777" w:rsidR="00AD58AF" w:rsidRPr="00D30847" w:rsidRDefault="00AD58AF" w:rsidP="008A2E35">
            <w:pPr>
              <w:spacing w:after="0" w:line="240" w:lineRule="auto"/>
              <w:jc w:val="both"/>
              <w:rPr>
                <w:rFonts w:cs="Calibri"/>
                <w:lang w:val="en-GB"/>
              </w:rPr>
            </w:pPr>
            <w:r w:rsidRPr="00D30847">
              <w:rPr>
                <w:rFonts w:cs="Calibri"/>
                <w:lang w:val="en-GB"/>
              </w:rPr>
              <w:t xml:space="preserve">Activity </w:t>
            </w:r>
            <w:r w:rsidR="00594C2A" w:rsidRPr="00D30847">
              <w:rPr>
                <w:rFonts w:cs="Calibri"/>
                <w:lang w:val="en-GB"/>
              </w:rPr>
              <w:t>2</w:t>
            </w:r>
            <w:r w:rsidRPr="00D30847">
              <w:rPr>
                <w:rFonts w:cs="Calibri"/>
                <w:lang w:val="en-GB"/>
              </w:rPr>
              <w:t>:</w:t>
            </w:r>
          </w:p>
          <w:p w14:paraId="5367B63B" w14:textId="77777777" w:rsidR="00AD58AF" w:rsidRPr="00D30847" w:rsidRDefault="00AD58AF" w:rsidP="008A2E35">
            <w:pPr>
              <w:spacing w:after="0" w:line="240" w:lineRule="auto"/>
              <w:jc w:val="both"/>
              <w:rPr>
                <w:rFonts w:cs="Calibri"/>
                <w:lang w:val="en-GB"/>
              </w:rPr>
            </w:pPr>
          </w:p>
        </w:tc>
        <w:tc>
          <w:tcPr>
            <w:tcW w:w="6426" w:type="dxa"/>
            <w:shd w:val="clear" w:color="auto" w:fill="auto"/>
          </w:tcPr>
          <w:p w14:paraId="0385F109" w14:textId="77777777" w:rsidR="00AD58AF" w:rsidRPr="00D30847" w:rsidRDefault="00AD58AF" w:rsidP="008A2E35">
            <w:pPr>
              <w:spacing w:after="0" w:line="240" w:lineRule="auto"/>
              <w:jc w:val="both"/>
              <w:rPr>
                <w:rFonts w:cs="Calibri"/>
                <w:lang w:val="en-GB"/>
              </w:rPr>
            </w:pPr>
            <w:r w:rsidRPr="00D30847">
              <w:rPr>
                <w:rFonts w:cs="Calibri"/>
                <w:lang w:val="en-GB"/>
              </w:rPr>
              <w:t>Analysis of the situation and determination of the need for the establishment of a Central Unit for IT internal audits in the Ministry of Finance</w:t>
            </w:r>
          </w:p>
        </w:tc>
      </w:tr>
    </w:tbl>
    <w:p w14:paraId="7A0952BB" w14:textId="77777777" w:rsidR="007733B2" w:rsidRPr="00D30847" w:rsidRDefault="007733B2" w:rsidP="008B435E">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Outcome</w:t>
      </w:r>
    </w:p>
    <w:p w14:paraId="52B7BD8E" w14:textId="77777777" w:rsidR="007733B2" w:rsidRPr="00D30847" w:rsidRDefault="007733B2" w:rsidP="00FC206B">
      <w:pPr>
        <w:tabs>
          <w:tab w:val="left" w:pos="851"/>
        </w:tabs>
        <w:spacing w:after="0" w:line="240" w:lineRule="auto"/>
        <w:jc w:val="both"/>
        <w:rPr>
          <w:rFonts w:eastAsia="MS PGothic" w:cs="Calibri"/>
          <w:color w:val="FF0000"/>
          <w:lang w:val="en-GB" w:eastAsia="zh-CN"/>
        </w:rPr>
      </w:pPr>
      <w:r w:rsidRPr="00D30847">
        <w:rPr>
          <w:rFonts w:cs="Calibri"/>
          <w:lang w:val="en-GB"/>
        </w:rPr>
        <w:t>Strengthened internal audit units that operate in line with the standards and contribute to achievement of the goals of the public sector institutions.</w:t>
      </w:r>
    </w:p>
    <w:p w14:paraId="6DEFC088" w14:textId="77777777" w:rsidR="007733B2" w:rsidRPr="00D30847" w:rsidRDefault="007733B2"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Outcome indicators</w:t>
      </w:r>
    </w:p>
    <w:p w14:paraId="21BA1A58" w14:textId="044EB46D" w:rsidR="00AD58AF" w:rsidRPr="00D30847" w:rsidRDefault="00FC206B" w:rsidP="00FC206B">
      <w:pPr>
        <w:tabs>
          <w:tab w:val="left" w:pos="851"/>
        </w:tabs>
        <w:spacing w:after="0" w:line="240" w:lineRule="auto"/>
        <w:jc w:val="both"/>
        <w:rPr>
          <w:rFonts w:eastAsia="MS PGothic" w:cs="Calibri"/>
          <w:lang w:val="en-GB" w:eastAsia="zh-CN"/>
        </w:rPr>
      </w:pPr>
      <w:r w:rsidRPr="00D30847">
        <w:rPr>
          <w:rFonts w:cs="Calibri"/>
          <w:lang w:val="en-GB"/>
        </w:rPr>
        <w:t xml:space="preserve">1. </w:t>
      </w:r>
      <w:r w:rsidR="00AD58AF" w:rsidRPr="00D30847">
        <w:rPr>
          <w:rFonts w:cs="Calibri"/>
          <w:lang w:val="en-GB"/>
        </w:rPr>
        <w:t>Number of internal auditors in Ministries;</w:t>
      </w:r>
    </w:p>
    <w:p w14:paraId="7B915C09" w14:textId="77777777" w:rsidR="00460ED3" w:rsidRPr="00D30847" w:rsidRDefault="00460ED3" w:rsidP="00460ED3">
      <w:pPr>
        <w:tabs>
          <w:tab w:val="left" w:pos="851"/>
        </w:tabs>
        <w:spacing w:after="0" w:line="240" w:lineRule="auto"/>
        <w:ind w:left="1276"/>
        <w:jc w:val="both"/>
        <w:rPr>
          <w:rFonts w:eastAsia="MS PGothic" w:cs="Calibri"/>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460ED3" w:rsidRPr="00D30847" w14:paraId="31FC486A" w14:textId="77777777" w:rsidTr="002B77A4">
        <w:trPr>
          <w:trHeight w:val="395"/>
        </w:trPr>
        <w:tc>
          <w:tcPr>
            <w:tcW w:w="4608" w:type="dxa"/>
            <w:shd w:val="clear" w:color="auto" w:fill="E8E8E8"/>
          </w:tcPr>
          <w:p w14:paraId="1284BCB5" w14:textId="1578E911"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7F5630" w:rsidRPr="00D30847">
              <w:rPr>
                <w:rFonts w:eastAsia="Times New Roman" w:cs="Calibri"/>
                <w:b/>
                <w:bCs/>
                <w:i/>
                <w:iCs/>
                <w:color w:val="202124"/>
                <w:sz w:val="20"/>
                <w:szCs w:val="20"/>
                <w:lang w:val="en-GB"/>
              </w:rPr>
              <w:t>3</w:t>
            </w:r>
          </w:p>
        </w:tc>
        <w:tc>
          <w:tcPr>
            <w:tcW w:w="4608" w:type="dxa"/>
            <w:shd w:val="clear" w:color="auto" w:fill="E8E8E8"/>
          </w:tcPr>
          <w:p w14:paraId="094833EA" w14:textId="5A91E70C"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7F5630" w:rsidRPr="00D30847">
              <w:rPr>
                <w:rFonts w:eastAsia="Times New Roman" w:cs="Calibri"/>
                <w:b/>
                <w:bCs/>
                <w:i/>
                <w:iCs/>
                <w:color w:val="202124"/>
                <w:sz w:val="20"/>
                <w:szCs w:val="20"/>
                <w:lang w:val="en-GB"/>
              </w:rPr>
              <w:t>8</w:t>
            </w:r>
          </w:p>
        </w:tc>
      </w:tr>
      <w:tr w:rsidR="00460ED3" w:rsidRPr="00D30847" w14:paraId="6B0EBCB5" w14:textId="77777777" w:rsidTr="002F500A">
        <w:trPr>
          <w:trHeight w:val="302"/>
        </w:trPr>
        <w:tc>
          <w:tcPr>
            <w:tcW w:w="4608" w:type="dxa"/>
            <w:shd w:val="clear" w:color="auto" w:fill="E8E8E8"/>
          </w:tcPr>
          <w:p w14:paraId="3672CB06" w14:textId="2A59A834" w:rsidR="00460ED3" w:rsidRPr="00D30847" w:rsidRDefault="003C160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3</w:t>
            </w:r>
            <w:r w:rsidR="007F5630" w:rsidRPr="00D30847">
              <w:rPr>
                <w:rFonts w:eastAsia="Times New Roman" w:cs="Calibri"/>
                <w:color w:val="202124"/>
                <w:sz w:val="20"/>
                <w:szCs w:val="20"/>
                <w:lang w:val="en-GB"/>
              </w:rPr>
              <w:t>5</w:t>
            </w:r>
          </w:p>
        </w:tc>
        <w:tc>
          <w:tcPr>
            <w:tcW w:w="4608" w:type="dxa"/>
            <w:shd w:val="clear" w:color="auto" w:fill="E8E8E8"/>
          </w:tcPr>
          <w:p w14:paraId="6CE367B7" w14:textId="4C969B7F" w:rsidR="00460ED3" w:rsidRPr="00D30847" w:rsidRDefault="007F5630"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80</w:t>
            </w:r>
          </w:p>
        </w:tc>
      </w:tr>
    </w:tbl>
    <w:p w14:paraId="2F6A54E1" w14:textId="77777777" w:rsidR="00460ED3" w:rsidRPr="00D30847" w:rsidRDefault="00460ED3" w:rsidP="00460ED3">
      <w:pPr>
        <w:tabs>
          <w:tab w:val="left" w:pos="851"/>
        </w:tabs>
        <w:spacing w:after="0" w:line="240" w:lineRule="auto"/>
        <w:ind w:left="1276"/>
        <w:jc w:val="both"/>
        <w:rPr>
          <w:rFonts w:eastAsia="MS PGothic" w:cs="Calibri"/>
          <w:lang w:val="en-GB" w:eastAsia="zh-CN"/>
        </w:rPr>
      </w:pPr>
    </w:p>
    <w:p w14:paraId="1D470F96" w14:textId="5A82F01F" w:rsidR="00AD58AF" w:rsidRPr="00D30847" w:rsidRDefault="00FC206B" w:rsidP="00FC206B">
      <w:pPr>
        <w:tabs>
          <w:tab w:val="left" w:pos="851"/>
        </w:tabs>
        <w:spacing w:after="0" w:line="240" w:lineRule="auto"/>
        <w:jc w:val="both"/>
        <w:rPr>
          <w:rFonts w:eastAsia="MS PGothic" w:cs="Calibri"/>
          <w:lang w:val="en-GB" w:eastAsia="zh-CN"/>
        </w:rPr>
      </w:pPr>
      <w:r w:rsidRPr="00D30847">
        <w:rPr>
          <w:rFonts w:eastAsia="MS PGothic" w:cs="Calibri"/>
          <w:lang w:val="en-GB" w:eastAsia="zh-CN"/>
        </w:rPr>
        <w:t xml:space="preserve">2. </w:t>
      </w:r>
      <w:r w:rsidR="00AD58AF" w:rsidRPr="00D30847">
        <w:rPr>
          <w:rFonts w:eastAsia="MS PGothic" w:cs="Calibri"/>
          <w:lang w:val="en-GB" w:eastAsia="zh-CN"/>
        </w:rPr>
        <w:t>Percentage of implemented recommendations given during quality checks;</w:t>
      </w:r>
    </w:p>
    <w:p w14:paraId="4A2DAAC9" w14:textId="77777777" w:rsidR="00460ED3" w:rsidRPr="00D30847" w:rsidRDefault="00460ED3" w:rsidP="00460ED3">
      <w:pPr>
        <w:tabs>
          <w:tab w:val="left" w:pos="851"/>
        </w:tabs>
        <w:spacing w:after="0" w:line="240" w:lineRule="auto"/>
        <w:ind w:left="1276"/>
        <w:jc w:val="both"/>
        <w:rPr>
          <w:rFonts w:eastAsia="MS PGothic" w:cs="Calibri"/>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460ED3" w:rsidRPr="00D30847" w14:paraId="6B482B01" w14:textId="77777777" w:rsidTr="002B77A4">
        <w:trPr>
          <w:trHeight w:val="395"/>
        </w:trPr>
        <w:tc>
          <w:tcPr>
            <w:tcW w:w="4608" w:type="dxa"/>
            <w:shd w:val="clear" w:color="auto" w:fill="E8E8E8"/>
          </w:tcPr>
          <w:p w14:paraId="54FDAAD3" w14:textId="48D8315A"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7F5630" w:rsidRPr="00D30847">
              <w:rPr>
                <w:rFonts w:eastAsia="Times New Roman" w:cs="Calibri"/>
                <w:b/>
                <w:bCs/>
                <w:i/>
                <w:iCs/>
                <w:color w:val="202124"/>
                <w:sz w:val="20"/>
                <w:szCs w:val="20"/>
                <w:lang w:val="en-GB"/>
              </w:rPr>
              <w:t>3</w:t>
            </w:r>
          </w:p>
        </w:tc>
        <w:tc>
          <w:tcPr>
            <w:tcW w:w="4608" w:type="dxa"/>
            <w:shd w:val="clear" w:color="auto" w:fill="E8E8E8"/>
          </w:tcPr>
          <w:p w14:paraId="228F3746" w14:textId="28EA17D9"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7F5630" w:rsidRPr="00D30847">
              <w:rPr>
                <w:rFonts w:eastAsia="Times New Roman" w:cs="Calibri"/>
                <w:b/>
                <w:bCs/>
                <w:i/>
                <w:iCs/>
                <w:color w:val="202124"/>
                <w:sz w:val="20"/>
                <w:szCs w:val="20"/>
                <w:lang w:val="en-GB"/>
              </w:rPr>
              <w:t>8</w:t>
            </w:r>
          </w:p>
        </w:tc>
      </w:tr>
      <w:tr w:rsidR="00460ED3" w:rsidRPr="00D30847" w14:paraId="398D5471" w14:textId="77777777" w:rsidTr="002B77A4">
        <w:trPr>
          <w:trHeight w:val="278"/>
        </w:trPr>
        <w:tc>
          <w:tcPr>
            <w:tcW w:w="4608" w:type="dxa"/>
            <w:shd w:val="clear" w:color="auto" w:fill="E8E8E8"/>
          </w:tcPr>
          <w:p w14:paraId="4AA6B681" w14:textId="77777777" w:rsidR="00460ED3" w:rsidRPr="00D30847" w:rsidRDefault="003C160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0</w:t>
            </w:r>
          </w:p>
        </w:tc>
        <w:tc>
          <w:tcPr>
            <w:tcW w:w="4608" w:type="dxa"/>
            <w:shd w:val="clear" w:color="auto" w:fill="E8E8E8"/>
          </w:tcPr>
          <w:p w14:paraId="78B4577D" w14:textId="77777777" w:rsidR="00460ED3" w:rsidRPr="00D30847" w:rsidRDefault="003C160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80</w:t>
            </w:r>
          </w:p>
        </w:tc>
      </w:tr>
    </w:tbl>
    <w:p w14:paraId="7DED3A9B" w14:textId="77777777" w:rsidR="00460ED3" w:rsidRPr="00D30847" w:rsidRDefault="00460ED3" w:rsidP="00460ED3">
      <w:pPr>
        <w:tabs>
          <w:tab w:val="left" w:pos="851"/>
        </w:tabs>
        <w:spacing w:after="0" w:line="240" w:lineRule="auto"/>
        <w:ind w:left="1276"/>
        <w:jc w:val="both"/>
        <w:rPr>
          <w:rFonts w:eastAsia="MS PGothic" w:cs="Calibri"/>
          <w:lang w:val="en-GB" w:eastAsia="zh-CN"/>
        </w:rPr>
      </w:pPr>
    </w:p>
    <w:p w14:paraId="10EE380F" w14:textId="452D6A53" w:rsidR="00AD58AF" w:rsidRPr="00D30847" w:rsidRDefault="00FC206B" w:rsidP="00FC206B">
      <w:pPr>
        <w:tabs>
          <w:tab w:val="left" w:pos="851"/>
        </w:tabs>
        <w:spacing w:after="0" w:line="240" w:lineRule="auto"/>
        <w:jc w:val="both"/>
        <w:rPr>
          <w:rFonts w:eastAsia="MS PGothic" w:cs="Calibri"/>
          <w:lang w:val="en-GB" w:eastAsia="zh-CN"/>
        </w:rPr>
      </w:pPr>
      <w:r w:rsidRPr="00D30847">
        <w:rPr>
          <w:rFonts w:eastAsia="MS PGothic" w:cs="Calibri"/>
          <w:lang w:val="en-GB" w:eastAsia="zh-CN"/>
        </w:rPr>
        <w:t xml:space="preserve">3. </w:t>
      </w:r>
      <w:r w:rsidR="00AD58AF" w:rsidRPr="00D30847">
        <w:rPr>
          <w:rFonts w:eastAsia="MS PGothic" w:cs="Calibri"/>
          <w:lang w:val="en-GB" w:eastAsia="zh-CN"/>
        </w:rPr>
        <w:t xml:space="preserve">Percentage of </w:t>
      </w:r>
      <w:r w:rsidR="0036711D" w:rsidRPr="00D30847">
        <w:rPr>
          <w:rFonts w:eastAsia="MS PGothic" w:cs="Calibri"/>
          <w:lang w:val="en-GB" w:eastAsia="zh-CN"/>
        </w:rPr>
        <w:t xml:space="preserve">certificated </w:t>
      </w:r>
      <w:r w:rsidR="00AD58AF" w:rsidRPr="00D30847">
        <w:rPr>
          <w:rFonts w:eastAsia="MS PGothic" w:cs="Calibri"/>
          <w:lang w:val="en-GB" w:eastAsia="zh-CN"/>
        </w:rPr>
        <w:t>internal auditors</w:t>
      </w:r>
    </w:p>
    <w:p w14:paraId="7A54D248" w14:textId="77777777" w:rsidR="00FC206B" w:rsidRPr="00D30847" w:rsidRDefault="00FC206B" w:rsidP="00FC206B">
      <w:pPr>
        <w:tabs>
          <w:tab w:val="left" w:pos="851"/>
        </w:tabs>
        <w:spacing w:after="0" w:line="240" w:lineRule="auto"/>
        <w:jc w:val="both"/>
        <w:rPr>
          <w:rFonts w:eastAsia="MS PGothic" w:cs="Calibri"/>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460ED3" w:rsidRPr="00D30847" w14:paraId="62BF5E95" w14:textId="77777777" w:rsidTr="002B77A4">
        <w:trPr>
          <w:trHeight w:val="395"/>
        </w:trPr>
        <w:tc>
          <w:tcPr>
            <w:tcW w:w="4608" w:type="dxa"/>
            <w:shd w:val="clear" w:color="auto" w:fill="E8E8E8"/>
          </w:tcPr>
          <w:p w14:paraId="1DE952B8" w14:textId="37A1A49E"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7F5630" w:rsidRPr="00D30847">
              <w:rPr>
                <w:rFonts w:eastAsia="Times New Roman" w:cs="Calibri"/>
                <w:b/>
                <w:bCs/>
                <w:i/>
                <w:iCs/>
                <w:color w:val="202124"/>
                <w:sz w:val="20"/>
                <w:szCs w:val="20"/>
                <w:lang w:val="en-GB"/>
              </w:rPr>
              <w:t>3</w:t>
            </w:r>
          </w:p>
        </w:tc>
        <w:tc>
          <w:tcPr>
            <w:tcW w:w="4608" w:type="dxa"/>
            <w:shd w:val="clear" w:color="auto" w:fill="E8E8E8"/>
          </w:tcPr>
          <w:p w14:paraId="1B172A52" w14:textId="4F35117F"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7F5630" w:rsidRPr="00D30847">
              <w:rPr>
                <w:rFonts w:eastAsia="Times New Roman" w:cs="Calibri"/>
                <w:b/>
                <w:bCs/>
                <w:i/>
                <w:iCs/>
                <w:color w:val="202124"/>
                <w:sz w:val="20"/>
                <w:szCs w:val="20"/>
                <w:lang w:val="en-GB"/>
              </w:rPr>
              <w:t>8</w:t>
            </w:r>
          </w:p>
        </w:tc>
      </w:tr>
      <w:tr w:rsidR="00460ED3" w:rsidRPr="00D30847" w14:paraId="64FD8CAF" w14:textId="77777777" w:rsidTr="002B77A4">
        <w:trPr>
          <w:trHeight w:val="278"/>
        </w:trPr>
        <w:tc>
          <w:tcPr>
            <w:tcW w:w="4608" w:type="dxa"/>
            <w:shd w:val="clear" w:color="auto" w:fill="E8E8E8"/>
          </w:tcPr>
          <w:p w14:paraId="629C6F51" w14:textId="41ED15A5" w:rsidR="00460ED3" w:rsidRPr="00D30847" w:rsidRDefault="007F5630"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24</w:t>
            </w:r>
          </w:p>
        </w:tc>
        <w:tc>
          <w:tcPr>
            <w:tcW w:w="4608" w:type="dxa"/>
            <w:shd w:val="clear" w:color="auto" w:fill="E8E8E8"/>
          </w:tcPr>
          <w:p w14:paraId="26675390" w14:textId="77777777" w:rsidR="00460ED3" w:rsidRPr="00D30847" w:rsidRDefault="003C160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80</w:t>
            </w:r>
          </w:p>
        </w:tc>
      </w:tr>
    </w:tbl>
    <w:p w14:paraId="6E0AF973" w14:textId="77777777" w:rsidR="00460ED3" w:rsidRPr="00D30847" w:rsidRDefault="00460ED3" w:rsidP="00460ED3">
      <w:pPr>
        <w:tabs>
          <w:tab w:val="left" w:pos="851"/>
        </w:tabs>
        <w:spacing w:after="0" w:line="240" w:lineRule="auto"/>
        <w:ind w:left="1276"/>
        <w:jc w:val="both"/>
        <w:rPr>
          <w:rFonts w:eastAsia="MS PGothic" w:cs="Calibri"/>
          <w:lang w:val="en-GB" w:eastAsia="zh-CN"/>
        </w:rPr>
      </w:pPr>
    </w:p>
    <w:p w14:paraId="3610B5DA" w14:textId="189DB856" w:rsidR="00AD58AF" w:rsidRPr="00D30847" w:rsidRDefault="00FC206B" w:rsidP="00FC206B">
      <w:pPr>
        <w:tabs>
          <w:tab w:val="left" w:pos="851"/>
        </w:tabs>
        <w:spacing w:after="0" w:line="240" w:lineRule="auto"/>
        <w:jc w:val="both"/>
        <w:rPr>
          <w:rFonts w:eastAsia="MS PGothic" w:cs="Calibri"/>
          <w:lang w:val="en-GB" w:eastAsia="zh-CN"/>
        </w:rPr>
      </w:pPr>
      <w:r w:rsidRPr="00D30847">
        <w:rPr>
          <w:rFonts w:cs="Calibri"/>
          <w:lang w:val="en-GB"/>
        </w:rPr>
        <w:t xml:space="preserve">4. </w:t>
      </w:r>
      <w:r w:rsidR="00AD58AF" w:rsidRPr="00D30847">
        <w:rPr>
          <w:rFonts w:cs="Calibri"/>
          <w:lang w:val="en-GB"/>
        </w:rPr>
        <w:t>Percentage of implemented recommendations</w:t>
      </w:r>
    </w:p>
    <w:p w14:paraId="3A1D3673" w14:textId="77777777" w:rsidR="00460ED3" w:rsidRPr="00D30847" w:rsidRDefault="00460ED3" w:rsidP="00460ED3">
      <w:pPr>
        <w:tabs>
          <w:tab w:val="left" w:pos="851"/>
        </w:tabs>
        <w:spacing w:after="0" w:line="240" w:lineRule="auto"/>
        <w:ind w:left="1276"/>
        <w:jc w:val="both"/>
        <w:rPr>
          <w:rFonts w:eastAsia="MS PGothic" w:cs="Calibri"/>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460ED3" w:rsidRPr="00D30847" w14:paraId="4EE0779A" w14:textId="77777777" w:rsidTr="002B77A4">
        <w:trPr>
          <w:trHeight w:val="395"/>
        </w:trPr>
        <w:tc>
          <w:tcPr>
            <w:tcW w:w="4608" w:type="dxa"/>
            <w:shd w:val="clear" w:color="auto" w:fill="E8E8E8"/>
          </w:tcPr>
          <w:p w14:paraId="0DBEB3D8" w14:textId="3F6432FC"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lastRenderedPageBreak/>
              <w:t>Baseline 202</w:t>
            </w:r>
            <w:r w:rsidR="007F5630" w:rsidRPr="00D30847">
              <w:rPr>
                <w:rFonts w:eastAsia="Times New Roman" w:cs="Calibri"/>
                <w:b/>
                <w:bCs/>
                <w:i/>
                <w:iCs/>
                <w:color w:val="202124"/>
                <w:sz w:val="20"/>
                <w:szCs w:val="20"/>
                <w:lang w:val="en-GB"/>
              </w:rPr>
              <w:t>3</w:t>
            </w:r>
          </w:p>
        </w:tc>
        <w:tc>
          <w:tcPr>
            <w:tcW w:w="4608" w:type="dxa"/>
            <w:shd w:val="clear" w:color="auto" w:fill="E8E8E8"/>
          </w:tcPr>
          <w:p w14:paraId="680625AE" w14:textId="0204B170"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7F5630" w:rsidRPr="00D30847">
              <w:rPr>
                <w:rFonts w:eastAsia="Times New Roman" w:cs="Calibri"/>
                <w:b/>
                <w:bCs/>
                <w:i/>
                <w:iCs/>
                <w:color w:val="202124"/>
                <w:sz w:val="20"/>
                <w:szCs w:val="20"/>
                <w:lang w:val="en-GB"/>
              </w:rPr>
              <w:t>8</w:t>
            </w:r>
          </w:p>
        </w:tc>
      </w:tr>
      <w:tr w:rsidR="00460ED3" w:rsidRPr="00D30847" w14:paraId="2F670F00" w14:textId="77777777" w:rsidTr="002B77A4">
        <w:trPr>
          <w:trHeight w:val="278"/>
        </w:trPr>
        <w:tc>
          <w:tcPr>
            <w:tcW w:w="4608" w:type="dxa"/>
            <w:shd w:val="clear" w:color="auto" w:fill="E8E8E8"/>
          </w:tcPr>
          <w:p w14:paraId="14591E4C" w14:textId="0917B888" w:rsidR="00460ED3" w:rsidRPr="00D30847" w:rsidRDefault="003C160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6</w:t>
            </w:r>
            <w:r w:rsidR="007F5630" w:rsidRPr="00D30847">
              <w:rPr>
                <w:rFonts w:eastAsia="Times New Roman" w:cs="Calibri"/>
                <w:color w:val="202124"/>
                <w:sz w:val="20"/>
                <w:szCs w:val="20"/>
                <w:lang w:val="en-GB"/>
              </w:rPr>
              <w:t>3</w:t>
            </w:r>
          </w:p>
        </w:tc>
        <w:tc>
          <w:tcPr>
            <w:tcW w:w="4608" w:type="dxa"/>
            <w:shd w:val="clear" w:color="auto" w:fill="E8E8E8"/>
          </w:tcPr>
          <w:p w14:paraId="39EC0ACC" w14:textId="77777777" w:rsidR="00460ED3" w:rsidRPr="00D30847" w:rsidRDefault="003C160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80</w:t>
            </w:r>
          </w:p>
        </w:tc>
      </w:tr>
    </w:tbl>
    <w:p w14:paraId="1FB73324" w14:textId="77777777" w:rsidR="00460ED3" w:rsidRPr="00D30847" w:rsidRDefault="00460ED3" w:rsidP="00460ED3">
      <w:pPr>
        <w:tabs>
          <w:tab w:val="left" w:pos="851"/>
        </w:tabs>
        <w:spacing w:after="0" w:line="240" w:lineRule="auto"/>
        <w:ind w:left="1276"/>
        <w:jc w:val="both"/>
        <w:rPr>
          <w:rFonts w:eastAsia="MS PGothic" w:cs="Calibri"/>
          <w:lang w:val="en-GB" w:eastAsia="zh-CN"/>
        </w:rPr>
      </w:pPr>
    </w:p>
    <w:p w14:paraId="5231B223" w14:textId="6EF00CB2" w:rsidR="00AD58AF" w:rsidRPr="00D30847" w:rsidRDefault="00FC206B" w:rsidP="00FC206B">
      <w:pPr>
        <w:tabs>
          <w:tab w:val="left" w:pos="851"/>
        </w:tabs>
        <w:spacing w:after="0" w:line="240" w:lineRule="auto"/>
        <w:jc w:val="both"/>
        <w:rPr>
          <w:rFonts w:eastAsia="MS PGothic" w:cs="Calibri"/>
          <w:lang w:val="en-GB" w:eastAsia="zh-CN"/>
        </w:rPr>
      </w:pPr>
      <w:r w:rsidRPr="00D30847">
        <w:rPr>
          <w:rFonts w:cs="Calibri"/>
          <w:lang w:val="en-GB"/>
        </w:rPr>
        <w:t xml:space="preserve">5. </w:t>
      </w:r>
      <w:r w:rsidR="00AD58AF" w:rsidRPr="00D30847">
        <w:rPr>
          <w:rFonts w:cs="Calibri"/>
          <w:lang w:val="en-GB"/>
        </w:rPr>
        <w:t>Number of performance audits preformed</w:t>
      </w:r>
      <w:r w:rsidR="00AD58AF" w:rsidRPr="00D30847">
        <w:rPr>
          <w:rFonts w:eastAsia="MS PGothic" w:cs="Calibri"/>
          <w:lang w:val="en-GB" w:eastAsia="zh-CN"/>
        </w:rPr>
        <w:t>;</w:t>
      </w:r>
    </w:p>
    <w:p w14:paraId="578BBC2F" w14:textId="77777777" w:rsidR="00460ED3" w:rsidRPr="00D30847" w:rsidRDefault="00460ED3" w:rsidP="00460ED3">
      <w:pPr>
        <w:tabs>
          <w:tab w:val="left" w:pos="851"/>
        </w:tabs>
        <w:spacing w:after="0" w:line="240" w:lineRule="auto"/>
        <w:ind w:left="1276"/>
        <w:jc w:val="both"/>
        <w:rPr>
          <w:rFonts w:eastAsia="MS PGothic" w:cs="Calibri"/>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460ED3" w:rsidRPr="00D30847" w14:paraId="269A5724" w14:textId="77777777" w:rsidTr="002B77A4">
        <w:trPr>
          <w:trHeight w:val="395"/>
        </w:trPr>
        <w:tc>
          <w:tcPr>
            <w:tcW w:w="4608" w:type="dxa"/>
            <w:shd w:val="clear" w:color="auto" w:fill="E8E8E8"/>
          </w:tcPr>
          <w:p w14:paraId="26BF3E41" w14:textId="6E0EFEA4"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7F5630" w:rsidRPr="00D30847">
              <w:rPr>
                <w:rFonts w:eastAsia="Times New Roman" w:cs="Calibri"/>
                <w:b/>
                <w:bCs/>
                <w:i/>
                <w:iCs/>
                <w:color w:val="202124"/>
                <w:sz w:val="20"/>
                <w:szCs w:val="20"/>
                <w:lang w:val="en-GB"/>
              </w:rPr>
              <w:t>3</w:t>
            </w:r>
          </w:p>
        </w:tc>
        <w:tc>
          <w:tcPr>
            <w:tcW w:w="4608" w:type="dxa"/>
            <w:shd w:val="clear" w:color="auto" w:fill="E8E8E8"/>
          </w:tcPr>
          <w:p w14:paraId="11C3FBAA" w14:textId="504BC41E"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7F5630" w:rsidRPr="00D30847">
              <w:rPr>
                <w:rFonts w:eastAsia="Times New Roman" w:cs="Calibri"/>
                <w:b/>
                <w:bCs/>
                <w:i/>
                <w:iCs/>
                <w:color w:val="202124"/>
                <w:sz w:val="20"/>
                <w:szCs w:val="20"/>
                <w:lang w:val="en-GB"/>
              </w:rPr>
              <w:t>8</w:t>
            </w:r>
          </w:p>
        </w:tc>
      </w:tr>
      <w:tr w:rsidR="00460ED3" w:rsidRPr="00D30847" w14:paraId="246E9AFC" w14:textId="77777777" w:rsidTr="002B77A4">
        <w:trPr>
          <w:trHeight w:val="278"/>
        </w:trPr>
        <w:tc>
          <w:tcPr>
            <w:tcW w:w="4608" w:type="dxa"/>
            <w:shd w:val="clear" w:color="auto" w:fill="E8E8E8"/>
          </w:tcPr>
          <w:p w14:paraId="0A0DC444" w14:textId="05AF88D8" w:rsidR="00460ED3" w:rsidRPr="00D30847" w:rsidRDefault="007F5630"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7</w:t>
            </w:r>
          </w:p>
        </w:tc>
        <w:tc>
          <w:tcPr>
            <w:tcW w:w="4608" w:type="dxa"/>
            <w:shd w:val="clear" w:color="auto" w:fill="E8E8E8"/>
          </w:tcPr>
          <w:p w14:paraId="4D2F236B" w14:textId="3A21870F" w:rsidR="00460ED3" w:rsidRPr="00D30847" w:rsidRDefault="003C160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1</w:t>
            </w:r>
            <w:r w:rsidR="007F5630" w:rsidRPr="00D30847">
              <w:rPr>
                <w:rFonts w:eastAsia="Times New Roman" w:cs="Calibri"/>
                <w:color w:val="202124"/>
                <w:sz w:val="20"/>
                <w:szCs w:val="20"/>
                <w:lang w:val="en-GB"/>
              </w:rPr>
              <w:t>2</w:t>
            </w:r>
          </w:p>
        </w:tc>
      </w:tr>
    </w:tbl>
    <w:p w14:paraId="423C8A97" w14:textId="77777777" w:rsidR="00460ED3" w:rsidRPr="00D30847" w:rsidRDefault="00460ED3" w:rsidP="00460ED3">
      <w:pPr>
        <w:tabs>
          <w:tab w:val="left" w:pos="851"/>
        </w:tabs>
        <w:spacing w:after="0" w:line="240" w:lineRule="auto"/>
        <w:ind w:left="1276"/>
        <w:jc w:val="both"/>
        <w:rPr>
          <w:rFonts w:eastAsia="MS PGothic" w:cs="Calibri"/>
          <w:lang w:val="en-GB" w:eastAsia="zh-CN"/>
        </w:rPr>
      </w:pPr>
    </w:p>
    <w:p w14:paraId="279DA2EA" w14:textId="5E7D484D" w:rsidR="00AD58AF" w:rsidRPr="00D30847" w:rsidRDefault="00FC206B" w:rsidP="00FC206B">
      <w:pPr>
        <w:tabs>
          <w:tab w:val="left" w:pos="851"/>
        </w:tabs>
        <w:spacing w:after="0" w:line="240" w:lineRule="auto"/>
        <w:jc w:val="both"/>
        <w:rPr>
          <w:rFonts w:eastAsia="MS PGothic" w:cs="Calibri"/>
          <w:lang w:val="en-GB" w:eastAsia="zh-CN"/>
        </w:rPr>
      </w:pPr>
      <w:r w:rsidRPr="00D30847">
        <w:rPr>
          <w:rFonts w:cs="Calibri"/>
          <w:lang w:val="en-GB"/>
        </w:rPr>
        <w:t xml:space="preserve">6. </w:t>
      </w:r>
      <w:r w:rsidR="00AD58AF" w:rsidRPr="00D30847">
        <w:rPr>
          <w:rFonts w:cs="Calibri"/>
          <w:lang w:val="en-GB"/>
        </w:rPr>
        <w:t>Number of IT audits performed</w:t>
      </w:r>
      <w:r w:rsidR="00AD58AF" w:rsidRPr="00D30847">
        <w:rPr>
          <w:rFonts w:eastAsia="MS PGothic" w:cs="Calibri"/>
          <w:lang w:val="en-GB" w:eastAsia="zh-CN"/>
        </w:rPr>
        <w:t>.</w:t>
      </w:r>
    </w:p>
    <w:p w14:paraId="657FBF9A" w14:textId="77777777" w:rsidR="00460ED3" w:rsidRPr="00D30847" w:rsidRDefault="00460ED3" w:rsidP="00460ED3">
      <w:pPr>
        <w:tabs>
          <w:tab w:val="left" w:pos="851"/>
        </w:tabs>
        <w:spacing w:after="0" w:line="240" w:lineRule="auto"/>
        <w:ind w:left="1276"/>
        <w:jc w:val="both"/>
        <w:rPr>
          <w:rFonts w:eastAsia="MS PGothic" w:cs="Calibri"/>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460ED3" w:rsidRPr="00D30847" w14:paraId="2772ADB9" w14:textId="77777777" w:rsidTr="002B77A4">
        <w:trPr>
          <w:trHeight w:val="395"/>
        </w:trPr>
        <w:tc>
          <w:tcPr>
            <w:tcW w:w="4608" w:type="dxa"/>
            <w:shd w:val="clear" w:color="auto" w:fill="E8E8E8"/>
          </w:tcPr>
          <w:p w14:paraId="70E6538E" w14:textId="334713F4"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7F5630" w:rsidRPr="00D30847">
              <w:rPr>
                <w:rFonts w:eastAsia="Times New Roman" w:cs="Calibri"/>
                <w:b/>
                <w:bCs/>
                <w:i/>
                <w:iCs/>
                <w:color w:val="202124"/>
                <w:sz w:val="20"/>
                <w:szCs w:val="20"/>
                <w:lang w:val="en-GB"/>
              </w:rPr>
              <w:t>3</w:t>
            </w:r>
          </w:p>
        </w:tc>
        <w:tc>
          <w:tcPr>
            <w:tcW w:w="4608" w:type="dxa"/>
            <w:shd w:val="clear" w:color="auto" w:fill="E8E8E8"/>
          </w:tcPr>
          <w:p w14:paraId="4F205BE8" w14:textId="48D558BF"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7F5630" w:rsidRPr="00D30847">
              <w:rPr>
                <w:rFonts w:eastAsia="Times New Roman" w:cs="Calibri"/>
                <w:b/>
                <w:bCs/>
                <w:i/>
                <w:iCs/>
                <w:color w:val="202124"/>
                <w:sz w:val="20"/>
                <w:szCs w:val="20"/>
                <w:lang w:val="en-GB"/>
              </w:rPr>
              <w:t>8</w:t>
            </w:r>
          </w:p>
        </w:tc>
      </w:tr>
      <w:tr w:rsidR="00460ED3" w:rsidRPr="00D30847" w14:paraId="719A56E6" w14:textId="77777777" w:rsidTr="002B77A4">
        <w:trPr>
          <w:trHeight w:val="278"/>
        </w:trPr>
        <w:tc>
          <w:tcPr>
            <w:tcW w:w="4608" w:type="dxa"/>
            <w:shd w:val="clear" w:color="auto" w:fill="E8E8E8"/>
          </w:tcPr>
          <w:p w14:paraId="757F4EE5" w14:textId="77777777" w:rsidR="00460ED3" w:rsidRPr="00D30847" w:rsidRDefault="003C160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1</w:t>
            </w:r>
          </w:p>
        </w:tc>
        <w:tc>
          <w:tcPr>
            <w:tcW w:w="4608" w:type="dxa"/>
            <w:shd w:val="clear" w:color="auto" w:fill="E8E8E8"/>
          </w:tcPr>
          <w:p w14:paraId="3002AC57" w14:textId="3BBA80D0" w:rsidR="00460ED3" w:rsidRPr="00D30847" w:rsidRDefault="007F5630"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6</w:t>
            </w:r>
          </w:p>
        </w:tc>
      </w:tr>
    </w:tbl>
    <w:p w14:paraId="33BC71B6" w14:textId="2F6A312E" w:rsidR="007733B2" w:rsidRPr="00D30847" w:rsidRDefault="007733B2" w:rsidP="00FC206B">
      <w:pPr>
        <w:tabs>
          <w:tab w:val="left" w:pos="1177"/>
        </w:tabs>
        <w:spacing w:after="0" w:line="240" w:lineRule="auto"/>
        <w:jc w:val="both"/>
        <w:rPr>
          <w:rFonts w:eastAsia="MS PGothic" w:cs="Calibri"/>
          <w:color w:val="FF0000"/>
          <w:lang w:val="en-GB" w:eastAsia="zh-CN"/>
        </w:rPr>
      </w:pPr>
    </w:p>
    <w:p w14:paraId="5F6330B3" w14:textId="2053F065" w:rsidR="007733B2" w:rsidRPr="00D30847" w:rsidRDefault="007733B2" w:rsidP="00E84CD0">
      <w:pPr>
        <w:spacing w:line="240" w:lineRule="auto"/>
        <w:jc w:val="both"/>
        <w:rPr>
          <w:rFonts w:cs="Calibri"/>
          <w:b/>
          <w:bCs/>
          <w:iCs/>
          <w:color w:val="0070C0"/>
          <w:sz w:val="24"/>
          <w:szCs w:val="24"/>
          <w:lang w:val="en-GB"/>
        </w:rPr>
      </w:pPr>
      <w:r w:rsidRPr="00D30847">
        <w:rPr>
          <w:rFonts w:cs="Calibri"/>
          <w:b/>
          <w:bCs/>
          <w:iCs/>
          <w:color w:val="0070C0"/>
          <w:sz w:val="24"/>
          <w:szCs w:val="24"/>
          <w:lang w:val="en-GB"/>
        </w:rPr>
        <w:t>Measure 1:</w:t>
      </w:r>
      <w:r w:rsidR="002E4AA9" w:rsidRPr="00D30847">
        <w:rPr>
          <w:rFonts w:cs="Calibri"/>
          <w:b/>
          <w:bCs/>
          <w:iCs/>
          <w:color w:val="0070C0"/>
          <w:sz w:val="24"/>
          <w:szCs w:val="24"/>
          <w:lang w:val="en-GB"/>
        </w:rPr>
        <w:t xml:space="preserve"> </w:t>
      </w:r>
      <w:r w:rsidRPr="00D30847">
        <w:rPr>
          <w:rFonts w:cs="Calibri"/>
          <w:b/>
          <w:bCs/>
          <w:iCs/>
          <w:color w:val="0070C0"/>
          <w:sz w:val="24"/>
          <w:szCs w:val="24"/>
          <w:lang w:val="en-GB"/>
        </w:rPr>
        <w:t>Strengthening</w:t>
      </w:r>
      <w:r w:rsidR="00322E91" w:rsidRPr="00D30847">
        <w:rPr>
          <w:rFonts w:cs="Calibri"/>
          <w:b/>
          <w:bCs/>
          <w:iCs/>
          <w:color w:val="0070C0"/>
          <w:sz w:val="24"/>
          <w:szCs w:val="24"/>
          <w:lang w:val="en-GB"/>
        </w:rPr>
        <w:t xml:space="preserve"> </w:t>
      </w:r>
      <w:r w:rsidRPr="00D30847">
        <w:rPr>
          <w:rFonts w:cs="Calibri"/>
          <w:b/>
          <w:bCs/>
          <w:iCs/>
          <w:color w:val="0070C0"/>
          <w:sz w:val="24"/>
          <w:szCs w:val="24"/>
          <w:lang w:val="en-GB"/>
        </w:rPr>
        <w:t>the</w:t>
      </w:r>
      <w:r w:rsidR="00322E91" w:rsidRPr="00D30847">
        <w:rPr>
          <w:rFonts w:cs="Calibri"/>
          <w:b/>
          <w:bCs/>
          <w:iCs/>
          <w:color w:val="0070C0"/>
          <w:sz w:val="24"/>
          <w:szCs w:val="24"/>
          <w:lang w:val="en-GB"/>
        </w:rPr>
        <w:t xml:space="preserve"> </w:t>
      </w:r>
      <w:r w:rsidRPr="00D30847">
        <w:rPr>
          <w:rFonts w:cs="Calibri"/>
          <w:b/>
          <w:bCs/>
          <w:iCs/>
          <w:color w:val="0070C0"/>
          <w:sz w:val="24"/>
          <w:szCs w:val="24"/>
          <w:lang w:val="en-GB"/>
        </w:rPr>
        <w:t>quality</w:t>
      </w:r>
      <w:r w:rsidR="00322E91" w:rsidRPr="00D30847">
        <w:rPr>
          <w:rFonts w:cs="Calibri"/>
          <w:b/>
          <w:bCs/>
          <w:iCs/>
          <w:color w:val="0070C0"/>
          <w:sz w:val="24"/>
          <w:szCs w:val="24"/>
          <w:lang w:val="en-GB"/>
        </w:rPr>
        <w:t xml:space="preserve"> </w:t>
      </w:r>
      <w:r w:rsidRPr="00D30847">
        <w:rPr>
          <w:rFonts w:cs="Calibri"/>
          <w:b/>
          <w:bCs/>
          <w:iCs/>
          <w:color w:val="0070C0"/>
          <w:sz w:val="24"/>
          <w:szCs w:val="24"/>
          <w:lang w:val="en-GB"/>
        </w:rPr>
        <w:t>of</w:t>
      </w:r>
      <w:r w:rsidR="00322E91" w:rsidRPr="00D30847">
        <w:rPr>
          <w:rFonts w:cs="Calibri"/>
          <w:b/>
          <w:bCs/>
          <w:iCs/>
          <w:color w:val="0070C0"/>
          <w:sz w:val="24"/>
          <w:szCs w:val="24"/>
          <w:lang w:val="en-GB"/>
        </w:rPr>
        <w:t xml:space="preserve"> </w:t>
      </w:r>
      <w:r w:rsidRPr="00D30847">
        <w:rPr>
          <w:rFonts w:cs="Calibri"/>
          <w:b/>
          <w:bCs/>
          <w:iCs/>
          <w:color w:val="0070C0"/>
          <w:sz w:val="24"/>
          <w:szCs w:val="24"/>
          <w:lang w:val="en-GB"/>
        </w:rPr>
        <w:t>work</w:t>
      </w:r>
      <w:r w:rsidR="00322E91" w:rsidRPr="00D30847">
        <w:rPr>
          <w:rFonts w:cs="Calibri"/>
          <w:b/>
          <w:bCs/>
          <w:iCs/>
          <w:color w:val="0070C0"/>
          <w:sz w:val="24"/>
          <w:szCs w:val="24"/>
          <w:lang w:val="en-GB"/>
        </w:rPr>
        <w:t xml:space="preserve"> </w:t>
      </w:r>
      <w:r w:rsidRPr="00D30847">
        <w:rPr>
          <w:rFonts w:cs="Calibri"/>
          <w:b/>
          <w:bCs/>
          <w:iCs/>
          <w:color w:val="0070C0"/>
          <w:sz w:val="24"/>
          <w:szCs w:val="24"/>
          <w:lang w:val="en-GB"/>
        </w:rPr>
        <w:t>of</w:t>
      </w:r>
      <w:r w:rsidR="00322E91" w:rsidRPr="00D30847">
        <w:rPr>
          <w:rFonts w:cs="Calibri"/>
          <w:b/>
          <w:bCs/>
          <w:iCs/>
          <w:color w:val="0070C0"/>
          <w:sz w:val="24"/>
          <w:szCs w:val="24"/>
          <w:lang w:val="en-GB"/>
        </w:rPr>
        <w:t xml:space="preserve"> </w:t>
      </w:r>
      <w:r w:rsidRPr="00D30847">
        <w:rPr>
          <w:rFonts w:cs="Calibri"/>
          <w:b/>
          <w:bCs/>
          <w:iCs/>
          <w:color w:val="0070C0"/>
          <w:sz w:val="24"/>
          <w:szCs w:val="24"/>
          <w:lang w:val="en-GB"/>
        </w:rPr>
        <w:t>the</w:t>
      </w:r>
      <w:r w:rsidR="00322E91" w:rsidRPr="00D30847">
        <w:rPr>
          <w:rFonts w:cs="Calibri"/>
          <w:b/>
          <w:bCs/>
          <w:iCs/>
          <w:color w:val="0070C0"/>
          <w:sz w:val="24"/>
          <w:szCs w:val="24"/>
          <w:lang w:val="en-GB"/>
        </w:rPr>
        <w:t xml:space="preserve"> </w:t>
      </w:r>
      <w:r w:rsidRPr="00D30847">
        <w:rPr>
          <w:rFonts w:cs="Calibri"/>
          <w:b/>
          <w:bCs/>
          <w:iCs/>
          <w:color w:val="0070C0"/>
          <w:sz w:val="24"/>
          <w:szCs w:val="24"/>
          <w:lang w:val="en-GB"/>
        </w:rPr>
        <w:t>internal</w:t>
      </w:r>
      <w:r w:rsidR="00322E91" w:rsidRPr="00D30847">
        <w:rPr>
          <w:rFonts w:cs="Calibri"/>
          <w:b/>
          <w:bCs/>
          <w:iCs/>
          <w:color w:val="0070C0"/>
          <w:sz w:val="24"/>
          <w:szCs w:val="24"/>
          <w:lang w:val="en-GB"/>
        </w:rPr>
        <w:t xml:space="preserve"> </w:t>
      </w:r>
      <w:r w:rsidRPr="00D30847">
        <w:rPr>
          <w:rFonts w:cs="Calibri"/>
          <w:b/>
          <w:bCs/>
          <w:iCs/>
          <w:color w:val="0070C0"/>
          <w:sz w:val="24"/>
          <w:szCs w:val="24"/>
          <w:lang w:val="en-GB"/>
        </w:rPr>
        <w:t>audit</w:t>
      </w:r>
      <w:r w:rsidR="00322E91" w:rsidRPr="00D30847">
        <w:rPr>
          <w:rFonts w:cs="Calibri"/>
          <w:b/>
          <w:bCs/>
          <w:iCs/>
          <w:color w:val="0070C0"/>
          <w:sz w:val="24"/>
          <w:szCs w:val="24"/>
          <w:lang w:val="en-GB"/>
        </w:rPr>
        <w:t xml:space="preserve"> </w:t>
      </w:r>
      <w:r w:rsidRPr="00D30847">
        <w:rPr>
          <w:rFonts w:cs="Calibri"/>
          <w:b/>
          <w:bCs/>
          <w:iCs/>
          <w:color w:val="0070C0"/>
          <w:sz w:val="24"/>
          <w:szCs w:val="24"/>
          <w:lang w:val="en-GB"/>
        </w:rPr>
        <w:t>units</w:t>
      </w:r>
      <w:r w:rsidR="00FD69EE" w:rsidRPr="00D30847">
        <w:rPr>
          <w:rFonts w:cs="Calibri"/>
          <w:b/>
          <w:bCs/>
          <w:iCs/>
          <w:color w:val="0070C0"/>
          <w:sz w:val="24"/>
          <w:szCs w:val="24"/>
          <w:lang w:val="en-GB"/>
        </w:rPr>
        <w:t xml:space="preserve"> </w:t>
      </w:r>
      <w:r w:rsidRPr="00D30847">
        <w:rPr>
          <w:rFonts w:cs="Calibri"/>
          <w:b/>
          <w:bCs/>
          <w:iCs/>
          <w:color w:val="0070C0"/>
          <w:sz w:val="24"/>
          <w:szCs w:val="24"/>
          <w:lang w:val="en-GB"/>
        </w:rPr>
        <w:t>at</w:t>
      </w:r>
      <w:r w:rsidR="00FD69EE" w:rsidRPr="00D30847">
        <w:rPr>
          <w:rFonts w:cs="Calibri"/>
          <w:b/>
          <w:bCs/>
          <w:iCs/>
          <w:color w:val="0070C0"/>
          <w:sz w:val="24"/>
          <w:szCs w:val="24"/>
          <w:lang w:val="en-GB"/>
        </w:rPr>
        <w:t xml:space="preserve"> </w:t>
      </w:r>
      <w:r w:rsidRPr="00D30847">
        <w:rPr>
          <w:rFonts w:cs="Calibri"/>
          <w:b/>
          <w:bCs/>
          <w:iCs/>
          <w:color w:val="0070C0"/>
          <w:sz w:val="24"/>
          <w:szCs w:val="24"/>
          <w:lang w:val="en-GB"/>
        </w:rPr>
        <w:t>the</w:t>
      </w:r>
      <w:r w:rsidR="00FD69EE" w:rsidRPr="00D30847">
        <w:rPr>
          <w:rFonts w:cs="Calibri"/>
          <w:b/>
          <w:bCs/>
          <w:iCs/>
          <w:color w:val="0070C0"/>
          <w:sz w:val="24"/>
          <w:szCs w:val="24"/>
          <w:lang w:val="en-GB"/>
        </w:rPr>
        <w:t xml:space="preserve"> </w:t>
      </w:r>
      <w:r w:rsidRPr="00D30847">
        <w:rPr>
          <w:rFonts w:cs="Calibri"/>
          <w:b/>
          <w:bCs/>
          <w:iCs/>
          <w:color w:val="0070C0"/>
          <w:sz w:val="24"/>
          <w:szCs w:val="24"/>
          <w:lang w:val="en-GB"/>
        </w:rPr>
        <w:t>Ministries</w:t>
      </w:r>
    </w:p>
    <w:p w14:paraId="7B503E35" w14:textId="77777777" w:rsidR="007733B2" w:rsidRPr="00D30847" w:rsidRDefault="007733B2"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506F68C5" w14:textId="77777777" w:rsidR="007733B2" w:rsidRPr="00D30847" w:rsidRDefault="007733B2" w:rsidP="00E84CD0">
      <w:pPr>
        <w:spacing w:before="80" w:after="80" w:line="240" w:lineRule="auto"/>
        <w:jc w:val="both"/>
        <w:rPr>
          <w:rFonts w:eastAsia="MS PGothic" w:cs="Calibri"/>
          <w:lang w:val="en-GB" w:eastAsia="zh-CN"/>
        </w:rPr>
      </w:pPr>
      <w:r w:rsidRPr="00D30847">
        <w:rPr>
          <w:rFonts w:eastAsia="MS PGothic" w:cs="Calibri"/>
          <w:lang w:val="en-GB" w:eastAsia="zh-CN"/>
        </w:rPr>
        <w:t>Strengthening the quality of work of the internal audit units at the Ministries for the purpose of supporting the performance of their new tasks and duties as parent budget users.</w:t>
      </w:r>
    </w:p>
    <w:p w14:paraId="5D132E99" w14:textId="77777777" w:rsidR="007733B2" w:rsidRPr="00D30847" w:rsidRDefault="007733B2"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Reference to findings from external assessments: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40"/>
        <w:gridCol w:w="7832"/>
      </w:tblGrid>
      <w:tr w:rsidR="007733B2" w:rsidRPr="00D30847" w14:paraId="35AC5419" w14:textId="77777777" w:rsidTr="008E06E4">
        <w:tc>
          <w:tcPr>
            <w:tcW w:w="1240" w:type="dxa"/>
            <w:shd w:val="clear" w:color="auto" w:fill="DDDDDD"/>
          </w:tcPr>
          <w:p w14:paraId="43EF860A" w14:textId="6EC140F2" w:rsidR="007733B2" w:rsidRPr="00D30847" w:rsidRDefault="007733B2" w:rsidP="00E84CD0">
            <w:pPr>
              <w:spacing w:before="80" w:after="0" w:line="240" w:lineRule="auto"/>
              <w:jc w:val="both"/>
              <w:rPr>
                <w:rFonts w:cs="Calibri"/>
                <w:b/>
                <w:sz w:val="20"/>
                <w:szCs w:val="20"/>
                <w:lang w:val="en-GB"/>
              </w:rPr>
            </w:pPr>
            <w:r w:rsidRPr="00D30847">
              <w:rPr>
                <w:rFonts w:cs="Calibri"/>
                <w:b/>
                <w:sz w:val="20"/>
                <w:szCs w:val="20"/>
                <w:lang w:val="en-GB"/>
              </w:rPr>
              <w:t>PEFA 2021</w:t>
            </w:r>
          </w:p>
        </w:tc>
        <w:tc>
          <w:tcPr>
            <w:tcW w:w="7832" w:type="dxa"/>
            <w:shd w:val="clear" w:color="auto" w:fill="DDDDDD"/>
          </w:tcPr>
          <w:p w14:paraId="56F5FB08" w14:textId="1292AC7D" w:rsidR="007733B2" w:rsidRPr="00D30847" w:rsidRDefault="007733B2" w:rsidP="00E84CD0">
            <w:pPr>
              <w:spacing w:line="240" w:lineRule="auto"/>
              <w:jc w:val="both"/>
              <w:rPr>
                <w:rFonts w:cs="Calibri"/>
                <w:sz w:val="20"/>
                <w:szCs w:val="20"/>
                <w:lang w:val="en-GB"/>
              </w:rPr>
            </w:pPr>
            <w:r w:rsidRPr="00D30847">
              <w:rPr>
                <w:rFonts w:cs="Calibri"/>
                <w:sz w:val="20"/>
                <w:szCs w:val="20"/>
                <w:lang w:val="en-GB"/>
              </w:rPr>
              <w:t xml:space="preserve">MoF CHU reported 91 established internal audit units, staffed with over 130 internal auditors as of May 2021, for all public sector institutions at the central government </w:t>
            </w:r>
            <w:r w:rsidR="0036711D" w:rsidRPr="00D30847">
              <w:rPr>
                <w:rFonts w:cs="Calibri"/>
                <w:sz w:val="20"/>
                <w:szCs w:val="20"/>
                <w:lang w:val="en-GB"/>
              </w:rPr>
              <w:t>level. Excluding</w:t>
            </w:r>
            <w:r w:rsidRPr="00D30847">
              <w:rPr>
                <w:rFonts w:cs="Calibri"/>
                <w:sz w:val="20"/>
                <w:szCs w:val="20"/>
                <w:lang w:val="en-GB"/>
              </w:rPr>
              <w:t xml:space="preserve"> PEs and EBUs from the totals, there are 13 internal audit units (IAU) which are covering 91.75 percent and 91.61 percent of CG revenue and expenditure, respectively, within the assessment </w:t>
            </w:r>
            <w:r w:rsidR="0036711D" w:rsidRPr="00D30847">
              <w:rPr>
                <w:rFonts w:cs="Calibri"/>
                <w:sz w:val="20"/>
                <w:szCs w:val="20"/>
                <w:lang w:val="en-GB"/>
              </w:rPr>
              <w:t>scope. Under</w:t>
            </w:r>
            <w:r w:rsidRPr="00D30847">
              <w:rPr>
                <w:rFonts w:cs="Calibri"/>
                <w:sz w:val="20"/>
                <w:szCs w:val="20"/>
                <w:lang w:val="en-GB"/>
              </w:rPr>
              <w:t xml:space="preserve"> the Law on PIFC in force at the time of the assessment, internal audit can be established as IAU (at least two internal auditors) and Internal Audit Department (IAD, at least five internal auditors), depending primarily on the average size of the budget in the past three years.</w:t>
            </w:r>
            <w:r w:rsidR="0036711D" w:rsidRPr="00D30847">
              <w:rPr>
                <w:rFonts w:cs="Calibri"/>
                <w:sz w:val="20"/>
                <w:szCs w:val="20"/>
                <w:lang w:val="en-GB"/>
              </w:rPr>
              <w:t xml:space="preserve"> </w:t>
            </w:r>
            <w:r w:rsidRPr="00D30847">
              <w:rPr>
                <w:rFonts w:cs="Calibri"/>
                <w:sz w:val="20"/>
                <w:szCs w:val="20"/>
                <w:lang w:val="en-GB"/>
              </w:rPr>
              <w:t>Institutions mandated to establish the IA function include all the CG ministries and SSFs.</w:t>
            </w:r>
            <w:r w:rsidR="0036711D" w:rsidRPr="00D30847">
              <w:rPr>
                <w:rFonts w:cs="Calibri"/>
                <w:sz w:val="20"/>
                <w:szCs w:val="20"/>
                <w:lang w:val="en-GB"/>
              </w:rPr>
              <w:t xml:space="preserve"> </w:t>
            </w:r>
            <w:r w:rsidRPr="00D30847">
              <w:rPr>
                <w:rFonts w:cs="Calibri"/>
                <w:sz w:val="20"/>
                <w:szCs w:val="20"/>
                <w:lang w:val="en-GB"/>
              </w:rPr>
              <w:t>Other institutions are required to establish the function, provided their average budgets in the last three years exceeded the threshold of Denar 50 million.</w:t>
            </w:r>
          </w:p>
        </w:tc>
      </w:tr>
      <w:tr w:rsidR="007733B2" w:rsidRPr="00D30847" w14:paraId="0E57594C" w14:textId="77777777" w:rsidTr="008E06E4">
        <w:tc>
          <w:tcPr>
            <w:tcW w:w="1240" w:type="dxa"/>
            <w:shd w:val="clear" w:color="auto" w:fill="DDDDDD"/>
          </w:tcPr>
          <w:p w14:paraId="2F231607" w14:textId="00EB1040" w:rsidR="007733B2" w:rsidRPr="00D30847" w:rsidRDefault="007733B2" w:rsidP="00E84CD0">
            <w:pPr>
              <w:spacing w:before="80" w:after="0" w:line="240" w:lineRule="auto"/>
              <w:jc w:val="both"/>
              <w:rPr>
                <w:rFonts w:cs="Calibri"/>
                <w:b/>
                <w:sz w:val="20"/>
                <w:szCs w:val="20"/>
                <w:lang w:val="en-GB"/>
              </w:rPr>
            </w:pPr>
            <w:r w:rsidRPr="00D30847">
              <w:rPr>
                <w:rFonts w:cs="Calibri"/>
                <w:b/>
                <w:sz w:val="20"/>
                <w:szCs w:val="20"/>
                <w:lang w:val="en-GB"/>
              </w:rPr>
              <w:t>SIGMA 2021</w:t>
            </w:r>
          </w:p>
        </w:tc>
        <w:tc>
          <w:tcPr>
            <w:tcW w:w="7832" w:type="dxa"/>
            <w:shd w:val="clear" w:color="auto" w:fill="DDDDDD"/>
          </w:tcPr>
          <w:p w14:paraId="7010E74D" w14:textId="5972EFBA" w:rsidR="007733B2" w:rsidRPr="00D30847" w:rsidRDefault="007733B2" w:rsidP="00E84CD0">
            <w:pPr>
              <w:spacing w:line="240" w:lineRule="auto"/>
              <w:jc w:val="both"/>
              <w:rPr>
                <w:rFonts w:eastAsia="Times New Roman" w:cs="Calibri"/>
                <w:sz w:val="20"/>
                <w:szCs w:val="20"/>
                <w:lang w:val="en-GB"/>
              </w:rPr>
            </w:pPr>
            <w:r w:rsidRPr="00D30847">
              <w:rPr>
                <w:rFonts w:cs="Calibri"/>
                <w:sz w:val="20"/>
                <w:szCs w:val="20"/>
                <w:lang w:val="en-GB"/>
              </w:rPr>
              <w:t xml:space="preserve">The annual PIFC reports provide comprehensive information on organisational capacity and numbers of reports and </w:t>
            </w:r>
            <w:r w:rsidR="0036711D" w:rsidRPr="00D30847">
              <w:rPr>
                <w:rFonts w:cs="Calibri"/>
                <w:sz w:val="20"/>
                <w:szCs w:val="20"/>
                <w:lang w:val="en-GB"/>
              </w:rPr>
              <w:t>recommendations. It</w:t>
            </w:r>
            <w:r w:rsidRPr="00D30847">
              <w:rPr>
                <w:rFonts w:cs="Calibri"/>
                <w:sz w:val="20"/>
                <w:szCs w:val="20"/>
                <w:lang w:val="en-GB"/>
              </w:rPr>
              <w:t xml:space="preserve"> does not report on the quality of IA as assessed through quality assurance measures because a formal system for quality assurance is lacking at CHU level.</w:t>
            </w:r>
            <w:r w:rsidR="0036711D" w:rsidRPr="00D30847">
              <w:rPr>
                <w:rFonts w:cs="Calibri"/>
                <w:sz w:val="20"/>
                <w:szCs w:val="20"/>
                <w:lang w:val="en-GB"/>
              </w:rPr>
              <w:t xml:space="preserve"> </w:t>
            </w:r>
            <w:r w:rsidRPr="00D30847">
              <w:rPr>
                <w:rFonts w:cs="Calibri"/>
                <w:sz w:val="20"/>
                <w:szCs w:val="20"/>
                <w:lang w:val="en-GB"/>
              </w:rPr>
              <w:t>CHU plans to develop an adequate quality assurance methodology and train the staff and afterwards proceed with “pilot” quality assurance measures.</w:t>
            </w:r>
            <w:r w:rsidR="0036711D" w:rsidRPr="00D30847">
              <w:rPr>
                <w:rFonts w:cs="Calibri"/>
                <w:sz w:val="20"/>
                <w:szCs w:val="20"/>
                <w:lang w:val="en-GB"/>
              </w:rPr>
              <w:t xml:space="preserve"> </w:t>
            </w:r>
            <w:r w:rsidRPr="00D30847">
              <w:rPr>
                <w:rFonts w:cs="Calibri"/>
                <w:sz w:val="20"/>
                <w:szCs w:val="20"/>
                <w:lang w:val="en-GB"/>
              </w:rPr>
              <w:t>The implementation will be challenging if the problems of fragmented organisation and understaffing are not first addressed.</w:t>
            </w:r>
          </w:p>
          <w:p w14:paraId="5386703B" w14:textId="235788DF" w:rsidR="007733B2" w:rsidRPr="00D30847" w:rsidRDefault="007733B2" w:rsidP="00E84CD0">
            <w:pPr>
              <w:spacing w:line="240" w:lineRule="auto"/>
              <w:jc w:val="both"/>
              <w:rPr>
                <w:rFonts w:eastAsia="Times New Roman" w:cs="Calibri"/>
                <w:sz w:val="20"/>
                <w:szCs w:val="20"/>
                <w:lang w:val="en-GB"/>
              </w:rPr>
            </w:pPr>
            <w:r w:rsidRPr="00D30847">
              <w:rPr>
                <w:rFonts w:cs="Calibri"/>
                <w:sz w:val="20"/>
                <w:szCs w:val="20"/>
                <w:lang w:val="en-GB"/>
              </w:rPr>
              <w:t>In terms of the operational framework required to implement IA, laws and regulations are consistent with the international standards and specify appropriate operational arrangements.</w:t>
            </w:r>
            <w:r w:rsidR="0036711D" w:rsidRPr="00D30847">
              <w:rPr>
                <w:rFonts w:cs="Calibri"/>
                <w:sz w:val="20"/>
                <w:szCs w:val="20"/>
                <w:lang w:val="en-GB"/>
              </w:rPr>
              <w:t xml:space="preserve"> </w:t>
            </w:r>
            <w:r w:rsidRPr="00D30847">
              <w:rPr>
                <w:rFonts w:cs="Calibri"/>
                <w:sz w:val="20"/>
                <w:szCs w:val="20"/>
                <w:lang w:val="en-GB"/>
              </w:rPr>
              <w:t>However, the staffing of the IA function does not meet minimum requirements, and basic quality assurance arrangements for IA are not yet in place.</w:t>
            </w:r>
            <w:r w:rsidR="0036711D" w:rsidRPr="00D30847">
              <w:rPr>
                <w:rFonts w:cs="Calibri"/>
                <w:sz w:val="20"/>
                <w:szCs w:val="20"/>
                <w:lang w:val="en-GB"/>
              </w:rPr>
              <w:t xml:space="preserve"> </w:t>
            </w:r>
            <w:r w:rsidRPr="00D30847">
              <w:rPr>
                <w:rFonts w:cs="Calibri"/>
                <w:sz w:val="20"/>
                <w:szCs w:val="20"/>
                <w:lang w:val="en-GB"/>
              </w:rPr>
              <w:t>The decision to lower legal requirements on the size of IA units may prove to jeopardise the sustainability of IA systems.</w:t>
            </w:r>
          </w:p>
          <w:p w14:paraId="678C59A1" w14:textId="6C1E6ED5" w:rsidR="007733B2" w:rsidRPr="00D30847" w:rsidRDefault="007733B2" w:rsidP="00E84CD0">
            <w:pPr>
              <w:spacing w:line="240" w:lineRule="auto"/>
              <w:jc w:val="both"/>
              <w:rPr>
                <w:rFonts w:eastAsia="Times New Roman" w:cs="Calibri"/>
                <w:sz w:val="20"/>
                <w:szCs w:val="20"/>
                <w:lang w:val="en-GB"/>
              </w:rPr>
            </w:pPr>
            <w:r w:rsidRPr="00D30847">
              <w:rPr>
                <w:rFonts w:cs="Calibri"/>
                <w:sz w:val="20"/>
                <w:szCs w:val="20"/>
                <w:lang w:val="en-GB"/>
              </w:rPr>
              <w:t xml:space="preserve">The small average size of IA units, combined with understaffing and low qualifications, has an impact on the quality of the audit </w:t>
            </w:r>
            <w:r w:rsidR="0036711D" w:rsidRPr="00D30847">
              <w:rPr>
                <w:rFonts w:cs="Calibri"/>
                <w:sz w:val="20"/>
                <w:szCs w:val="20"/>
                <w:lang w:val="en-GB"/>
              </w:rPr>
              <w:t>activities. Although</w:t>
            </w:r>
            <w:r w:rsidRPr="00D30847">
              <w:rPr>
                <w:rFonts w:cs="Calibri"/>
                <w:sz w:val="20"/>
                <w:szCs w:val="20"/>
                <w:lang w:val="en-GB"/>
              </w:rPr>
              <w:t xml:space="preserve"> 70% of IA units prepare strategic and annual audit plans based on a risk assessment, these plans generally lack ambition and fail to address high-risk and complex </w:t>
            </w:r>
            <w:r w:rsidR="0036711D" w:rsidRPr="00D30847">
              <w:rPr>
                <w:rFonts w:cs="Calibri"/>
                <w:sz w:val="20"/>
                <w:szCs w:val="20"/>
                <w:lang w:val="en-GB"/>
              </w:rPr>
              <w:t>issues. Audit</w:t>
            </w:r>
            <w:r w:rsidRPr="00D30847">
              <w:rPr>
                <w:rFonts w:cs="Calibri"/>
                <w:sz w:val="20"/>
                <w:szCs w:val="20"/>
                <w:lang w:val="en-GB"/>
              </w:rPr>
              <w:t xml:space="preserve"> reports, although demonstrating a credible link between evidence and conclusions, are generally focused on compliance issues with a narrow scope.</w:t>
            </w:r>
          </w:p>
        </w:tc>
      </w:tr>
      <w:tr w:rsidR="00A935E3" w:rsidRPr="00D30847" w14:paraId="5CBD1335" w14:textId="77777777" w:rsidTr="008E06E4">
        <w:tc>
          <w:tcPr>
            <w:tcW w:w="1240" w:type="dxa"/>
            <w:shd w:val="clear" w:color="auto" w:fill="DDDDDD"/>
          </w:tcPr>
          <w:p w14:paraId="710C33FE" w14:textId="77777777" w:rsidR="00A935E3" w:rsidRPr="00D30847" w:rsidRDefault="00A935E3" w:rsidP="00E84CD0">
            <w:pPr>
              <w:spacing w:before="80" w:after="0" w:line="240" w:lineRule="auto"/>
              <w:jc w:val="both"/>
              <w:rPr>
                <w:rFonts w:cs="Calibri"/>
                <w:b/>
                <w:sz w:val="20"/>
                <w:szCs w:val="20"/>
                <w:lang w:val="en-GB"/>
              </w:rPr>
            </w:pPr>
            <w:r w:rsidRPr="00D30847">
              <w:rPr>
                <w:rFonts w:cs="Calibri"/>
                <w:b/>
                <w:sz w:val="20"/>
                <w:szCs w:val="20"/>
                <w:lang w:val="en-GB"/>
              </w:rPr>
              <w:lastRenderedPageBreak/>
              <w:t>EU</w:t>
            </w:r>
          </w:p>
          <w:p w14:paraId="480969FD" w14:textId="40CA9D66" w:rsidR="007F5630" w:rsidRPr="00D30847" w:rsidRDefault="007F5630" w:rsidP="00E84CD0">
            <w:pPr>
              <w:spacing w:before="80" w:after="0" w:line="240" w:lineRule="auto"/>
              <w:jc w:val="both"/>
              <w:rPr>
                <w:rFonts w:cs="Calibri"/>
                <w:b/>
                <w:sz w:val="20"/>
                <w:szCs w:val="20"/>
                <w:lang w:val="en-GB"/>
              </w:rPr>
            </w:pPr>
            <w:r w:rsidRPr="00D30847">
              <w:rPr>
                <w:rFonts w:cs="Calibri"/>
                <w:b/>
                <w:sz w:val="20"/>
                <w:szCs w:val="20"/>
                <w:lang w:val="en-GB"/>
              </w:rPr>
              <w:t>2024</w:t>
            </w:r>
          </w:p>
        </w:tc>
        <w:tc>
          <w:tcPr>
            <w:tcW w:w="7832" w:type="dxa"/>
            <w:shd w:val="clear" w:color="auto" w:fill="DDDDDD"/>
          </w:tcPr>
          <w:p w14:paraId="24D4368B" w14:textId="77777777" w:rsidR="007F5630" w:rsidRPr="00D30847" w:rsidRDefault="007F5630" w:rsidP="007F5630">
            <w:pPr>
              <w:spacing w:line="240" w:lineRule="auto"/>
              <w:jc w:val="both"/>
              <w:rPr>
                <w:rFonts w:cs="Calibri"/>
                <w:sz w:val="20"/>
                <w:szCs w:val="20"/>
                <w:lang w:val="en-GB"/>
              </w:rPr>
            </w:pPr>
            <w:r w:rsidRPr="00D30847">
              <w:rPr>
                <w:rFonts w:cs="Calibri"/>
                <w:sz w:val="20"/>
                <w:szCs w:val="20"/>
                <w:lang w:val="en-GB"/>
              </w:rPr>
              <w:t>Central Harmonisation Unit has produced the annual report on the functioning of Public Internal Financial Controls but it was still pending adoption by the government by September 2024. Implementation of PIFC reforms continued to be hindered by the substantial delay in adoption of the PIFC law, still in Parliamentary procedure after more than three years, and by the insufficient capacity of key institutions.</w:t>
            </w:r>
          </w:p>
          <w:p w14:paraId="7C3D2764" w14:textId="77777777" w:rsidR="007F5630" w:rsidRPr="00D30847" w:rsidRDefault="007F5630" w:rsidP="007F5630">
            <w:pPr>
              <w:spacing w:line="240" w:lineRule="auto"/>
              <w:jc w:val="both"/>
              <w:rPr>
                <w:rFonts w:cs="Calibri"/>
                <w:sz w:val="20"/>
                <w:szCs w:val="20"/>
                <w:lang w:val="en-GB"/>
              </w:rPr>
            </w:pPr>
            <w:r w:rsidRPr="00D30847">
              <w:rPr>
                <w:rFonts w:cs="Calibri"/>
                <w:sz w:val="20"/>
                <w:szCs w:val="20"/>
                <w:lang w:val="en-GB"/>
              </w:rPr>
              <w:t>Fragmentation and inadequate staffing of the internal audit function undermine its organisational capacity and quality assurance. According to the last report on the functioning of PIFC of 2023 covering fiscal year 2022, 116 internal audit units were established at public sector entities at central level, employing 118 internal auditors. Internal audit units at central level performed 128 audits in 2023. A national certification system for internal auditors still needs to be introduced.</w:t>
            </w:r>
          </w:p>
          <w:p w14:paraId="2C33DD49" w14:textId="5F57413D" w:rsidR="00A935E3" w:rsidRPr="00D30847" w:rsidRDefault="007F5630" w:rsidP="007F5630">
            <w:pPr>
              <w:spacing w:line="240" w:lineRule="auto"/>
              <w:jc w:val="both"/>
              <w:rPr>
                <w:rFonts w:cs="Calibri"/>
                <w:sz w:val="20"/>
                <w:szCs w:val="20"/>
                <w:lang w:val="en-GB"/>
              </w:rPr>
            </w:pPr>
            <w:r w:rsidRPr="00D30847">
              <w:rPr>
                <w:rFonts w:cs="Calibri"/>
                <w:sz w:val="20"/>
                <w:szCs w:val="20"/>
                <w:lang w:val="en-GB"/>
              </w:rPr>
              <w:t>The Central Harmonisation Unit provides methodological guidance and coordinates financial management and control and internal audit in the public sector. Its capacities remain insufficient for monitoring and reporting on the functioning of the overall internal control system of 1 380 public entities.</w:t>
            </w:r>
          </w:p>
        </w:tc>
      </w:tr>
    </w:tbl>
    <w:p w14:paraId="5C96C25A" w14:textId="77777777" w:rsidR="007733B2" w:rsidRPr="00D30847" w:rsidRDefault="007733B2"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Context/Background</w:t>
      </w:r>
    </w:p>
    <w:p w14:paraId="74C9A41D" w14:textId="77777777" w:rsidR="007F5630" w:rsidRPr="00D30847" w:rsidRDefault="007F5630" w:rsidP="008A2E35">
      <w:pPr>
        <w:spacing w:before="240" w:after="0" w:line="240" w:lineRule="auto"/>
        <w:jc w:val="both"/>
        <w:rPr>
          <w:rFonts w:eastAsia="MS PGothic" w:cs="Calibri"/>
          <w:lang w:val="en-GB" w:eastAsia="zh-CN"/>
        </w:rPr>
      </w:pPr>
      <w:r w:rsidRPr="00D30847">
        <w:rPr>
          <w:rFonts w:eastAsia="MS PGothic" w:cs="Calibri"/>
          <w:lang w:val="en-GB" w:eastAsia="zh-CN"/>
        </w:rPr>
        <w:t>Out of a total of 20 ministries, the internal audit units are not equipped in 8 ministries and this number includes 3 of 4 new ministries that were formed according to the Law on Amendments and Supplements to the Law on the Organization and Work of State Government Bodies (Official Journal of RNM, No. 121/2024).</w:t>
      </w:r>
    </w:p>
    <w:p w14:paraId="76A9E29E" w14:textId="77777777" w:rsidR="007F5630" w:rsidRPr="00D30847" w:rsidRDefault="007F5630" w:rsidP="008A2E35">
      <w:pPr>
        <w:spacing w:before="240" w:after="0" w:line="240" w:lineRule="auto"/>
        <w:jc w:val="both"/>
        <w:rPr>
          <w:rFonts w:eastAsia="MS PGothic" w:cs="Calibri"/>
          <w:lang w:val="en-GB" w:eastAsia="zh-CN"/>
        </w:rPr>
      </w:pPr>
      <w:r w:rsidRPr="00D30847">
        <w:rPr>
          <w:rFonts w:eastAsia="MS PGothic" w:cs="Calibri"/>
          <w:lang w:val="en-GB" w:eastAsia="zh-CN"/>
        </w:rPr>
        <w:t xml:space="preserve">Internal audit units in 5 ministries employee only one person each. </w:t>
      </w:r>
    </w:p>
    <w:p w14:paraId="6E67D1CA" w14:textId="77777777" w:rsidR="007F5630" w:rsidRPr="00D30847" w:rsidRDefault="007F5630" w:rsidP="008A2E35">
      <w:pPr>
        <w:spacing w:before="240" w:after="0" w:line="240" w:lineRule="auto"/>
        <w:jc w:val="both"/>
        <w:rPr>
          <w:rFonts w:eastAsia="MS PGothic" w:cs="Calibri"/>
          <w:lang w:val="en-GB" w:eastAsia="zh-CN"/>
        </w:rPr>
      </w:pPr>
      <w:r w:rsidRPr="00D30847">
        <w:rPr>
          <w:rFonts w:eastAsia="MS PGothic" w:cs="Calibri"/>
          <w:lang w:val="en-GB" w:eastAsia="zh-CN"/>
        </w:rPr>
        <w:t>Of the equipped internal audit units in 5 ministries, there are no heads of units, that is, in 13 of the total number of ministries.</w:t>
      </w:r>
    </w:p>
    <w:p w14:paraId="1FE81F1B" w14:textId="77777777" w:rsidR="007F5630" w:rsidRPr="00D30847" w:rsidRDefault="007F5630" w:rsidP="008A2E35">
      <w:pPr>
        <w:spacing w:before="240" w:after="0" w:line="240" w:lineRule="auto"/>
        <w:jc w:val="both"/>
        <w:rPr>
          <w:rFonts w:eastAsia="MS PGothic" w:cs="Calibri"/>
          <w:lang w:val="en-GB" w:eastAsia="zh-CN"/>
        </w:rPr>
      </w:pPr>
      <w:r w:rsidRPr="00D30847">
        <w:rPr>
          <w:rFonts w:eastAsia="MS PGothic" w:cs="Calibri"/>
          <w:lang w:val="en-GB" w:eastAsia="zh-CN"/>
        </w:rPr>
        <w:t>Internal audit units are organized as units in 13 ministries, as departments in 4 ministries, while for 3 out of 4 new ministries, has not been submitted information to the CHU about the manner of organization of the internal audit unit.</w:t>
      </w:r>
    </w:p>
    <w:p w14:paraId="26FE17DE" w14:textId="77777777" w:rsidR="007F5630" w:rsidRPr="00D30847" w:rsidRDefault="007F5630" w:rsidP="008A2E35">
      <w:pPr>
        <w:spacing w:before="240" w:after="0" w:line="240" w:lineRule="auto"/>
        <w:jc w:val="both"/>
        <w:rPr>
          <w:rFonts w:eastAsia="MS PGothic" w:cs="Calibri"/>
          <w:lang w:val="en-GB" w:eastAsia="zh-CN"/>
        </w:rPr>
      </w:pPr>
      <w:r w:rsidRPr="00D30847">
        <w:rPr>
          <w:rFonts w:eastAsia="MS PGothic" w:cs="Calibri"/>
          <w:lang w:val="en-GB" w:eastAsia="zh-CN"/>
        </w:rPr>
        <w:t>The lack of continuous professional development of internal auditors, in the future will be provided by the Public Finance Academy.</w:t>
      </w:r>
    </w:p>
    <w:p w14:paraId="331C0F7E" w14:textId="77777777" w:rsidR="008A2E35" w:rsidRPr="00D30847" w:rsidRDefault="007F5630" w:rsidP="008A2E35">
      <w:pPr>
        <w:spacing w:before="240" w:after="0" w:line="240" w:lineRule="auto"/>
        <w:jc w:val="both"/>
        <w:rPr>
          <w:rFonts w:eastAsia="MS PGothic" w:cs="Calibri"/>
          <w:lang w:val="en-GB" w:eastAsia="zh-CN"/>
        </w:rPr>
      </w:pPr>
      <w:r w:rsidRPr="00D30847">
        <w:rPr>
          <w:rFonts w:eastAsia="MS PGothic" w:cs="Calibri"/>
          <w:lang w:val="en-GB" w:eastAsia="zh-CN"/>
        </w:rPr>
        <w:t>In order to strengthen IA Units, it is required to conduct more agile quality checks of their work, for the purpose of which the Central Harmonization Unit will prepare adequate methodological tools and establish a web network for institutional cooperation and exchange of experience to be coordinated by CHU.</w:t>
      </w:r>
    </w:p>
    <w:p w14:paraId="611F8266" w14:textId="77777777" w:rsidR="008A2E35" w:rsidRPr="00D30847" w:rsidRDefault="007733B2" w:rsidP="008A2E35">
      <w:pPr>
        <w:spacing w:before="240" w:after="0" w:line="240" w:lineRule="auto"/>
        <w:jc w:val="both"/>
        <w:rPr>
          <w:rFonts w:eastAsia="MS PGothic" w:cs="Calibri"/>
          <w:lang w:val="en-GB" w:eastAsia="zh-CN"/>
        </w:rPr>
      </w:pPr>
      <w:r w:rsidRPr="00D30847">
        <w:rPr>
          <w:rFonts w:eastAsia="MS PGothic" w:cs="Calibri"/>
          <w:b/>
          <w:bCs/>
          <w:iCs/>
          <w:color w:val="0070C0"/>
          <w:lang w:val="en-GB" w:eastAsia="zh-CN"/>
        </w:rPr>
        <w:t>Activity</w:t>
      </w:r>
      <w:r w:rsidR="005E1791" w:rsidRPr="00D30847">
        <w:rPr>
          <w:rFonts w:eastAsia="MS PGothic" w:cs="Calibri"/>
          <w:b/>
          <w:bCs/>
          <w:iCs/>
          <w:color w:val="0070C0"/>
          <w:lang w:val="en-GB" w:eastAsia="zh-CN"/>
        </w:rPr>
        <w:t xml:space="preserve"> </w:t>
      </w:r>
      <w:r w:rsidRPr="00D30847">
        <w:rPr>
          <w:rFonts w:eastAsia="MS PGothic" w:cs="Calibri"/>
          <w:b/>
          <w:bCs/>
          <w:iCs/>
          <w:color w:val="0070C0"/>
          <w:lang w:val="en-GB" w:eastAsia="zh-CN"/>
        </w:rPr>
        <w:t>1:</w:t>
      </w:r>
      <w:r w:rsidR="00A70273" w:rsidRPr="00D30847">
        <w:rPr>
          <w:rFonts w:eastAsia="MS PGothic" w:cs="Calibri"/>
          <w:b/>
          <w:bCs/>
          <w:iCs/>
          <w:color w:val="0070C0"/>
          <w:lang w:val="en-GB" w:eastAsia="zh-CN"/>
        </w:rPr>
        <w:t xml:space="preserve"> </w:t>
      </w:r>
      <w:r w:rsidR="00A935E3" w:rsidRPr="00D30847">
        <w:rPr>
          <w:rFonts w:eastAsia="MS PGothic" w:cs="Calibri"/>
          <w:b/>
          <w:bCs/>
          <w:iCs/>
          <w:color w:val="0070C0"/>
          <w:lang w:val="en-GB" w:eastAsia="zh-CN"/>
        </w:rPr>
        <w:t>Improving of Human Resources capacities of Internal Audit Units in the Ministries through adequate staffing and Continuous Professional Development at the internal auditors</w:t>
      </w:r>
    </w:p>
    <w:p w14:paraId="1F186A0D" w14:textId="77777777" w:rsidR="008A2E35" w:rsidRPr="00D30847" w:rsidRDefault="00A935E3" w:rsidP="008A2E35">
      <w:pPr>
        <w:spacing w:before="240" w:after="0" w:line="240" w:lineRule="auto"/>
        <w:jc w:val="both"/>
        <w:rPr>
          <w:rFonts w:eastAsia="MS PGothic" w:cs="Calibri"/>
          <w:lang w:val="en-GB" w:eastAsia="zh-CN"/>
        </w:rPr>
      </w:pPr>
      <w:r w:rsidRPr="00D30847">
        <w:rPr>
          <w:rFonts w:eastAsia="MS PGothic" w:cs="Calibri"/>
          <w:lang w:val="en-GB" w:eastAsia="zh-CN"/>
        </w:rPr>
        <w:t>With this activity, it is necessary to ensure the gradual staffing/re-equipment of the internal audit units in the ministries.</w:t>
      </w:r>
    </w:p>
    <w:p w14:paraId="702189B3" w14:textId="77777777" w:rsidR="008A2E35" w:rsidRPr="00D30847" w:rsidRDefault="00A935E3" w:rsidP="008A2E35">
      <w:pPr>
        <w:spacing w:before="240" w:after="0" w:line="240" w:lineRule="auto"/>
        <w:jc w:val="both"/>
        <w:rPr>
          <w:rFonts w:eastAsia="MS PGothic" w:cs="Calibri"/>
          <w:lang w:val="en-GB" w:eastAsia="zh-CN"/>
        </w:rPr>
      </w:pPr>
      <w:r w:rsidRPr="00D30847">
        <w:rPr>
          <w:rFonts w:eastAsia="MS PGothic" w:cs="Calibri"/>
          <w:lang w:val="en-GB" w:eastAsia="zh-CN"/>
        </w:rPr>
        <w:t>CHU, through the Public Finance Academy, will provide training for internal auditors, and after the adoption of the draft Law on PIFC, it will start organizing an exam for the certification of internal auditors.</w:t>
      </w:r>
    </w:p>
    <w:p w14:paraId="4B1959CC" w14:textId="77777777" w:rsidR="008A2E35" w:rsidRPr="00D30847" w:rsidRDefault="007733B2" w:rsidP="008A2E35">
      <w:pPr>
        <w:spacing w:before="240" w:after="0" w:line="240" w:lineRule="auto"/>
        <w:jc w:val="both"/>
        <w:rPr>
          <w:rFonts w:eastAsia="MS PGothic" w:cs="Calibri"/>
          <w:lang w:val="en-GB" w:eastAsia="zh-CN"/>
        </w:rPr>
      </w:pPr>
      <w:r w:rsidRPr="00D30847">
        <w:rPr>
          <w:rFonts w:eastAsia="MS PGothic" w:cs="Calibri"/>
          <w:b/>
          <w:bCs/>
          <w:iCs/>
          <w:color w:val="0070C0"/>
          <w:lang w:val="en-GB" w:eastAsia="zh-CN"/>
        </w:rPr>
        <w:t xml:space="preserve">Activity </w:t>
      </w:r>
      <w:r w:rsidR="00A935E3" w:rsidRPr="00D30847">
        <w:rPr>
          <w:rFonts w:eastAsia="MS PGothic" w:cs="Calibri"/>
          <w:b/>
          <w:bCs/>
          <w:iCs/>
          <w:color w:val="0070C0"/>
          <w:lang w:val="en-GB" w:eastAsia="zh-CN"/>
        </w:rPr>
        <w:t>2</w:t>
      </w:r>
      <w:r w:rsidRPr="00D30847">
        <w:rPr>
          <w:rFonts w:eastAsia="MS PGothic" w:cs="Calibri"/>
          <w:b/>
          <w:bCs/>
          <w:iCs/>
          <w:color w:val="0070C0"/>
          <w:lang w:val="en-GB" w:eastAsia="zh-CN"/>
        </w:rPr>
        <w:t>:</w:t>
      </w:r>
      <w:r w:rsidR="00A70273" w:rsidRPr="00D30847">
        <w:rPr>
          <w:rFonts w:eastAsia="MS PGothic" w:cs="Calibri"/>
          <w:b/>
          <w:bCs/>
          <w:iCs/>
          <w:color w:val="0070C0"/>
          <w:lang w:val="en-GB" w:eastAsia="zh-CN"/>
        </w:rPr>
        <w:t xml:space="preserve"> </w:t>
      </w:r>
      <w:r w:rsidR="00A935E3" w:rsidRPr="00D30847">
        <w:rPr>
          <w:rFonts w:eastAsia="MS PGothic" w:cs="Calibri"/>
          <w:b/>
          <w:bCs/>
          <w:iCs/>
          <w:color w:val="0070C0"/>
          <w:lang w:val="en-GB" w:eastAsia="zh-CN"/>
        </w:rPr>
        <w:t>Strengthen the capacity of the CHU to monitor and report on the quality of operations of the internal audit units</w:t>
      </w:r>
    </w:p>
    <w:p w14:paraId="6B8174F4" w14:textId="77777777" w:rsidR="008A2E35" w:rsidRPr="00D30847" w:rsidRDefault="00A935E3" w:rsidP="008A2E35">
      <w:pPr>
        <w:spacing w:before="240" w:after="0" w:line="240" w:lineRule="auto"/>
        <w:jc w:val="both"/>
        <w:rPr>
          <w:rFonts w:eastAsia="MS PGothic" w:cs="Calibri"/>
          <w:lang w:val="en-GB" w:eastAsia="zh-CN"/>
        </w:rPr>
      </w:pPr>
      <w:r w:rsidRPr="00D30847">
        <w:rPr>
          <w:rFonts w:cs="Calibri"/>
          <w:lang w:val="en-GB"/>
        </w:rPr>
        <w:lastRenderedPageBreak/>
        <w:t>Capacity of CHU to check the quality of operations of the internal audit units will be strengthened by adequate staffing and training.</w:t>
      </w:r>
    </w:p>
    <w:p w14:paraId="53C9DD8F" w14:textId="0246A701" w:rsidR="00A935E3" w:rsidRPr="00D30847" w:rsidRDefault="00A935E3" w:rsidP="008A2E35">
      <w:pPr>
        <w:spacing w:before="240" w:after="0" w:line="240" w:lineRule="auto"/>
        <w:jc w:val="both"/>
        <w:rPr>
          <w:rFonts w:eastAsia="MS PGothic" w:cs="Calibri"/>
          <w:lang w:val="en-GB" w:eastAsia="zh-CN"/>
        </w:rPr>
      </w:pPr>
      <w:r w:rsidRPr="00D30847">
        <w:rPr>
          <w:rFonts w:cs="Calibri"/>
          <w:lang w:val="en-GB"/>
        </w:rPr>
        <w:t xml:space="preserve">Public Internal Financial Control, is a separate module in IFMIS, this will </w:t>
      </w:r>
      <w:r w:rsidR="00F3340A" w:rsidRPr="00D30847">
        <w:rPr>
          <w:rFonts w:cs="Calibri"/>
          <w:lang w:val="en-GB"/>
        </w:rPr>
        <w:t>provide</w:t>
      </w:r>
      <w:r w:rsidRPr="00D30847">
        <w:rPr>
          <w:rFonts w:cs="Calibri"/>
          <w:lang w:val="en-GB"/>
        </w:rPr>
        <w:t xml:space="preserve"> comprehensiveness and accuracy in the reporting by the parent budget users, budget users and publicly owned enterprises will be ensured. This activity will be in generally contribute to raising awareness for internal audit and strengthening </w:t>
      </w:r>
      <w:r w:rsidR="00F3340A" w:rsidRPr="00D30847">
        <w:rPr>
          <w:rFonts w:cs="Calibri"/>
          <w:lang w:val="en-GB"/>
        </w:rPr>
        <w:t>managerial</w:t>
      </w:r>
      <w:r w:rsidRPr="00D30847">
        <w:rPr>
          <w:rFonts w:cs="Calibri"/>
          <w:lang w:val="en-GB"/>
        </w:rPr>
        <w:t xml:space="preserve"> accountability.</w:t>
      </w:r>
    </w:p>
    <w:p w14:paraId="02459104" w14:textId="42C86990" w:rsidR="007733B2" w:rsidRPr="00D30847" w:rsidRDefault="007733B2" w:rsidP="00E84CD0">
      <w:pPr>
        <w:keepNext/>
        <w:keepLines/>
        <w:spacing w:before="160" w:after="60" w:line="240" w:lineRule="auto"/>
        <w:jc w:val="both"/>
        <w:outlineLvl w:val="3"/>
        <w:rPr>
          <w:rFonts w:eastAsia="MS PGothic" w:cs="Calibri"/>
          <w:b/>
          <w:bCs/>
          <w:iCs/>
          <w:color w:val="0070C0"/>
          <w:lang w:val="en-GB" w:eastAsia="zh-CN"/>
        </w:rPr>
      </w:pPr>
      <w:r w:rsidRPr="00D30847">
        <w:rPr>
          <w:rFonts w:eastAsia="MS PGothic" w:cs="Calibri"/>
          <w:b/>
          <w:bCs/>
          <w:iCs/>
          <w:color w:val="0070C0"/>
          <w:lang w:val="en-GB" w:eastAsia="zh-CN"/>
        </w:rPr>
        <w:t xml:space="preserve">Activity </w:t>
      </w:r>
      <w:r w:rsidR="00A935E3" w:rsidRPr="00D30847">
        <w:rPr>
          <w:rFonts w:eastAsia="MS PGothic" w:cs="Calibri"/>
          <w:b/>
          <w:bCs/>
          <w:iCs/>
          <w:color w:val="0070C0"/>
          <w:lang w:val="en-GB" w:eastAsia="zh-CN"/>
        </w:rPr>
        <w:t>3</w:t>
      </w:r>
      <w:r w:rsidRPr="00D30847">
        <w:rPr>
          <w:rFonts w:eastAsia="MS PGothic" w:cs="Calibri"/>
          <w:b/>
          <w:bCs/>
          <w:iCs/>
          <w:color w:val="0070C0"/>
          <w:lang w:val="en-GB" w:eastAsia="zh-CN"/>
        </w:rPr>
        <w:t>:</w:t>
      </w:r>
      <w:r w:rsidR="00A70273" w:rsidRPr="00D30847">
        <w:rPr>
          <w:rFonts w:eastAsia="MS PGothic" w:cs="Calibri"/>
          <w:b/>
          <w:bCs/>
          <w:iCs/>
          <w:color w:val="0070C0"/>
          <w:lang w:val="en-GB" w:eastAsia="zh-CN"/>
        </w:rPr>
        <w:t xml:space="preserve"> </w:t>
      </w:r>
      <w:r w:rsidRPr="00D30847">
        <w:rPr>
          <w:rFonts w:eastAsia="MS PGothic" w:cs="Calibri"/>
          <w:b/>
          <w:bCs/>
          <w:iCs/>
          <w:color w:val="0070C0"/>
          <w:lang w:val="en-GB" w:eastAsia="zh-CN"/>
        </w:rPr>
        <w:t xml:space="preserve">Establishment of a network of institutions internal audit units in coordination with the CHU, for exchange of experience and best practices </w:t>
      </w:r>
    </w:p>
    <w:p w14:paraId="41D906AB" w14:textId="77777777" w:rsidR="007733B2" w:rsidRPr="00D30847" w:rsidRDefault="007733B2" w:rsidP="00E84CD0">
      <w:pPr>
        <w:spacing w:before="80" w:after="80" w:line="240" w:lineRule="auto"/>
        <w:jc w:val="both"/>
        <w:rPr>
          <w:rFonts w:eastAsia="MS PGothic" w:cs="Calibri"/>
          <w:lang w:val="en-GB" w:eastAsia="zh-CN"/>
        </w:rPr>
      </w:pPr>
      <w:r w:rsidRPr="00D30847">
        <w:rPr>
          <w:rFonts w:eastAsia="Times New Roman" w:cs="Calibri"/>
          <w:color w:val="202124"/>
          <w:lang w:val="en-GB"/>
        </w:rPr>
        <w:t>Under this activity, IA units will be provided access to the newly established web platform “Network of Institutions’ Financial Affairs Units” in coordination with the CHU in order to ensure cooperation and exchange of experience.</w:t>
      </w:r>
    </w:p>
    <w:p w14:paraId="3DE19B26" w14:textId="77777777" w:rsidR="007733B2" w:rsidRPr="00D30847" w:rsidRDefault="007733B2"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7733B2" w:rsidRPr="00D30847" w14:paraId="59071D2A" w14:textId="77777777" w:rsidTr="003A2F75">
        <w:tc>
          <w:tcPr>
            <w:tcW w:w="2518" w:type="dxa"/>
            <w:tcBorders>
              <w:top w:val="nil"/>
              <w:bottom w:val="single" w:sz="4" w:space="0" w:color="FFFFFF"/>
            </w:tcBorders>
            <w:shd w:val="clear" w:color="auto" w:fill="002060"/>
          </w:tcPr>
          <w:p w14:paraId="1309E729" w14:textId="77777777" w:rsidR="007733B2" w:rsidRPr="00D30847" w:rsidRDefault="007733B2" w:rsidP="00E84CD0">
            <w:pPr>
              <w:tabs>
                <w:tab w:val="left" w:pos="1526"/>
              </w:tabs>
              <w:spacing w:after="0" w:line="240" w:lineRule="auto"/>
              <w:jc w:val="both"/>
              <w:rPr>
                <w:rFonts w:cs="Calibri"/>
                <w:color w:val="FFFFFF"/>
                <w:sz w:val="20"/>
                <w:szCs w:val="20"/>
                <w:lang w:val="en-GB"/>
              </w:rPr>
            </w:pPr>
            <w:r w:rsidRPr="00D30847">
              <w:rPr>
                <w:rFonts w:cs="Calibri"/>
                <w:b/>
                <w:color w:val="FFFFFF"/>
                <w:sz w:val="20"/>
                <w:szCs w:val="20"/>
                <w:lang w:val="en-GB"/>
              </w:rPr>
              <w:t>Completed in year:</w:t>
            </w:r>
            <w:r w:rsidRPr="00D30847">
              <w:rPr>
                <w:rFonts w:cs="Calibri"/>
                <w:color w:val="FFFFFF"/>
                <w:sz w:val="20"/>
                <w:szCs w:val="20"/>
                <w:lang w:val="en-GB"/>
              </w:rPr>
              <w:tab/>
            </w:r>
          </w:p>
        </w:tc>
        <w:tc>
          <w:tcPr>
            <w:tcW w:w="6246" w:type="dxa"/>
            <w:tcBorders>
              <w:top w:val="nil"/>
              <w:bottom w:val="single" w:sz="4" w:space="0" w:color="FFFFFF"/>
            </w:tcBorders>
            <w:shd w:val="clear" w:color="auto" w:fill="D9E2F3"/>
          </w:tcPr>
          <w:p w14:paraId="7DF5C803" w14:textId="07E26E6A" w:rsidR="007733B2" w:rsidRPr="00D30847" w:rsidRDefault="005E1791" w:rsidP="005E1791">
            <w:pPr>
              <w:spacing w:after="0" w:line="240" w:lineRule="auto"/>
              <w:jc w:val="both"/>
              <w:rPr>
                <w:rFonts w:cs="Calibri"/>
                <w:sz w:val="20"/>
                <w:szCs w:val="20"/>
                <w:lang w:val="en-GB"/>
              </w:rPr>
            </w:pPr>
            <w:r w:rsidRPr="00D30847">
              <w:rPr>
                <w:rFonts w:cs="Calibri"/>
                <w:sz w:val="20"/>
                <w:szCs w:val="20"/>
                <w:lang w:val="en-GB"/>
              </w:rPr>
              <w:t xml:space="preserve">- </w:t>
            </w:r>
            <w:r w:rsidR="007733B2" w:rsidRPr="00D30847">
              <w:rPr>
                <w:rFonts w:cs="Calibri"/>
                <w:sz w:val="20"/>
                <w:szCs w:val="20"/>
                <w:lang w:val="en-GB"/>
              </w:rPr>
              <w:t>202</w:t>
            </w:r>
            <w:r w:rsidR="007F5630" w:rsidRPr="00D30847">
              <w:rPr>
                <w:rFonts w:cs="Calibri"/>
                <w:sz w:val="20"/>
                <w:szCs w:val="20"/>
                <w:lang w:val="en-GB"/>
              </w:rPr>
              <w:t>8</w:t>
            </w:r>
          </w:p>
        </w:tc>
      </w:tr>
      <w:tr w:rsidR="007733B2" w:rsidRPr="00D30847" w14:paraId="475EBEB5" w14:textId="77777777" w:rsidTr="003A2F75">
        <w:tc>
          <w:tcPr>
            <w:tcW w:w="2518" w:type="dxa"/>
            <w:tcBorders>
              <w:top w:val="single" w:sz="4" w:space="0" w:color="FFFFFF"/>
              <w:bottom w:val="single" w:sz="4" w:space="0" w:color="FFFFFF"/>
            </w:tcBorders>
            <w:shd w:val="clear" w:color="auto" w:fill="002060"/>
          </w:tcPr>
          <w:p w14:paraId="00F6BAB0" w14:textId="77777777" w:rsidR="007733B2" w:rsidRPr="00D30847" w:rsidRDefault="007733B2" w:rsidP="00E84CD0">
            <w:pPr>
              <w:tabs>
                <w:tab w:val="left" w:pos="4219"/>
              </w:tabs>
              <w:spacing w:after="0" w:line="240" w:lineRule="auto"/>
              <w:jc w:val="both"/>
              <w:rPr>
                <w:rFonts w:cs="Calibri"/>
                <w:color w:val="FFFFFF"/>
                <w:sz w:val="20"/>
                <w:szCs w:val="20"/>
                <w:lang w:val="en-GB"/>
              </w:rPr>
            </w:pPr>
            <w:r w:rsidRPr="00D30847">
              <w:rPr>
                <w:rFonts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1464B108" w14:textId="0B8AB38E" w:rsidR="00A935E3" w:rsidRPr="00D30847" w:rsidRDefault="005E1791" w:rsidP="005E1791">
            <w:pPr>
              <w:tabs>
                <w:tab w:val="left" w:pos="183"/>
              </w:tabs>
              <w:spacing w:after="0" w:line="240" w:lineRule="auto"/>
              <w:jc w:val="both"/>
              <w:rPr>
                <w:rFonts w:eastAsia="MS PGothic" w:cs="Calibri"/>
                <w:sz w:val="20"/>
                <w:szCs w:val="20"/>
                <w:lang w:val="en-GB" w:eastAsia="zh-CN"/>
              </w:rPr>
            </w:pPr>
            <w:r w:rsidRPr="00D30847">
              <w:rPr>
                <w:rFonts w:eastAsia="MS PGothic" w:cs="Calibri"/>
                <w:sz w:val="20"/>
                <w:szCs w:val="20"/>
                <w:lang w:val="en-GB" w:eastAsia="zh-CN"/>
              </w:rPr>
              <w:t xml:space="preserve">- </w:t>
            </w:r>
            <w:r w:rsidR="00A935E3" w:rsidRPr="00D30847">
              <w:rPr>
                <w:rFonts w:eastAsia="MS PGothic" w:cs="Calibri"/>
                <w:sz w:val="20"/>
                <w:szCs w:val="20"/>
                <w:lang w:val="en-GB" w:eastAsia="zh-CN"/>
              </w:rPr>
              <w:t>Organized trainings for internal auditors</w:t>
            </w:r>
          </w:p>
          <w:p w14:paraId="75E83122" w14:textId="51AE7FDE" w:rsidR="00A935E3" w:rsidRPr="00D30847" w:rsidRDefault="005E1791" w:rsidP="005E1791">
            <w:pPr>
              <w:tabs>
                <w:tab w:val="left" w:pos="183"/>
              </w:tabs>
              <w:spacing w:after="0" w:line="240" w:lineRule="auto"/>
              <w:jc w:val="both"/>
              <w:rPr>
                <w:rFonts w:eastAsia="MS PGothic" w:cs="Calibri"/>
                <w:sz w:val="20"/>
                <w:szCs w:val="20"/>
                <w:lang w:val="en-GB" w:eastAsia="zh-CN"/>
              </w:rPr>
            </w:pPr>
            <w:r w:rsidRPr="00D30847">
              <w:rPr>
                <w:rFonts w:eastAsia="MS PGothic" w:cs="Calibri"/>
                <w:sz w:val="20"/>
                <w:szCs w:val="20"/>
                <w:lang w:val="en-GB" w:eastAsia="zh-CN"/>
              </w:rPr>
              <w:t xml:space="preserve">- </w:t>
            </w:r>
            <w:r w:rsidR="00A935E3" w:rsidRPr="00D30847">
              <w:rPr>
                <w:rFonts w:eastAsia="MS PGothic" w:cs="Calibri"/>
                <w:sz w:val="20"/>
                <w:szCs w:val="20"/>
                <w:lang w:val="en-GB" w:eastAsia="zh-CN"/>
              </w:rPr>
              <w:t>Organized certification of internal auditors.</w:t>
            </w:r>
          </w:p>
          <w:p w14:paraId="39E95496" w14:textId="0C4C90BD" w:rsidR="007733B2" w:rsidRPr="00D30847" w:rsidRDefault="005E1791" w:rsidP="005E1791">
            <w:pPr>
              <w:tabs>
                <w:tab w:val="left" w:pos="183"/>
              </w:tabs>
              <w:spacing w:after="0" w:line="240" w:lineRule="auto"/>
              <w:jc w:val="both"/>
              <w:rPr>
                <w:rFonts w:cs="Calibri"/>
                <w:sz w:val="20"/>
                <w:szCs w:val="20"/>
                <w:lang w:val="en-GB"/>
              </w:rPr>
            </w:pPr>
            <w:r w:rsidRPr="00D30847">
              <w:rPr>
                <w:rFonts w:eastAsia="MS PGothic" w:cs="Calibri"/>
                <w:sz w:val="20"/>
                <w:szCs w:val="20"/>
                <w:lang w:val="en-GB" w:eastAsia="zh-CN"/>
              </w:rPr>
              <w:t xml:space="preserve">- </w:t>
            </w:r>
            <w:r w:rsidR="007733B2" w:rsidRPr="00D30847">
              <w:rPr>
                <w:rFonts w:eastAsia="MS PGothic" w:cs="Calibri"/>
                <w:sz w:val="20"/>
                <w:szCs w:val="20"/>
                <w:lang w:val="en-GB" w:eastAsia="zh-CN"/>
              </w:rPr>
              <w:t>Strengthen CHU capacities;</w:t>
            </w:r>
          </w:p>
        </w:tc>
      </w:tr>
      <w:tr w:rsidR="007733B2" w:rsidRPr="00D30847" w14:paraId="3625B7EA" w14:textId="77777777" w:rsidTr="003A2F75">
        <w:tc>
          <w:tcPr>
            <w:tcW w:w="2518" w:type="dxa"/>
            <w:tcBorders>
              <w:top w:val="single" w:sz="4" w:space="0" w:color="FFFFFF"/>
              <w:bottom w:val="single" w:sz="4" w:space="0" w:color="FFFFFF"/>
            </w:tcBorders>
            <w:shd w:val="clear" w:color="auto" w:fill="002060"/>
          </w:tcPr>
          <w:p w14:paraId="18C6F2C8" w14:textId="3C038B48" w:rsidR="007733B2" w:rsidRPr="00D30847" w:rsidRDefault="007733B2"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Cost implications:</w:t>
            </w:r>
          </w:p>
        </w:tc>
        <w:tc>
          <w:tcPr>
            <w:tcW w:w="6246" w:type="dxa"/>
            <w:tcBorders>
              <w:top w:val="single" w:sz="4" w:space="0" w:color="FFFFFF"/>
              <w:bottom w:val="single" w:sz="4" w:space="0" w:color="FFFFFF"/>
            </w:tcBorders>
            <w:shd w:val="clear" w:color="auto" w:fill="D9E2F3"/>
          </w:tcPr>
          <w:p w14:paraId="235CB202" w14:textId="14B284B8" w:rsidR="007733B2" w:rsidRPr="00D30847" w:rsidRDefault="005E1791" w:rsidP="005E1791">
            <w:pPr>
              <w:tabs>
                <w:tab w:val="left" w:pos="183"/>
              </w:tabs>
              <w:spacing w:after="0" w:line="240" w:lineRule="auto"/>
              <w:jc w:val="both"/>
              <w:rPr>
                <w:rFonts w:cs="Calibri"/>
                <w:sz w:val="20"/>
                <w:szCs w:val="20"/>
                <w:lang w:val="en-GB"/>
              </w:rPr>
            </w:pPr>
            <w:r w:rsidRPr="00D30847">
              <w:rPr>
                <w:rFonts w:cs="Calibri"/>
                <w:sz w:val="20"/>
                <w:szCs w:val="20"/>
                <w:lang w:val="en-GB"/>
              </w:rPr>
              <w:t xml:space="preserve">- </w:t>
            </w:r>
            <w:r w:rsidR="007733B2" w:rsidRPr="00D30847">
              <w:rPr>
                <w:rFonts w:cs="Calibri"/>
                <w:sz w:val="20"/>
                <w:szCs w:val="20"/>
                <w:lang w:val="en-GB"/>
              </w:rPr>
              <w:t xml:space="preserve">EUR </w:t>
            </w:r>
            <w:r w:rsidR="00542194" w:rsidRPr="00D30847">
              <w:rPr>
                <w:rFonts w:cs="Calibri"/>
                <w:sz w:val="20"/>
                <w:szCs w:val="20"/>
                <w:lang w:val="en-GB"/>
              </w:rPr>
              <w:t>1</w:t>
            </w:r>
            <w:r w:rsidR="007F5630" w:rsidRPr="00D30847">
              <w:rPr>
                <w:rFonts w:cs="Calibri"/>
                <w:sz w:val="20"/>
                <w:szCs w:val="20"/>
                <w:lang w:val="en-GB"/>
              </w:rPr>
              <w:t>1</w:t>
            </w:r>
            <w:r w:rsidR="005F5A8A" w:rsidRPr="00D30847">
              <w:rPr>
                <w:rFonts w:cs="Calibri"/>
                <w:sz w:val="20"/>
                <w:szCs w:val="20"/>
                <w:lang w:val="en-GB"/>
              </w:rPr>
              <w:t>6</w:t>
            </w:r>
            <w:r w:rsidR="00542194" w:rsidRPr="00D30847">
              <w:rPr>
                <w:rFonts w:cs="Calibri"/>
                <w:sz w:val="20"/>
                <w:szCs w:val="20"/>
                <w:lang w:val="en-GB"/>
              </w:rPr>
              <w:t>,000</w:t>
            </w:r>
          </w:p>
        </w:tc>
      </w:tr>
      <w:tr w:rsidR="007733B2" w:rsidRPr="00D30847" w14:paraId="664B83B8" w14:textId="77777777" w:rsidTr="003A2F75">
        <w:tc>
          <w:tcPr>
            <w:tcW w:w="2518" w:type="dxa"/>
            <w:tcBorders>
              <w:top w:val="single" w:sz="4" w:space="0" w:color="FFFFFF"/>
              <w:bottom w:val="single" w:sz="4" w:space="0" w:color="FFFFFF"/>
            </w:tcBorders>
            <w:shd w:val="clear" w:color="auto" w:fill="002060"/>
          </w:tcPr>
          <w:p w14:paraId="600D66E5" w14:textId="77777777" w:rsidR="007733B2" w:rsidRPr="00D30847" w:rsidRDefault="007733B2"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Responsible entity:</w:t>
            </w:r>
          </w:p>
        </w:tc>
        <w:tc>
          <w:tcPr>
            <w:tcW w:w="6246" w:type="dxa"/>
            <w:tcBorders>
              <w:top w:val="single" w:sz="4" w:space="0" w:color="FFFFFF"/>
              <w:bottom w:val="single" w:sz="4" w:space="0" w:color="FFFFFF"/>
            </w:tcBorders>
            <w:shd w:val="clear" w:color="auto" w:fill="D9E2F3"/>
          </w:tcPr>
          <w:p w14:paraId="7D3145B1" w14:textId="494F629F" w:rsidR="007733B2" w:rsidRPr="00D30847" w:rsidRDefault="005E1791" w:rsidP="005E1791">
            <w:pPr>
              <w:tabs>
                <w:tab w:val="left" w:pos="183"/>
              </w:tabs>
              <w:spacing w:after="0" w:line="240" w:lineRule="auto"/>
              <w:jc w:val="both"/>
              <w:rPr>
                <w:rFonts w:cs="Calibri"/>
                <w:sz w:val="20"/>
                <w:szCs w:val="20"/>
                <w:lang w:val="en-GB"/>
              </w:rPr>
            </w:pPr>
            <w:r w:rsidRPr="00D30847">
              <w:rPr>
                <w:rFonts w:eastAsia="MS PGothic" w:cs="Calibri"/>
                <w:sz w:val="20"/>
                <w:szCs w:val="20"/>
                <w:lang w:val="en-GB" w:eastAsia="zh-CN"/>
              </w:rPr>
              <w:t xml:space="preserve">- </w:t>
            </w:r>
            <w:r w:rsidR="007733B2" w:rsidRPr="00D30847">
              <w:rPr>
                <w:rFonts w:eastAsia="MS PGothic" w:cs="Calibri"/>
                <w:sz w:val="20"/>
                <w:szCs w:val="20"/>
                <w:lang w:val="en-GB" w:eastAsia="zh-CN"/>
              </w:rPr>
              <w:t>Ministry of Finance - Central Harmonization Unit</w:t>
            </w:r>
          </w:p>
        </w:tc>
      </w:tr>
      <w:tr w:rsidR="007733B2" w:rsidRPr="00D30847" w14:paraId="0413DC8C" w14:textId="77777777" w:rsidTr="003A2F75">
        <w:tc>
          <w:tcPr>
            <w:tcW w:w="2518" w:type="dxa"/>
            <w:tcBorders>
              <w:top w:val="single" w:sz="4" w:space="0" w:color="FFFFFF"/>
              <w:bottom w:val="nil"/>
            </w:tcBorders>
            <w:shd w:val="clear" w:color="auto" w:fill="002060"/>
          </w:tcPr>
          <w:p w14:paraId="7A0923C0" w14:textId="77777777" w:rsidR="007733B2" w:rsidRPr="00D30847" w:rsidRDefault="007733B2"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Risk:</w:t>
            </w:r>
          </w:p>
        </w:tc>
        <w:tc>
          <w:tcPr>
            <w:tcW w:w="6246" w:type="dxa"/>
            <w:tcBorders>
              <w:top w:val="single" w:sz="4" w:space="0" w:color="FFFFFF"/>
              <w:bottom w:val="nil"/>
            </w:tcBorders>
            <w:shd w:val="clear" w:color="auto" w:fill="D9E2F3"/>
          </w:tcPr>
          <w:p w14:paraId="4BAD6AE5" w14:textId="2A167A4B" w:rsidR="007733B2" w:rsidRPr="00D30847" w:rsidRDefault="005E1791" w:rsidP="005E1791">
            <w:pPr>
              <w:tabs>
                <w:tab w:val="left" w:pos="183"/>
                <w:tab w:val="left" w:pos="453"/>
              </w:tabs>
              <w:spacing w:after="0" w:line="240" w:lineRule="auto"/>
              <w:jc w:val="both"/>
              <w:rPr>
                <w:rFonts w:cs="Calibri"/>
                <w:sz w:val="20"/>
                <w:szCs w:val="20"/>
                <w:lang w:val="en-GB"/>
              </w:rPr>
            </w:pPr>
            <w:r w:rsidRPr="00D30847">
              <w:rPr>
                <w:rFonts w:eastAsia="MS PGothic" w:cs="Calibri"/>
                <w:sz w:val="20"/>
                <w:szCs w:val="20"/>
                <w:lang w:val="en-GB" w:eastAsia="zh-CN"/>
              </w:rPr>
              <w:t xml:space="preserve">- </w:t>
            </w:r>
            <w:r w:rsidR="007733B2" w:rsidRPr="00D30847">
              <w:rPr>
                <w:rFonts w:eastAsia="MS PGothic" w:cs="Calibri"/>
                <w:sz w:val="20"/>
                <w:szCs w:val="20"/>
                <w:lang w:val="en-GB" w:eastAsia="zh-CN"/>
              </w:rPr>
              <w:t xml:space="preserve">Lack of internal auditors on the </w:t>
            </w:r>
            <w:proofErr w:type="spellStart"/>
            <w:r w:rsidR="007733B2" w:rsidRPr="00D30847">
              <w:rPr>
                <w:rFonts w:eastAsia="MS PGothic" w:cs="Calibri"/>
                <w:sz w:val="20"/>
                <w:szCs w:val="20"/>
                <w:lang w:val="en-GB" w:eastAsia="zh-CN"/>
              </w:rPr>
              <w:t>labor</w:t>
            </w:r>
            <w:proofErr w:type="spellEnd"/>
            <w:r w:rsidR="007733B2" w:rsidRPr="00D30847">
              <w:rPr>
                <w:rFonts w:eastAsia="MS PGothic" w:cs="Calibri"/>
                <w:sz w:val="20"/>
                <w:szCs w:val="20"/>
                <w:lang w:val="en-GB" w:eastAsia="zh-CN"/>
              </w:rPr>
              <w:t xml:space="preserve"> market;</w:t>
            </w:r>
          </w:p>
          <w:p w14:paraId="56EAADA1" w14:textId="12F32E6C" w:rsidR="007733B2" w:rsidRPr="00D30847" w:rsidRDefault="005E1791" w:rsidP="005E1791">
            <w:pPr>
              <w:tabs>
                <w:tab w:val="left" w:pos="183"/>
              </w:tabs>
              <w:spacing w:after="0" w:line="240" w:lineRule="auto"/>
              <w:jc w:val="both"/>
              <w:rPr>
                <w:rFonts w:cs="Calibri"/>
                <w:sz w:val="20"/>
                <w:szCs w:val="20"/>
                <w:lang w:val="en-GB"/>
              </w:rPr>
            </w:pPr>
            <w:r w:rsidRPr="00D30847">
              <w:rPr>
                <w:rFonts w:eastAsia="MS PGothic" w:cs="Calibri"/>
                <w:sz w:val="20"/>
                <w:szCs w:val="20"/>
                <w:lang w:val="en-GB" w:eastAsia="zh-CN"/>
              </w:rPr>
              <w:t xml:space="preserve">- </w:t>
            </w:r>
            <w:r w:rsidR="007733B2" w:rsidRPr="00D30847">
              <w:rPr>
                <w:rFonts w:eastAsia="MS PGothic" w:cs="Calibri"/>
                <w:sz w:val="20"/>
                <w:szCs w:val="20"/>
                <w:lang w:val="en-GB" w:eastAsia="zh-CN"/>
              </w:rPr>
              <w:t>Insufficient IT technical support for web platform.</w:t>
            </w:r>
          </w:p>
        </w:tc>
      </w:tr>
    </w:tbl>
    <w:p w14:paraId="09009F49" w14:textId="77777777" w:rsidR="007733B2" w:rsidRPr="00D30847" w:rsidRDefault="007733B2" w:rsidP="00E84CD0">
      <w:pPr>
        <w:spacing w:after="0" w:line="240" w:lineRule="auto"/>
        <w:ind w:firstLine="720"/>
        <w:jc w:val="both"/>
        <w:rPr>
          <w:rFonts w:eastAsia="MS PGothic" w:cs="Calibri"/>
          <w:color w:val="FF0000"/>
          <w:lang w:val="en-GB" w:eastAsia="zh-CN"/>
        </w:rPr>
      </w:pPr>
    </w:p>
    <w:p w14:paraId="77EB5E60" w14:textId="15062043" w:rsidR="007733B2" w:rsidRPr="00D30847" w:rsidRDefault="007733B2" w:rsidP="00E84CD0">
      <w:pPr>
        <w:spacing w:line="240" w:lineRule="auto"/>
        <w:jc w:val="both"/>
        <w:rPr>
          <w:rFonts w:eastAsia="MS PGothic" w:cs="Calibri"/>
          <w:b/>
          <w:bCs/>
          <w:i/>
          <w:iCs/>
          <w:color w:val="0070C0"/>
          <w:sz w:val="24"/>
          <w:szCs w:val="24"/>
          <w:lang w:val="en-GB" w:eastAsia="zh-CN"/>
        </w:rPr>
      </w:pPr>
      <w:r w:rsidRPr="00D30847">
        <w:rPr>
          <w:rFonts w:cs="Calibri"/>
          <w:b/>
          <w:color w:val="0070C0"/>
          <w:sz w:val="24"/>
          <w:szCs w:val="24"/>
          <w:lang w:val="en-GB"/>
        </w:rPr>
        <w:t>Measure 2:</w:t>
      </w:r>
      <w:r w:rsidR="00A70273" w:rsidRPr="00D30847">
        <w:rPr>
          <w:rFonts w:cs="Calibri"/>
          <w:b/>
          <w:color w:val="0070C0"/>
          <w:sz w:val="24"/>
          <w:szCs w:val="24"/>
          <w:lang w:val="en-GB"/>
        </w:rPr>
        <w:t xml:space="preserve"> </w:t>
      </w:r>
      <w:r w:rsidR="00A935E3" w:rsidRPr="00D30847">
        <w:rPr>
          <w:rFonts w:cs="Calibri"/>
          <w:b/>
          <w:color w:val="0070C0"/>
          <w:sz w:val="24"/>
          <w:szCs w:val="24"/>
          <w:lang w:val="en-GB"/>
        </w:rPr>
        <w:t>Improving the abilities to carry out performance and IT internal audits in the public sector institutions</w:t>
      </w:r>
      <w:r w:rsidRPr="00D30847">
        <w:rPr>
          <w:rFonts w:eastAsia="MS PGothic" w:cs="Calibri"/>
          <w:b/>
          <w:bCs/>
          <w:i/>
          <w:iCs/>
          <w:color w:val="0070C0"/>
          <w:sz w:val="24"/>
          <w:szCs w:val="24"/>
          <w:lang w:val="en-GB" w:eastAsia="zh-CN"/>
        </w:rPr>
        <w:tab/>
      </w:r>
    </w:p>
    <w:p w14:paraId="1B90852F" w14:textId="77777777" w:rsidR="007733B2" w:rsidRPr="00D30847" w:rsidRDefault="007733B2"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12521CBE" w14:textId="77777777" w:rsidR="007733B2" w:rsidRPr="00D30847" w:rsidRDefault="007733B2" w:rsidP="00E84CD0">
      <w:pPr>
        <w:spacing w:line="240" w:lineRule="auto"/>
        <w:jc w:val="both"/>
        <w:rPr>
          <w:rFonts w:cs="Calibri"/>
          <w:lang w:val="en-GB"/>
        </w:rPr>
      </w:pPr>
      <w:r w:rsidRPr="00D30847">
        <w:rPr>
          <w:rFonts w:cs="Calibri"/>
          <w:lang w:val="en-GB"/>
        </w:rPr>
        <w:t>Increasing the number of conducted performance audits and IT audits which will contribute to improving the work of central-level institutions.</w:t>
      </w:r>
    </w:p>
    <w:p w14:paraId="73254F21" w14:textId="77777777" w:rsidR="007733B2" w:rsidRPr="00D30847" w:rsidRDefault="007733B2"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Reference to findings from external assessments:</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40"/>
        <w:gridCol w:w="7407"/>
      </w:tblGrid>
      <w:tr w:rsidR="007733B2" w:rsidRPr="00D30847" w14:paraId="3DFBEAFF" w14:textId="77777777" w:rsidTr="008E06E4">
        <w:tc>
          <w:tcPr>
            <w:tcW w:w="1240" w:type="dxa"/>
            <w:shd w:val="clear" w:color="auto" w:fill="DDDDDD"/>
          </w:tcPr>
          <w:p w14:paraId="7959A856" w14:textId="77777777" w:rsidR="007733B2" w:rsidRPr="00D30847" w:rsidRDefault="007733B2" w:rsidP="00E84CD0">
            <w:pPr>
              <w:spacing w:before="80" w:after="0" w:line="240" w:lineRule="auto"/>
              <w:jc w:val="both"/>
              <w:rPr>
                <w:rFonts w:cs="Calibri"/>
                <w:b/>
                <w:sz w:val="20"/>
                <w:szCs w:val="20"/>
                <w:lang w:val="en-GB"/>
              </w:rPr>
            </w:pPr>
            <w:r w:rsidRPr="00D30847">
              <w:rPr>
                <w:rFonts w:cs="Calibri"/>
                <w:b/>
                <w:sz w:val="20"/>
                <w:szCs w:val="20"/>
                <w:lang w:val="en-GB"/>
              </w:rPr>
              <w:t>PEFA</w:t>
            </w:r>
          </w:p>
          <w:p w14:paraId="7F9BD51D" w14:textId="77777777" w:rsidR="007733B2" w:rsidRPr="00D30847" w:rsidRDefault="007733B2" w:rsidP="00E84CD0">
            <w:pPr>
              <w:spacing w:before="80" w:after="0" w:line="240" w:lineRule="auto"/>
              <w:jc w:val="both"/>
              <w:rPr>
                <w:rFonts w:cs="Calibri"/>
                <w:sz w:val="20"/>
                <w:szCs w:val="20"/>
                <w:lang w:val="en-GB"/>
              </w:rPr>
            </w:pPr>
            <w:r w:rsidRPr="00D30847">
              <w:rPr>
                <w:rFonts w:cs="Calibri"/>
                <w:b/>
                <w:sz w:val="20"/>
                <w:szCs w:val="20"/>
                <w:lang w:val="en-GB"/>
              </w:rPr>
              <w:t>2021</w:t>
            </w:r>
          </w:p>
        </w:tc>
        <w:tc>
          <w:tcPr>
            <w:tcW w:w="7407" w:type="dxa"/>
            <w:shd w:val="clear" w:color="auto" w:fill="DDDDDD"/>
          </w:tcPr>
          <w:p w14:paraId="184BACB4" w14:textId="6BBBB162" w:rsidR="007733B2" w:rsidRPr="00D30847" w:rsidRDefault="007733B2" w:rsidP="00E84CD0">
            <w:pPr>
              <w:spacing w:line="240" w:lineRule="auto"/>
              <w:jc w:val="both"/>
              <w:rPr>
                <w:rFonts w:eastAsia="Times New Roman" w:cs="Calibri"/>
                <w:sz w:val="20"/>
                <w:szCs w:val="20"/>
                <w:lang w:val="en-GB"/>
              </w:rPr>
            </w:pPr>
            <w:r w:rsidRPr="00D30847">
              <w:rPr>
                <w:rFonts w:cs="Calibri"/>
                <w:sz w:val="20"/>
                <w:szCs w:val="20"/>
                <w:lang w:val="en-GB"/>
              </w:rPr>
              <w:t xml:space="preserve">While greater focus is to be expected on value for money in service delivery and digitization of services, there are low numbers of IT and performance audits carried out by internal </w:t>
            </w:r>
            <w:r w:rsidR="00F3340A" w:rsidRPr="00D30847">
              <w:rPr>
                <w:rFonts w:cs="Calibri"/>
                <w:sz w:val="20"/>
                <w:szCs w:val="20"/>
                <w:lang w:val="en-GB"/>
              </w:rPr>
              <w:t>auditors</w:t>
            </w:r>
            <w:r w:rsidR="00F3340A" w:rsidRPr="00D30847">
              <w:rPr>
                <w:rFonts w:eastAsia="Times New Roman" w:cs="Calibri"/>
                <w:sz w:val="20"/>
                <w:szCs w:val="20"/>
                <w:lang w:val="en-GB"/>
              </w:rPr>
              <w:t>.</w:t>
            </w:r>
            <w:r w:rsidR="00F3340A" w:rsidRPr="00D30847">
              <w:rPr>
                <w:rFonts w:cs="Calibri"/>
                <w:sz w:val="20"/>
                <w:szCs w:val="20"/>
                <w:lang w:val="en-GB"/>
              </w:rPr>
              <w:t xml:space="preserve"> Skills</w:t>
            </w:r>
            <w:r w:rsidRPr="00D30847">
              <w:rPr>
                <w:rFonts w:cs="Calibri"/>
                <w:sz w:val="20"/>
                <w:szCs w:val="20"/>
                <w:lang w:val="en-GB"/>
              </w:rPr>
              <w:t xml:space="preserve"> needed for these audits may not be available to the extent to meet the </w:t>
            </w:r>
            <w:r w:rsidR="00F3340A" w:rsidRPr="00D30847">
              <w:rPr>
                <w:rFonts w:cs="Calibri"/>
                <w:sz w:val="20"/>
                <w:szCs w:val="20"/>
                <w:lang w:val="en-GB"/>
              </w:rPr>
              <w:t>demand</w:t>
            </w:r>
            <w:r w:rsidR="00F3340A" w:rsidRPr="00D30847">
              <w:rPr>
                <w:rFonts w:eastAsia="Times New Roman" w:cs="Calibri"/>
                <w:sz w:val="20"/>
                <w:szCs w:val="20"/>
                <w:lang w:val="en-GB"/>
              </w:rPr>
              <w:t>.</w:t>
            </w:r>
            <w:r w:rsidR="00F3340A" w:rsidRPr="00D30847">
              <w:rPr>
                <w:rFonts w:cs="Calibri"/>
                <w:sz w:val="20"/>
                <w:szCs w:val="20"/>
                <w:lang w:val="en-GB"/>
              </w:rPr>
              <w:t xml:space="preserve"> This</w:t>
            </w:r>
            <w:r w:rsidRPr="00D30847">
              <w:rPr>
                <w:rFonts w:cs="Calibri"/>
                <w:sz w:val="20"/>
                <w:szCs w:val="20"/>
                <w:lang w:val="en-GB"/>
              </w:rPr>
              <w:t xml:space="preserve"> is to be exacerbated with the expected further decrease in the number of internal auditors in the public sector</w:t>
            </w:r>
            <w:r w:rsidRPr="00D30847">
              <w:rPr>
                <w:rFonts w:eastAsia="Times New Roman" w:cs="Calibri"/>
                <w:sz w:val="20"/>
                <w:szCs w:val="20"/>
                <w:lang w:val="en-GB"/>
              </w:rPr>
              <w:t>.</w:t>
            </w:r>
          </w:p>
          <w:p w14:paraId="2A2D2FE9" w14:textId="16D475F7" w:rsidR="007733B2" w:rsidRPr="00D30847" w:rsidRDefault="007733B2" w:rsidP="00E84CD0">
            <w:pPr>
              <w:spacing w:line="240" w:lineRule="auto"/>
              <w:jc w:val="both"/>
              <w:rPr>
                <w:rFonts w:eastAsia="Times New Roman" w:cs="Calibri"/>
                <w:sz w:val="20"/>
                <w:szCs w:val="20"/>
                <w:lang w:val="en-GB"/>
              </w:rPr>
            </w:pPr>
            <w:r w:rsidRPr="00D30847">
              <w:rPr>
                <w:rFonts w:cs="Calibri"/>
                <w:sz w:val="20"/>
                <w:szCs w:val="20"/>
                <w:lang w:val="en-GB"/>
              </w:rPr>
              <w:t>Note that the compliance considerations (including irregularity management and funds recovery) should be increasingly tackled by the MoF FID (see above</w:t>
            </w:r>
            <w:r w:rsidRPr="00D30847">
              <w:rPr>
                <w:rFonts w:eastAsia="Times New Roman" w:cs="Calibri"/>
                <w:sz w:val="20"/>
                <w:szCs w:val="20"/>
                <w:lang w:val="en-GB"/>
              </w:rPr>
              <w:t>).</w:t>
            </w:r>
            <w:r w:rsidR="00F3340A" w:rsidRPr="00D30847">
              <w:rPr>
                <w:rFonts w:eastAsia="Times New Roman" w:cs="Calibri"/>
                <w:sz w:val="20"/>
                <w:szCs w:val="20"/>
                <w:lang w:val="en-GB"/>
              </w:rPr>
              <w:t xml:space="preserve"> </w:t>
            </w:r>
            <w:r w:rsidRPr="00D30847">
              <w:rPr>
                <w:rFonts w:eastAsia="Times New Roman" w:cs="Calibri"/>
                <w:sz w:val="20"/>
                <w:szCs w:val="20"/>
                <w:lang w:val="en-GB"/>
              </w:rPr>
              <w:t>PEFA Report</w:t>
            </w:r>
          </w:p>
          <w:p w14:paraId="2293D22A" w14:textId="77777777" w:rsidR="007733B2" w:rsidRPr="00D30847" w:rsidRDefault="007733B2" w:rsidP="00E84CD0">
            <w:pPr>
              <w:spacing w:line="240" w:lineRule="auto"/>
              <w:jc w:val="both"/>
              <w:rPr>
                <w:rFonts w:eastAsia="Times New Roman" w:cs="Calibri"/>
                <w:sz w:val="20"/>
                <w:szCs w:val="20"/>
                <w:u w:val="single"/>
                <w:lang w:val="en-GB"/>
              </w:rPr>
            </w:pPr>
            <w:r w:rsidRPr="00D30847">
              <w:rPr>
                <w:rFonts w:eastAsia="Times New Roman" w:cs="Calibri"/>
                <w:sz w:val="20"/>
                <w:szCs w:val="20"/>
                <w:u w:val="single"/>
                <w:lang w:val="en-GB"/>
              </w:rPr>
              <w:t>Proposed Action (PEFA)</w:t>
            </w:r>
          </w:p>
          <w:p w14:paraId="1BF26AE7" w14:textId="655FA20E" w:rsidR="007733B2" w:rsidRPr="00D30847" w:rsidRDefault="007733B2" w:rsidP="00E84CD0">
            <w:pPr>
              <w:tabs>
                <w:tab w:val="left" w:pos="851"/>
              </w:tabs>
              <w:spacing w:before="120" w:line="240" w:lineRule="auto"/>
              <w:jc w:val="both"/>
              <w:rPr>
                <w:rFonts w:eastAsia="Times New Roman" w:cs="Calibri"/>
                <w:sz w:val="20"/>
                <w:szCs w:val="20"/>
                <w:lang w:val="en-GB"/>
              </w:rPr>
            </w:pPr>
            <w:r w:rsidRPr="00D30847">
              <w:rPr>
                <w:rFonts w:cs="Calibri"/>
                <w:sz w:val="20"/>
                <w:szCs w:val="20"/>
                <w:lang w:val="en-GB"/>
              </w:rPr>
              <w:t>Consolidate (centralize) the mandate and the capacity for advanced types of audits (performance audit and IT internal audits) at the MoF</w:t>
            </w:r>
            <w:r w:rsidRPr="00D30847">
              <w:rPr>
                <w:rFonts w:eastAsia="Times New Roman" w:cs="Calibri"/>
                <w:sz w:val="20"/>
                <w:szCs w:val="20"/>
                <w:lang w:val="en-GB"/>
              </w:rPr>
              <w:t>.</w:t>
            </w:r>
            <w:r w:rsidR="00F3340A" w:rsidRPr="00D30847">
              <w:rPr>
                <w:rFonts w:eastAsia="Times New Roman" w:cs="Calibri"/>
                <w:sz w:val="20"/>
                <w:szCs w:val="20"/>
                <w:lang w:val="en-GB"/>
              </w:rPr>
              <w:t xml:space="preserve"> </w:t>
            </w:r>
            <w:r w:rsidRPr="00D30847">
              <w:rPr>
                <w:rFonts w:cs="Calibri"/>
                <w:sz w:val="20"/>
                <w:szCs w:val="20"/>
                <w:lang w:val="en-GB"/>
              </w:rPr>
              <w:t>If legislating this arrangement is not an option as the new PIFC Law is in legislative procedure, consider addressing this through updates of the Internal Audit Charters of the MoF and BCG entities</w:t>
            </w:r>
            <w:r w:rsidRPr="00D30847">
              <w:rPr>
                <w:rFonts w:eastAsia="Times New Roman" w:cs="Calibri"/>
                <w:sz w:val="20"/>
                <w:szCs w:val="20"/>
                <w:lang w:val="en-GB"/>
              </w:rPr>
              <w:t>.</w:t>
            </w:r>
          </w:p>
        </w:tc>
      </w:tr>
      <w:tr w:rsidR="00A935E3" w:rsidRPr="00D30847" w14:paraId="5064F472" w14:textId="77777777" w:rsidTr="008E06E4">
        <w:tc>
          <w:tcPr>
            <w:tcW w:w="1240" w:type="dxa"/>
            <w:shd w:val="clear" w:color="auto" w:fill="DDDDDD"/>
          </w:tcPr>
          <w:p w14:paraId="330E0E10" w14:textId="77777777" w:rsidR="00A935E3" w:rsidRPr="00D30847" w:rsidRDefault="00A935E3" w:rsidP="00E84CD0">
            <w:pPr>
              <w:spacing w:before="80" w:after="0" w:line="240" w:lineRule="auto"/>
              <w:jc w:val="both"/>
              <w:rPr>
                <w:rFonts w:cs="Calibri"/>
                <w:b/>
                <w:sz w:val="20"/>
                <w:szCs w:val="20"/>
                <w:lang w:val="en-GB"/>
              </w:rPr>
            </w:pPr>
            <w:r w:rsidRPr="00D30847">
              <w:rPr>
                <w:rFonts w:cs="Calibri"/>
                <w:b/>
                <w:sz w:val="20"/>
                <w:szCs w:val="20"/>
                <w:lang w:val="en-GB"/>
              </w:rPr>
              <w:t>EU</w:t>
            </w:r>
          </w:p>
          <w:p w14:paraId="047312A1" w14:textId="6CC1F4DF" w:rsidR="007F5630" w:rsidRPr="00D30847" w:rsidRDefault="007F5630" w:rsidP="00E84CD0">
            <w:pPr>
              <w:spacing w:before="80" w:after="0" w:line="240" w:lineRule="auto"/>
              <w:jc w:val="both"/>
              <w:rPr>
                <w:rFonts w:cs="Calibri"/>
                <w:b/>
                <w:sz w:val="20"/>
                <w:szCs w:val="20"/>
                <w:lang w:val="en-GB"/>
              </w:rPr>
            </w:pPr>
            <w:r w:rsidRPr="00D30847">
              <w:rPr>
                <w:rFonts w:cs="Calibri"/>
                <w:b/>
                <w:sz w:val="20"/>
                <w:szCs w:val="20"/>
                <w:lang w:val="en-GB"/>
              </w:rPr>
              <w:t>2024</w:t>
            </w:r>
          </w:p>
        </w:tc>
        <w:tc>
          <w:tcPr>
            <w:tcW w:w="7407" w:type="dxa"/>
            <w:shd w:val="clear" w:color="auto" w:fill="DDDDDD"/>
          </w:tcPr>
          <w:p w14:paraId="60F09920" w14:textId="4074180C" w:rsidR="007F5630" w:rsidRPr="00D30847" w:rsidRDefault="007F5630" w:rsidP="007F5630">
            <w:pPr>
              <w:spacing w:line="240" w:lineRule="auto"/>
              <w:jc w:val="both"/>
              <w:rPr>
                <w:rFonts w:cs="Calibri"/>
                <w:sz w:val="20"/>
                <w:szCs w:val="20"/>
                <w:lang w:val="en-GB"/>
              </w:rPr>
            </w:pPr>
            <w:r w:rsidRPr="00D30847">
              <w:rPr>
                <w:rFonts w:cs="Calibri"/>
                <w:sz w:val="20"/>
                <w:szCs w:val="20"/>
                <w:lang w:val="en-GB"/>
              </w:rPr>
              <w:t xml:space="preserve">Central Harmonisation </w:t>
            </w:r>
            <w:r w:rsidR="002F500A" w:rsidRPr="00D30847">
              <w:rPr>
                <w:rFonts w:cs="Calibri"/>
                <w:sz w:val="20"/>
                <w:szCs w:val="20"/>
                <w:lang w:val="en-GB"/>
              </w:rPr>
              <w:t>Unit has</w:t>
            </w:r>
            <w:r w:rsidRPr="00D30847">
              <w:rPr>
                <w:rFonts w:cs="Calibri"/>
                <w:sz w:val="20"/>
                <w:szCs w:val="20"/>
                <w:lang w:val="en-GB"/>
              </w:rPr>
              <w:t xml:space="preserve"> produced the annual report on the functioning of Public Internal Financial Controls but it was still pending adoption by the government by September 2024. Implementation of PIFC reforms continued to be hindered by the substantial delay in adoption of the PIFC law, still in Parliamentary procedure after more than three years, and by the insufficient capacity of key institutions.</w:t>
            </w:r>
          </w:p>
          <w:p w14:paraId="092F5DD5" w14:textId="77777777" w:rsidR="007F5630" w:rsidRPr="00D30847" w:rsidRDefault="007F5630" w:rsidP="007F5630">
            <w:pPr>
              <w:spacing w:line="240" w:lineRule="auto"/>
              <w:jc w:val="both"/>
              <w:rPr>
                <w:rFonts w:cs="Calibri"/>
                <w:sz w:val="20"/>
                <w:szCs w:val="20"/>
                <w:lang w:val="en-GB"/>
              </w:rPr>
            </w:pPr>
            <w:r w:rsidRPr="00D30847">
              <w:rPr>
                <w:rFonts w:cs="Calibri"/>
                <w:sz w:val="20"/>
                <w:szCs w:val="20"/>
                <w:lang w:val="en-GB"/>
              </w:rPr>
              <w:t xml:space="preserve">Fragmentation and inadequate staffing of the internal audit function undermine its organisational capacity and quality assurance. According to the last report on the functioning of PIFC of 2023 covering fiscal year 2022, 116 internal audit units were </w:t>
            </w:r>
            <w:r w:rsidRPr="00D30847">
              <w:rPr>
                <w:rFonts w:cs="Calibri"/>
                <w:sz w:val="20"/>
                <w:szCs w:val="20"/>
                <w:lang w:val="en-GB"/>
              </w:rPr>
              <w:lastRenderedPageBreak/>
              <w:t>established at public sector entities at central level, employing 118 internal auditors. Internal audit units at central level performed 128 audits in 2023. A national certification system for internal auditors still needs to be introduced.</w:t>
            </w:r>
          </w:p>
          <w:p w14:paraId="4D9E63BC" w14:textId="7BB36256" w:rsidR="00A935E3" w:rsidRPr="00D30847" w:rsidRDefault="007F5630" w:rsidP="007F5630">
            <w:pPr>
              <w:spacing w:line="240" w:lineRule="auto"/>
              <w:jc w:val="both"/>
              <w:rPr>
                <w:rFonts w:cs="Calibri"/>
                <w:sz w:val="20"/>
                <w:szCs w:val="20"/>
                <w:lang w:val="en-GB"/>
              </w:rPr>
            </w:pPr>
            <w:r w:rsidRPr="00D30847">
              <w:rPr>
                <w:rFonts w:cs="Calibri"/>
                <w:sz w:val="20"/>
                <w:szCs w:val="20"/>
                <w:lang w:val="en-GB"/>
              </w:rPr>
              <w:t>The Central Harmonisation Unit provides methodological guidance and coordinates financial management and control and internal audit in the public sector. Its capacities remain insufficient for monitoring and reporting on the functioning of the overall internal control system of 1 380 public entities.</w:t>
            </w:r>
          </w:p>
        </w:tc>
      </w:tr>
    </w:tbl>
    <w:p w14:paraId="4C028863" w14:textId="77777777" w:rsidR="007733B2" w:rsidRPr="00D30847" w:rsidRDefault="007733B2"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lastRenderedPageBreak/>
        <w:t>Context/Background</w:t>
      </w:r>
    </w:p>
    <w:p w14:paraId="1837290A" w14:textId="67D26B40" w:rsidR="007733B2" w:rsidRPr="00D30847" w:rsidRDefault="007733B2" w:rsidP="00E84CD0">
      <w:pPr>
        <w:spacing w:before="80" w:after="80" w:line="240" w:lineRule="auto"/>
        <w:jc w:val="both"/>
        <w:rPr>
          <w:rFonts w:eastAsia="MS PGothic" w:cs="Calibri"/>
          <w:lang w:val="en-GB" w:eastAsia="zh-CN"/>
        </w:rPr>
      </w:pPr>
      <w:r w:rsidRPr="00D30847">
        <w:rPr>
          <w:rFonts w:eastAsia="Times New Roman" w:cs="Calibri"/>
          <w:lang w:val="en-GB"/>
        </w:rPr>
        <w:t xml:space="preserve">Number of processes that are partially or completely digitalized is continuously increasing in the institutions’ </w:t>
      </w:r>
      <w:r w:rsidR="002F500A" w:rsidRPr="00D30847">
        <w:rPr>
          <w:rFonts w:eastAsia="Times New Roman" w:cs="Calibri"/>
          <w:lang w:val="en-GB"/>
        </w:rPr>
        <w:t>operations</w:t>
      </w:r>
      <w:r w:rsidRPr="00D30847">
        <w:rPr>
          <w:rFonts w:eastAsia="Times New Roman" w:cs="Calibri"/>
          <w:lang w:val="en-GB"/>
        </w:rPr>
        <w:t>.</w:t>
      </w:r>
      <w:r w:rsidR="00F3340A" w:rsidRPr="00D30847">
        <w:rPr>
          <w:rFonts w:eastAsia="Times New Roman" w:cs="Calibri"/>
          <w:lang w:val="en-GB"/>
        </w:rPr>
        <w:t xml:space="preserve"> </w:t>
      </w:r>
      <w:r w:rsidRPr="00D30847">
        <w:rPr>
          <w:rFonts w:eastAsia="Times New Roman" w:cs="Calibri"/>
          <w:lang w:val="en-GB"/>
        </w:rPr>
        <w:t xml:space="preserve">In addition, number of implemented projects and programs is constantly growing, however, determining the performance of their implementation is lacking </w:t>
      </w:r>
      <w:r w:rsidR="00F3340A" w:rsidRPr="00D30847">
        <w:rPr>
          <w:rFonts w:eastAsia="Times New Roman" w:cs="Calibri"/>
          <w:lang w:val="en-GB"/>
        </w:rPr>
        <w:t>actually. On</w:t>
      </w:r>
      <w:r w:rsidRPr="00D30847">
        <w:rPr>
          <w:rFonts w:eastAsia="Times New Roman" w:cs="Calibri"/>
          <w:lang w:val="en-GB"/>
        </w:rPr>
        <w:t xml:space="preserve"> the other hand, number of conducted performance audits and IT audits is continuously low.</w:t>
      </w:r>
      <w:r w:rsidR="00F3340A" w:rsidRPr="00D30847">
        <w:rPr>
          <w:rFonts w:eastAsia="Times New Roman" w:cs="Calibri"/>
          <w:lang w:val="en-GB"/>
        </w:rPr>
        <w:t xml:space="preserve"> </w:t>
      </w:r>
      <w:r w:rsidRPr="00D30847">
        <w:rPr>
          <w:rFonts w:eastAsia="Times New Roman" w:cs="Calibri"/>
          <w:lang w:val="en-GB"/>
        </w:rPr>
        <w:t>Main reasons for the low number of conducted performance audits and IT audits is the insufficient training of internal auditors to conduct this type of audits, such as the low level of staffing of internal audit units.</w:t>
      </w:r>
    </w:p>
    <w:p w14:paraId="0DC8A395" w14:textId="3CBD6FD7" w:rsidR="002E4AA9" w:rsidRPr="00D30847" w:rsidRDefault="00A935E3" w:rsidP="00E84CD0">
      <w:pPr>
        <w:spacing w:before="240" w:after="80" w:line="240" w:lineRule="auto"/>
        <w:jc w:val="both"/>
        <w:rPr>
          <w:rFonts w:eastAsia="Times New Roman" w:cs="Calibri"/>
          <w:lang w:val="en-GB"/>
        </w:rPr>
      </w:pPr>
      <w:r w:rsidRPr="00D30847">
        <w:rPr>
          <w:rFonts w:eastAsia="Times New Roman" w:cs="Calibri"/>
          <w:lang w:val="en-GB"/>
        </w:rPr>
        <w:t>In order to increase the number of conducted performance audits and IT audits, it is necessary to Improving the abilities to carry out performance and IT internal audits in the public sector institutions</w:t>
      </w:r>
    </w:p>
    <w:p w14:paraId="53F84218" w14:textId="65385262" w:rsidR="002E4AA9" w:rsidRPr="00D30847" w:rsidRDefault="00542194" w:rsidP="002E4AA9">
      <w:pPr>
        <w:spacing w:before="240" w:after="80" w:line="240" w:lineRule="auto"/>
        <w:jc w:val="both"/>
        <w:rPr>
          <w:rFonts w:eastAsia="MS PGothic" w:cs="Calibri"/>
          <w:b/>
          <w:bCs/>
          <w:iCs/>
          <w:color w:val="0070C0"/>
          <w:lang w:val="en-GB" w:eastAsia="zh-CN"/>
        </w:rPr>
      </w:pPr>
      <w:r w:rsidRPr="00D30847">
        <w:rPr>
          <w:rFonts w:eastAsia="MS PGothic" w:cs="Calibri"/>
          <w:b/>
          <w:bCs/>
          <w:iCs/>
          <w:color w:val="0070C0"/>
          <w:lang w:val="en-GB" w:eastAsia="zh-CN"/>
        </w:rPr>
        <w:t>Activity 1: Preparation and promotion methodology for specific type of internal audits</w:t>
      </w:r>
    </w:p>
    <w:p w14:paraId="7E25A47C" w14:textId="77777777" w:rsidR="007F5630" w:rsidRPr="00D30847" w:rsidRDefault="007F5630" w:rsidP="007F5630">
      <w:pPr>
        <w:keepNext/>
        <w:keepLines/>
        <w:spacing w:before="160" w:after="60" w:line="240" w:lineRule="auto"/>
        <w:jc w:val="both"/>
        <w:outlineLvl w:val="3"/>
        <w:rPr>
          <w:rFonts w:eastAsia="Times New Roman" w:cs="Calibri"/>
          <w:lang w:val="en-GB"/>
        </w:rPr>
      </w:pPr>
      <w:r w:rsidRPr="00D30847">
        <w:rPr>
          <w:rFonts w:eastAsia="Times New Roman" w:cs="Calibri"/>
          <w:lang w:val="en-GB"/>
        </w:rPr>
        <w:t>Central Harmonization Unit, on based on previously prepared outputs for performance internal audits will prepare practical guideline for performance internal audits in the public sector institutions.</w:t>
      </w:r>
    </w:p>
    <w:p w14:paraId="099649EA" w14:textId="77777777" w:rsidR="007F5630" w:rsidRPr="00D30847" w:rsidRDefault="007F5630" w:rsidP="007F5630">
      <w:pPr>
        <w:keepNext/>
        <w:keepLines/>
        <w:spacing w:before="160" w:after="60" w:line="240" w:lineRule="auto"/>
        <w:jc w:val="both"/>
        <w:outlineLvl w:val="3"/>
        <w:rPr>
          <w:rFonts w:eastAsia="MS PGothic" w:cs="Calibri"/>
          <w:lang w:val="en-GB" w:eastAsia="zh-CN"/>
        </w:rPr>
      </w:pPr>
      <w:r w:rsidRPr="00D30847">
        <w:rPr>
          <w:rFonts w:eastAsia="MS PGothic" w:cs="Calibri"/>
          <w:lang w:val="en-GB" w:eastAsia="zh-CN"/>
        </w:rPr>
        <w:t>Also, Central Harmonization Unit, on based on previously prepared outputs for performing IT internal audits will prepare practical guideline for performing IT internal audits in the public sector institutions.</w:t>
      </w:r>
    </w:p>
    <w:p w14:paraId="5CF026BF" w14:textId="6EF42565" w:rsidR="00EC04BB" w:rsidRPr="00D30847" w:rsidRDefault="007F5630" w:rsidP="00C07333">
      <w:pPr>
        <w:keepNext/>
        <w:keepLines/>
        <w:spacing w:before="160" w:after="60" w:line="240" w:lineRule="auto"/>
        <w:jc w:val="both"/>
        <w:outlineLvl w:val="3"/>
        <w:rPr>
          <w:rFonts w:eastAsia="Times New Roman" w:cs="Calibri"/>
          <w:lang w:val="en-GB"/>
        </w:rPr>
      </w:pPr>
      <w:r w:rsidRPr="00D30847">
        <w:rPr>
          <w:rFonts w:eastAsia="Times New Roman" w:cs="Calibri"/>
          <w:lang w:val="en-GB"/>
        </w:rPr>
        <w:t>After finalization of this guideline, Central Harmonization Unit will promote these documents and support the institutions in their implementation.</w:t>
      </w:r>
    </w:p>
    <w:p w14:paraId="2BE30F9F" w14:textId="28BBA3F7" w:rsidR="00542194" w:rsidRPr="00D30847" w:rsidRDefault="00542194" w:rsidP="00542194">
      <w:pPr>
        <w:spacing w:before="80" w:after="80" w:line="240" w:lineRule="auto"/>
        <w:jc w:val="both"/>
        <w:rPr>
          <w:rFonts w:eastAsia="MS PGothic" w:cs="Calibri"/>
          <w:lang w:val="en-GB" w:eastAsia="zh-CN"/>
        </w:rPr>
      </w:pPr>
      <w:r w:rsidRPr="00D30847">
        <w:rPr>
          <w:rFonts w:eastAsia="MS PGothic" w:cs="Calibri"/>
          <w:b/>
          <w:bCs/>
          <w:iCs/>
          <w:color w:val="4F81BD"/>
          <w:lang w:val="en-GB" w:eastAsia="zh-CN"/>
        </w:rPr>
        <w:t>Activity 2:</w:t>
      </w:r>
      <w:r w:rsidR="00A70273" w:rsidRPr="00D30847">
        <w:rPr>
          <w:rFonts w:eastAsia="MS PGothic" w:cs="Calibri"/>
          <w:b/>
          <w:bCs/>
          <w:iCs/>
          <w:color w:val="4F81BD"/>
          <w:lang w:val="en-GB" w:eastAsia="zh-CN"/>
        </w:rPr>
        <w:t xml:space="preserve"> </w:t>
      </w:r>
      <w:r w:rsidRPr="00D30847">
        <w:rPr>
          <w:rFonts w:eastAsia="MS PGothic" w:cs="Calibri"/>
          <w:b/>
          <w:bCs/>
          <w:iCs/>
          <w:color w:val="4F81BD"/>
          <w:lang w:val="en-GB" w:eastAsia="zh-CN"/>
        </w:rPr>
        <w:t>Analysis of the situation and determination of the need for the establishment of a Central Unit for IT internal audits in the Ministry of Finance</w:t>
      </w:r>
    </w:p>
    <w:p w14:paraId="0C317253" w14:textId="51E23ABC" w:rsidR="00A01770" w:rsidRPr="00D30847" w:rsidRDefault="00A70273" w:rsidP="00A01770">
      <w:pPr>
        <w:spacing w:before="80" w:after="80" w:line="240" w:lineRule="auto"/>
        <w:jc w:val="both"/>
        <w:rPr>
          <w:rFonts w:eastAsia="MS PGothic" w:cs="Calibri"/>
          <w:lang w:val="en-GB" w:eastAsia="zh-CN"/>
        </w:rPr>
      </w:pPr>
      <w:r w:rsidRPr="00D30847">
        <w:rPr>
          <w:rFonts w:eastAsia="MS PGothic" w:cs="Calibri"/>
          <w:lang w:val="en-GB" w:eastAsia="zh-CN"/>
        </w:rPr>
        <w:t>In 202</w:t>
      </w:r>
      <w:r w:rsidR="007F5630" w:rsidRPr="00D30847">
        <w:rPr>
          <w:rFonts w:eastAsia="MS PGothic" w:cs="Calibri"/>
          <w:lang w:val="en-GB" w:eastAsia="zh-CN"/>
        </w:rPr>
        <w:t>7</w:t>
      </w:r>
      <w:r w:rsidRPr="00D30847">
        <w:rPr>
          <w:rFonts w:eastAsia="MS PGothic" w:cs="Calibri"/>
          <w:lang w:val="en-GB" w:eastAsia="zh-CN"/>
        </w:rPr>
        <w:t>, the MoF Central Harmonization Unit will make an analysis of the situation and determination of the need for the establishment of a Central Unit for IT internal audits in the Ministry of Finance.</w:t>
      </w:r>
    </w:p>
    <w:p w14:paraId="635BD4F3" w14:textId="2F6D3906" w:rsidR="007733B2" w:rsidRPr="00D30847" w:rsidRDefault="007733B2" w:rsidP="00A935E3">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7733B2" w:rsidRPr="00D30847" w14:paraId="35D0E750" w14:textId="77777777" w:rsidTr="003A2F75">
        <w:tc>
          <w:tcPr>
            <w:tcW w:w="2518" w:type="dxa"/>
            <w:tcBorders>
              <w:top w:val="nil"/>
              <w:bottom w:val="single" w:sz="4" w:space="0" w:color="FFFFFF"/>
            </w:tcBorders>
            <w:shd w:val="clear" w:color="auto" w:fill="002060"/>
          </w:tcPr>
          <w:p w14:paraId="55055AB3" w14:textId="77777777" w:rsidR="007733B2" w:rsidRPr="00D30847" w:rsidRDefault="007733B2" w:rsidP="00E84CD0">
            <w:pPr>
              <w:tabs>
                <w:tab w:val="left" w:pos="1526"/>
              </w:tabs>
              <w:spacing w:after="0" w:line="240" w:lineRule="auto"/>
              <w:jc w:val="both"/>
              <w:rPr>
                <w:rFonts w:cs="Calibri"/>
                <w:color w:val="FFFFFF"/>
                <w:sz w:val="20"/>
                <w:szCs w:val="20"/>
                <w:lang w:val="en-GB"/>
              </w:rPr>
            </w:pPr>
            <w:r w:rsidRPr="00D30847">
              <w:rPr>
                <w:rFonts w:cs="Calibri"/>
                <w:b/>
                <w:color w:val="FFFFFF"/>
                <w:sz w:val="20"/>
                <w:szCs w:val="20"/>
                <w:lang w:val="en-GB"/>
              </w:rPr>
              <w:t>Completed in year:</w:t>
            </w:r>
            <w:r w:rsidRPr="00D30847">
              <w:rPr>
                <w:rFonts w:cs="Calibri"/>
                <w:color w:val="FFFFFF"/>
                <w:sz w:val="20"/>
                <w:szCs w:val="20"/>
                <w:lang w:val="en-GB"/>
              </w:rPr>
              <w:tab/>
            </w:r>
          </w:p>
        </w:tc>
        <w:tc>
          <w:tcPr>
            <w:tcW w:w="6246" w:type="dxa"/>
            <w:tcBorders>
              <w:top w:val="nil"/>
              <w:bottom w:val="single" w:sz="4" w:space="0" w:color="FFFFFF"/>
            </w:tcBorders>
            <w:shd w:val="clear" w:color="auto" w:fill="D9E2F3"/>
          </w:tcPr>
          <w:p w14:paraId="4975587F" w14:textId="56389A34" w:rsidR="007733B2" w:rsidRPr="00D30847" w:rsidRDefault="00EC04BB" w:rsidP="00EC04BB">
            <w:pPr>
              <w:spacing w:after="0" w:line="240" w:lineRule="auto"/>
              <w:jc w:val="both"/>
              <w:rPr>
                <w:rFonts w:cs="Calibri"/>
                <w:sz w:val="20"/>
                <w:szCs w:val="20"/>
                <w:lang w:val="en-GB"/>
              </w:rPr>
            </w:pPr>
            <w:r w:rsidRPr="00D30847">
              <w:rPr>
                <w:rFonts w:cs="Calibri"/>
                <w:sz w:val="20"/>
                <w:szCs w:val="20"/>
                <w:lang w:val="en-GB"/>
              </w:rPr>
              <w:t xml:space="preserve">- </w:t>
            </w:r>
            <w:r w:rsidR="003172CB" w:rsidRPr="00D30847">
              <w:rPr>
                <w:rFonts w:cs="Calibri"/>
                <w:sz w:val="20"/>
                <w:szCs w:val="20"/>
                <w:lang w:val="en-GB"/>
              </w:rPr>
              <w:t>202</w:t>
            </w:r>
            <w:r w:rsidR="007F5630" w:rsidRPr="00D30847">
              <w:rPr>
                <w:rFonts w:cs="Calibri"/>
                <w:sz w:val="20"/>
                <w:szCs w:val="20"/>
                <w:lang w:val="en-GB"/>
              </w:rPr>
              <w:t>8</w:t>
            </w:r>
          </w:p>
        </w:tc>
      </w:tr>
      <w:tr w:rsidR="007733B2" w:rsidRPr="00D30847" w14:paraId="0A124168" w14:textId="77777777" w:rsidTr="003A2F75">
        <w:trPr>
          <w:trHeight w:val="1232"/>
        </w:trPr>
        <w:tc>
          <w:tcPr>
            <w:tcW w:w="2518" w:type="dxa"/>
            <w:tcBorders>
              <w:top w:val="single" w:sz="4" w:space="0" w:color="FFFFFF"/>
              <w:bottom w:val="single" w:sz="4" w:space="0" w:color="FFFFFF"/>
            </w:tcBorders>
            <w:shd w:val="clear" w:color="auto" w:fill="002060"/>
          </w:tcPr>
          <w:p w14:paraId="2A46C679" w14:textId="77777777" w:rsidR="007733B2" w:rsidRPr="00D30847" w:rsidRDefault="007733B2" w:rsidP="00E84CD0">
            <w:pPr>
              <w:tabs>
                <w:tab w:val="left" w:pos="4219"/>
              </w:tabs>
              <w:spacing w:after="0" w:line="240" w:lineRule="auto"/>
              <w:jc w:val="both"/>
              <w:rPr>
                <w:rFonts w:cs="Calibri"/>
                <w:color w:val="FFFFFF"/>
                <w:sz w:val="20"/>
                <w:szCs w:val="20"/>
                <w:lang w:val="en-GB"/>
              </w:rPr>
            </w:pPr>
            <w:r w:rsidRPr="00D30847">
              <w:rPr>
                <w:rFonts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7838E4B3" w14:textId="196ED3A2" w:rsidR="00C84820" w:rsidRPr="00D30847" w:rsidRDefault="00EC04BB" w:rsidP="00EC04BB">
            <w:pPr>
              <w:tabs>
                <w:tab w:val="left" w:pos="183"/>
              </w:tabs>
              <w:spacing w:after="0" w:line="240" w:lineRule="auto"/>
              <w:jc w:val="both"/>
              <w:rPr>
                <w:rFonts w:eastAsia="MS PGothic" w:cs="Calibri"/>
                <w:sz w:val="20"/>
                <w:szCs w:val="20"/>
                <w:lang w:val="en-GB" w:eastAsia="zh-CN"/>
              </w:rPr>
            </w:pPr>
            <w:r w:rsidRPr="00D30847">
              <w:rPr>
                <w:rFonts w:eastAsia="MS PGothic" w:cs="Calibri"/>
                <w:sz w:val="20"/>
                <w:szCs w:val="20"/>
                <w:lang w:val="en-GB" w:eastAsia="zh-CN"/>
              </w:rPr>
              <w:t xml:space="preserve">- </w:t>
            </w:r>
            <w:r w:rsidR="00C84820" w:rsidRPr="00D30847">
              <w:rPr>
                <w:rFonts w:eastAsia="MS PGothic" w:cs="Calibri"/>
                <w:sz w:val="20"/>
                <w:szCs w:val="20"/>
                <w:lang w:val="en-GB" w:eastAsia="zh-CN"/>
              </w:rPr>
              <w:t>Guideline for performance internal audits;</w:t>
            </w:r>
          </w:p>
          <w:p w14:paraId="39AA9193" w14:textId="765E77A4" w:rsidR="00C84820" w:rsidRPr="00D30847" w:rsidRDefault="00EC04BB" w:rsidP="00EC04BB">
            <w:pPr>
              <w:tabs>
                <w:tab w:val="left" w:pos="183"/>
              </w:tabs>
              <w:spacing w:after="0" w:line="240" w:lineRule="auto"/>
              <w:jc w:val="both"/>
              <w:rPr>
                <w:rFonts w:eastAsia="MS PGothic" w:cs="Calibri"/>
                <w:sz w:val="20"/>
                <w:szCs w:val="20"/>
                <w:lang w:val="en-GB" w:eastAsia="zh-CN"/>
              </w:rPr>
            </w:pPr>
            <w:r w:rsidRPr="00D30847">
              <w:rPr>
                <w:rFonts w:eastAsia="MS PGothic" w:cs="Calibri"/>
                <w:sz w:val="20"/>
                <w:szCs w:val="20"/>
                <w:lang w:val="en-GB" w:eastAsia="zh-CN"/>
              </w:rPr>
              <w:t xml:space="preserve">- </w:t>
            </w:r>
            <w:r w:rsidR="00C84820" w:rsidRPr="00D30847">
              <w:rPr>
                <w:rFonts w:eastAsia="MS PGothic" w:cs="Calibri"/>
                <w:sz w:val="20"/>
                <w:szCs w:val="20"/>
                <w:lang w:val="en-GB" w:eastAsia="zh-CN"/>
              </w:rPr>
              <w:t>Guideline for IT internal audits</w:t>
            </w:r>
          </w:p>
          <w:p w14:paraId="75D511A1" w14:textId="09C253F8" w:rsidR="007733B2" w:rsidRPr="00D30847" w:rsidRDefault="00EC04BB" w:rsidP="00EC04BB">
            <w:pPr>
              <w:tabs>
                <w:tab w:val="left" w:pos="183"/>
              </w:tabs>
              <w:spacing w:after="0" w:line="240" w:lineRule="auto"/>
              <w:jc w:val="both"/>
              <w:rPr>
                <w:rFonts w:eastAsia="MS PGothic" w:cs="Calibri"/>
                <w:sz w:val="20"/>
                <w:szCs w:val="20"/>
                <w:lang w:val="en-GB" w:eastAsia="zh-CN"/>
              </w:rPr>
            </w:pPr>
            <w:r w:rsidRPr="00D30847">
              <w:rPr>
                <w:rFonts w:eastAsia="MS PGothic" w:cs="Calibri"/>
                <w:sz w:val="20"/>
                <w:szCs w:val="20"/>
                <w:lang w:val="en-GB" w:eastAsia="zh-CN"/>
              </w:rPr>
              <w:t xml:space="preserve">- </w:t>
            </w:r>
            <w:r w:rsidR="00C84820" w:rsidRPr="00D30847">
              <w:rPr>
                <w:rFonts w:eastAsia="MS PGothic" w:cs="Calibri"/>
                <w:sz w:val="20"/>
                <w:szCs w:val="20"/>
                <w:lang w:val="en-GB" w:eastAsia="zh-CN"/>
              </w:rPr>
              <w:t>Report on analysis</w:t>
            </w:r>
            <w:r w:rsidR="00F3340A" w:rsidRPr="00D30847">
              <w:rPr>
                <w:rFonts w:eastAsia="MS PGothic" w:cs="Calibri"/>
                <w:sz w:val="20"/>
                <w:szCs w:val="20"/>
                <w:lang w:val="en-GB" w:eastAsia="zh-CN"/>
              </w:rPr>
              <w:t xml:space="preserve"> </w:t>
            </w:r>
            <w:r w:rsidR="00C84820" w:rsidRPr="00D30847">
              <w:rPr>
                <w:rFonts w:eastAsia="MS PGothic" w:cs="Calibri"/>
                <w:sz w:val="20"/>
                <w:szCs w:val="20"/>
                <w:lang w:val="en-GB" w:eastAsia="zh-CN"/>
              </w:rPr>
              <w:t>‘The situation and determination of the need for the establishment of a Central Unit for IT internal audits in the Ministry of Finance’</w:t>
            </w:r>
          </w:p>
        </w:tc>
      </w:tr>
      <w:tr w:rsidR="007733B2" w:rsidRPr="00D30847" w14:paraId="7B8110D7" w14:textId="77777777" w:rsidTr="003A2F75">
        <w:trPr>
          <w:trHeight w:val="260"/>
        </w:trPr>
        <w:tc>
          <w:tcPr>
            <w:tcW w:w="2518" w:type="dxa"/>
            <w:tcBorders>
              <w:top w:val="single" w:sz="4" w:space="0" w:color="FFFFFF"/>
              <w:bottom w:val="single" w:sz="4" w:space="0" w:color="FFFFFF"/>
            </w:tcBorders>
            <w:shd w:val="clear" w:color="auto" w:fill="002060"/>
          </w:tcPr>
          <w:p w14:paraId="7963E641" w14:textId="5FFB9724" w:rsidR="007733B2" w:rsidRPr="00D30847" w:rsidRDefault="007733B2"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Cost implications:</w:t>
            </w:r>
          </w:p>
        </w:tc>
        <w:tc>
          <w:tcPr>
            <w:tcW w:w="6246" w:type="dxa"/>
            <w:tcBorders>
              <w:top w:val="single" w:sz="4" w:space="0" w:color="FFFFFF"/>
              <w:bottom w:val="single" w:sz="4" w:space="0" w:color="FFFFFF"/>
            </w:tcBorders>
            <w:shd w:val="clear" w:color="auto" w:fill="D9E2F3"/>
          </w:tcPr>
          <w:p w14:paraId="088543A7" w14:textId="5480A6B0" w:rsidR="007733B2" w:rsidRPr="00D30847" w:rsidRDefault="00EC04BB" w:rsidP="00EC04BB">
            <w:pPr>
              <w:tabs>
                <w:tab w:val="left" w:pos="363"/>
              </w:tabs>
              <w:spacing w:after="0" w:line="240" w:lineRule="auto"/>
              <w:jc w:val="both"/>
              <w:rPr>
                <w:rFonts w:cs="Calibri"/>
                <w:sz w:val="20"/>
                <w:szCs w:val="20"/>
                <w:lang w:val="en-GB"/>
              </w:rPr>
            </w:pPr>
            <w:r w:rsidRPr="00D30847">
              <w:rPr>
                <w:rFonts w:cs="Calibri"/>
                <w:sz w:val="20"/>
                <w:szCs w:val="20"/>
                <w:lang w:val="en-GB"/>
              </w:rPr>
              <w:t xml:space="preserve">- </w:t>
            </w:r>
            <w:r w:rsidR="007733B2" w:rsidRPr="00D30847">
              <w:rPr>
                <w:rFonts w:cs="Calibri"/>
                <w:sz w:val="20"/>
                <w:szCs w:val="20"/>
                <w:lang w:val="en-GB"/>
              </w:rPr>
              <w:t xml:space="preserve">EUR </w:t>
            </w:r>
            <w:r w:rsidR="005F5A8A" w:rsidRPr="00D30847">
              <w:rPr>
                <w:rFonts w:cs="Calibri"/>
                <w:sz w:val="20"/>
                <w:szCs w:val="20"/>
                <w:lang w:val="en-GB"/>
              </w:rPr>
              <w:t>25</w:t>
            </w:r>
            <w:r w:rsidR="00542194" w:rsidRPr="00D30847">
              <w:rPr>
                <w:rFonts w:cs="Calibri"/>
                <w:sz w:val="20"/>
                <w:szCs w:val="20"/>
                <w:lang w:val="en-GB"/>
              </w:rPr>
              <w:t>,000</w:t>
            </w:r>
          </w:p>
        </w:tc>
      </w:tr>
      <w:tr w:rsidR="007733B2" w:rsidRPr="00D30847" w14:paraId="656AF840" w14:textId="77777777" w:rsidTr="003A2F75">
        <w:trPr>
          <w:trHeight w:val="260"/>
        </w:trPr>
        <w:tc>
          <w:tcPr>
            <w:tcW w:w="2518" w:type="dxa"/>
            <w:tcBorders>
              <w:top w:val="single" w:sz="4" w:space="0" w:color="FFFFFF"/>
              <w:bottom w:val="single" w:sz="4" w:space="0" w:color="FFFFFF"/>
            </w:tcBorders>
            <w:shd w:val="clear" w:color="auto" w:fill="002060"/>
          </w:tcPr>
          <w:p w14:paraId="21700AA2" w14:textId="77777777" w:rsidR="007733B2" w:rsidRPr="00D30847" w:rsidRDefault="007733B2"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Responsible entity:</w:t>
            </w:r>
          </w:p>
        </w:tc>
        <w:tc>
          <w:tcPr>
            <w:tcW w:w="6246" w:type="dxa"/>
            <w:tcBorders>
              <w:top w:val="single" w:sz="4" w:space="0" w:color="FFFFFF"/>
              <w:bottom w:val="single" w:sz="4" w:space="0" w:color="FFFFFF"/>
            </w:tcBorders>
            <w:shd w:val="clear" w:color="auto" w:fill="D9E2F3"/>
          </w:tcPr>
          <w:p w14:paraId="6254AC83" w14:textId="2A93C108" w:rsidR="007733B2" w:rsidRPr="00D30847" w:rsidRDefault="00EC04BB" w:rsidP="00EC04BB">
            <w:pPr>
              <w:tabs>
                <w:tab w:val="left" w:pos="183"/>
                <w:tab w:val="left" w:pos="273"/>
              </w:tabs>
              <w:spacing w:after="0" w:line="240" w:lineRule="auto"/>
              <w:jc w:val="both"/>
              <w:rPr>
                <w:rFonts w:cs="Calibri"/>
                <w:sz w:val="20"/>
                <w:szCs w:val="20"/>
                <w:lang w:val="en-GB"/>
              </w:rPr>
            </w:pPr>
            <w:r w:rsidRPr="00D30847">
              <w:rPr>
                <w:rFonts w:cs="Calibri"/>
                <w:sz w:val="20"/>
                <w:szCs w:val="20"/>
                <w:lang w:val="en-GB"/>
              </w:rPr>
              <w:t xml:space="preserve">- </w:t>
            </w:r>
            <w:r w:rsidR="007733B2" w:rsidRPr="00D30847">
              <w:rPr>
                <w:rFonts w:cs="Calibri"/>
                <w:sz w:val="20"/>
                <w:szCs w:val="20"/>
                <w:lang w:val="en-GB"/>
              </w:rPr>
              <w:t>Ministry of Finance Central Harmonization Unit</w:t>
            </w:r>
          </w:p>
        </w:tc>
      </w:tr>
      <w:tr w:rsidR="007733B2" w:rsidRPr="00D30847" w14:paraId="1E8372FB" w14:textId="77777777" w:rsidTr="003A2F75">
        <w:tc>
          <w:tcPr>
            <w:tcW w:w="2518" w:type="dxa"/>
            <w:tcBorders>
              <w:top w:val="single" w:sz="4" w:space="0" w:color="FFFFFF"/>
              <w:bottom w:val="nil"/>
            </w:tcBorders>
            <w:shd w:val="clear" w:color="auto" w:fill="002060"/>
          </w:tcPr>
          <w:p w14:paraId="53C2A736" w14:textId="77777777" w:rsidR="007733B2" w:rsidRPr="00D30847" w:rsidRDefault="007733B2" w:rsidP="00E84CD0">
            <w:pPr>
              <w:tabs>
                <w:tab w:val="left" w:pos="4219"/>
              </w:tabs>
              <w:spacing w:after="0" w:line="240" w:lineRule="auto"/>
              <w:jc w:val="both"/>
              <w:rPr>
                <w:rFonts w:cs="Calibri"/>
                <w:b/>
                <w:color w:val="FFFFFF"/>
                <w:sz w:val="20"/>
                <w:szCs w:val="20"/>
                <w:lang w:val="en-GB"/>
              </w:rPr>
            </w:pPr>
            <w:r w:rsidRPr="00D30847">
              <w:rPr>
                <w:rFonts w:cs="Calibri"/>
                <w:b/>
                <w:color w:val="FFFFFF"/>
                <w:sz w:val="20"/>
                <w:szCs w:val="20"/>
                <w:lang w:val="en-GB"/>
              </w:rPr>
              <w:t>Risk:</w:t>
            </w:r>
          </w:p>
        </w:tc>
        <w:tc>
          <w:tcPr>
            <w:tcW w:w="6246" w:type="dxa"/>
            <w:tcBorders>
              <w:top w:val="single" w:sz="4" w:space="0" w:color="FFFFFF"/>
              <w:bottom w:val="nil"/>
            </w:tcBorders>
            <w:shd w:val="clear" w:color="auto" w:fill="D9E2F3"/>
          </w:tcPr>
          <w:p w14:paraId="6D959509" w14:textId="55C3E743" w:rsidR="007733B2" w:rsidRPr="00D30847" w:rsidRDefault="00EC04BB" w:rsidP="00EC04BB">
            <w:pPr>
              <w:tabs>
                <w:tab w:val="left" w:pos="122"/>
                <w:tab w:val="left" w:pos="183"/>
                <w:tab w:val="left" w:pos="273"/>
                <w:tab w:val="left" w:pos="4219"/>
              </w:tabs>
              <w:spacing w:after="0" w:line="240" w:lineRule="auto"/>
              <w:jc w:val="both"/>
              <w:rPr>
                <w:rFonts w:cs="Calibri"/>
                <w:sz w:val="20"/>
                <w:szCs w:val="20"/>
                <w:lang w:val="en-GB"/>
              </w:rPr>
            </w:pPr>
            <w:r w:rsidRPr="00D30847">
              <w:rPr>
                <w:rFonts w:cs="Calibri"/>
                <w:sz w:val="20"/>
                <w:szCs w:val="20"/>
                <w:lang w:val="en-GB"/>
              </w:rPr>
              <w:t xml:space="preserve">- </w:t>
            </w:r>
            <w:r w:rsidR="00542194" w:rsidRPr="00D30847">
              <w:rPr>
                <w:rFonts w:cs="Calibri"/>
                <w:sz w:val="20"/>
                <w:szCs w:val="20"/>
                <w:lang w:val="en-GB"/>
              </w:rPr>
              <w:t>Insufficient number of adequately trained internal auditors</w:t>
            </w:r>
          </w:p>
        </w:tc>
      </w:tr>
    </w:tbl>
    <w:p w14:paraId="19198E14" w14:textId="77777777" w:rsidR="00A01770" w:rsidRPr="00D30847" w:rsidRDefault="00A01770" w:rsidP="00A70273">
      <w:pPr>
        <w:pStyle w:val="Heading1"/>
        <w:rPr>
          <w:rFonts w:ascii="Calibri" w:hAnsi="Calibri" w:cs="Calibri"/>
          <w:color w:val="2F5496"/>
          <w:lang w:val="en-GB"/>
        </w:rPr>
      </w:pPr>
    </w:p>
    <w:p w14:paraId="7C227B69" w14:textId="7FCBB599" w:rsidR="004062ED" w:rsidRPr="00D30847" w:rsidRDefault="004062ED" w:rsidP="004062ED">
      <w:pPr>
        <w:rPr>
          <w:lang w:val="en-GB"/>
        </w:rPr>
      </w:pPr>
    </w:p>
    <w:p w14:paraId="12544E37" w14:textId="77777777" w:rsidR="008A2E35" w:rsidRPr="00D30847" w:rsidRDefault="008A2E35" w:rsidP="004062ED">
      <w:pPr>
        <w:rPr>
          <w:lang w:val="en-GB"/>
        </w:rPr>
      </w:pPr>
    </w:p>
    <w:p w14:paraId="51E56FFE" w14:textId="77777777" w:rsidR="004062ED" w:rsidRPr="00D30847" w:rsidRDefault="004062ED" w:rsidP="004062ED">
      <w:pPr>
        <w:rPr>
          <w:lang w:val="en-GB"/>
        </w:rPr>
      </w:pPr>
    </w:p>
    <w:p w14:paraId="5F3DDB46" w14:textId="2AED58C4" w:rsidR="00A70273" w:rsidRPr="00D30847" w:rsidRDefault="00A70273" w:rsidP="00A70273">
      <w:pPr>
        <w:pStyle w:val="Heading1"/>
        <w:rPr>
          <w:rFonts w:ascii="Calibri" w:hAnsi="Calibri" w:cs="Calibri"/>
          <w:color w:val="2F5496"/>
          <w:lang w:val="en-GB"/>
        </w:rPr>
      </w:pPr>
      <w:bookmarkStart w:id="62" w:name="_Toc187841821"/>
      <w:r w:rsidRPr="00D30847">
        <w:rPr>
          <w:rFonts w:ascii="Calibri" w:hAnsi="Calibri" w:cs="Calibri"/>
          <w:color w:val="2F5496"/>
          <w:lang w:val="en-GB"/>
        </w:rPr>
        <w:lastRenderedPageBreak/>
        <w:t xml:space="preserve">PILLAR VII - External </w:t>
      </w:r>
      <w:r w:rsidR="009B4122" w:rsidRPr="00D30847">
        <w:rPr>
          <w:rFonts w:ascii="Calibri" w:hAnsi="Calibri" w:cs="Calibri"/>
          <w:color w:val="2F5496"/>
          <w:lang w:val="en-GB"/>
        </w:rPr>
        <w:t>Audit</w:t>
      </w:r>
      <w:r w:rsidRPr="00D30847">
        <w:rPr>
          <w:rFonts w:ascii="Calibri" w:hAnsi="Calibri" w:cs="Calibri"/>
          <w:color w:val="2F5496"/>
          <w:lang w:val="en-GB"/>
        </w:rPr>
        <w:t xml:space="preserve"> and Parliamentary Oversight</w:t>
      </w:r>
      <w:bookmarkEnd w:id="62"/>
    </w:p>
    <w:p w14:paraId="689F3D93" w14:textId="18F30CEB" w:rsidR="00D144DD" w:rsidRPr="00D30847" w:rsidRDefault="00F3340A" w:rsidP="00D144DD">
      <w:pPr>
        <w:spacing w:line="240" w:lineRule="auto"/>
        <w:jc w:val="both"/>
        <w:rPr>
          <w:rFonts w:eastAsia="MS PGothic"/>
          <w:b/>
          <w:bCs/>
          <w:color w:val="4F81BD"/>
          <w:lang w:val="en-GB" w:eastAsia="zh-CN"/>
        </w:rPr>
      </w:pPr>
      <w:r w:rsidRPr="00D30847">
        <w:rPr>
          <w:rFonts w:eastAsia="MS PGothic"/>
          <w:b/>
          <w:bCs/>
          <w:color w:val="4F81BD"/>
          <w:lang w:val="en-GB" w:eastAsia="zh-CN"/>
        </w:rPr>
        <w:t>Introduction</w:t>
      </w:r>
    </w:p>
    <w:p w14:paraId="4381B6CB" w14:textId="6C9320D2" w:rsidR="00A70273" w:rsidRPr="00D30847" w:rsidRDefault="00A70273" w:rsidP="00A70273">
      <w:pPr>
        <w:spacing w:before="240" w:after="240" w:line="240" w:lineRule="auto"/>
        <w:jc w:val="both"/>
        <w:rPr>
          <w:lang w:val="en-GB"/>
        </w:rPr>
      </w:pPr>
      <w:r w:rsidRPr="00D30847">
        <w:rPr>
          <w:lang w:val="en-GB"/>
        </w:rPr>
        <w:t xml:space="preserve">SAO is the supreme audit institution of the Republic of North Macedonia with a mandate to perform state audit. SAO performs audit of financial statements, compliance audit and performance audits in accordance with the requirements of INTOSAI standards (ISSAIs). SAO's task is to examine/investigate, evaluate, and issue an opinion for the performed audit that will add value to the entire community. The results of SAO work and mandate aim to </w:t>
      </w:r>
      <w:r w:rsidR="002F500A" w:rsidRPr="00D30847">
        <w:rPr>
          <w:lang w:val="en-GB"/>
        </w:rPr>
        <w:t>fulfil</w:t>
      </w:r>
      <w:r w:rsidRPr="00D30847">
        <w:rPr>
          <w:lang w:val="en-GB"/>
        </w:rPr>
        <w:t xml:space="preserve"> the needs and expectations of SAO users for promoting and ensuring accountability, objectivity, and transparency in support of the country, as well as for wise and honest public funds management.</w:t>
      </w:r>
    </w:p>
    <w:p w14:paraId="76ED0507" w14:textId="592DD868" w:rsidR="00A70273" w:rsidRPr="00D30847" w:rsidRDefault="00A70273" w:rsidP="00A70273">
      <w:pPr>
        <w:spacing w:before="240" w:after="240" w:line="240" w:lineRule="auto"/>
        <w:jc w:val="both"/>
        <w:rPr>
          <w:lang w:val="en-GB"/>
        </w:rPr>
      </w:pPr>
      <w:r w:rsidRPr="00D30847">
        <w:rPr>
          <w:lang w:val="en-GB"/>
        </w:rPr>
        <w:t xml:space="preserve">In striving to </w:t>
      </w:r>
      <w:r w:rsidR="002F500A" w:rsidRPr="00D30847">
        <w:rPr>
          <w:lang w:val="en-GB"/>
        </w:rPr>
        <w:t>fulfil</w:t>
      </w:r>
      <w:r w:rsidRPr="00D30847">
        <w:rPr>
          <w:lang w:val="en-GB"/>
        </w:rPr>
        <w:t xml:space="preserve"> SAO mission, SAO must be independent ensure </w:t>
      </w:r>
      <w:r w:rsidR="00D30847" w:rsidRPr="00D30847">
        <w:rPr>
          <w:lang w:val="en-GB"/>
        </w:rPr>
        <w:t>its</w:t>
      </w:r>
      <w:r w:rsidRPr="00D30847">
        <w:rPr>
          <w:lang w:val="en-GB"/>
        </w:rPr>
        <w:t xml:space="preserve"> professionalism, ethics and integrity, carry out SAO tasks in accordance with the law and mandate, ensure continuous promotion of objectivity and transparency, be inspiring and innovative and lead by example for protecting the public interest and achieving high level of public trust. To achieve these values, SAO employees work devotedly as highly skilled professionals, protecting and respecting the interests of the audit profession.</w:t>
      </w:r>
    </w:p>
    <w:p w14:paraId="78A6E7B9" w14:textId="3BF08773" w:rsidR="00A70273" w:rsidRPr="00D30847" w:rsidRDefault="00A70273" w:rsidP="008E06E4">
      <w:pPr>
        <w:spacing w:before="240" w:after="240" w:line="240" w:lineRule="auto"/>
        <w:jc w:val="both"/>
        <w:rPr>
          <w:rFonts w:eastAsia="StobiSerifRegular-Identity-H" w:cs="Calibri"/>
          <w:lang w:val="en-GB"/>
        </w:rPr>
      </w:pPr>
      <w:r w:rsidRPr="00D30847">
        <w:rPr>
          <w:lang w:val="en-GB"/>
        </w:rPr>
        <w:t xml:space="preserve">The State Audit Office aims to help the Government and the Assembly to improve performance, enhance transparency, ensure accountability, maintain credibility, fight corruption, promote public trust, and foster the efficient and effective receipt and use of public resources for the value and benefits of their citizens. </w:t>
      </w:r>
      <w:r w:rsidRPr="00D30847">
        <w:rPr>
          <w:rFonts w:eastAsia="StobiSerifRegular-Identity-H" w:cs="Calibri"/>
          <w:lang w:val="en-GB"/>
        </w:rPr>
        <w:t xml:space="preserve">The effectiveness of the external audit and parliamentary oversight system will be strengthened by implementing measures and activities under the following two priorities: </w:t>
      </w:r>
    </w:p>
    <w:p w14:paraId="613F210D" w14:textId="77777777" w:rsidR="00EC04BB" w:rsidRPr="00E91268" w:rsidRDefault="00EC04BB" w:rsidP="00AD2AD5">
      <w:pPr>
        <w:pStyle w:val="ListParagraph"/>
        <w:numPr>
          <w:ilvl w:val="0"/>
          <w:numId w:val="73"/>
        </w:numPr>
        <w:autoSpaceDE w:val="0"/>
        <w:autoSpaceDN w:val="0"/>
        <w:adjustRightInd w:val="0"/>
        <w:spacing w:after="0" w:line="240" w:lineRule="auto"/>
        <w:rPr>
          <w:rFonts w:eastAsia="StobiSerifRegular-Identity-H" w:cs="Calibri"/>
          <w:b/>
        </w:rPr>
      </w:pPr>
      <w:r w:rsidRPr="00E91268">
        <w:rPr>
          <w:rFonts w:cs="Calibri"/>
          <w:b/>
          <w:color w:val="2C2825"/>
          <w:shd w:val="clear" w:color="auto" w:fill="FFFFFF"/>
        </w:rPr>
        <w:t xml:space="preserve">Priority 1: </w:t>
      </w:r>
      <w:r w:rsidRPr="00E91268">
        <w:rPr>
          <w:rFonts w:eastAsia="StobiSerifRegular-Identity-H" w:cs="Calibri"/>
          <w:b/>
        </w:rPr>
        <w:t>External Audit</w:t>
      </w:r>
    </w:p>
    <w:p w14:paraId="3B757469" w14:textId="77777777" w:rsidR="00EC04BB" w:rsidRPr="00E91268" w:rsidRDefault="00EC04BB" w:rsidP="00AD2AD5">
      <w:pPr>
        <w:pStyle w:val="ListParagraph"/>
        <w:numPr>
          <w:ilvl w:val="0"/>
          <w:numId w:val="73"/>
        </w:numPr>
        <w:autoSpaceDE w:val="0"/>
        <w:autoSpaceDN w:val="0"/>
        <w:adjustRightInd w:val="0"/>
        <w:spacing w:after="0" w:line="240" w:lineRule="auto"/>
        <w:rPr>
          <w:rFonts w:eastAsia="StobiSerifRegular-Identity-H" w:cs="Calibri"/>
          <w:b/>
        </w:rPr>
      </w:pPr>
      <w:r w:rsidRPr="00E91268">
        <w:rPr>
          <w:rFonts w:cs="Calibri"/>
          <w:b/>
          <w:color w:val="2C2825"/>
          <w:shd w:val="clear" w:color="auto" w:fill="FFFFFF"/>
        </w:rPr>
        <w:t xml:space="preserve">Priority 2: </w:t>
      </w:r>
      <w:r w:rsidRPr="00E91268">
        <w:rPr>
          <w:rFonts w:eastAsia="StobiSerifRegular-Identity-H" w:cs="Calibri"/>
          <w:b/>
        </w:rPr>
        <w:t>Parliamentary oversight</w:t>
      </w:r>
    </w:p>
    <w:p w14:paraId="0FE7CBAA" w14:textId="77777777" w:rsidR="000969C8" w:rsidRPr="00D30847" w:rsidRDefault="000969C8" w:rsidP="000969C8">
      <w:pPr>
        <w:autoSpaceDE w:val="0"/>
        <w:autoSpaceDN w:val="0"/>
        <w:adjustRightInd w:val="0"/>
        <w:spacing w:after="0" w:line="240" w:lineRule="auto"/>
        <w:jc w:val="both"/>
        <w:rPr>
          <w:rFonts w:eastAsia="StobiSerifRegular-Identity-H" w:cs="Calibri"/>
          <w:lang w:val="en-GB"/>
        </w:rPr>
      </w:pPr>
    </w:p>
    <w:p w14:paraId="4A7D0004" w14:textId="77777777" w:rsidR="000969C8" w:rsidRPr="00D30847" w:rsidRDefault="000969C8" w:rsidP="000969C8">
      <w:pPr>
        <w:autoSpaceDE w:val="0"/>
        <w:autoSpaceDN w:val="0"/>
        <w:adjustRightInd w:val="0"/>
        <w:spacing w:after="0" w:line="240" w:lineRule="auto"/>
        <w:jc w:val="both"/>
        <w:rPr>
          <w:rFonts w:eastAsia="StobiSerifRegular-Identity-H" w:cs="Calibri"/>
          <w:b/>
          <w:lang w:val="en-GB"/>
        </w:rPr>
      </w:pPr>
      <w:r w:rsidRPr="00D30847">
        <w:rPr>
          <w:rFonts w:cs="Calibri"/>
          <w:b/>
          <w:color w:val="2C2825"/>
          <w:shd w:val="clear" w:color="auto" w:fill="FFFFFF"/>
          <w:lang w:val="en-GB"/>
        </w:rPr>
        <w:t xml:space="preserve">Priority 1: </w:t>
      </w:r>
      <w:r w:rsidRPr="00D30847">
        <w:rPr>
          <w:rFonts w:eastAsia="StobiSerifRegular-Identity-H" w:cs="Calibri"/>
          <w:b/>
          <w:lang w:val="en-GB"/>
        </w:rPr>
        <w:t>External Audit</w:t>
      </w:r>
    </w:p>
    <w:p w14:paraId="38766954" w14:textId="66879A0F" w:rsidR="000969C8" w:rsidRPr="00D30847" w:rsidRDefault="000969C8" w:rsidP="000969C8">
      <w:pPr>
        <w:autoSpaceDE w:val="0"/>
        <w:autoSpaceDN w:val="0"/>
        <w:adjustRightInd w:val="0"/>
        <w:spacing w:before="120" w:line="240" w:lineRule="auto"/>
        <w:jc w:val="both"/>
        <w:rPr>
          <w:rFonts w:cs="Calibri"/>
          <w:bCs/>
          <w:iCs/>
          <w:lang w:val="en-GB"/>
        </w:rPr>
      </w:pPr>
      <w:r w:rsidRPr="00D30847">
        <w:rPr>
          <w:rFonts w:eastAsia="Times New Roman" w:cs="Calibri"/>
          <w:color w:val="202124"/>
          <w:lang w:val="en-GB"/>
        </w:rPr>
        <w:t>Strengthening public finance management and ensuring transparency and accountability of the use of public funds through will be achieved by strengthening external audit legal framework and institutional capacity. of the human resources of the SAO, including audits of local self-government and public enterprises at the local and central level and</w:t>
      </w:r>
      <w:r w:rsidR="00F3340A" w:rsidRPr="00D30847">
        <w:rPr>
          <w:rFonts w:eastAsia="Times New Roman" w:cs="Calibri"/>
          <w:color w:val="202124"/>
          <w:lang w:val="en-GB"/>
        </w:rPr>
        <w:t xml:space="preserve"> </w:t>
      </w:r>
      <w:r w:rsidR="00AC245B" w:rsidRPr="00D30847">
        <w:rPr>
          <w:rFonts w:cs="Calibri"/>
          <w:bCs/>
          <w:iCs/>
          <w:lang w:val="en-GB"/>
        </w:rPr>
        <w:t>trade companies in</w:t>
      </w:r>
      <w:r w:rsidR="00F3340A" w:rsidRPr="00D30847">
        <w:rPr>
          <w:rFonts w:cs="Calibri"/>
          <w:bCs/>
          <w:iCs/>
          <w:lang w:val="en-GB"/>
        </w:rPr>
        <w:t xml:space="preserve"> </w:t>
      </w:r>
      <w:r w:rsidRPr="00D30847">
        <w:rPr>
          <w:rFonts w:cs="Calibri"/>
          <w:bCs/>
          <w:iCs/>
          <w:lang w:val="en-GB"/>
        </w:rPr>
        <w:t>state</w:t>
      </w:r>
      <w:r w:rsidR="00F3340A" w:rsidRPr="00D30847">
        <w:rPr>
          <w:rFonts w:cs="Calibri"/>
          <w:bCs/>
          <w:iCs/>
          <w:lang w:val="en-GB"/>
        </w:rPr>
        <w:t xml:space="preserve"> </w:t>
      </w:r>
      <w:r w:rsidRPr="00D30847">
        <w:rPr>
          <w:rFonts w:cs="Calibri"/>
          <w:bCs/>
          <w:iCs/>
          <w:lang w:val="en-GB"/>
        </w:rPr>
        <w:t>ownership.</w:t>
      </w:r>
    </w:p>
    <w:p w14:paraId="31B3871F" w14:textId="77777777" w:rsidR="000969C8" w:rsidRPr="00D30847" w:rsidRDefault="000969C8" w:rsidP="000969C8">
      <w:pPr>
        <w:spacing w:before="240" w:after="240" w:line="240" w:lineRule="auto"/>
        <w:jc w:val="both"/>
        <w:rPr>
          <w:rFonts w:eastAsia="Times New Roman" w:cs="Calibri"/>
          <w:color w:val="202124"/>
          <w:lang w:val="en-GB"/>
        </w:rPr>
      </w:pPr>
      <w:r w:rsidRPr="00D30847">
        <w:rPr>
          <w:rFonts w:eastAsia="Times New Roman" w:cs="Calibri"/>
          <w:color w:val="202124"/>
          <w:lang w:val="en-GB"/>
        </w:rPr>
        <w:t>The priorities will contribute to improving public finance management and providing transparency and accountability in the use of public funds by strengthening external audit legal framework through achieving SAO constitutional independence, strengthening SAO financial and operational independence in line with INTOSAI principles, standards and guidelines and strengthening SAO institutional and human resource capacities.</w:t>
      </w:r>
    </w:p>
    <w:p w14:paraId="4F536E4D" w14:textId="77777777" w:rsidR="000969C8" w:rsidRPr="00D30847" w:rsidRDefault="000969C8" w:rsidP="000969C8">
      <w:pPr>
        <w:spacing w:before="240" w:after="240" w:line="240" w:lineRule="auto"/>
        <w:jc w:val="both"/>
        <w:rPr>
          <w:rFonts w:eastAsia="Times New Roman" w:cs="Calibri"/>
          <w:color w:val="202124"/>
          <w:lang w:val="en-GB"/>
        </w:rPr>
      </w:pPr>
      <w:r w:rsidRPr="00D30847">
        <w:rPr>
          <w:rFonts w:eastAsia="Times New Roman" w:cs="Calibri"/>
          <w:color w:val="202124"/>
          <w:lang w:val="en-GB"/>
        </w:rPr>
        <w:t>By increasing SAO visibility and improving communication processes with stakeholders via electronic tools and media, the effects of performed audits and added value of SAO operation will also increase.</w:t>
      </w:r>
    </w:p>
    <w:p w14:paraId="06BBB7DB" w14:textId="617474A0" w:rsidR="000969C8" w:rsidRPr="00D30847" w:rsidRDefault="000969C8" w:rsidP="008E06E4">
      <w:pPr>
        <w:spacing w:before="240" w:after="240" w:line="240" w:lineRule="auto"/>
        <w:jc w:val="both"/>
        <w:rPr>
          <w:rFonts w:eastAsia="Times New Roman" w:cs="Calibri"/>
          <w:color w:val="202124"/>
          <w:lang w:val="en-GB"/>
        </w:rPr>
      </w:pPr>
      <w:r w:rsidRPr="00D30847">
        <w:rPr>
          <w:rFonts w:eastAsia="Times New Roman" w:cs="Calibri"/>
          <w:color w:val="202124"/>
          <w:lang w:val="en-GB"/>
        </w:rPr>
        <w:t>The efficiency of state audit will be improved through modernization of audit processes and use of modern equipment and working conditions, as well as modern audit tools</w:t>
      </w:r>
      <w:r w:rsidR="008E06E4" w:rsidRPr="00D30847">
        <w:rPr>
          <w:rFonts w:eastAsia="Times New Roman" w:cs="Calibri"/>
          <w:color w:val="202124"/>
          <w:lang w:val="en-GB"/>
        </w:rPr>
        <w:t>, methodologies and techniques.</w:t>
      </w:r>
    </w:p>
    <w:p w14:paraId="6A8902E1" w14:textId="2BDBBFC4" w:rsidR="000969C8" w:rsidRPr="00D30847" w:rsidRDefault="000969C8" w:rsidP="000969C8">
      <w:pPr>
        <w:autoSpaceDE w:val="0"/>
        <w:autoSpaceDN w:val="0"/>
        <w:adjustRightInd w:val="0"/>
        <w:spacing w:after="0" w:line="240" w:lineRule="auto"/>
        <w:jc w:val="both"/>
        <w:rPr>
          <w:rFonts w:eastAsia="StobiSerifRegular-Identity-H" w:cs="Calibri"/>
          <w:b/>
          <w:lang w:val="en-GB"/>
        </w:rPr>
      </w:pPr>
      <w:r w:rsidRPr="00D30847">
        <w:rPr>
          <w:rFonts w:cs="Calibri"/>
          <w:b/>
          <w:color w:val="2C2825"/>
          <w:shd w:val="clear" w:color="auto" w:fill="FFFFFF"/>
          <w:lang w:val="en-GB"/>
        </w:rPr>
        <w:t xml:space="preserve">Priority 2: </w:t>
      </w:r>
      <w:r w:rsidR="00F3340A" w:rsidRPr="00D30847">
        <w:rPr>
          <w:rFonts w:eastAsia="StobiSerifRegular-Identity-H" w:cs="Calibri"/>
          <w:b/>
          <w:lang w:val="en-GB"/>
        </w:rPr>
        <w:t>Parliamentary</w:t>
      </w:r>
      <w:r w:rsidRPr="00D30847">
        <w:rPr>
          <w:rFonts w:eastAsia="StobiSerifRegular-Identity-H" w:cs="Calibri"/>
          <w:b/>
          <w:lang w:val="en-GB"/>
        </w:rPr>
        <w:t xml:space="preserve"> oversight</w:t>
      </w:r>
    </w:p>
    <w:p w14:paraId="3BDB9A9E" w14:textId="6061918C" w:rsidR="002E4AA9" w:rsidRPr="00D30847" w:rsidRDefault="000969C8" w:rsidP="00D3676F">
      <w:pPr>
        <w:spacing w:before="240" w:after="240" w:line="240" w:lineRule="auto"/>
        <w:jc w:val="both"/>
        <w:rPr>
          <w:rFonts w:eastAsia="Times New Roman" w:cs="Calibri"/>
          <w:color w:val="202124"/>
          <w:lang w:val="en-GB"/>
        </w:rPr>
      </w:pPr>
      <w:r w:rsidRPr="00D30847">
        <w:rPr>
          <w:rFonts w:eastAsia="Times New Roman" w:cs="Calibri"/>
          <w:color w:val="202124"/>
          <w:lang w:val="en-GB"/>
        </w:rPr>
        <w:t>Setting up effective mechanism for reviewing audit reports by the Assembly as well as for taking measures upon audit recommendations, and strengthening institutional capacities for reviewing audit reports in the Assembly, will strengthen the effects of audit, and the accountability and transparency in the use of public funds.</w:t>
      </w:r>
    </w:p>
    <w:p w14:paraId="49346723" w14:textId="5A88596D" w:rsidR="007733B2" w:rsidRPr="00D30847" w:rsidRDefault="007733B2" w:rsidP="00E86FCA">
      <w:pPr>
        <w:pStyle w:val="Heading1"/>
        <w:rPr>
          <w:rFonts w:ascii="Calibri" w:eastAsia="MS PGothic" w:hAnsi="Calibri" w:cs="Calibri"/>
          <w:color w:val="2F5496"/>
          <w:sz w:val="28"/>
          <w:szCs w:val="28"/>
          <w:lang w:val="en-GB"/>
        </w:rPr>
      </w:pPr>
      <w:bookmarkStart w:id="63" w:name="_Toc187841822"/>
      <w:r w:rsidRPr="00D30847">
        <w:rPr>
          <w:rFonts w:ascii="Calibri" w:eastAsia="MS PGothic" w:hAnsi="Calibri" w:cs="Calibri"/>
          <w:color w:val="2F5496"/>
          <w:sz w:val="28"/>
          <w:szCs w:val="28"/>
          <w:lang w:val="en-GB"/>
        </w:rPr>
        <w:lastRenderedPageBreak/>
        <w:t>Priority 1: External Audit</w:t>
      </w:r>
      <w:bookmarkEnd w:id="63"/>
    </w:p>
    <w:p w14:paraId="3E267E67" w14:textId="77777777" w:rsidR="007733B2" w:rsidRPr="00D30847" w:rsidRDefault="007733B2" w:rsidP="00E84CD0">
      <w:pPr>
        <w:keepNext/>
        <w:keepLines/>
        <w:spacing w:before="120" w:line="240" w:lineRule="auto"/>
        <w:jc w:val="both"/>
        <w:outlineLvl w:val="3"/>
        <w:rPr>
          <w:rFonts w:cs="Calibri"/>
          <w:b/>
          <w:bCs/>
          <w:i/>
          <w:iCs/>
          <w:color w:val="4F81BD"/>
          <w:lang w:val="en-GB"/>
        </w:rPr>
      </w:pPr>
      <w:r w:rsidRPr="00D30847">
        <w:rPr>
          <w:rFonts w:cs="Calibri"/>
          <w:b/>
          <w:bCs/>
          <w:i/>
          <w:iCs/>
          <w:color w:val="4F81BD"/>
          <w:lang w:val="en-GB"/>
        </w:rPr>
        <w:t>Objective</w:t>
      </w:r>
    </w:p>
    <w:p w14:paraId="2962E3A8" w14:textId="7B2E0F68" w:rsidR="00764B1D" w:rsidRPr="00D30847" w:rsidRDefault="000969C8" w:rsidP="00EC04BB">
      <w:pPr>
        <w:autoSpaceDE w:val="0"/>
        <w:autoSpaceDN w:val="0"/>
        <w:adjustRightInd w:val="0"/>
        <w:spacing w:before="120" w:line="240" w:lineRule="auto"/>
        <w:jc w:val="both"/>
        <w:rPr>
          <w:rFonts w:eastAsia="Times New Roman" w:cs="Calibri"/>
          <w:color w:val="202124"/>
          <w:lang w:val="en-GB"/>
        </w:rPr>
      </w:pPr>
      <w:bookmarkStart w:id="64" w:name="_Hlk156797422"/>
      <w:r w:rsidRPr="00D30847">
        <w:rPr>
          <w:rFonts w:eastAsia="Times New Roman" w:cs="Calibri"/>
          <w:color w:val="202124"/>
          <w:lang w:val="en-GB"/>
        </w:rPr>
        <w:t xml:space="preserve">Strengthening public finance management and ensuring transparency and accountability of the use of public funds by strengthening external audit legal framework, institutional </w:t>
      </w:r>
      <w:r w:rsidR="00F3340A" w:rsidRPr="00D30847">
        <w:rPr>
          <w:rFonts w:eastAsia="Times New Roman" w:cs="Calibri"/>
          <w:color w:val="202124"/>
          <w:lang w:val="en-GB"/>
        </w:rPr>
        <w:t>capacity and</w:t>
      </w:r>
      <w:r w:rsidRPr="00D30847">
        <w:rPr>
          <w:rFonts w:eastAsia="Times New Roman" w:cs="Calibri"/>
          <w:color w:val="202124"/>
          <w:lang w:val="en-GB"/>
        </w:rPr>
        <w:t xml:space="preserve"> human resources of the SAO for audits, inclu</w:t>
      </w:r>
      <w:r w:rsidR="00C34014" w:rsidRPr="00D30847">
        <w:rPr>
          <w:rFonts w:eastAsia="Times New Roman" w:cs="Calibri"/>
          <w:color w:val="202124"/>
          <w:lang w:val="en-GB"/>
        </w:rPr>
        <w:t>ding the audits of</w:t>
      </w:r>
      <w:r w:rsidRPr="00D30847">
        <w:rPr>
          <w:rFonts w:eastAsia="Times New Roman" w:cs="Calibri"/>
          <w:color w:val="202124"/>
          <w:lang w:val="en-GB"/>
        </w:rPr>
        <w:t xml:space="preserve"> local self-government and public enterprises at the local and central level and</w:t>
      </w:r>
      <w:r w:rsidR="00C34014" w:rsidRPr="00D30847">
        <w:rPr>
          <w:rFonts w:eastAsia="Times New Roman" w:cs="Calibri"/>
          <w:color w:val="202124"/>
          <w:lang w:val="en-GB"/>
        </w:rPr>
        <w:t xml:space="preserve"> </w:t>
      </w:r>
      <w:r w:rsidR="00AC245B" w:rsidRPr="00D30847">
        <w:rPr>
          <w:rFonts w:cs="Calibri"/>
          <w:bCs/>
          <w:iCs/>
          <w:lang w:val="en-GB"/>
        </w:rPr>
        <w:t>trade companies in</w:t>
      </w:r>
      <w:r w:rsidR="00C34014" w:rsidRPr="00D30847">
        <w:rPr>
          <w:rFonts w:cs="Calibri"/>
          <w:bCs/>
          <w:iCs/>
          <w:lang w:val="en-GB"/>
        </w:rPr>
        <w:t xml:space="preserve"> </w:t>
      </w:r>
      <w:r w:rsidRPr="00D30847">
        <w:rPr>
          <w:rFonts w:cs="Calibri"/>
          <w:bCs/>
          <w:iCs/>
          <w:lang w:val="en-GB"/>
        </w:rPr>
        <w:t>in</w:t>
      </w:r>
      <w:r w:rsidR="00C34014" w:rsidRPr="00D30847">
        <w:rPr>
          <w:rFonts w:cs="Calibri"/>
          <w:bCs/>
          <w:iCs/>
          <w:lang w:val="en-GB"/>
        </w:rPr>
        <w:t xml:space="preserve"> </w:t>
      </w:r>
      <w:r w:rsidRPr="00D30847">
        <w:rPr>
          <w:rFonts w:cs="Calibri"/>
          <w:bCs/>
          <w:iCs/>
          <w:lang w:val="en-GB"/>
        </w:rPr>
        <w:t>state</w:t>
      </w:r>
      <w:r w:rsidR="00C34014" w:rsidRPr="00D30847">
        <w:rPr>
          <w:rFonts w:cs="Calibri"/>
          <w:bCs/>
          <w:iCs/>
          <w:lang w:val="en-GB"/>
        </w:rPr>
        <w:t xml:space="preserve"> </w:t>
      </w:r>
      <w:r w:rsidRPr="00D30847">
        <w:rPr>
          <w:rFonts w:cs="Calibri"/>
          <w:bCs/>
          <w:iCs/>
          <w:lang w:val="en-GB"/>
        </w:rPr>
        <w:t>ownership.</w:t>
      </w:r>
      <w:bookmarkEnd w:id="64"/>
    </w:p>
    <w:p w14:paraId="51C47028" w14:textId="77777777" w:rsidR="007733B2" w:rsidRPr="00D30847" w:rsidRDefault="007733B2" w:rsidP="00E84CD0">
      <w:pPr>
        <w:autoSpaceDE w:val="0"/>
        <w:autoSpaceDN w:val="0"/>
        <w:adjustRightInd w:val="0"/>
        <w:spacing w:before="120" w:line="240" w:lineRule="auto"/>
        <w:jc w:val="both"/>
        <w:rPr>
          <w:rFonts w:eastAsia="Times New Roman" w:cs="Calibri"/>
          <w:color w:val="202124"/>
          <w:lang w:val="en-GB"/>
        </w:rPr>
      </w:pPr>
      <w:r w:rsidRPr="00D30847">
        <w:rPr>
          <w:rFonts w:eastAsia="Times New Roman" w:cs="Calibri"/>
          <w:color w:val="202124"/>
          <w:lang w:val="en-GB"/>
        </w:rPr>
        <w:t>The objective of this priority will be achieved through the following measures and activities:</w:t>
      </w:r>
    </w:p>
    <w:tbl>
      <w:tblPr>
        <w:tblpPr w:leftFromText="180" w:rightFromText="180" w:vertAnchor="text" w:tblpX="548" w:tblpY="1"/>
        <w:tblOverlap w:val="never"/>
        <w:tblW w:w="8140" w:type="dxa"/>
        <w:tblLook w:val="01E0" w:firstRow="1" w:lastRow="1" w:firstColumn="1" w:lastColumn="1" w:noHBand="0" w:noVBand="0"/>
      </w:tblPr>
      <w:tblGrid>
        <w:gridCol w:w="1437"/>
        <w:gridCol w:w="6703"/>
      </w:tblGrid>
      <w:tr w:rsidR="007733B2" w:rsidRPr="00D30847" w14:paraId="48999400" w14:textId="77777777" w:rsidTr="00860277">
        <w:trPr>
          <w:trHeight w:val="698"/>
        </w:trPr>
        <w:tc>
          <w:tcPr>
            <w:tcW w:w="1437" w:type="dxa"/>
            <w:shd w:val="clear" w:color="auto" w:fill="auto"/>
          </w:tcPr>
          <w:p w14:paraId="780F9D59" w14:textId="77777777" w:rsidR="007733B2" w:rsidRPr="00D30847" w:rsidRDefault="007733B2" w:rsidP="008A2E35">
            <w:pPr>
              <w:tabs>
                <w:tab w:val="left" w:pos="1250"/>
              </w:tabs>
              <w:spacing w:before="120" w:after="0" w:line="240" w:lineRule="auto"/>
              <w:ind w:left="165"/>
              <w:jc w:val="both"/>
              <w:rPr>
                <w:rFonts w:cs="Calibri"/>
                <w:b/>
                <w:bCs/>
                <w:iCs/>
                <w:lang w:val="en-GB"/>
              </w:rPr>
            </w:pPr>
            <w:r w:rsidRPr="00D30847">
              <w:rPr>
                <w:rFonts w:cs="Calibri"/>
                <w:b/>
                <w:bCs/>
                <w:iCs/>
                <w:lang w:val="en-GB"/>
              </w:rPr>
              <w:t>Measure 1:</w:t>
            </w:r>
          </w:p>
        </w:tc>
        <w:tc>
          <w:tcPr>
            <w:tcW w:w="6703" w:type="dxa"/>
            <w:shd w:val="clear" w:color="auto" w:fill="auto"/>
          </w:tcPr>
          <w:p w14:paraId="0A1451FA" w14:textId="7909DB5F" w:rsidR="007733B2" w:rsidRPr="00D30847" w:rsidRDefault="00DB0A35" w:rsidP="008A2E35">
            <w:pPr>
              <w:tabs>
                <w:tab w:val="left" w:pos="1250"/>
              </w:tabs>
              <w:spacing w:before="120" w:after="0" w:line="240" w:lineRule="auto"/>
              <w:ind w:left="165"/>
              <w:jc w:val="both"/>
              <w:rPr>
                <w:rFonts w:cs="Calibri"/>
                <w:b/>
                <w:bCs/>
                <w:iCs/>
                <w:lang w:val="en-GB"/>
              </w:rPr>
            </w:pPr>
            <w:r w:rsidRPr="00D30847">
              <w:rPr>
                <w:rFonts w:cs="Calibri"/>
                <w:b/>
                <w:bCs/>
                <w:iCs/>
                <w:lang w:val="en-GB"/>
              </w:rPr>
              <w:t>Strengthen the  legal framework for external audit</w:t>
            </w:r>
          </w:p>
        </w:tc>
      </w:tr>
      <w:tr w:rsidR="007733B2" w:rsidRPr="00D30847" w14:paraId="0EBD568F" w14:textId="77777777" w:rsidTr="008E06E4">
        <w:trPr>
          <w:trHeight w:val="863"/>
        </w:trPr>
        <w:tc>
          <w:tcPr>
            <w:tcW w:w="1437" w:type="dxa"/>
            <w:shd w:val="clear" w:color="auto" w:fill="auto"/>
          </w:tcPr>
          <w:p w14:paraId="46CF95F9" w14:textId="77777777" w:rsidR="007733B2" w:rsidRPr="00D30847" w:rsidRDefault="007733B2" w:rsidP="008A2E35">
            <w:pPr>
              <w:spacing w:after="0" w:line="240" w:lineRule="auto"/>
              <w:ind w:left="165"/>
              <w:jc w:val="both"/>
              <w:rPr>
                <w:rFonts w:eastAsia="Times New Roman" w:cs="Calibri"/>
                <w:lang w:val="en-GB"/>
              </w:rPr>
            </w:pPr>
            <w:r w:rsidRPr="00D30847">
              <w:rPr>
                <w:rFonts w:eastAsia="Times New Roman" w:cs="Calibri"/>
                <w:lang w:val="en-GB"/>
              </w:rPr>
              <w:t>Activity 1</w:t>
            </w:r>
          </w:p>
        </w:tc>
        <w:tc>
          <w:tcPr>
            <w:tcW w:w="6703" w:type="dxa"/>
            <w:shd w:val="clear" w:color="auto" w:fill="auto"/>
          </w:tcPr>
          <w:p w14:paraId="3D736382" w14:textId="3B7D97E4" w:rsidR="007733B2" w:rsidRPr="00D30847" w:rsidRDefault="000969C8" w:rsidP="008A2E35">
            <w:pPr>
              <w:spacing w:after="0" w:line="240" w:lineRule="auto"/>
              <w:ind w:left="165"/>
              <w:jc w:val="both"/>
              <w:rPr>
                <w:rFonts w:eastAsia="Times New Roman" w:cs="Calibri"/>
                <w:lang w:val="en-GB"/>
              </w:rPr>
            </w:pPr>
            <w:r w:rsidRPr="00D30847">
              <w:rPr>
                <w:rFonts w:eastAsia="Times New Roman" w:cs="Calibri"/>
                <w:lang w:val="en-GB"/>
              </w:rPr>
              <w:t>Approval of constitutional changes to achieve constitutional independence of the SAO in accordance with the principles, standards and guidelines of INTOSAI</w:t>
            </w:r>
            <w:r w:rsidR="008E06E4" w:rsidRPr="00D30847">
              <w:rPr>
                <w:rFonts w:eastAsia="Times New Roman" w:cs="Calibri"/>
                <w:lang w:val="en-GB"/>
              </w:rPr>
              <w:t>;</w:t>
            </w:r>
          </w:p>
        </w:tc>
      </w:tr>
      <w:tr w:rsidR="007733B2" w:rsidRPr="00D30847" w14:paraId="4F0BDC52" w14:textId="77777777" w:rsidTr="00860277">
        <w:trPr>
          <w:trHeight w:val="698"/>
        </w:trPr>
        <w:tc>
          <w:tcPr>
            <w:tcW w:w="1437" w:type="dxa"/>
            <w:shd w:val="clear" w:color="auto" w:fill="auto"/>
          </w:tcPr>
          <w:p w14:paraId="10AE67BF" w14:textId="77777777" w:rsidR="007733B2" w:rsidRPr="00D30847" w:rsidRDefault="007733B2" w:rsidP="008A2E35">
            <w:pPr>
              <w:spacing w:after="0" w:line="240" w:lineRule="auto"/>
              <w:ind w:left="165"/>
              <w:jc w:val="both"/>
              <w:rPr>
                <w:rFonts w:eastAsia="Times New Roman" w:cs="Calibri"/>
                <w:lang w:val="en-GB"/>
              </w:rPr>
            </w:pPr>
            <w:r w:rsidRPr="00D30847">
              <w:rPr>
                <w:rFonts w:eastAsia="Times New Roman" w:cs="Calibri"/>
                <w:lang w:val="en-GB"/>
              </w:rPr>
              <w:t>Activity 2:</w:t>
            </w:r>
          </w:p>
        </w:tc>
        <w:tc>
          <w:tcPr>
            <w:tcW w:w="6703" w:type="dxa"/>
            <w:shd w:val="clear" w:color="auto" w:fill="auto"/>
          </w:tcPr>
          <w:p w14:paraId="0DCEBBEB" w14:textId="5592D845" w:rsidR="007733B2" w:rsidRPr="00D30847" w:rsidRDefault="00C34014" w:rsidP="008A2E35">
            <w:pPr>
              <w:spacing w:after="0" w:line="240" w:lineRule="auto"/>
              <w:ind w:left="165"/>
              <w:jc w:val="both"/>
              <w:rPr>
                <w:rFonts w:eastAsia="Times New Roman" w:cs="Calibri"/>
                <w:lang w:val="en-GB"/>
              </w:rPr>
            </w:pPr>
            <w:r w:rsidRPr="00D30847">
              <w:rPr>
                <w:rFonts w:eastAsia="Times New Roman" w:cs="Calibri"/>
                <w:lang w:val="en-GB"/>
              </w:rPr>
              <w:t>Approval of</w:t>
            </w:r>
            <w:r w:rsidR="000969C8" w:rsidRPr="00D30847">
              <w:rPr>
                <w:rFonts w:eastAsia="Times New Roman" w:cs="Calibri"/>
                <w:lang w:val="en-GB"/>
              </w:rPr>
              <w:t xml:space="preserve"> external audit legal framework aimed at strengthening financial and operational independence of SAO in line with INTOSAI principles, standards and guidelines.</w:t>
            </w:r>
          </w:p>
        </w:tc>
      </w:tr>
      <w:tr w:rsidR="007733B2" w:rsidRPr="00D30847" w14:paraId="48033B09" w14:textId="77777777" w:rsidTr="00860277">
        <w:trPr>
          <w:trHeight w:val="698"/>
        </w:trPr>
        <w:tc>
          <w:tcPr>
            <w:tcW w:w="1437" w:type="dxa"/>
            <w:shd w:val="clear" w:color="auto" w:fill="auto"/>
          </w:tcPr>
          <w:p w14:paraId="1510073D" w14:textId="77777777" w:rsidR="007733B2" w:rsidRPr="00D30847" w:rsidRDefault="007733B2" w:rsidP="008A2E35">
            <w:pPr>
              <w:tabs>
                <w:tab w:val="left" w:pos="1250"/>
              </w:tabs>
              <w:spacing w:before="120" w:after="0" w:line="240" w:lineRule="auto"/>
              <w:ind w:left="165"/>
              <w:jc w:val="both"/>
              <w:rPr>
                <w:rFonts w:cs="Calibri"/>
                <w:b/>
                <w:bCs/>
                <w:iCs/>
                <w:lang w:val="en-GB"/>
              </w:rPr>
            </w:pPr>
            <w:r w:rsidRPr="00D30847">
              <w:rPr>
                <w:rFonts w:cs="Calibri"/>
                <w:b/>
                <w:bCs/>
                <w:iCs/>
                <w:lang w:val="en-GB"/>
              </w:rPr>
              <w:t>Measure 2:</w:t>
            </w:r>
          </w:p>
        </w:tc>
        <w:tc>
          <w:tcPr>
            <w:tcW w:w="6703" w:type="dxa"/>
            <w:shd w:val="clear" w:color="auto" w:fill="auto"/>
          </w:tcPr>
          <w:p w14:paraId="4A4B5B88" w14:textId="098CDD72" w:rsidR="007733B2" w:rsidRPr="00D30847" w:rsidRDefault="00A70273" w:rsidP="008A2E35">
            <w:pPr>
              <w:tabs>
                <w:tab w:val="left" w:pos="1250"/>
              </w:tabs>
              <w:spacing w:before="120" w:after="0" w:line="240" w:lineRule="auto"/>
              <w:ind w:left="165"/>
              <w:jc w:val="both"/>
              <w:rPr>
                <w:rFonts w:cs="Calibri"/>
                <w:b/>
                <w:bCs/>
                <w:iCs/>
                <w:lang w:val="en-GB"/>
              </w:rPr>
            </w:pPr>
            <w:r w:rsidRPr="00D30847">
              <w:rPr>
                <w:rFonts w:cs="Calibri"/>
                <w:b/>
                <w:bCs/>
                <w:iCs/>
                <w:lang w:val="en-GB"/>
              </w:rPr>
              <w:t xml:space="preserve">Strengthen the institutional capacity and human </w:t>
            </w:r>
            <w:r w:rsidR="008E06E4" w:rsidRPr="00D30847">
              <w:rPr>
                <w:rFonts w:cs="Calibri"/>
                <w:b/>
                <w:bCs/>
                <w:iCs/>
                <w:lang w:val="en-GB"/>
              </w:rPr>
              <w:t xml:space="preserve">resource capacities of the SAO </w:t>
            </w:r>
          </w:p>
        </w:tc>
      </w:tr>
      <w:tr w:rsidR="007733B2" w:rsidRPr="00D30847" w14:paraId="58A84DAB" w14:textId="77777777" w:rsidTr="00860277">
        <w:trPr>
          <w:trHeight w:val="698"/>
        </w:trPr>
        <w:tc>
          <w:tcPr>
            <w:tcW w:w="1437" w:type="dxa"/>
            <w:shd w:val="clear" w:color="auto" w:fill="auto"/>
          </w:tcPr>
          <w:p w14:paraId="3EFC9ED0" w14:textId="77777777" w:rsidR="007733B2" w:rsidRPr="00D30847" w:rsidRDefault="007733B2" w:rsidP="008A2E35">
            <w:pPr>
              <w:spacing w:after="0" w:line="240" w:lineRule="auto"/>
              <w:ind w:left="165"/>
              <w:jc w:val="both"/>
              <w:rPr>
                <w:rFonts w:eastAsia="Times New Roman" w:cs="Calibri"/>
                <w:lang w:val="en-GB"/>
              </w:rPr>
            </w:pPr>
            <w:r w:rsidRPr="00D30847">
              <w:rPr>
                <w:rFonts w:eastAsia="Times New Roman" w:cs="Calibri"/>
                <w:lang w:val="en-GB"/>
              </w:rPr>
              <w:t>Activity 1:</w:t>
            </w:r>
          </w:p>
        </w:tc>
        <w:tc>
          <w:tcPr>
            <w:tcW w:w="6703" w:type="dxa"/>
            <w:shd w:val="clear" w:color="auto" w:fill="auto"/>
          </w:tcPr>
          <w:p w14:paraId="7C656388" w14:textId="77777777" w:rsidR="007733B2" w:rsidRPr="00D30847" w:rsidRDefault="00764B1D" w:rsidP="008A2E35">
            <w:pPr>
              <w:spacing w:after="0" w:line="240" w:lineRule="auto"/>
              <w:ind w:left="165"/>
              <w:jc w:val="both"/>
              <w:rPr>
                <w:rFonts w:eastAsia="Times New Roman" w:cs="Calibri"/>
                <w:lang w:val="en-GB"/>
              </w:rPr>
            </w:pPr>
            <w:r w:rsidRPr="00D30847">
              <w:rPr>
                <w:rFonts w:eastAsia="Times New Roman" w:cs="Calibri"/>
                <w:lang w:val="en-GB"/>
              </w:rPr>
              <w:t>Implementation of adopted strategic, planning and methodological acts and adoption of new methodological acts of the SAO;</w:t>
            </w:r>
          </w:p>
        </w:tc>
      </w:tr>
      <w:tr w:rsidR="007733B2" w:rsidRPr="00D30847" w14:paraId="7C0582EE" w14:textId="77777777" w:rsidTr="00860277">
        <w:trPr>
          <w:trHeight w:val="389"/>
        </w:trPr>
        <w:tc>
          <w:tcPr>
            <w:tcW w:w="1437" w:type="dxa"/>
            <w:shd w:val="clear" w:color="auto" w:fill="auto"/>
          </w:tcPr>
          <w:p w14:paraId="4BB87D4D" w14:textId="77777777" w:rsidR="007733B2" w:rsidRPr="00D30847" w:rsidRDefault="007733B2" w:rsidP="008A2E35">
            <w:pPr>
              <w:spacing w:after="0" w:line="240" w:lineRule="auto"/>
              <w:ind w:left="165"/>
              <w:jc w:val="both"/>
              <w:rPr>
                <w:rFonts w:eastAsia="Times New Roman" w:cs="Calibri"/>
                <w:lang w:val="en-GB"/>
              </w:rPr>
            </w:pPr>
            <w:r w:rsidRPr="00D30847">
              <w:rPr>
                <w:rFonts w:eastAsia="Times New Roman" w:cs="Calibri"/>
                <w:lang w:val="en-GB"/>
              </w:rPr>
              <w:t>Activity 2:</w:t>
            </w:r>
          </w:p>
        </w:tc>
        <w:tc>
          <w:tcPr>
            <w:tcW w:w="6703" w:type="dxa"/>
            <w:shd w:val="clear" w:color="auto" w:fill="auto"/>
          </w:tcPr>
          <w:p w14:paraId="7FABC730" w14:textId="77777777" w:rsidR="007733B2" w:rsidRPr="00D30847" w:rsidRDefault="007733B2" w:rsidP="008A2E35">
            <w:pPr>
              <w:spacing w:after="0" w:line="240" w:lineRule="auto"/>
              <w:ind w:left="165"/>
              <w:jc w:val="both"/>
              <w:rPr>
                <w:rFonts w:eastAsia="Times New Roman" w:cs="Calibri"/>
                <w:lang w:val="en-GB"/>
              </w:rPr>
            </w:pPr>
            <w:r w:rsidRPr="00D30847">
              <w:rPr>
                <w:rFonts w:eastAsia="Times New Roman" w:cs="Calibri"/>
                <w:lang w:val="en-GB"/>
              </w:rPr>
              <w:t>Strengthen the capacity to conduct audits;</w:t>
            </w:r>
          </w:p>
        </w:tc>
      </w:tr>
      <w:tr w:rsidR="007733B2" w:rsidRPr="00D30847" w14:paraId="7A2865AB" w14:textId="77777777" w:rsidTr="00860277">
        <w:trPr>
          <w:trHeight w:val="698"/>
        </w:trPr>
        <w:tc>
          <w:tcPr>
            <w:tcW w:w="1437" w:type="dxa"/>
            <w:shd w:val="clear" w:color="auto" w:fill="auto"/>
          </w:tcPr>
          <w:p w14:paraId="7A7CE675" w14:textId="77777777" w:rsidR="007733B2" w:rsidRPr="00D30847" w:rsidRDefault="007733B2" w:rsidP="008A2E35">
            <w:pPr>
              <w:spacing w:after="0" w:line="240" w:lineRule="auto"/>
              <w:ind w:left="165"/>
              <w:jc w:val="both"/>
              <w:rPr>
                <w:rFonts w:eastAsia="Times New Roman" w:cs="Calibri"/>
                <w:lang w:val="en-GB"/>
              </w:rPr>
            </w:pPr>
            <w:r w:rsidRPr="00D30847">
              <w:rPr>
                <w:rFonts w:eastAsia="Times New Roman" w:cs="Calibri"/>
                <w:lang w:val="en-GB"/>
              </w:rPr>
              <w:t>Activity 3:</w:t>
            </w:r>
          </w:p>
        </w:tc>
        <w:tc>
          <w:tcPr>
            <w:tcW w:w="6703" w:type="dxa"/>
            <w:shd w:val="clear" w:color="auto" w:fill="auto"/>
          </w:tcPr>
          <w:p w14:paraId="24A21C67" w14:textId="77777777" w:rsidR="007733B2" w:rsidRPr="00D30847" w:rsidRDefault="007733B2" w:rsidP="008A2E35">
            <w:pPr>
              <w:spacing w:after="0" w:line="240" w:lineRule="auto"/>
              <w:ind w:left="165"/>
              <w:jc w:val="both"/>
              <w:rPr>
                <w:rFonts w:eastAsia="Times New Roman" w:cs="Calibri"/>
                <w:lang w:val="en-GB"/>
              </w:rPr>
            </w:pPr>
            <w:r w:rsidRPr="00D30847">
              <w:rPr>
                <w:rFonts w:eastAsia="Times New Roman" w:cs="Calibri"/>
                <w:lang w:val="en-GB"/>
              </w:rPr>
              <w:t>Increasing the visibility of the SAO and communication with the stakeholders.</w:t>
            </w:r>
          </w:p>
        </w:tc>
      </w:tr>
    </w:tbl>
    <w:p w14:paraId="7AD1518C" w14:textId="77777777" w:rsidR="007733B2" w:rsidRPr="00D30847" w:rsidRDefault="007733B2"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Outcome</w:t>
      </w:r>
    </w:p>
    <w:p w14:paraId="4B324E96" w14:textId="65062D16" w:rsidR="00764B1D" w:rsidRPr="00D30847" w:rsidRDefault="00AC74BD" w:rsidP="00AC74BD">
      <w:pPr>
        <w:spacing w:after="0" w:line="240" w:lineRule="auto"/>
        <w:jc w:val="both"/>
        <w:rPr>
          <w:rFonts w:eastAsia="Times New Roman" w:cs="Calibri"/>
          <w:color w:val="202124"/>
          <w:lang w:val="en-GB"/>
        </w:rPr>
      </w:pPr>
      <w:r w:rsidRPr="00D30847">
        <w:rPr>
          <w:rFonts w:eastAsia="Times New Roman" w:cs="Calibri"/>
          <w:color w:val="202124"/>
          <w:lang w:val="en-GB"/>
        </w:rPr>
        <w:t xml:space="preserve">1. </w:t>
      </w:r>
      <w:r w:rsidR="00764B1D" w:rsidRPr="00D30847">
        <w:rPr>
          <w:rFonts w:eastAsia="Times New Roman" w:cs="Calibri"/>
          <w:color w:val="202124"/>
          <w:lang w:val="en-GB"/>
        </w:rPr>
        <w:t>Reduced tax evasion and increased fiscal discipline / increased</w:t>
      </w:r>
      <w:r w:rsidR="00C34014" w:rsidRPr="00D30847">
        <w:rPr>
          <w:rFonts w:eastAsia="Times New Roman" w:cs="Calibri"/>
          <w:color w:val="202124"/>
          <w:lang w:val="en-GB"/>
        </w:rPr>
        <w:t xml:space="preserve"> revenues in the Budget of RNM </w:t>
      </w:r>
      <w:r w:rsidR="00764B1D" w:rsidRPr="00D30847">
        <w:rPr>
          <w:rFonts w:eastAsia="Times New Roman" w:cs="Calibri"/>
          <w:color w:val="202124"/>
          <w:lang w:val="en-GB"/>
        </w:rPr>
        <w:t>and increased revenues in the budgets of the municipalities;</w:t>
      </w:r>
    </w:p>
    <w:p w14:paraId="63FDAB87" w14:textId="4BDBF6E1" w:rsidR="00764B1D" w:rsidRPr="00D30847" w:rsidRDefault="00AC74BD" w:rsidP="00AC74BD">
      <w:pPr>
        <w:spacing w:after="0" w:line="240" w:lineRule="auto"/>
        <w:jc w:val="both"/>
        <w:rPr>
          <w:rFonts w:eastAsia="Times New Roman" w:cs="Calibri"/>
          <w:color w:val="202124"/>
          <w:lang w:val="en-GB"/>
        </w:rPr>
      </w:pPr>
      <w:r w:rsidRPr="00D30847">
        <w:rPr>
          <w:rFonts w:eastAsia="Times New Roman" w:cs="Calibri"/>
          <w:color w:val="202124"/>
          <w:lang w:val="en-GB"/>
        </w:rPr>
        <w:t xml:space="preserve">2. </w:t>
      </w:r>
      <w:r w:rsidR="00764B1D" w:rsidRPr="00D30847">
        <w:rPr>
          <w:rFonts w:eastAsia="Times New Roman" w:cs="Calibri"/>
          <w:color w:val="202124"/>
          <w:lang w:val="en-GB"/>
        </w:rPr>
        <w:t>Adhered principles in awarding public procurement contracts.</w:t>
      </w:r>
    </w:p>
    <w:p w14:paraId="15AA4E7C" w14:textId="77777777" w:rsidR="007733B2" w:rsidRPr="00D30847" w:rsidRDefault="007733B2" w:rsidP="00E84CD0">
      <w:pPr>
        <w:keepNext/>
        <w:keepLines/>
        <w:spacing w:before="160" w:after="6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Outcome indicators</w:t>
      </w:r>
    </w:p>
    <w:p w14:paraId="4191A8DD" w14:textId="1DDBC61C" w:rsidR="00764B1D" w:rsidRPr="00D30847" w:rsidRDefault="00AC74BD" w:rsidP="00AC74BD">
      <w:pPr>
        <w:spacing w:after="0" w:line="240" w:lineRule="auto"/>
        <w:jc w:val="both"/>
        <w:rPr>
          <w:rFonts w:eastAsia="Times New Roman" w:cs="Calibri"/>
          <w:lang w:val="en-GB"/>
        </w:rPr>
      </w:pPr>
      <w:r w:rsidRPr="00D30847">
        <w:rPr>
          <w:rFonts w:eastAsia="Times New Roman" w:cs="Calibri"/>
          <w:lang w:val="en-GB"/>
        </w:rPr>
        <w:t xml:space="preserve">1. </w:t>
      </w:r>
      <w:r w:rsidR="00764B1D" w:rsidRPr="00D30847">
        <w:rPr>
          <w:rFonts w:eastAsia="Times New Roman" w:cs="Calibri"/>
          <w:lang w:val="en-GB"/>
        </w:rPr>
        <w:t>Established amount of funds with audits that have not been paid into the RNM</w:t>
      </w:r>
      <w:r w:rsidR="00C34014" w:rsidRPr="00D30847">
        <w:rPr>
          <w:rFonts w:eastAsia="Times New Roman" w:cs="Calibri"/>
          <w:lang w:val="en-GB"/>
        </w:rPr>
        <w:t xml:space="preserve"> </w:t>
      </w:r>
      <w:r w:rsidR="00764B1D" w:rsidRPr="00D30847">
        <w:rPr>
          <w:rFonts w:eastAsia="Times New Roman" w:cs="Calibri"/>
          <w:lang w:val="en-GB"/>
        </w:rPr>
        <w:t>Budget;</w:t>
      </w:r>
    </w:p>
    <w:p w14:paraId="0C07FA82" w14:textId="77777777" w:rsidR="00460ED3" w:rsidRPr="00D30847" w:rsidRDefault="00460ED3" w:rsidP="00460ED3">
      <w:pPr>
        <w:spacing w:after="0" w:line="240" w:lineRule="auto"/>
        <w:ind w:left="785"/>
        <w:jc w:val="both"/>
        <w:rPr>
          <w:rFonts w:eastAsia="Times New Roman"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460ED3" w:rsidRPr="00D30847" w14:paraId="7572BD04" w14:textId="77777777" w:rsidTr="002B77A4">
        <w:trPr>
          <w:trHeight w:val="395"/>
        </w:trPr>
        <w:tc>
          <w:tcPr>
            <w:tcW w:w="4608" w:type="dxa"/>
            <w:shd w:val="clear" w:color="auto" w:fill="E8E8E8"/>
          </w:tcPr>
          <w:p w14:paraId="292206FF" w14:textId="5B6412C7"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AC245B" w:rsidRPr="00D30847">
              <w:rPr>
                <w:rFonts w:eastAsia="Times New Roman" w:cs="Calibri"/>
                <w:b/>
                <w:bCs/>
                <w:i/>
                <w:iCs/>
                <w:color w:val="202124"/>
                <w:sz w:val="20"/>
                <w:szCs w:val="20"/>
                <w:lang w:val="en-GB"/>
              </w:rPr>
              <w:t>3</w:t>
            </w:r>
          </w:p>
        </w:tc>
        <w:tc>
          <w:tcPr>
            <w:tcW w:w="4608" w:type="dxa"/>
            <w:shd w:val="clear" w:color="auto" w:fill="E8E8E8"/>
          </w:tcPr>
          <w:p w14:paraId="19734034" w14:textId="29313E00"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AC245B" w:rsidRPr="00D30847">
              <w:rPr>
                <w:rFonts w:eastAsia="Times New Roman" w:cs="Calibri"/>
                <w:b/>
                <w:bCs/>
                <w:i/>
                <w:iCs/>
                <w:color w:val="202124"/>
                <w:sz w:val="20"/>
                <w:szCs w:val="20"/>
                <w:lang w:val="en-GB"/>
              </w:rPr>
              <w:t>8</w:t>
            </w:r>
          </w:p>
        </w:tc>
      </w:tr>
      <w:tr w:rsidR="00460ED3" w:rsidRPr="00D30847" w14:paraId="5A40BFC9" w14:textId="77777777" w:rsidTr="002B77A4">
        <w:trPr>
          <w:trHeight w:val="278"/>
        </w:trPr>
        <w:tc>
          <w:tcPr>
            <w:tcW w:w="4608" w:type="dxa"/>
            <w:shd w:val="clear" w:color="auto" w:fill="E8E8E8"/>
          </w:tcPr>
          <w:p w14:paraId="4DCA3026" w14:textId="24F9AC3E" w:rsidR="00460ED3" w:rsidRPr="00D30847" w:rsidRDefault="003C1602" w:rsidP="003C1602">
            <w:pPr>
              <w:tabs>
                <w:tab w:val="left" w:pos="910"/>
              </w:tabs>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17,000 euros</w:t>
            </w:r>
          </w:p>
        </w:tc>
        <w:tc>
          <w:tcPr>
            <w:tcW w:w="4608" w:type="dxa"/>
            <w:shd w:val="clear" w:color="auto" w:fill="E8E8E8"/>
          </w:tcPr>
          <w:p w14:paraId="60A5F8A5" w14:textId="77777777" w:rsidR="00460ED3" w:rsidRPr="00D30847" w:rsidRDefault="003C160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7000 Eur</w:t>
            </w:r>
          </w:p>
        </w:tc>
      </w:tr>
    </w:tbl>
    <w:p w14:paraId="010A66CD" w14:textId="77777777" w:rsidR="00460ED3" w:rsidRPr="00D30847" w:rsidRDefault="00460ED3" w:rsidP="00460ED3">
      <w:pPr>
        <w:spacing w:after="0" w:line="240" w:lineRule="auto"/>
        <w:ind w:left="785"/>
        <w:jc w:val="both"/>
        <w:rPr>
          <w:rFonts w:eastAsia="Times New Roman" w:cs="Calibri"/>
          <w:lang w:val="en-GB"/>
        </w:rPr>
      </w:pPr>
    </w:p>
    <w:p w14:paraId="071685B7" w14:textId="0B6EEF0B" w:rsidR="00764B1D" w:rsidRPr="00D30847" w:rsidRDefault="00AC74BD" w:rsidP="00AC74BD">
      <w:pPr>
        <w:spacing w:after="0" w:line="240" w:lineRule="auto"/>
        <w:jc w:val="both"/>
        <w:rPr>
          <w:rFonts w:eastAsia="Times New Roman" w:cs="Calibri"/>
          <w:lang w:val="en-GB"/>
        </w:rPr>
      </w:pPr>
      <w:r w:rsidRPr="00D30847">
        <w:rPr>
          <w:rFonts w:eastAsia="Times New Roman" w:cs="Calibri"/>
          <w:lang w:val="en-GB"/>
        </w:rPr>
        <w:t xml:space="preserve">2. </w:t>
      </w:r>
      <w:r w:rsidR="00764B1D" w:rsidRPr="00D30847">
        <w:rPr>
          <w:rFonts w:eastAsia="Times New Roman" w:cs="Calibri"/>
          <w:lang w:val="en-GB"/>
        </w:rPr>
        <w:t>Established amount of funds with audits that have not been paid into the Budget of the municipalities and the city of Skopje;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460ED3" w:rsidRPr="00D30847" w14:paraId="77B2E153" w14:textId="77777777" w:rsidTr="002B77A4">
        <w:trPr>
          <w:trHeight w:val="395"/>
        </w:trPr>
        <w:tc>
          <w:tcPr>
            <w:tcW w:w="4608" w:type="dxa"/>
            <w:shd w:val="clear" w:color="auto" w:fill="E8E8E8"/>
          </w:tcPr>
          <w:p w14:paraId="06147CA6" w14:textId="61245A71"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AC245B" w:rsidRPr="00D30847">
              <w:rPr>
                <w:rFonts w:eastAsia="Times New Roman" w:cs="Calibri"/>
                <w:b/>
                <w:bCs/>
                <w:i/>
                <w:iCs/>
                <w:color w:val="202124"/>
                <w:sz w:val="20"/>
                <w:szCs w:val="20"/>
                <w:lang w:val="en-GB"/>
              </w:rPr>
              <w:t>3</w:t>
            </w:r>
          </w:p>
        </w:tc>
        <w:tc>
          <w:tcPr>
            <w:tcW w:w="4608" w:type="dxa"/>
            <w:shd w:val="clear" w:color="auto" w:fill="E8E8E8"/>
          </w:tcPr>
          <w:p w14:paraId="5AFEB000" w14:textId="4AAE9617"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AC245B" w:rsidRPr="00D30847">
              <w:rPr>
                <w:rFonts w:eastAsia="Times New Roman" w:cs="Calibri"/>
                <w:b/>
                <w:bCs/>
                <w:i/>
                <w:iCs/>
                <w:color w:val="202124"/>
                <w:sz w:val="20"/>
                <w:szCs w:val="20"/>
                <w:lang w:val="en-GB"/>
              </w:rPr>
              <w:t>8</w:t>
            </w:r>
          </w:p>
        </w:tc>
      </w:tr>
      <w:tr w:rsidR="00460ED3" w:rsidRPr="00D30847" w14:paraId="4BAD510E" w14:textId="77777777" w:rsidTr="002B77A4">
        <w:trPr>
          <w:trHeight w:val="278"/>
        </w:trPr>
        <w:tc>
          <w:tcPr>
            <w:tcW w:w="4608" w:type="dxa"/>
            <w:shd w:val="clear" w:color="auto" w:fill="E8E8E8"/>
          </w:tcPr>
          <w:p w14:paraId="247B3646" w14:textId="19518385" w:rsidR="00460ED3" w:rsidRPr="00D30847" w:rsidRDefault="003C1602" w:rsidP="003C1602">
            <w:pPr>
              <w:tabs>
                <w:tab w:val="left" w:pos="1198"/>
              </w:tabs>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12,000 euros</w:t>
            </w:r>
          </w:p>
        </w:tc>
        <w:tc>
          <w:tcPr>
            <w:tcW w:w="4608" w:type="dxa"/>
            <w:shd w:val="clear" w:color="auto" w:fill="E8E8E8"/>
          </w:tcPr>
          <w:p w14:paraId="25DDDE7E" w14:textId="77777777" w:rsidR="00460ED3" w:rsidRPr="00D30847" w:rsidRDefault="003C1602" w:rsidP="002E4AA9">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2,000 euros</w:t>
            </w:r>
          </w:p>
        </w:tc>
      </w:tr>
    </w:tbl>
    <w:p w14:paraId="530B524A" w14:textId="77777777" w:rsidR="00460ED3" w:rsidRPr="00D30847" w:rsidRDefault="00460ED3" w:rsidP="00460ED3">
      <w:pPr>
        <w:spacing w:after="0" w:line="240" w:lineRule="auto"/>
        <w:ind w:left="785"/>
        <w:jc w:val="both"/>
        <w:rPr>
          <w:rFonts w:eastAsia="Times New Roman" w:cs="Calibri"/>
          <w:lang w:val="en-GB"/>
        </w:rPr>
      </w:pPr>
    </w:p>
    <w:p w14:paraId="7460B04E" w14:textId="22A425BC" w:rsidR="00764B1D" w:rsidRPr="00D30847" w:rsidRDefault="00AC74BD" w:rsidP="00AC74BD">
      <w:pPr>
        <w:spacing w:after="0" w:line="240" w:lineRule="auto"/>
        <w:jc w:val="both"/>
        <w:rPr>
          <w:rFonts w:cs="Calibri"/>
          <w:bCs/>
          <w:iCs/>
          <w:lang w:val="en-GB"/>
        </w:rPr>
      </w:pPr>
      <w:r w:rsidRPr="00D30847">
        <w:rPr>
          <w:rFonts w:eastAsia="Times New Roman" w:cs="Calibri"/>
          <w:lang w:val="en-GB"/>
        </w:rPr>
        <w:t xml:space="preserve">3. </w:t>
      </w:r>
      <w:r w:rsidR="00764B1D" w:rsidRPr="00D30847">
        <w:rPr>
          <w:rFonts w:eastAsia="Times New Roman" w:cs="Calibri"/>
          <w:lang w:val="en-GB"/>
        </w:rPr>
        <w:t>Established amount of funds during the awarding of contracts for public procurement where irregularities were found with the audits.</w:t>
      </w:r>
    </w:p>
    <w:p w14:paraId="3C588EDB" w14:textId="77777777" w:rsidR="00460ED3" w:rsidRPr="00D30847" w:rsidRDefault="00460ED3" w:rsidP="00460ED3">
      <w:pPr>
        <w:spacing w:after="0" w:line="240" w:lineRule="auto"/>
        <w:ind w:left="785"/>
        <w:jc w:val="both"/>
        <w:rPr>
          <w:rFonts w:cs="Calibri"/>
          <w:bCs/>
          <w:i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460ED3" w:rsidRPr="00D30847" w14:paraId="6EFEA855" w14:textId="77777777" w:rsidTr="002B77A4">
        <w:trPr>
          <w:trHeight w:val="395"/>
        </w:trPr>
        <w:tc>
          <w:tcPr>
            <w:tcW w:w="4608" w:type="dxa"/>
            <w:shd w:val="clear" w:color="auto" w:fill="E8E8E8"/>
          </w:tcPr>
          <w:p w14:paraId="2C6D3E67" w14:textId="26C0BF8E"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AC245B" w:rsidRPr="00D30847">
              <w:rPr>
                <w:rFonts w:eastAsia="Times New Roman" w:cs="Calibri"/>
                <w:b/>
                <w:bCs/>
                <w:i/>
                <w:iCs/>
                <w:color w:val="202124"/>
                <w:sz w:val="20"/>
                <w:szCs w:val="20"/>
                <w:lang w:val="en-GB"/>
              </w:rPr>
              <w:t>3</w:t>
            </w:r>
          </w:p>
        </w:tc>
        <w:tc>
          <w:tcPr>
            <w:tcW w:w="4608" w:type="dxa"/>
            <w:shd w:val="clear" w:color="auto" w:fill="E8E8E8"/>
          </w:tcPr>
          <w:p w14:paraId="75FFBCE6" w14:textId="4B818433"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AC245B" w:rsidRPr="00D30847">
              <w:rPr>
                <w:rFonts w:eastAsia="Times New Roman" w:cs="Calibri"/>
                <w:b/>
                <w:bCs/>
                <w:i/>
                <w:iCs/>
                <w:color w:val="202124"/>
                <w:sz w:val="20"/>
                <w:szCs w:val="20"/>
                <w:lang w:val="en-GB"/>
              </w:rPr>
              <w:t>8</w:t>
            </w:r>
          </w:p>
        </w:tc>
      </w:tr>
      <w:tr w:rsidR="00460ED3" w:rsidRPr="00D30847" w14:paraId="322B3DF0" w14:textId="77777777" w:rsidTr="002B77A4">
        <w:trPr>
          <w:trHeight w:val="278"/>
        </w:trPr>
        <w:tc>
          <w:tcPr>
            <w:tcW w:w="4608" w:type="dxa"/>
            <w:shd w:val="clear" w:color="auto" w:fill="E8E8E8"/>
          </w:tcPr>
          <w:p w14:paraId="3A8CAA8F" w14:textId="77777777" w:rsidR="00460ED3" w:rsidRPr="00D30847" w:rsidRDefault="003C160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lastRenderedPageBreak/>
              <w:t>≥ 10,900 euros</w:t>
            </w:r>
          </w:p>
        </w:tc>
        <w:tc>
          <w:tcPr>
            <w:tcW w:w="4608" w:type="dxa"/>
            <w:shd w:val="clear" w:color="auto" w:fill="E8E8E8"/>
          </w:tcPr>
          <w:p w14:paraId="4177F628" w14:textId="672F333F" w:rsidR="00460ED3" w:rsidRPr="00D30847" w:rsidRDefault="003C1602" w:rsidP="003C1602">
            <w:pPr>
              <w:tabs>
                <w:tab w:val="left" w:pos="1025"/>
              </w:tabs>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≥7.000 euros</w:t>
            </w:r>
          </w:p>
        </w:tc>
      </w:tr>
    </w:tbl>
    <w:p w14:paraId="3FF3FF1F" w14:textId="77777777" w:rsidR="00460ED3" w:rsidRPr="00D30847" w:rsidRDefault="00460ED3" w:rsidP="00460ED3">
      <w:pPr>
        <w:spacing w:after="0" w:line="240" w:lineRule="auto"/>
        <w:ind w:left="785"/>
        <w:jc w:val="both"/>
        <w:rPr>
          <w:rFonts w:cs="Calibri"/>
          <w:bCs/>
          <w:iCs/>
          <w:lang w:val="en-GB"/>
        </w:rPr>
      </w:pPr>
    </w:p>
    <w:p w14:paraId="0E8F276D" w14:textId="60C9C1C8" w:rsidR="00764B1D" w:rsidRPr="00D30847" w:rsidRDefault="00AC74BD" w:rsidP="00AC74BD">
      <w:pPr>
        <w:spacing w:after="0" w:line="240" w:lineRule="auto"/>
        <w:jc w:val="both"/>
        <w:rPr>
          <w:rFonts w:cs="Calibri"/>
          <w:bCs/>
          <w:iCs/>
          <w:lang w:val="en-GB"/>
        </w:rPr>
      </w:pPr>
      <w:r w:rsidRPr="00D30847">
        <w:rPr>
          <w:rFonts w:cs="Calibri"/>
          <w:bCs/>
          <w:iCs/>
          <w:lang w:val="en-GB"/>
        </w:rPr>
        <w:t xml:space="preserve">4. </w:t>
      </w:r>
      <w:r w:rsidR="00764B1D" w:rsidRPr="00D30847">
        <w:rPr>
          <w:rFonts w:cs="Calibri"/>
          <w:bCs/>
          <w:iCs/>
          <w:lang w:val="en-GB"/>
        </w:rPr>
        <w:t>Scope of audits of LSGs and the City of Skopje, Public Enterprises (PE) at the central and local level and (</w:t>
      </w:r>
      <w:r w:rsidR="00AC245B" w:rsidRPr="00D30847">
        <w:rPr>
          <w:rFonts w:cs="Calibri"/>
          <w:bCs/>
          <w:iCs/>
          <w:lang w:val="en-GB"/>
        </w:rPr>
        <w:t xml:space="preserve"> trade companies</w:t>
      </w:r>
      <w:r w:rsidR="00764B1D" w:rsidRPr="00D30847">
        <w:rPr>
          <w:rFonts w:cs="Calibri"/>
          <w:bCs/>
          <w:iCs/>
          <w:lang w:val="en-GB"/>
        </w:rPr>
        <w:t>) in state ownership.</w:t>
      </w:r>
    </w:p>
    <w:p w14:paraId="24E827F0" w14:textId="77777777" w:rsidR="00460ED3" w:rsidRPr="00D30847" w:rsidRDefault="00460ED3" w:rsidP="00460ED3">
      <w:pPr>
        <w:spacing w:after="0" w:line="240" w:lineRule="auto"/>
        <w:ind w:left="785"/>
        <w:jc w:val="both"/>
        <w:rPr>
          <w:rFonts w:cs="Calibri"/>
          <w:bCs/>
          <w:i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460ED3" w:rsidRPr="00D30847" w14:paraId="30C35733" w14:textId="77777777" w:rsidTr="002B77A4">
        <w:trPr>
          <w:trHeight w:val="395"/>
        </w:trPr>
        <w:tc>
          <w:tcPr>
            <w:tcW w:w="4608" w:type="dxa"/>
            <w:shd w:val="clear" w:color="auto" w:fill="E8E8E8"/>
          </w:tcPr>
          <w:p w14:paraId="7950E386" w14:textId="371C091F"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Baseline 202</w:t>
            </w:r>
            <w:r w:rsidR="00AC245B" w:rsidRPr="00D30847">
              <w:rPr>
                <w:rFonts w:eastAsia="Times New Roman" w:cs="Calibri"/>
                <w:b/>
                <w:bCs/>
                <w:i/>
                <w:iCs/>
                <w:color w:val="202124"/>
                <w:sz w:val="20"/>
                <w:szCs w:val="20"/>
                <w:lang w:val="en-GB"/>
              </w:rPr>
              <w:t>3</w:t>
            </w:r>
          </w:p>
        </w:tc>
        <w:tc>
          <w:tcPr>
            <w:tcW w:w="4608" w:type="dxa"/>
            <w:shd w:val="clear" w:color="auto" w:fill="E8E8E8"/>
          </w:tcPr>
          <w:p w14:paraId="2F357481" w14:textId="4996C094"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AC245B" w:rsidRPr="00D30847">
              <w:rPr>
                <w:rFonts w:eastAsia="Times New Roman" w:cs="Calibri"/>
                <w:b/>
                <w:bCs/>
                <w:i/>
                <w:iCs/>
                <w:color w:val="202124"/>
                <w:sz w:val="20"/>
                <w:szCs w:val="20"/>
                <w:lang w:val="en-GB"/>
              </w:rPr>
              <w:t>8</w:t>
            </w:r>
          </w:p>
        </w:tc>
      </w:tr>
      <w:tr w:rsidR="00460ED3" w:rsidRPr="00D30847" w14:paraId="42D94548" w14:textId="77777777" w:rsidTr="002B77A4">
        <w:trPr>
          <w:trHeight w:val="278"/>
        </w:trPr>
        <w:tc>
          <w:tcPr>
            <w:tcW w:w="4608" w:type="dxa"/>
            <w:shd w:val="clear" w:color="auto" w:fill="E8E8E8"/>
          </w:tcPr>
          <w:p w14:paraId="50F50D4D" w14:textId="77777777" w:rsidR="00460ED3" w:rsidRPr="00D30847" w:rsidRDefault="003C160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12</w:t>
            </w:r>
          </w:p>
        </w:tc>
        <w:tc>
          <w:tcPr>
            <w:tcW w:w="4608" w:type="dxa"/>
            <w:shd w:val="clear" w:color="auto" w:fill="E8E8E8"/>
          </w:tcPr>
          <w:p w14:paraId="640C31A4" w14:textId="3766D132" w:rsidR="00460ED3" w:rsidRPr="00D30847" w:rsidRDefault="003C160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1</w:t>
            </w:r>
            <w:r w:rsidR="00AC245B" w:rsidRPr="00D30847">
              <w:rPr>
                <w:rFonts w:eastAsia="Times New Roman" w:cs="Calibri"/>
                <w:color w:val="202124"/>
                <w:sz w:val="20"/>
                <w:szCs w:val="20"/>
                <w:lang w:val="en-GB"/>
              </w:rPr>
              <w:t>6</w:t>
            </w:r>
          </w:p>
        </w:tc>
      </w:tr>
    </w:tbl>
    <w:p w14:paraId="553B6408" w14:textId="2BA452E1" w:rsidR="007733B2" w:rsidRPr="00D30847" w:rsidRDefault="007733B2" w:rsidP="00E84CD0">
      <w:pPr>
        <w:spacing w:before="360" w:line="240" w:lineRule="auto"/>
        <w:jc w:val="both"/>
        <w:rPr>
          <w:rFonts w:cs="Calibri"/>
          <w:b/>
          <w:color w:val="0070C0"/>
          <w:sz w:val="24"/>
          <w:szCs w:val="24"/>
          <w:lang w:val="en-GB"/>
        </w:rPr>
      </w:pPr>
      <w:r w:rsidRPr="00D30847">
        <w:rPr>
          <w:rFonts w:cs="Calibri"/>
          <w:b/>
          <w:color w:val="0070C0"/>
          <w:sz w:val="24"/>
          <w:szCs w:val="24"/>
          <w:lang w:val="en-GB"/>
        </w:rPr>
        <w:t xml:space="preserve">Measure 1: </w:t>
      </w:r>
      <w:r w:rsidR="00F2551C" w:rsidRPr="00D30847">
        <w:rPr>
          <w:rFonts w:cs="Calibri"/>
          <w:b/>
          <w:color w:val="0070C0"/>
          <w:sz w:val="24"/>
          <w:szCs w:val="24"/>
          <w:lang w:val="en-GB"/>
        </w:rPr>
        <w:t xml:space="preserve">Strengthen </w:t>
      </w:r>
      <w:r w:rsidR="00F368A1" w:rsidRPr="00D30847">
        <w:rPr>
          <w:rFonts w:cs="Calibri"/>
          <w:b/>
          <w:color w:val="0070C0"/>
          <w:sz w:val="24"/>
          <w:szCs w:val="24"/>
          <w:lang w:val="en-GB"/>
        </w:rPr>
        <w:t>the legal</w:t>
      </w:r>
      <w:r w:rsidR="00F2551C" w:rsidRPr="00D30847">
        <w:rPr>
          <w:rFonts w:cs="Calibri"/>
          <w:b/>
          <w:color w:val="0070C0"/>
          <w:sz w:val="24"/>
          <w:szCs w:val="24"/>
          <w:lang w:val="en-GB"/>
        </w:rPr>
        <w:t xml:space="preserve"> framework for external audit</w:t>
      </w:r>
    </w:p>
    <w:p w14:paraId="62796517" w14:textId="77777777" w:rsidR="007733B2" w:rsidRPr="00D30847" w:rsidRDefault="007733B2" w:rsidP="00E84CD0">
      <w:pPr>
        <w:keepNext/>
        <w:keepLines/>
        <w:spacing w:before="120" w:after="12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6628098E" w14:textId="77777777" w:rsidR="007733B2" w:rsidRPr="00D30847" w:rsidRDefault="007733B2" w:rsidP="00E84CD0">
      <w:pPr>
        <w:autoSpaceDE w:val="0"/>
        <w:autoSpaceDN w:val="0"/>
        <w:adjustRightInd w:val="0"/>
        <w:spacing w:before="120" w:line="240" w:lineRule="auto"/>
        <w:jc w:val="both"/>
        <w:rPr>
          <w:rFonts w:eastAsia="Times New Roman" w:cs="Calibri"/>
          <w:color w:val="202124"/>
          <w:lang w:val="en-GB"/>
        </w:rPr>
      </w:pPr>
      <w:r w:rsidRPr="00D30847">
        <w:rPr>
          <w:rFonts w:eastAsia="Times New Roman" w:cs="Calibri"/>
          <w:color w:val="202124"/>
          <w:lang w:val="en-GB"/>
        </w:rPr>
        <w:t>Strengthening constitutional, financial and operational independence of the State Audit Office by amending the Constitution of RNM and enacting new State Audit Law and bylaws, in accordance with the principles, standards and guidelines of INTOSAI.</w:t>
      </w:r>
    </w:p>
    <w:p w14:paraId="29038380" w14:textId="77777777" w:rsidR="007733B2" w:rsidRPr="00D30847" w:rsidRDefault="007733B2" w:rsidP="00E84CD0">
      <w:pPr>
        <w:keepNext/>
        <w:keepLines/>
        <w:spacing w:before="120" w:after="12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 xml:space="preserve">Reference to findings from external assessments: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990"/>
        <w:gridCol w:w="8082"/>
      </w:tblGrid>
      <w:tr w:rsidR="007733B2" w:rsidRPr="00D30847" w14:paraId="52C3F267" w14:textId="77777777" w:rsidTr="00AC74BD">
        <w:trPr>
          <w:trHeight w:val="1493"/>
        </w:trPr>
        <w:tc>
          <w:tcPr>
            <w:tcW w:w="990" w:type="dxa"/>
            <w:shd w:val="clear" w:color="auto" w:fill="DDDDDD"/>
          </w:tcPr>
          <w:p w14:paraId="06D88318" w14:textId="121AE3EC" w:rsidR="007733B2" w:rsidRPr="00D30847" w:rsidRDefault="007733B2" w:rsidP="00E84CD0">
            <w:pPr>
              <w:spacing w:before="80" w:after="0" w:line="240" w:lineRule="auto"/>
              <w:jc w:val="both"/>
              <w:rPr>
                <w:rFonts w:eastAsia="Times New Roman" w:cs="Calibri"/>
                <w:b/>
                <w:color w:val="202124"/>
                <w:sz w:val="20"/>
                <w:szCs w:val="20"/>
                <w:lang w:val="en-GB"/>
              </w:rPr>
            </w:pPr>
            <w:r w:rsidRPr="00D30847">
              <w:rPr>
                <w:rFonts w:eastAsia="Times New Roman" w:cs="Calibri"/>
                <w:b/>
                <w:color w:val="202124"/>
                <w:sz w:val="20"/>
                <w:szCs w:val="20"/>
                <w:lang w:val="en-GB"/>
              </w:rPr>
              <w:t>EU</w:t>
            </w:r>
          </w:p>
        </w:tc>
        <w:tc>
          <w:tcPr>
            <w:tcW w:w="8082" w:type="dxa"/>
            <w:shd w:val="clear" w:color="auto" w:fill="DDDDDD"/>
          </w:tcPr>
          <w:p w14:paraId="3B29EF09" w14:textId="77777777" w:rsidR="007733B2" w:rsidRPr="00D30847" w:rsidRDefault="00764B1D" w:rsidP="00E84CD0">
            <w:pPr>
              <w:spacing w:line="240" w:lineRule="auto"/>
              <w:jc w:val="both"/>
              <w:rPr>
                <w:rFonts w:eastAsia="Times New Roman" w:cs="Calibri"/>
                <w:color w:val="202124"/>
                <w:sz w:val="20"/>
                <w:szCs w:val="20"/>
                <w:lang w:val="en-GB"/>
              </w:rPr>
            </w:pPr>
            <w:r w:rsidRPr="00D30847">
              <w:rPr>
                <w:rFonts w:eastAsia="Times New Roman" w:cs="Calibri"/>
                <w:sz w:val="20"/>
                <w:szCs w:val="20"/>
                <w:lang w:val="en-GB"/>
              </w:rPr>
              <w:t>The State Audit Office Law (SAO) is largely aligned with the standards of the International Organization of Supreme Audit Institutions (INTOSAI). However, further harmonization of the legal framework is currently underway in order to ensure an improved function of the external audit in the public sector, as well as increased financial and operational independence of the SAO. The constitutional amendments providing for the independence of the SAO have not yet been introduced.</w:t>
            </w:r>
          </w:p>
        </w:tc>
      </w:tr>
    </w:tbl>
    <w:p w14:paraId="423733DB" w14:textId="77777777" w:rsidR="007733B2" w:rsidRPr="00D30847" w:rsidRDefault="007733B2" w:rsidP="00E84CD0">
      <w:pPr>
        <w:keepNext/>
        <w:keepLines/>
        <w:spacing w:before="240" w:after="12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Context/Background</w:t>
      </w:r>
    </w:p>
    <w:p w14:paraId="5ACD3B9D" w14:textId="7E74466C" w:rsidR="00764B1D" w:rsidRPr="00D30847" w:rsidRDefault="00764B1D" w:rsidP="00C34014">
      <w:pPr>
        <w:autoSpaceDE w:val="0"/>
        <w:autoSpaceDN w:val="0"/>
        <w:adjustRightInd w:val="0"/>
        <w:spacing w:before="120" w:line="240" w:lineRule="auto"/>
        <w:jc w:val="both"/>
        <w:rPr>
          <w:rFonts w:eastAsia="Times New Roman" w:cs="Calibri"/>
          <w:color w:val="202124"/>
          <w:lang w:val="en-GB"/>
        </w:rPr>
      </w:pPr>
      <w:r w:rsidRPr="00D30847">
        <w:rPr>
          <w:rFonts w:eastAsia="Times New Roman" w:cs="Calibri"/>
          <w:color w:val="202124"/>
          <w:lang w:val="en-GB"/>
        </w:rPr>
        <w:t>North Macedonia Report 202</w:t>
      </w:r>
      <w:r w:rsidR="00AC245B" w:rsidRPr="00D30847">
        <w:rPr>
          <w:rFonts w:eastAsia="Times New Roman" w:cs="Calibri"/>
          <w:color w:val="202124"/>
          <w:lang w:val="en-GB"/>
        </w:rPr>
        <w:t>4</w:t>
      </w:r>
      <w:r w:rsidRPr="00D30847">
        <w:rPr>
          <w:rFonts w:eastAsia="Times New Roman" w:cs="Calibri"/>
          <w:color w:val="202124"/>
          <w:lang w:val="en-GB"/>
        </w:rPr>
        <w:t xml:space="preserve"> of the European Commission regarding External Audit Area indicate the following aspects for improvement:</w:t>
      </w:r>
    </w:p>
    <w:p w14:paraId="0E74D4D3" w14:textId="77777777" w:rsidR="00764B1D" w:rsidRPr="00D30847" w:rsidRDefault="00764B1D" w:rsidP="00C34014">
      <w:pPr>
        <w:numPr>
          <w:ilvl w:val="0"/>
          <w:numId w:val="4"/>
        </w:numPr>
        <w:autoSpaceDE w:val="0"/>
        <w:autoSpaceDN w:val="0"/>
        <w:adjustRightInd w:val="0"/>
        <w:spacing w:before="120" w:after="120" w:line="240" w:lineRule="auto"/>
        <w:jc w:val="both"/>
        <w:rPr>
          <w:rFonts w:eastAsia="Times New Roman" w:cs="Calibri"/>
          <w:color w:val="202124"/>
          <w:lang w:val="en-GB"/>
        </w:rPr>
      </w:pPr>
      <w:r w:rsidRPr="00D30847">
        <w:rPr>
          <w:rFonts w:eastAsia="Times New Roman" w:cs="Calibri"/>
          <w:color w:val="202124"/>
          <w:lang w:val="en-GB"/>
        </w:rPr>
        <w:t>independence of the State Audit Office to be guaranteed by the Constitution of RNM;</w:t>
      </w:r>
    </w:p>
    <w:p w14:paraId="33154D83" w14:textId="77777777" w:rsidR="00764B1D" w:rsidRPr="00D30847" w:rsidRDefault="00764B1D" w:rsidP="00C34014">
      <w:pPr>
        <w:numPr>
          <w:ilvl w:val="0"/>
          <w:numId w:val="4"/>
        </w:numPr>
        <w:autoSpaceDE w:val="0"/>
        <w:autoSpaceDN w:val="0"/>
        <w:adjustRightInd w:val="0"/>
        <w:spacing w:before="120" w:after="120" w:line="240" w:lineRule="auto"/>
        <w:jc w:val="both"/>
        <w:rPr>
          <w:rFonts w:eastAsia="Times New Roman" w:cs="Calibri"/>
          <w:color w:val="202124"/>
          <w:lang w:val="en-GB"/>
        </w:rPr>
      </w:pPr>
      <w:r w:rsidRPr="00D30847">
        <w:rPr>
          <w:rFonts w:eastAsia="Times New Roman" w:cs="Calibri"/>
          <w:color w:val="202124"/>
          <w:lang w:val="en-GB"/>
        </w:rPr>
        <w:t>legal framework is largely in line with the standards of the International Organization of Supreme Audit Institutions (INTOSAI). However, further alignment of the legal framework is currently under way to ensure improved external audit function in the public sector, as well as to increase SAO financial and operational independence;</w:t>
      </w:r>
    </w:p>
    <w:p w14:paraId="534B7088" w14:textId="77777777" w:rsidR="00764B1D" w:rsidRPr="00D30847" w:rsidRDefault="00764B1D" w:rsidP="00C34014">
      <w:pPr>
        <w:numPr>
          <w:ilvl w:val="0"/>
          <w:numId w:val="4"/>
        </w:numPr>
        <w:autoSpaceDE w:val="0"/>
        <w:autoSpaceDN w:val="0"/>
        <w:adjustRightInd w:val="0"/>
        <w:spacing w:before="120" w:after="120" w:line="240" w:lineRule="auto"/>
        <w:jc w:val="both"/>
        <w:rPr>
          <w:rFonts w:eastAsia="Times New Roman" w:cs="Calibri"/>
          <w:color w:val="202124"/>
          <w:lang w:val="en-GB"/>
        </w:rPr>
      </w:pPr>
      <w:r w:rsidRPr="00D30847">
        <w:rPr>
          <w:rFonts w:eastAsia="Times New Roman" w:cs="Calibri"/>
          <w:color w:val="202124"/>
          <w:lang w:val="en-GB"/>
        </w:rPr>
        <w:t>in the upcoming period SAO will continue to strive for effective completion of the procedure for regulating constitutionality of the State Audit Office and adoption of new State Audit Law to strengthen SAO financial and operational independence in line with INTOSAI principles, standards and guidelines.</w:t>
      </w:r>
    </w:p>
    <w:p w14:paraId="1028F85C" w14:textId="502DB104" w:rsidR="007733B2" w:rsidRPr="00D30847" w:rsidRDefault="007733B2" w:rsidP="00E84CD0">
      <w:pPr>
        <w:keepNext/>
        <w:keepLines/>
        <w:spacing w:before="240" w:after="120" w:line="240" w:lineRule="auto"/>
        <w:jc w:val="both"/>
        <w:outlineLvl w:val="3"/>
        <w:rPr>
          <w:rFonts w:eastAsia="MS PGothic" w:cs="Calibri"/>
          <w:b/>
          <w:color w:val="0070C0"/>
          <w:lang w:val="en-GB" w:eastAsia="zh-CN"/>
        </w:rPr>
      </w:pPr>
      <w:r w:rsidRPr="00D30847">
        <w:rPr>
          <w:rFonts w:eastAsia="MS PGothic" w:cs="Calibri"/>
          <w:b/>
          <w:color w:val="0070C0"/>
          <w:lang w:val="en-GB" w:eastAsia="zh-CN"/>
        </w:rPr>
        <w:t xml:space="preserve">Activity 1: </w:t>
      </w:r>
      <w:r w:rsidR="009943B5" w:rsidRPr="00D30847">
        <w:rPr>
          <w:rFonts w:eastAsia="MS PGothic" w:cs="Calibri"/>
          <w:b/>
          <w:color w:val="0070C0"/>
          <w:lang w:val="en-GB" w:eastAsia="zh-CN"/>
        </w:rPr>
        <w:t>Approval of constitutional changes to achieve constitutional independence of the SAO in accordance with the principles, standards and guidelines of INTOSAI;</w:t>
      </w:r>
    </w:p>
    <w:p w14:paraId="0E79B09D" w14:textId="7E22EFE5" w:rsidR="00C75160" w:rsidRPr="00D30847" w:rsidRDefault="00C75160" w:rsidP="00C34014">
      <w:pPr>
        <w:spacing w:line="240" w:lineRule="auto"/>
        <w:ind w:left="1"/>
        <w:jc w:val="both"/>
        <w:rPr>
          <w:rFonts w:eastAsia="Arial Narrow"/>
          <w:lang w:val="en-GB" w:eastAsia="mk-MK"/>
        </w:rPr>
      </w:pPr>
      <w:r w:rsidRPr="00D30847">
        <w:rPr>
          <w:rFonts w:eastAsia="Arial Narrow"/>
          <w:lang w:val="en-GB" w:eastAsia="mk-MK"/>
        </w:rPr>
        <w:t>Proposals of draft amendments to the Constitution of the RNM are prepared by the SAO and submitted to the Ministry of Justice as a competent ministry, to the Parliament and the Government. The competent ministry, in coordination with all stakeholders in the pr</w:t>
      </w:r>
      <w:r w:rsidR="00C34014" w:rsidRPr="00D30847">
        <w:rPr>
          <w:rFonts w:eastAsia="Arial Narrow"/>
          <w:lang w:val="en-GB" w:eastAsia="mk-MK"/>
        </w:rPr>
        <w:t>ocess, is expected to submit an</w:t>
      </w:r>
      <w:r w:rsidRPr="00D30847">
        <w:rPr>
          <w:rFonts w:eastAsia="Arial Narrow"/>
          <w:lang w:val="en-GB" w:eastAsia="mk-MK"/>
        </w:rPr>
        <w:t xml:space="preserve"> approved constitution </w:t>
      </w:r>
      <w:r w:rsidR="00C34014" w:rsidRPr="00D30847">
        <w:rPr>
          <w:rFonts w:eastAsia="Arial Narrow"/>
          <w:lang w:val="en-GB" w:eastAsia="mk-MK"/>
        </w:rPr>
        <w:t>amendments and initiate</w:t>
      </w:r>
      <w:r w:rsidRPr="00D30847">
        <w:rPr>
          <w:rFonts w:eastAsia="Arial Narrow"/>
          <w:lang w:val="en-GB" w:eastAsia="mk-MK"/>
        </w:rPr>
        <w:t xml:space="preserve"> procedure for adoption to the Assembly of the RNM for the regulating State Audit Office in the Constitution of the Republic of North Macedonia in order to assure SAO independence. </w:t>
      </w:r>
    </w:p>
    <w:p w14:paraId="6D792C75" w14:textId="77777777" w:rsidR="00C75160" w:rsidRPr="00D30847" w:rsidRDefault="00C75160" w:rsidP="00C34014">
      <w:pPr>
        <w:spacing w:line="240" w:lineRule="auto"/>
        <w:ind w:left="1"/>
        <w:jc w:val="both"/>
        <w:rPr>
          <w:rFonts w:eastAsia="Arial Narrow"/>
          <w:lang w:val="en-GB" w:eastAsia="mk-MK"/>
        </w:rPr>
      </w:pPr>
      <w:r w:rsidRPr="00D30847">
        <w:rPr>
          <w:rFonts w:eastAsia="Arial Narrow"/>
          <w:lang w:val="en-GB" w:eastAsia="mk-MK"/>
        </w:rPr>
        <w:t>Initiating procedure for adoption of the new State Audit Law as well as for adoption of constitutional amendments is expected in the upcoming period.</w:t>
      </w:r>
    </w:p>
    <w:p w14:paraId="3FB5EFB5" w14:textId="2CF0675A" w:rsidR="007733B2" w:rsidRPr="00D30847" w:rsidRDefault="007733B2" w:rsidP="00E84CD0">
      <w:pPr>
        <w:keepNext/>
        <w:keepLines/>
        <w:spacing w:before="160" w:after="60" w:line="240" w:lineRule="auto"/>
        <w:jc w:val="both"/>
        <w:outlineLvl w:val="3"/>
        <w:rPr>
          <w:rFonts w:eastAsia="MS PGothic" w:cs="Calibri"/>
          <w:b/>
          <w:bCs/>
          <w:iCs/>
          <w:color w:val="0070C0"/>
          <w:lang w:val="en-GB" w:eastAsia="zh-CN"/>
        </w:rPr>
      </w:pPr>
      <w:r w:rsidRPr="00D30847">
        <w:rPr>
          <w:rFonts w:eastAsia="MS PGothic" w:cs="Calibri"/>
          <w:b/>
          <w:bCs/>
          <w:iCs/>
          <w:color w:val="0070C0"/>
          <w:lang w:val="en-GB" w:eastAsia="zh-CN"/>
        </w:rPr>
        <w:lastRenderedPageBreak/>
        <w:t>Activity 2:</w:t>
      </w:r>
      <w:r w:rsidR="002E4AA9" w:rsidRPr="00D30847">
        <w:rPr>
          <w:rFonts w:eastAsia="MS PGothic" w:cs="Calibri"/>
          <w:b/>
          <w:bCs/>
          <w:iCs/>
          <w:color w:val="0070C0"/>
          <w:lang w:val="en-GB" w:eastAsia="zh-CN"/>
        </w:rPr>
        <w:t xml:space="preserve"> </w:t>
      </w:r>
      <w:r w:rsidR="003F3FB2" w:rsidRPr="00D30847">
        <w:rPr>
          <w:rFonts w:eastAsia="MS PGothic" w:cs="Calibri"/>
          <w:b/>
          <w:bCs/>
          <w:iCs/>
          <w:color w:val="0070C0"/>
          <w:lang w:val="en-GB" w:eastAsia="zh-CN"/>
        </w:rPr>
        <w:t>Approval external audit legal framework aimed at strengthening financial and operational independence of SAO in line with INTOSAI principles, standards and guidelines</w:t>
      </w:r>
    </w:p>
    <w:p w14:paraId="41B9BEF5" w14:textId="44A10DE3" w:rsidR="003F3FB2" w:rsidRPr="00D30847" w:rsidRDefault="003F3FB2" w:rsidP="00C34014">
      <w:pPr>
        <w:spacing w:line="240" w:lineRule="auto"/>
        <w:jc w:val="both"/>
        <w:rPr>
          <w:rFonts w:eastAsia="Times New Roman" w:cs="Calibri"/>
          <w:color w:val="202124"/>
          <w:lang w:val="en-GB"/>
        </w:rPr>
      </w:pPr>
      <w:r w:rsidRPr="00D30847">
        <w:rPr>
          <w:rFonts w:eastAsia="Times New Roman" w:cs="Calibri"/>
          <w:color w:val="202124"/>
          <w:lang w:val="en-GB"/>
        </w:rPr>
        <w:t xml:space="preserve">Draft State </w:t>
      </w:r>
      <w:r w:rsidR="00C34014" w:rsidRPr="00D30847">
        <w:rPr>
          <w:rFonts w:eastAsia="Times New Roman" w:cs="Calibri"/>
          <w:color w:val="202124"/>
          <w:lang w:val="en-GB"/>
        </w:rPr>
        <w:t>Audit Law</w:t>
      </w:r>
      <w:r w:rsidRPr="00D30847">
        <w:rPr>
          <w:rFonts w:eastAsia="Times New Roman" w:cs="Calibri"/>
          <w:color w:val="202124"/>
          <w:lang w:val="en-GB"/>
        </w:rPr>
        <w:t xml:space="preserve"> is prepared in the framework of a </w:t>
      </w:r>
      <w:r w:rsidR="00C34014" w:rsidRPr="00D30847">
        <w:rPr>
          <w:rFonts w:eastAsia="Times New Roman" w:cs="Calibri"/>
          <w:color w:val="202124"/>
          <w:lang w:val="en-GB"/>
        </w:rPr>
        <w:t>twinning</w:t>
      </w:r>
      <w:r w:rsidRPr="00D30847">
        <w:rPr>
          <w:rFonts w:eastAsia="Times New Roman" w:cs="Calibri"/>
          <w:color w:val="202124"/>
          <w:lang w:val="en-GB"/>
        </w:rPr>
        <w:t xml:space="preserve"> project. This new draft law envisages strengthening financial and operational independence of the State Audit Office and acting upon audit recommendations by the audited entities, and creates opportunities for review of final audit reports by the Assembly of RNM. These are significant improvements to the state audit legislation in line with EU requirements and the International Standards of Supreme Audit Institutions (ISSAIs). Initiating procedure for adoption of the new State Audit Law for strengthening SAO financial and operational independence and presenting the new Draft State Audit Law to the Assembly of the Republic of North Macedonia for adoption is expected in the upcoming period.</w:t>
      </w:r>
    </w:p>
    <w:p w14:paraId="541B201E" w14:textId="77777777" w:rsidR="007733B2" w:rsidRPr="00D30847" w:rsidRDefault="007733B2" w:rsidP="00E84CD0">
      <w:pPr>
        <w:spacing w:line="240" w:lineRule="auto"/>
        <w:jc w:val="both"/>
        <w:rPr>
          <w:rFonts w:eastAsia="Times New Roman" w:cs="Calibri"/>
          <w:color w:val="202124"/>
          <w:lang w:val="en-GB"/>
        </w:rPr>
      </w:pPr>
      <w:r w:rsidRPr="00D30847">
        <w:rPr>
          <w:rFonts w:eastAsia="Times New Roman" w:cs="Calibri"/>
          <w:color w:val="202124"/>
          <w:lang w:val="en-GB"/>
        </w:rPr>
        <w:t>Preparing proposals for bylaws based on the improved legal framework.</w:t>
      </w:r>
    </w:p>
    <w:p w14:paraId="2FABF5AB" w14:textId="77777777" w:rsidR="007733B2" w:rsidRPr="00D30847" w:rsidRDefault="007733B2" w:rsidP="00E84CD0">
      <w:pPr>
        <w:keepNext/>
        <w:keepLines/>
        <w:spacing w:before="120" w:line="240" w:lineRule="auto"/>
        <w:jc w:val="both"/>
        <w:outlineLvl w:val="3"/>
        <w:rPr>
          <w:rFonts w:cs="Calibri"/>
          <w:b/>
          <w:bCs/>
          <w:i/>
          <w:iCs/>
          <w:color w:val="4F81BD"/>
          <w:lang w:val="en-GB"/>
        </w:rPr>
      </w:pPr>
      <w:r w:rsidRPr="00D30847">
        <w:rPr>
          <w:rFonts w:cs="Calibri"/>
          <w:b/>
          <w:bCs/>
          <w:i/>
          <w:iCs/>
          <w:color w:val="4F81BD"/>
          <w:lang w:val="en-GB"/>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7733B2" w:rsidRPr="00D30847" w14:paraId="776AE6FA" w14:textId="77777777" w:rsidTr="003A2F75">
        <w:tc>
          <w:tcPr>
            <w:tcW w:w="2518" w:type="dxa"/>
            <w:tcBorders>
              <w:top w:val="nil"/>
              <w:bottom w:val="single" w:sz="4" w:space="0" w:color="FFFFFF"/>
            </w:tcBorders>
            <w:shd w:val="clear" w:color="auto" w:fill="002060"/>
          </w:tcPr>
          <w:p w14:paraId="72FC61A2" w14:textId="74E985F1" w:rsidR="007733B2" w:rsidRPr="00D30847" w:rsidRDefault="007733B2" w:rsidP="00E84CD0">
            <w:pPr>
              <w:spacing w:after="0" w:line="240" w:lineRule="auto"/>
              <w:jc w:val="both"/>
              <w:rPr>
                <w:rFonts w:cs="Calibri"/>
                <w:b/>
                <w:color w:val="FFFFFF"/>
                <w:sz w:val="20"/>
                <w:szCs w:val="20"/>
                <w:lang w:val="en-GB"/>
              </w:rPr>
            </w:pPr>
            <w:r w:rsidRPr="00D30847">
              <w:rPr>
                <w:rFonts w:cs="Calibri"/>
                <w:b/>
                <w:color w:val="FFFFFF"/>
                <w:sz w:val="20"/>
                <w:szCs w:val="20"/>
                <w:lang w:val="en-GB"/>
              </w:rPr>
              <w:t>Completed</w:t>
            </w:r>
            <w:r w:rsidR="008D2563" w:rsidRPr="00D30847">
              <w:rPr>
                <w:rFonts w:cs="Calibri"/>
                <w:b/>
                <w:color w:val="FFFFFF"/>
                <w:sz w:val="20"/>
                <w:szCs w:val="20"/>
                <w:lang w:val="en-GB"/>
              </w:rPr>
              <w:t xml:space="preserve"> </w:t>
            </w:r>
            <w:r w:rsidRPr="00D30847">
              <w:rPr>
                <w:rFonts w:cs="Calibri"/>
                <w:b/>
                <w:color w:val="FFFFFF"/>
                <w:sz w:val="20"/>
                <w:szCs w:val="20"/>
                <w:lang w:val="en-GB"/>
              </w:rPr>
              <w:t>in</w:t>
            </w:r>
            <w:r w:rsidR="008D2563" w:rsidRPr="00D30847">
              <w:rPr>
                <w:rFonts w:cs="Calibri"/>
                <w:b/>
                <w:color w:val="FFFFFF"/>
                <w:sz w:val="20"/>
                <w:szCs w:val="20"/>
                <w:lang w:val="en-GB"/>
              </w:rPr>
              <w:t xml:space="preserve"> </w:t>
            </w:r>
            <w:r w:rsidRPr="00D30847">
              <w:rPr>
                <w:rFonts w:cs="Calibri"/>
                <w:b/>
                <w:color w:val="FFFFFF"/>
                <w:sz w:val="20"/>
                <w:szCs w:val="20"/>
                <w:lang w:val="en-GB"/>
              </w:rPr>
              <w:t>year:</w:t>
            </w:r>
          </w:p>
        </w:tc>
        <w:tc>
          <w:tcPr>
            <w:tcW w:w="6246" w:type="dxa"/>
            <w:tcBorders>
              <w:top w:val="nil"/>
              <w:bottom w:val="single" w:sz="4" w:space="0" w:color="FFFFFF"/>
            </w:tcBorders>
            <w:shd w:val="clear" w:color="auto" w:fill="D9E2F3"/>
          </w:tcPr>
          <w:p w14:paraId="573A6CC0" w14:textId="4DBEA694" w:rsidR="007733B2" w:rsidRPr="00D30847" w:rsidRDefault="00AC74BD" w:rsidP="00DE7D8F">
            <w:pPr>
              <w:tabs>
                <w:tab w:val="left" w:pos="273"/>
              </w:tabs>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 </w:t>
            </w:r>
            <w:r w:rsidR="00DE7D8F" w:rsidRPr="00D30847">
              <w:rPr>
                <w:rFonts w:eastAsia="Times New Roman" w:cs="Calibri"/>
                <w:color w:val="202124"/>
                <w:sz w:val="20"/>
                <w:szCs w:val="20"/>
                <w:lang w:val="en-GB"/>
              </w:rPr>
              <w:t>202</w:t>
            </w:r>
            <w:r w:rsidR="00AC245B" w:rsidRPr="00D30847">
              <w:rPr>
                <w:rFonts w:eastAsia="Times New Roman" w:cs="Calibri"/>
                <w:color w:val="202124"/>
                <w:sz w:val="20"/>
                <w:szCs w:val="20"/>
                <w:lang w:val="en-GB"/>
              </w:rPr>
              <w:t>8</w:t>
            </w:r>
          </w:p>
        </w:tc>
      </w:tr>
      <w:tr w:rsidR="007733B2" w:rsidRPr="00D30847" w14:paraId="3C12FBFE" w14:textId="77777777" w:rsidTr="003A2F75">
        <w:tc>
          <w:tcPr>
            <w:tcW w:w="2518" w:type="dxa"/>
            <w:tcBorders>
              <w:top w:val="single" w:sz="4" w:space="0" w:color="FFFFFF"/>
              <w:bottom w:val="single" w:sz="4" w:space="0" w:color="FFFFFF"/>
            </w:tcBorders>
            <w:shd w:val="clear" w:color="auto" w:fill="002060"/>
          </w:tcPr>
          <w:p w14:paraId="5B2BEDDE" w14:textId="77777777" w:rsidR="007733B2" w:rsidRPr="00D30847" w:rsidRDefault="007733B2" w:rsidP="00E84CD0">
            <w:pPr>
              <w:spacing w:after="0" w:line="240" w:lineRule="auto"/>
              <w:jc w:val="both"/>
              <w:rPr>
                <w:rFonts w:cs="Calibri"/>
                <w:b/>
                <w:color w:val="FFFFFF"/>
                <w:sz w:val="20"/>
                <w:szCs w:val="20"/>
                <w:lang w:val="en-GB"/>
              </w:rPr>
            </w:pPr>
            <w:r w:rsidRPr="00D30847">
              <w:rPr>
                <w:rFonts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3F5150F7" w14:textId="76BE3493" w:rsidR="003F3FB2" w:rsidRPr="00D30847" w:rsidRDefault="00AC74BD" w:rsidP="00AC74BD">
            <w:pPr>
              <w:tabs>
                <w:tab w:val="left" w:pos="273"/>
                <w:tab w:val="left" w:pos="317"/>
              </w:tabs>
              <w:spacing w:after="0" w:line="240" w:lineRule="auto"/>
              <w:jc w:val="both"/>
              <w:rPr>
                <w:rFonts w:cs="Calibri"/>
                <w:sz w:val="20"/>
                <w:szCs w:val="20"/>
                <w:lang w:val="en-GB"/>
              </w:rPr>
            </w:pPr>
            <w:r w:rsidRPr="00D30847">
              <w:rPr>
                <w:rFonts w:cs="Calibri"/>
                <w:sz w:val="20"/>
                <w:szCs w:val="20"/>
                <w:lang w:val="en-GB"/>
              </w:rPr>
              <w:t xml:space="preserve">- </w:t>
            </w:r>
            <w:r w:rsidR="003F3FB2" w:rsidRPr="00D30847">
              <w:rPr>
                <w:rFonts w:cs="Calibri"/>
                <w:sz w:val="20"/>
                <w:szCs w:val="20"/>
                <w:lang w:val="en-GB"/>
              </w:rPr>
              <w:t>Approved draft amendment to the Constitution of the RNM for SAO regulation as a constitutional category to be submitted by the authorized proposer of the constitutional amendment to</w:t>
            </w:r>
            <w:r w:rsidR="002F500A" w:rsidRPr="00D30847">
              <w:rPr>
                <w:rFonts w:cs="Calibri"/>
                <w:sz w:val="20"/>
                <w:szCs w:val="20"/>
                <w:lang w:val="en-GB"/>
              </w:rPr>
              <w:t xml:space="preserve"> </w:t>
            </w:r>
            <w:r w:rsidR="003F3FB2" w:rsidRPr="00D30847">
              <w:rPr>
                <w:rFonts w:cs="Calibri"/>
                <w:sz w:val="20"/>
                <w:szCs w:val="20"/>
                <w:lang w:val="en-GB"/>
              </w:rPr>
              <w:t>the Assembly of the RNM for adoption;</w:t>
            </w:r>
          </w:p>
          <w:p w14:paraId="2D9BDC1D" w14:textId="3E902AF9" w:rsidR="003F3FB2" w:rsidRPr="00D30847" w:rsidRDefault="00AC74BD" w:rsidP="00AC74BD">
            <w:pPr>
              <w:tabs>
                <w:tab w:val="left" w:pos="273"/>
                <w:tab w:val="left" w:pos="317"/>
              </w:tabs>
              <w:spacing w:after="0" w:line="240" w:lineRule="auto"/>
              <w:jc w:val="both"/>
              <w:rPr>
                <w:rFonts w:eastAsia="Times New Roman" w:cs="Calibri"/>
                <w:sz w:val="20"/>
                <w:szCs w:val="20"/>
                <w:lang w:val="en-GB"/>
              </w:rPr>
            </w:pPr>
            <w:r w:rsidRPr="00D30847">
              <w:rPr>
                <w:rFonts w:eastAsia="Times New Roman" w:cs="Calibri"/>
                <w:sz w:val="20"/>
                <w:szCs w:val="20"/>
                <w:lang w:val="en-GB"/>
              </w:rPr>
              <w:t xml:space="preserve">- </w:t>
            </w:r>
            <w:r w:rsidR="003F3FB2" w:rsidRPr="00D30847">
              <w:rPr>
                <w:rFonts w:eastAsia="Times New Roman" w:cs="Calibri"/>
                <w:sz w:val="20"/>
                <w:szCs w:val="20"/>
                <w:lang w:val="en-GB"/>
              </w:rPr>
              <w:t>A new draft State</w:t>
            </w:r>
            <w:r w:rsidR="002F500A" w:rsidRPr="00D30847">
              <w:rPr>
                <w:rFonts w:eastAsia="Times New Roman" w:cs="Calibri"/>
                <w:sz w:val="20"/>
                <w:szCs w:val="20"/>
                <w:lang w:val="en-GB"/>
              </w:rPr>
              <w:t xml:space="preserve"> </w:t>
            </w:r>
            <w:r w:rsidR="003F3FB2" w:rsidRPr="00D30847">
              <w:rPr>
                <w:rFonts w:eastAsia="Times New Roman" w:cs="Calibri"/>
                <w:sz w:val="20"/>
                <w:szCs w:val="20"/>
                <w:lang w:val="en-GB"/>
              </w:rPr>
              <w:t>Audit</w:t>
            </w:r>
            <w:r w:rsidR="002F500A" w:rsidRPr="00D30847">
              <w:rPr>
                <w:rFonts w:eastAsia="Times New Roman" w:cs="Calibri"/>
                <w:sz w:val="20"/>
                <w:szCs w:val="20"/>
                <w:lang w:val="en-GB"/>
              </w:rPr>
              <w:t xml:space="preserve"> </w:t>
            </w:r>
            <w:r w:rsidR="003F3FB2" w:rsidRPr="00D30847">
              <w:rPr>
                <w:rFonts w:eastAsia="Times New Roman" w:cs="Calibri"/>
                <w:sz w:val="20"/>
                <w:szCs w:val="20"/>
                <w:lang w:val="en-GB"/>
              </w:rPr>
              <w:t>LAW aims to strengthen the financial and operational independence of the SAO prepared within the framework of a Twinning project to be submitted to the RNM Assembly for adoption;</w:t>
            </w:r>
          </w:p>
          <w:p w14:paraId="32B3F035" w14:textId="277F244A" w:rsidR="007733B2" w:rsidRPr="00D30847" w:rsidRDefault="00AC74BD" w:rsidP="00AC74BD">
            <w:pPr>
              <w:tabs>
                <w:tab w:val="left" w:pos="273"/>
                <w:tab w:val="left" w:pos="317"/>
              </w:tabs>
              <w:spacing w:after="0" w:line="240" w:lineRule="auto"/>
              <w:jc w:val="both"/>
              <w:rPr>
                <w:rFonts w:eastAsia="Times New Roman" w:cs="Calibri"/>
                <w:color w:val="202124"/>
                <w:sz w:val="20"/>
                <w:szCs w:val="20"/>
                <w:lang w:val="en-GB"/>
              </w:rPr>
            </w:pPr>
            <w:r w:rsidRPr="00D30847">
              <w:rPr>
                <w:rFonts w:eastAsia="Times New Roman" w:cs="Calibri"/>
                <w:sz w:val="20"/>
                <w:szCs w:val="20"/>
                <w:lang w:val="en-GB"/>
              </w:rPr>
              <w:t xml:space="preserve">- </w:t>
            </w:r>
            <w:r w:rsidR="003F3FB2" w:rsidRPr="00D30847">
              <w:rPr>
                <w:rFonts w:eastAsia="Times New Roman" w:cs="Calibri"/>
                <w:sz w:val="20"/>
                <w:szCs w:val="20"/>
                <w:lang w:val="en-GB"/>
              </w:rPr>
              <w:t>Proposals for by-laws based on the improved legal framework.</w:t>
            </w:r>
          </w:p>
        </w:tc>
      </w:tr>
      <w:tr w:rsidR="007733B2" w:rsidRPr="00D30847" w14:paraId="1312A581" w14:textId="77777777" w:rsidTr="003A2F75">
        <w:tc>
          <w:tcPr>
            <w:tcW w:w="2518" w:type="dxa"/>
            <w:tcBorders>
              <w:top w:val="single" w:sz="4" w:space="0" w:color="FFFFFF"/>
              <w:bottom w:val="single" w:sz="4" w:space="0" w:color="FFFFFF"/>
            </w:tcBorders>
            <w:shd w:val="clear" w:color="auto" w:fill="002060"/>
          </w:tcPr>
          <w:p w14:paraId="3F5A17D7" w14:textId="4749270C" w:rsidR="007733B2" w:rsidRPr="00D30847" w:rsidRDefault="007733B2" w:rsidP="00E84CD0">
            <w:pPr>
              <w:spacing w:after="0" w:line="240" w:lineRule="auto"/>
              <w:jc w:val="both"/>
              <w:rPr>
                <w:rFonts w:cs="Calibri"/>
                <w:b/>
                <w:color w:val="FFFFFF"/>
                <w:sz w:val="20"/>
                <w:szCs w:val="20"/>
                <w:lang w:val="en-GB"/>
              </w:rPr>
            </w:pPr>
            <w:r w:rsidRPr="00D30847">
              <w:rPr>
                <w:rFonts w:cs="Calibri"/>
                <w:b/>
                <w:color w:val="FFFFFF"/>
                <w:sz w:val="20"/>
                <w:szCs w:val="20"/>
                <w:lang w:val="en-GB"/>
              </w:rPr>
              <w:t>Costs</w:t>
            </w:r>
            <w:r w:rsidR="00F06C0B" w:rsidRPr="00D30847">
              <w:rPr>
                <w:rFonts w:cs="Calibri"/>
                <w:b/>
                <w:color w:val="FFFFFF"/>
                <w:sz w:val="20"/>
                <w:szCs w:val="20"/>
                <w:lang w:val="en-GB"/>
              </w:rPr>
              <w:t xml:space="preserve"> </w:t>
            </w:r>
            <w:r w:rsidRPr="00D30847">
              <w:rPr>
                <w:rFonts w:cs="Calibri"/>
                <w:b/>
                <w:color w:val="FFFFFF"/>
                <w:sz w:val="20"/>
                <w:szCs w:val="20"/>
                <w:lang w:val="en-GB"/>
              </w:rPr>
              <w:t>implications:</w:t>
            </w:r>
          </w:p>
        </w:tc>
        <w:tc>
          <w:tcPr>
            <w:tcW w:w="6246" w:type="dxa"/>
            <w:tcBorders>
              <w:top w:val="single" w:sz="4" w:space="0" w:color="FFFFFF"/>
              <w:bottom w:val="single" w:sz="4" w:space="0" w:color="FFFFFF"/>
            </w:tcBorders>
            <w:shd w:val="clear" w:color="auto" w:fill="D9E2F3"/>
          </w:tcPr>
          <w:p w14:paraId="7E516167" w14:textId="3AD116AD" w:rsidR="007733B2" w:rsidRPr="00D30847" w:rsidRDefault="00AC74BD" w:rsidP="00AC74BD">
            <w:pPr>
              <w:tabs>
                <w:tab w:val="left" w:pos="122"/>
                <w:tab w:val="left" w:pos="273"/>
              </w:tabs>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 </w:t>
            </w:r>
            <w:r w:rsidR="007733B2" w:rsidRPr="00D30847">
              <w:rPr>
                <w:rFonts w:eastAsia="Times New Roman" w:cs="Calibri"/>
                <w:color w:val="202124"/>
                <w:sz w:val="20"/>
                <w:szCs w:val="20"/>
                <w:lang w:val="en-GB"/>
              </w:rPr>
              <w:t xml:space="preserve">EUR 21,000 </w:t>
            </w:r>
          </w:p>
        </w:tc>
      </w:tr>
      <w:tr w:rsidR="007733B2" w:rsidRPr="00D30847" w14:paraId="0BB74975" w14:textId="77777777" w:rsidTr="003A2F75">
        <w:tc>
          <w:tcPr>
            <w:tcW w:w="2518" w:type="dxa"/>
            <w:tcBorders>
              <w:top w:val="single" w:sz="4" w:space="0" w:color="FFFFFF"/>
              <w:bottom w:val="single" w:sz="4" w:space="0" w:color="FFFFFF"/>
            </w:tcBorders>
            <w:shd w:val="clear" w:color="auto" w:fill="002060"/>
          </w:tcPr>
          <w:p w14:paraId="4D640DB8" w14:textId="7E1350A3" w:rsidR="007733B2" w:rsidRPr="00D30847" w:rsidRDefault="007733B2" w:rsidP="00E84CD0">
            <w:pPr>
              <w:spacing w:after="0" w:line="240" w:lineRule="auto"/>
              <w:jc w:val="both"/>
              <w:rPr>
                <w:rFonts w:cs="Calibri"/>
                <w:b/>
                <w:color w:val="FFFFFF"/>
                <w:sz w:val="20"/>
                <w:szCs w:val="20"/>
                <w:lang w:val="en-GB"/>
              </w:rPr>
            </w:pPr>
            <w:r w:rsidRPr="00D30847">
              <w:rPr>
                <w:rFonts w:cs="Calibri"/>
                <w:b/>
                <w:color w:val="FFFFFF"/>
                <w:sz w:val="20"/>
                <w:szCs w:val="20"/>
                <w:lang w:val="en-GB"/>
              </w:rPr>
              <w:t>Responsible</w:t>
            </w:r>
            <w:r w:rsidR="008D2563" w:rsidRPr="00D30847">
              <w:rPr>
                <w:rFonts w:cs="Calibri"/>
                <w:b/>
                <w:color w:val="FFFFFF"/>
                <w:sz w:val="20"/>
                <w:szCs w:val="20"/>
                <w:lang w:val="en-GB"/>
              </w:rPr>
              <w:t xml:space="preserve"> </w:t>
            </w:r>
            <w:r w:rsidRPr="00D30847">
              <w:rPr>
                <w:rFonts w:cs="Calibri"/>
                <w:b/>
                <w:color w:val="FFFFFF"/>
                <w:sz w:val="20"/>
                <w:szCs w:val="20"/>
                <w:lang w:val="en-GB"/>
              </w:rPr>
              <w:t xml:space="preserve">entity: </w:t>
            </w:r>
          </w:p>
        </w:tc>
        <w:tc>
          <w:tcPr>
            <w:tcW w:w="6246" w:type="dxa"/>
            <w:tcBorders>
              <w:top w:val="single" w:sz="4" w:space="0" w:color="FFFFFF"/>
              <w:bottom w:val="single" w:sz="4" w:space="0" w:color="FFFFFF"/>
            </w:tcBorders>
            <w:shd w:val="clear" w:color="auto" w:fill="D9E2F3"/>
          </w:tcPr>
          <w:p w14:paraId="126F2D1B" w14:textId="4EEDAA21" w:rsidR="00764B1D" w:rsidRPr="00D30847" w:rsidRDefault="00AC74BD" w:rsidP="00AC74BD">
            <w:pPr>
              <w:tabs>
                <w:tab w:val="left" w:pos="122"/>
                <w:tab w:val="left" w:pos="273"/>
              </w:tabs>
              <w:spacing w:after="0" w:line="240" w:lineRule="auto"/>
              <w:jc w:val="both"/>
              <w:rPr>
                <w:rFonts w:eastAsia="Times New Roman" w:cs="Calibri"/>
                <w:sz w:val="20"/>
                <w:szCs w:val="20"/>
                <w:lang w:val="en-GB"/>
              </w:rPr>
            </w:pPr>
            <w:r w:rsidRPr="00D30847">
              <w:rPr>
                <w:rFonts w:eastAsia="Times New Roman" w:cs="Calibri"/>
                <w:sz w:val="20"/>
                <w:szCs w:val="20"/>
                <w:lang w:val="en-GB"/>
              </w:rPr>
              <w:t xml:space="preserve">- </w:t>
            </w:r>
            <w:r w:rsidR="00764B1D" w:rsidRPr="00D30847">
              <w:rPr>
                <w:rFonts w:eastAsia="Times New Roman" w:cs="Calibri"/>
                <w:sz w:val="20"/>
                <w:szCs w:val="20"/>
                <w:lang w:val="en-GB"/>
              </w:rPr>
              <w:t>The Ministry of Finance, the RNM Government and the RNM Assembly</w:t>
            </w:r>
          </w:p>
          <w:p w14:paraId="4E220F71" w14:textId="446BBF73" w:rsidR="007733B2" w:rsidRPr="00D30847" w:rsidRDefault="00AC74BD" w:rsidP="00AC74BD">
            <w:pPr>
              <w:tabs>
                <w:tab w:val="left" w:pos="122"/>
                <w:tab w:val="left" w:pos="273"/>
              </w:tabs>
              <w:spacing w:after="0" w:line="240" w:lineRule="auto"/>
              <w:jc w:val="both"/>
              <w:rPr>
                <w:rFonts w:eastAsia="Times New Roman" w:cs="Calibri"/>
                <w:color w:val="202124"/>
                <w:sz w:val="20"/>
                <w:szCs w:val="20"/>
                <w:lang w:val="en-GB"/>
              </w:rPr>
            </w:pPr>
            <w:r w:rsidRPr="00D30847">
              <w:rPr>
                <w:rFonts w:eastAsia="Times New Roman" w:cs="Calibri"/>
                <w:sz w:val="20"/>
                <w:szCs w:val="20"/>
                <w:lang w:val="en-GB"/>
              </w:rPr>
              <w:t xml:space="preserve">- </w:t>
            </w:r>
            <w:r w:rsidR="00764B1D" w:rsidRPr="00D30847">
              <w:rPr>
                <w:rFonts w:eastAsia="Times New Roman" w:cs="Calibri"/>
                <w:sz w:val="20"/>
                <w:szCs w:val="20"/>
                <w:lang w:val="en-GB"/>
              </w:rPr>
              <w:t>SAO, after</w:t>
            </w:r>
            <w:r w:rsidR="002F500A" w:rsidRPr="00D30847">
              <w:rPr>
                <w:rFonts w:eastAsia="Times New Roman" w:cs="Calibri"/>
                <w:sz w:val="20"/>
                <w:szCs w:val="20"/>
                <w:lang w:val="en-GB"/>
              </w:rPr>
              <w:t xml:space="preserve"> </w:t>
            </w:r>
            <w:r w:rsidR="00764B1D" w:rsidRPr="00D30847">
              <w:rPr>
                <w:rFonts w:eastAsia="Times New Roman" w:cs="Calibri"/>
                <w:sz w:val="20"/>
                <w:szCs w:val="20"/>
                <w:lang w:val="en-GB"/>
              </w:rPr>
              <w:t>the</w:t>
            </w:r>
            <w:r w:rsidR="002F500A" w:rsidRPr="00D30847">
              <w:rPr>
                <w:rFonts w:eastAsia="Times New Roman" w:cs="Calibri"/>
                <w:sz w:val="20"/>
                <w:szCs w:val="20"/>
                <w:lang w:val="en-GB"/>
              </w:rPr>
              <w:t xml:space="preserve"> </w:t>
            </w:r>
            <w:r w:rsidR="00764B1D" w:rsidRPr="00D30847">
              <w:rPr>
                <w:rFonts w:eastAsia="Times New Roman" w:cs="Calibri"/>
                <w:sz w:val="20"/>
                <w:szCs w:val="20"/>
                <w:lang w:val="en-GB"/>
              </w:rPr>
              <w:t>adoption</w:t>
            </w:r>
            <w:r w:rsidR="002F500A" w:rsidRPr="00D30847">
              <w:rPr>
                <w:rFonts w:eastAsia="Times New Roman" w:cs="Calibri"/>
                <w:sz w:val="20"/>
                <w:szCs w:val="20"/>
                <w:lang w:val="en-GB"/>
              </w:rPr>
              <w:t xml:space="preserve"> </w:t>
            </w:r>
            <w:r w:rsidR="00764B1D" w:rsidRPr="00D30847">
              <w:rPr>
                <w:rFonts w:eastAsia="Times New Roman" w:cs="Calibri"/>
                <w:sz w:val="20"/>
                <w:szCs w:val="20"/>
                <w:lang w:val="en-GB"/>
              </w:rPr>
              <w:t>of</w:t>
            </w:r>
            <w:r w:rsidR="002F500A" w:rsidRPr="00D30847">
              <w:rPr>
                <w:rFonts w:eastAsia="Times New Roman" w:cs="Calibri"/>
                <w:sz w:val="20"/>
                <w:szCs w:val="20"/>
                <w:lang w:val="en-GB"/>
              </w:rPr>
              <w:t xml:space="preserve"> </w:t>
            </w:r>
            <w:r w:rsidR="00764B1D" w:rsidRPr="00D30847">
              <w:rPr>
                <w:rFonts w:eastAsia="Times New Roman" w:cs="Calibri"/>
                <w:sz w:val="20"/>
                <w:szCs w:val="20"/>
                <w:lang w:val="en-GB"/>
              </w:rPr>
              <w:t>the</w:t>
            </w:r>
            <w:r w:rsidR="002F500A" w:rsidRPr="00D30847">
              <w:rPr>
                <w:rFonts w:eastAsia="Times New Roman" w:cs="Calibri"/>
                <w:sz w:val="20"/>
                <w:szCs w:val="20"/>
                <w:lang w:val="en-GB"/>
              </w:rPr>
              <w:t xml:space="preserve"> </w:t>
            </w:r>
            <w:r w:rsidR="00764B1D" w:rsidRPr="00D30847">
              <w:rPr>
                <w:rFonts w:eastAsia="Times New Roman" w:cs="Calibri"/>
                <w:sz w:val="20"/>
                <w:szCs w:val="20"/>
                <w:lang w:val="en-GB"/>
              </w:rPr>
              <w:t>Law</w:t>
            </w:r>
            <w:r w:rsidR="002F500A" w:rsidRPr="00D30847">
              <w:rPr>
                <w:rFonts w:eastAsia="Times New Roman" w:cs="Calibri"/>
                <w:sz w:val="20"/>
                <w:szCs w:val="20"/>
                <w:lang w:val="en-GB"/>
              </w:rPr>
              <w:t xml:space="preserve"> </w:t>
            </w:r>
            <w:r w:rsidR="00764B1D" w:rsidRPr="00D30847">
              <w:rPr>
                <w:rFonts w:eastAsia="Times New Roman" w:cs="Calibri"/>
                <w:sz w:val="20"/>
                <w:szCs w:val="20"/>
                <w:lang w:val="en-GB"/>
              </w:rPr>
              <w:t>on</w:t>
            </w:r>
            <w:r w:rsidR="002F500A" w:rsidRPr="00D30847">
              <w:rPr>
                <w:rFonts w:eastAsia="Times New Roman" w:cs="Calibri"/>
                <w:sz w:val="20"/>
                <w:szCs w:val="20"/>
                <w:lang w:val="en-GB"/>
              </w:rPr>
              <w:t xml:space="preserve"> </w:t>
            </w:r>
            <w:r w:rsidR="00764B1D" w:rsidRPr="00D30847">
              <w:rPr>
                <w:rFonts w:eastAsia="Times New Roman" w:cs="Calibri"/>
                <w:sz w:val="20"/>
                <w:szCs w:val="20"/>
                <w:lang w:val="en-GB"/>
              </w:rPr>
              <w:t>State</w:t>
            </w:r>
            <w:r w:rsidR="002F500A" w:rsidRPr="00D30847">
              <w:rPr>
                <w:rFonts w:eastAsia="Times New Roman" w:cs="Calibri"/>
                <w:sz w:val="20"/>
                <w:szCs w:val="20"/>
                <w:lang w:val="en-GB"/>
              </w:rPr>
              <w:t xml:space="preserve"> </w:t>
            </w:r>
            <w:r w:rsidR="00764B1D" w:rsidRPr="00D30847">
              <w:rPr>
                <w:rFonts w:eastAsia="Times New Roman" w:cs="Calibri"/>
                <w:sz w:val="20"/>
                <w:szCs w:val="20"/>
                <w:lang w:val="en-GB"/>
              </w:rPr>
              <w:t>Audit, for</w:t>
            </w:r>
            <w:r w:rsidR="002F500A" w:rsidRPr="00D30847">
              <w:rPr>
                <w:rFonts w:eastAsia="Times New Roman" w:cs="Calibri"/>
                <w:sz w:val="20"/>
                <w:szCs w:val="20"/>
                <w:lang w:val="en-GB"/>
              </w:rPr>
              <w:t xml:space="preserve"> </w:t>
            </w:r>
            <w:r w:rsidR="00764B1D" w:rsidRPr="00D30847">
              <w:rPr>
                <w:rFonts w:eastAsia="Times New Roman" w:cs="Calibri"/>
                <w:sz w:val="20"/>
                <w:szCs w:val="20"/>
                <w:lang w:val="en-GB"/>
              </w:rPr>
              <w:t>the</w:t>
            </w:r>
            <w:r w:rsidR="002F500A" w:rsidRPr="00D30847">
              <w:rPr>
                <w:rFonts w:eastAsia="Times New Roman" w:cs="Calibri"/>
                <w:sz w:val="20"/>
                <w:szCs w:val="20"/>
                <w:lang w:val="en-GB"/>
              </w:rPr>
              <w:t xml:space="preserve"> </w:t>
            </w:r>
            <w:r w:rsidR="00764B1D" w:rsidRPr="00D30847">
              <w:rPr>
                <w:rFonts w:eastAsia="Times New Roman" w:cs="Calibri"/>
                <w:sz w:val="20"/>
                <w:szCs w:val="20"/>
                <w:lang w:val="en-GB"/>
              </w:rPr>
              <w:t>adoption</w:t>
            </w:r>
            <w:r w:rsidR="002F500A" w:rsidRPr="00D30847">
              <w:rPr>
                <w:rFonts w:eastAsia="Times New Roman" w:cs="Calibri"/>
                <w:sz w:val="20"/>
                <w:szCs w:val="20"/>
                <w:lang w:val="en-GB"/>
              </w:rPr>
              <w:t xml:space="preserve"> </w:t>
            </w:r>
            <w:r w:rsidR="00764B1D" w:rsidRPr="00D30847">
              <w:rPr>
                <w:rFonts w:eastAsia="Times New Roman" w:cs="Calibri"/>
                <w:sz w:val="20"/>
                <w:szCs w:val="20"/>
                <w:lang w:val="en-GB"/>
              </w:rPr>
              <w:t>of</w:t>
            </w:r>
            <w:r w:rsidR="002F500A" w:rsidRPr="00D30847">
              <w:rPr>
                <w:rFonts w:eastAsia="Times New Roman" w:cs="Calibri"/>
                <w:sz w:val="20"/>
                <w:szCs w:val="20"/>
                <w:lang w:val="en-GB"/>
              </w:rPr>
              <w:t xml:space="preserve"> </w:t>
            </w:r>
            <w:r w:rsidR="00764B1D" w:rsidRPr="00D30847">
              <w:rPr>
                <w:rFonts w:eastAsia="Times New Roman" w:cs="Calibri"/>
                <w:sz w:val="20"/>
                <w:szCs w:val="20"/>
                <w:lang w:val="en-GB"/>
              </w:rPr>
              <w:t>by-laws</w:t>
            </w:r>
          </w:p>
        </w:tc>
      </w:tr>
      <w:tr w:rsidR="007733B2" w:rsidRPr="00D30847" w14:paraId="0F420506" w14:textId="77777777" w:rsidTr="003A2F75">
        <w:tc>
          <w:tcPr>
            <w:tcW w:w="2518" w:type="dxa"/>
            <w:tcBorders>
              <w:top w:val="single" w:sz="4" w:space="0" w:color="FFFFFF"/>
              <w:bottom w:val="nil"/>
            </w:tcBorders>
            <w:shd w:val="clear" w:color="auto" w:fill="002060"/>
          </w:tcPr>
          <w:p w14:paraId="1189B418" w14:textId="77777777" w:rsidR="007733B2" w:rsidRPr="00D30847" w:rsidRDefault="007733B2" w:rsidP="00E84CD0">
            <w:pPr>
              <w:spacing w:after="0" w:line="240" w:lineRule="auto"/>
              <w:jc w:val="both"/>
              <w:rPr>
                <w:rFonts w:cs="Calibri"/>
                <w:b/>
                <w:color w:val="FFFFFF"/>
                <w:sz w:val="20"/>
                <w:szCs w:val="20"/>
                <w:lang w:val="en-GB"/>
              </w:rPr>
            </w:pPr>
            <w:r w:rsidRPr="00D30847">
              <w:rPr>
                <w:rFonts w:cs="Calibri"/>
                <w:b/>
                <w:color w:val="FFFFFF"/>
                <w:sz w:val="20"/>
                <w:szCs w:val="20"/>
                <w:lang w:val="en-GB"/>
              </w:rPr>
              <w:t>Risk:</w:t>
            </w:r>
          </w:p>
        </w:tc>
        <w:tc>
          <w:tcPr>
            <w:tcW w:w="6246" w:type="dxa"/>
            <w:tcBorders>
              <w:top w:val="single" w:sz="4" w:space="0" w:color="FFFFFF"/>
              <w:bottom w:val="nil"/>
            </w:tcBorders>
            <w:shd w:val="clear" w:color="auto" w:fill="D9E2F3"/>
          </w:tcPr>
          <w:p w14:paraId="6ACEC519" w14:textId="25B90B6D" w:rsidR="006C2AB0" w:rsidRPr="00D30847" w:rsidRDefault="00AC74BD" w:rsidP="00AC74BD">
            <w:pPr>
              <w:tabs>
                <w:tab w:val="left" w:pos="273"/>
                <w:tab w:val="left" w:pos="317"/>
              </w:tabs>
              <w:spacing w:after="0" w:line="240" w:lineRule="auto"/>
              <w:jc w:val="both"/>
              <w:rPr>
                <w:rFonts w:eastAsia="Times New Roman" w:cs="Calibri"/>
                <w:sz w:val="20"/>
                <w:szCs w:val="20"/>
                <w:lang w:val="en-GB"/>
              </w:rPr>
            </w:pPr>
            <w:r w:rsidRPr="00D30847">
              <w:rPr>
                <w:rFonts w:eastAsia="Times New Roman" w:cs="Calibri"/>
                <w:sz w:val="20"/>
                <w:szCs w:val="20"/>
                <w:lang w:val="en-GB"/>
              </w:rPr>
              <w:t xml:space="preserve">- </w:t>
            </w:r>
            <w:r w:rsidR="006C2AB0" w:rsidRPr="00D30847">
              <w:rPr>
                <w:rFonts w:eastAsia="Times New Roman" w:cs="Calibri"/>
                <w:sz w:val="20"/>
                <w:szCs w:val="20"/>
                <w:lang w:val="en-GB"/>
              </w:rPr>
              <w:t>The proposal for amending the Constitution of RNM for regulating the SAO as a constitutional category was not submitted by the authorized proposer of the constitutional amendment and was not adopted by the Assembly</w:t>
            </w:r>
          </w:p>
          <w:p w14:paraId="683D35B3" w14:textId="323AFAAD" w:rsidR="007733B2" w:rsidRPr="00D30847" w:rsidRDefault="00AC74BD" w:rsidP="00AC74BD">
            <w:pPr>
              <w:tabs>
                <w:tab w:val="left" w:pos="273"/>
                <w:tab w:val="left" w:pos="317"/>
              </w:tabs>
              <w:spacing w:after="0" w:line="240" w:lineRule="auto"/>
              <w:jc w:val="both"/>
              <w:rPr>
                <w:rFonts w:eastAsia="Times New Roman" w:cs="Calibri"/>
                <w:color w:val="202124"/>
                <w:sz w:val="20"/>
                <w:szCs w:val="20"/>
                <w:lang w:val="en-GB"/>
              </w:rPr>
            </w:pPr>
            <w:r w:rsidRPr="00D30847">
              <w:rPr>
                <w:rFonts w:eastAsia="Times New Roman" w:cs="Calibri"/>
                <w:sz w:val="20"/>
                <w:szCs w:val="20"/>
                <w:lang w:val="en-GB"/>
              </w:rPr>
              <w:t xml:space="preserve">- </w:t>
            </w:r>
            <w:r w:rsidR="006C2AB0" w:rsidRPr="00D30847">
              <w:rPr>
                <w:rFonts w:eastAsia="Times New Roman" w:cs="Calibri"/>
                <w:sz w:val="20"/>
                <w:szCs w:val="20"/>
                <w:lang w:val="en-GB"/>
              </w:rPr>
              <w:t>New draft State Audit Law for strengthening SAO financial and operational independence not submitted and not adopted by the Assembly</w:t>
            </w:r>
          </w:p>
        </w:tc>
      </w:tr>
    </w:tbl>
    <w:p w14:paraId="72C7675B" w14:textId="77777777" w:rsidR="007733B2" w:rsidRPr="00D30847" w:rsidRDefault="007733B2" w:rsidP="00E84CD0">
      <w:pPr>
        <w:spacing w:before="360" w:line="240" w:lineRule="auto"/>
        <w:jc w:val="both"/>
        <w:rPr>
          <w:rFonts w:cs="Calibri"/>
          <w:b/>
          <w:color w:val="0070C0"/>
          <w:sz w:val="24"/>
          <w:szCs w:val="24"/>
          <w:lang w:val="en-GB"/>
        </w:rPr>
      </w:pPr>
      <w:r w:rsidRPr="00D30847">
        <w:rPr>
          <w:rFonts w:cs="Calibri"/>
          <w:b/>
          <w:color w:val="0070C0"/>
          <w:sz w:val="24"/>
          <w:szCs w:val="24"/>
          <w:lang w:val="en-GB"/>
        </w:rPr>
        <w:t>Measure 2: Strengthening the institutional capacity and human resource capacities of the SAO</w:t>
      </w:r>
    </w:p>
    <w:p w14:paraId="66D50664" w14:textId="77777777" w:rsidR="007733B2" w:rsidRPr="00D30847" w:rsidRDefault="007733B2" w:rsidP="00E84CD0">
      <w:pPr>
        <w:keepNext/>
        <w:keepLines/>
        <w:spacing w:before="120" w:after="12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Measure Objective</w:t>
      </w:r>
    </w:p>
    <w:p w14:paraId="15631FBE" w14:textId="5975EAB5" w:rsidR="00764B1D" w:rsidRPr="00D30847" w:rsidRDefault="00764B1D" w:rsidP="00764B1D">
      <w:pPr>
        <w:spacing w:line="240" w:lineRule="auto"/>
        <w:jc w:val="both"/>
        <w:rPr>
          <w:rFonts w:eastAsia="Times New Roman" w:cs="Calibri"/>
          <w:lang w:val="en-GB"/>
        </w:rPr>
      </w:pPr>
      <w:r w:rsidRPr="00D30847">
        <w:rPr>
          <w:rFonts w:eastAsia="Times New Roman" w:cs="Calibri"/>
          <w:lang w:val="en-GB"/>
        </w:rPr>
        <w:t xml:space="preserve">Strengthening the institutional and human resources capacities of the SAO in order to increase the effects of the performed audits (full audit coverage of LSG and the City of Skopje, Public </w:t>
      </w:r>
      <w:r w:rsidR="002F500A" w:rsidRPr="00D30847">
        <w:rPr>
          <w:rFonts w:eastAsia="Times New Roman" w:cs="Calibri"/>
          <w:lang w:val="en-GB"/>
        </w:rPr>
        <w:t>Enterprises</w:t>
      </w:r>
      <w:r w:rsidRPr="00D30847">
        <w:rPr>
          <w:rFonts w:eastAsia="Times New Roman" w:cs="Calibri"/>
          <w:lang w:val="en-GB"/>
        </w:rPr>
        <w:t xml:space="preserve"> the central and local </w:t>
      </w:r>
      <w:r w:rsidR="002F500A" w:rsidRPr="00D30847">
        <w:rPr>
          <w:rFonts w:eastAsia="Times New Roman" w:cs="Calibri"/>
          <w:lang w:val="en-GB"/>
        </w:rPr>
        <w:t>level and</w:t>
      </w:r>
      <w:r w:rsidRPr="00D30847">
        <w:rPr>
          <w:rFonts w:eastAsia="Times New Roman" w:cs="Calibri"/>
          <w:lang w:val="en-GB"/>
        </w:rPr>
        <w:t xml:space="preserve"> </w:t>
      </w:r>
      <w:r w:rsidR="00AC245B" w:rsidRPr="00D30847">
        <w:rPr>
          <w:rFonts w:eastAsia="Times New Roman" w:cs="Calibri"/>
          <w:lang w:val="en-GB"/>
        </w:rPr>
        <w:t xml:space="preserve">trade companies </w:t>
      </w:r>
      <w:r w:rsidRPr="00D30847">
        <w:rPr>
          <w:rFonts w:eastAsia="Times New Roman" w:cs="Calibri"/>
          <w:lang w:val="en-GB"/>
        </w:rPr>
        <w:t>state owned)</w:t>
      </w:r>
      <w:r w:rsidR="00AC245B" w:rsidRPr="00D30847">
        <w:rPr>
          <w:rFonts w:eastAsia="Times New Roman" w:cs="Calibri"/>
          <w:lang w:val="en-GB"/>
        </w:rPr>
        <w:t>,</w:t>
      </w:r>
      <w:r w:rsidRPr="00D30847">
        <w:rPr>
          <w:rFonts w:eastAsia="Times New Roman" w:cs="Calibri"/>
          <w:lang w:val="en-GB"/>
        </w:rPr>
        <w:t xml:space="preserve"> </w:t>
      </w:r>
      <w:r w:rsidR="00AC245B" w:rsidRPr="00D30847">
        <w:rPr>
          <w:rFonts w:eastAsia="Times New Roman" w:cs="Calibri"/>
          <w:lang w:val="en-GB"/>
        </w:rPr>
        <w:t xml:space="preserve">implementation of new audit requirements from the new Organic Budget Law (audit of the financial statements of the Core Budget), audit </w:t>
      </w:r>
      <w:r w:rsidR="002F500A" w:rsidRPr="00D30847">
        <w:rPr>
          <w:rFonts w:eastAsia="Times New Roman" w:cs="Calibri"/>
          <w:lang w:val="en-GB"/>
        </w:rPr>
        <w:t>of Reform</w:t>
      </w:r>
      <w:r w:rsidR="00AC245B" w:rsidRPr="00D30847">
        <w:rPr>
          <w:rFonts w:eastAsia="Times New Roman" w:cs="Calibri"/>
          <w:lang w:val="en-GB"/>
        </w:rPr>
        <w:t xml:space="preserve"> and Growth Facility</w:t>
      </w:r>
      <w:r w:rsidR="00AC245B" w:rsidRPr="00D30847">
        <w:rPr>
          <w:rFonts w:eastAsia="Times New Roman" w:cs="Calibri"/>
          <w:b/>
          <w:bCs/>
          <w:lang w:val="en-GB"/>
        </w:rPr>
        <w:t xml:space="preserve"> </w:t>
      </w:r>
      <w:r w:rsidRPr="00D30847">
        <w:rPr>
          <w:rFonts w:eastAsia="Times New Roman" w:cs="Calibri"/>
          <w:lang w:val="en-GB"/>
        </w:rPr>
        <w:t>and the added value of SAO work.</w:t>
      </w:r>
    </w:p>
    <w:p w14:paraId="16C587B4" w14:textId="77777777" w:rsidR="007733B2" w:rsidRPr="00D30847" w:rsidRDefault="007733B2" w:rsidP="00E84CD0">
      <w:pPr>
        <w:keepNext/>
        <w:keepLines/>
        <w:spacing w:before="120" w:after="12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 xml:space="preserve">Reference to findings from external assessments: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324"/>
        <w:gridCol w:w="7748"/>
      </w:tblGrid>
      <w:tr w:rsidR="007733B2" w:rsidRPr="00D30847" w14:paraId="1A520112" w14:textId="77777777" w:rsidTr="00F66DF5">
        <w:tc>
          <w:tcPr>
            <w:tcW w:w="1324" w:type="dxa"/>
            <w:shd w:val="clear" w:color="auto" w:fill="DDDDDD"/>
          </w:tcPr>
          <w:p w14:paraId="32F3C967" w14:textId="77777777" w:rsidR="007733B2" w:rsidRPr="00D30847" w:rsidRDefault="007733B2" w:rsidP="00E84CD0">
            <w:pPr>
              <w:spacing w:before="80" w:after="0" w:line="240" w:lineRule="auto"/>
              <w:jc w:val="both"/>
              <w:rPr>
                <w:rFonts w:eastAsia="Times New Roman" w:cs="Calibri"/>
                <w:b/>
                <w:color w:val="202124"/>
                <w:sz w:val="20"/>
                <w:szCs w:val="20"/>
                <w:lang w:val="en-GB"/>
              </w:rPr>
            </w:pPr>
            <w:r w:rsidRPr="00D30847">
              <w:rPr>
                <w:rFonts w:eastAsia="Times New Roman" w:cs="Calibri"/>
                <w:b/>
                <w:color w:val="202124"/>
                <w:sz w:val="20"/>
                <w:szCs w:val="20"/>
                <w:lang w:val="en-GB"/>
              </w:rPr>
              <w:t>EU:</w:t>
            </w:r>
            <w:r w:rsidR="00764B1D" w:rsidRPr="00D30847">
              <w:rPr>
                <w:rFonts w:eastAsia="Times New Roman" w:cs="Calibri"/>
                <w:b/>
                <w:color w:val="202124"/>
                <w:sz w:val="20"/>
                <w:szCs w:val="20"/>
                <w:lang w:val="en-GB"/>
              </w:rPr>
              <w:t xml:space="preserve"> 2023</w:t>
            </w:r>
          </w:p>
        </w:tc>
        <w:tc>
          <w:tcPr>
            <w:tcW w:w="7748" w:type="dxa"/>
            <w:shd w:val="clear" w:color="auto" w:fill="DDDDDD"/>
          </w:tcPr>
          <w:p w14:paraId="4D82330F" w14:textId="3C405112" w:rsidR="00764B1D" w:rsidRPr="00D30847" w:rsidRDefault="002F500A" w:rsidP="00764B1D">
            <w:pPr>
              <w:spacing w:after="12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SAO capacity</w:t>
            </w:r>
            <w:r w:rsidR="00764B1D" w:rsidRPr="00D30847">
              <w:rPr>
                <w:rFonts w:eastAsia="Times New Roman" w:cs="Calibri"/>
                <w:color w:val="202124"/>
                <w:sz w:val="20"/>
                <w:szCs w:val="20"/>
                <w:lang w:val="en-GB"/>
              </w:rPr>
              <w:t xml:space="preserve"> needs to be further strengthen.</w:t>
            </w:r>
          </w:p>
          <w:p w14:paraId="16ED9A99" w14:textId="4BEEAFA6" w:rsidR="00764B1D" w:rsidRPr="00D30847" w:rsidRDefault="00764B1D" w:rsidP="00764B1D">
            <w:pPr>
              <w:spacing w:after="12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The quality of SAO work is considered sufficient. </w:t>
            </w:r>
          </w:p>
          <w:p w14:paraId="120C994A" w14:textId="77777777" w:rsidR="00764B1D" w:rsidRPr="00D30847" w:rsidRDefault="00764B1D" w:rsidP="00764B1D">
            <w:pPr>
              <w:spacing w:after="12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SAO should strengthen cooperation with anti-corruption institutions.</w:t>
            </w:r>
          </w:p>
          <w:p w14:paraId="08615DA4" w14:textId="7116BCAE" w:rsidR="0014338C" w:rsidRPr="00D30847" w:rsidRDefault="00764B1D" w:rsidP="00764B1D">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To ensure a timely audit of the financial statements of the PE and submission of audit reports within six months from the end of the year, as well as conducting an audit of the LGU on an annual base in o</w:t>
            </w:r>
            <w:r w:rsidR="008365DE" w:rsidRPr="00D30847">
              <w:rPr>
                <w:rFonts w:eastAsia="Times New Roman" w:cs="Calibri"/>
                <w:color w:val="202124"/>
                <w:sz w:val="20"/>
                <w:szCs w:val="20"/>
                <w:lang w:val="en-GB"/>
              </w:rPr>
              <w:t>rder</w:t>
            </w:r>
            <w:r w:rsidRPr="00D30847">
              <w:rPr>
                <w:rFonts w:eastAsia="Times New Roman" w:cs="Calibri"/>
                <w:color w:val="202124"/>
                <w:sz w:val="20"/>
                <w:szCs w:val="20"/>
                <w:lang w:val="en-GB"/>
              </w:rPr>
              <w:t xml:space="preserve"> to improve the regularity of the LGU's spending for the purposes of the process of monitoring fiscal risks.</w:t>
            </w:r>
          </w:p>
        </w:tc>
      </w:tr>
    </w:tbl>
    <w:p w14:paraId="56FFD49F" w14:textId="77777777" w:rsidR="007733B2" w:rsidRPr="00D30847" w:rsidRDefault="007733B2" w:rsidP="00E84CD0">
      <w:pPr>
        <w:keepNext/>
        <w:keepLines/>
        <w:spacing w:before="120" w:after="12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lastRenderedPageBreak/>
        <w:t>Context/Background</w:t>
      </w:r>
    </w:p>
    <w:p w14:paraId="2F8CC3BC" w14:textId="48980C50" w:rsidR="00764B1D" w:rsidRPr="00D30847" w:rsidRDefault="00764B1D" w:rsidP="00764B1D">
      <w:pPr>
        <w:autoSpaceDE w:val="0"/>
        <w:autoSpaceDN w:val="0"/>
        <w:adjustRightInd w:val="0"/>
        <w:spacing w:before="120" w:line="240" w:lineRule="auto"/>
        <w:jc w:val="both"/>
        <w:rPr>
          <w:rFonts w:eastAsia="Times New Roman" w:cs="Calibri"/>
          <w:lang w:val="en-GB"/>
        </w:rPr>
      </w:pPr>
      <w:r w:rsidRPr="00D30847">
        <w:rPr>
          <w:rFonts w:eastAsia="Times New Roman" w:cs="Calibri"/>
          <w:lang w:val="en-GB"/>
        </w:rPr>
        <w:t>North Macedonia Report for 202</w:t>
      </w:r>
      <w:r w:rsidR="00AC245B" w:rsidRPr="00D30847">
        <w:rPr>
          <w:rFonts w:eastAsia="Times New Roman" w:cs="Calibri"/>
          <w:lang w:val="en-GB"/>
        </w:rPr>
        <w:t>4</w:t>
      </w:r>
      <w:r w:rsidRPr="00D30847">
        <w:rPr>
          <w:rFonts w:eastAsia="Times New Roman" w:cs="Calibri"/>
          <w:lang w:val="en-GB"/>
        </w:rPr>
        <w:t xml:space="preserve"> of the European Commission regarding External audit </w:t>
      </w:r>
      <w:r w:rsidR="00AC245B" w:rsidRPr="00D30847">
        <w:rPr>
          <w:rFonts w:eastAsia="Times New Roman" w:cs="Calibri"/>
          <w:lang w:val="en-GB"/>
        </w:rPr>
        <w:t>indicates</w:t>
      </w:r>
      <w:r w:rsidRPr="00D30847">
        <w:rPr>
          <w:rFonts w:eastAsia="Times New Roman" w:cs="Calibri"/>
          <w:lang w:val="en-GB"/>
        </w:rPr>
        <w:t xml:space="preserve"> the following aspects for improvement:</w:t>
      </w:r>
    </w:p>
    <w:p w14:paraId="0D67A078" w14:textId="77777777" w:rsidR="00AC245B" w:rsidRPr="00D30847" w:rsidRDefault="00AC245B" w:rsidP="00AC245B">
      <w:pPr>
        <w:numPr>
          <w:ilvl w:val="0"/>
          <w:numId w:val="4"/>
        </w:numPr>
        <w:autoSpaceDE w:val="0"/>
        <w:autoSpaceDN w:val="0"/>
        <w:adjustRightInd w:val="0"/>
        <w:spacing w:before="120" w:after="120" w:line="240" w:lineRule="auto"/>
        <w:jc w:val="both"/>
        <w:rPr>
          <w:rFonts w:eastAsia="Times New Roman" w:cs="Calibri"/>
          <w:color w:val="202124"/>
          <w:lang w:val="en-GB"/>
        </w:rPr>
      </w:pPr>
      <w:r w:rsidRPr="00D30847">
        <w:rPr>
          <w:rFonts w:eastAsia="Times New Roman" w:cs="Calibri"/>
          <w:color w:val="202124"/>
          <w:lang w:val="en-GB"/>
        </w:rPr>
        <w:t>independence of the State Audit Office to be guaranteed by the Constitution of RNM;</w:t>
      </w:r>
    </w:p>
    <w:p w14:paraId="5B83D1FE" w14:textId="77777777" w:rsidR="00AC245B" w:rsidRPr="00D30847" w:rsidRDefault="00AC245B" w:rsidP="00AC245B">
      <w:pPr>
        <w:numPr>
          <w:ilvl w:val="0"/>
          <w:numId w:val="4"/>
        </w:numPr>
        <w:autoSpaceDE w:val="0"/>
        <w:autoSpaceDN w:val="0"/>
        <w:adjustRightInd w:val="0"/>
        <w:spacing w:before="120" w:after="120" w:line="240" w:lineRule="auto"/>
        <w:jc w:val="both"/>
        <w:rPr>
          <w:rFonts w:eastAsia="Times New Roman" w:cs="Calibri"/>
          <w:color w:val="202124"/>
          <w:lang w:val="en-GB"/>
        </w:rPr>
      </w:pPr>
      <w:r w:rsidRPr="00D30847">
        <w:rPr>
          <w:rFonts w:eastAsia="Times New Roman" w:cs="Calibri"/>
          <w:color w:val="202124"/>
          <w:lang w:val="en-GB"/>
        </w:rPr>
        <w:t xml:space="preserve"> adoption of the Law on State Audit to strengthen the independence of the SAO;</w:t>
      </w:r>
    </w:p>
    <w:p w14:paraId="6B1BD22A" w14:textId="77777777" w:rsidR="00AC245B" w:rsidRPr="00D30847" w:rsidRDefault="00AC245B" w:rsidP="00AC245B">
      <w:pPr>
        <w:numPr>
          <w:ilvl w:val="0"/>
          <w:numId w:val="4"/>
        </w:numPr>
        <w:autoSpaceDE w:val="0"/>
        <w:autoSpaceDN w:val="0"/>
        <w:adjustRightInd w:val="0"/>
        <w:spacing w:before="120" w:after="120" w:line="240" w:lineRule="auto"/>
        <w:jc w:val="both"/>
        <w:rPr>
          <w:rFonts w:eastAsia="Times New Roman" w:cs="Calibri"/>
          <w:color w:val="202124"/>
          <w:lang w:val="en-GB"/>
        </w:rPr>
      </w:pPr>
      <w:r w:rsidRPr="00D30847">
        <w:rPr>
          <w:rFonts w:eastAsia="Times New Roman" w:cs="Calibri"/>
          <w:color w:val="202124"/>
          <w:lang w:val="en-GB"/>
        </w:rPr>
        <w:t>improvement of SAO institutional capacity;</w:t>
      </w:r>
    </w:p>
    <w:p w14:paraId="255A8DBF" w14:textId="77777777" w:rsidR="00AC245B" w:rsidRPr="00D30847" w:rsidRDefault="00AC245B" w:rsidP="00AC245B">
      <w:pPr>
        <w:numPr>
          <w:ilvl w:val="0"/>
          <w:numId w:val="4"/>
        </w:numPr>
        <w:autoSpaceDE w:val="0"/>
        <w:autoSpaceDN w:val="0"/>
        <w:adjustRightInd w:val="0"/>
        <w:spacing w:before="120" w:after="120" w:line="240" w:lineRule="auto"/>
        <w:jc w:val="both"/>
        <w:rPr>
          <w:rFonts w:eastAsia="Times New Roman" w:cs="Calibri"/>
          <w:color w:val="202124"/>
          <w:lang w:val="en-GB"/>
        </w:rPr>
      </w:pPr>
      <w:r w:rsidRPr="00D30847">
        <w:rPr>
          <w:rFonts w:eastAsia="Times New Roman" w:cs="Calibri"/>
          <w:color w:val="202124"/>
          <w:lang w:val="en-GB"/>
        </w:rPr>
        <w:t>strengthening the cooperation of the bodies in the prevention and fight against corruption;</w:t>
      </w:r>
    </w:p>
    <w:p w14:paraId="1DFC8EDD" w14:textId="77777777" w:rsidR="00AC245B" w:rsidRPr="00D30847" w:rsidRDefault="00AC245B" w:rsidP="00AC245B">
      <w:pPr>
        <w:numPr>
          <w:ilvl w:val="0"/>
          <w:numId w:val="4"/>
        </w:numPr>
        <w:autoSpaceDE w:val="0"/>
        <w:autoSpaceDN w:val="0"/>
        <w:adjustRightInd w:val="0"/>
        <w:spacing w:before="120" w:after="120" w:line="240" w:lineRule="auto"/>
        <w:jc w:val="both"/>
        <w:rPr>
          <w:rFonts w:eastAsia="Times New Roman" w:cs="Calibri"/>
          <w:color w:val="202124"/>
          <w:lang w:val="en-GB"/>
        </w:rPr>
      </w:pPr>
      <w:r w:rsidRPr="00D30847">
        <w:rPr>
          <w:rFonts w:eastAsia="Times New Roman" w:cs="Calibri"/>
          <w:color w:val="202124"/>
          <w:lang w:val="en-GB"/>
        </w:rPr>
        <w:t>improvement of the cooperation between the SAO and the Parliament;</w:t>
      </w:r>
    </w:p>
    <w:p w14:paraId="1537814A" w14:textId="7D0169C8" w:rsidR="00AC245B" w:rsidRPr="00D30847" w:rsidRDefault="00AC245B" w:rsidP="00AC245B">
      <w:pPr>
        <w:autoSpaceDE w:val="0"/>
        <w:autoSpaceDN w:val="0"/>
        <w:adjustRightInd w:val="0"/>
        <w:spacing w:before="120" w:line="240" w:lineRule="auto"/>
        <w:jc w:val="both"/>
        <w:rPr>
          <w:rFonts w:eastAsia="Times New Roman" w:cs="Calibri"/>
          <w:lang w:val="en-GB"/>
        </w:rPr>
      </w:pPr>
      <w:r w:rsidRPr="00D30847">
        <w:rPr>
          <w:rFonts w:eastAsia="Times New Roman" w:cs="Calibri"/>
          <w:color w:val="202124"/>
          <w:lang w:val="en-GB"/>
        </w:rPr>
        <w:t>improve Parliamentary scrutiny over individual audit reports and the follow-up to SAO’s recommendations.</w:t>
      </w:r>
    </w:p>
    <w:p w14:paraId="66BED4AD" w14:textId="524B336A" w:rsidR="00764B1D" w:rsidRPr="00D30847" w:rsidRDefault="00764B1D" w:rsidP="00764B1D">
      <w:pPr>
        <w:autoSpaceDE w:val="0"/>
        <w:autoSpaceDN w:val="0"/>
        <w:adjustRightInd w:val="0"/>
        <w:spacing w:before="120" w:line="240" w:lineRule="auto"/>
        <w:jc w:val="both"/>
        <w:rPr>
          <w:rFonts w:eastAsia="Times New Roman" w:cs="Calibri"/>
          <w:color w:val="202124"/>
          <w:lang w:val="en-GB"/>
        </w:rPr>
      </w:pPr>
      <w:r w:rsidRPr="00D30847">
        <w:rPr>
          <w:rFonts w:eastAsia="Times New Roman" w:cs="Calibri"/>
          <w:lang w:val="en-GB"/>
        </w:rPr>
        <w:t xml:space="preserve">The State Audit Office will continue to strengthen its institutional capacities by strengthening the resources for conducting audits, through the implementation of new and improved strategic, planning and methodological acts, as well as the adoption of new and methodological acts, increasing the number of performance audits, as well as increasing the scope of audited expenditures. SAO will continue modernizing audit processes by using advanced equipment and working conditions, modern </w:t>
      </w:r>
      <w:r w:rsidRPr="00D30847">
        <w:rPr>
          <w:rFonts w:eastAsia="Times New Roman" w:cs="Calibri"/>
          <w:color w:val="202124"/>
          <w:lang w:val="en-GB"/>
        </w:rPr>
        <w:t>audit tools, methodologies, techniques and innovative presentation of audit results to the public, and by strengthening cooperation with stakeholders, with the aim of increasing the degree of implementation of audit recommendations and the effects and added value of SAO work.</w:t>
      </w:r>
    </w:p>
    <w:p w14:paraId="41F1DAB9" w14:textId="77777777" w:rsidR="00764B1D" w:rsidRPr="00D30847" w:rsidRDefault="00764B1D" w:rsidP="00E84CD0">
      <w:pPr>
        <w:autoSpaceDE w:val="0"/>
        <w:autoSpaceDN w:val="0"/>
        <w:adjustRightInd w:val="0"/>
        <w:spacing w:before="120" w:line="240" w:lineRule="auto"/>
        <w:jc w:val="both"/>
        <w:rPr>
          <w:rFonts w:eastAsia="MS PGothic" w:cs="Calibri"/>
          <w:b/>
          <w:bCs/>
          <w:iCs/>
          <w:color w:val="0070C0"/>
          <w:lang w:val="en-GB" w:eastAsia="zh-CN"/>
        </w:rPr>
      </w:pPr>
      <w:r w:rsidRPr="00D30847">
        <w:rPr>
          <w:rFonts w:eastAsia="MS PGothic" w:cs="Calibri"/>
          <w:b/>
          <w:bCs/>
          <w:iCs/>
          <w:color w:val="0070C0"/>
          <w:lang w:val="en-GB" w:eastAsia="zh-CN"/>
        </w:rPr>
        <w:t>Activity 1: Implementation of adopted strategic, planning and methodological acts and adoption of new methodological acts of the SAO;</w:t>
      </w:r>
    </w:p>
    <w:p w14:paraId="7660B7EE" w14:textId="2A003D81" w:rsidR="003F3FB2" w:rsidRPr="00D30847" w:rsidRDefault="003F3FB2" w:rsidP="003F3FB2">
      <w:pPr>
        <w:keepNext/>
        <w:keepLines/>
        <w:spacing w:before="240" w:after="120" w:line="240" w:lineRule="auto"/>
        <w:jc w:val="both"/>
        <w:outlineLvl w:val="3"/>
        <w:rPr>
          <w:rFonts w:eastAsia="Times New Roman" w:cs="Calibri"/>
          <w:lang w:val="en-GB"/>
        </w:rPr>
      </w:pPr>
      <w:r w:rsidRPr="00D30847">
        <w:rPr>
          <w:rFonts w:eastAsia="Times New Roman" w:cs="Calibri"/>
          <w:lang w:val="en-GB"/>
        </w:rPr>
        <w:t xml:space="preserve">Implementation of SAO new and improved strategic, planning and methodological acts and adoption of new methodological </w:t>
      </w:r>
      <w:r w:rsidR="00C34014" w:rsidRPr="00D30847">
        <w:rPr>
          <w:rFonts w:eastAsia="Times New Roman" w:cs="Calibri"/>
          <w:lang w:val="en-GB"/>
        </w:rPr>
        <w:t>act in</w:t>
      </w:r>
      <w:r w:rsidRPr="00D30847">
        <w:rPr>
          <w:rFonts w:eastAsia="Times New Roman" w:cs="Calibri"/>
          <w:lang w:val="en-GB"/>
        </w:rPr>
        <w:t xml:space="preserve"> accordance with INTOSAI principles, standards and guidelines, best practices as well as implementation of EU requir</w:t>
      </w:r>
      <w:r w:rsidR="00AC245B" w:rsidRPr="00D30847">
        <w:rPr>
          <w:rFonts w:eastAsia="Times New Roman" w:cs="Calibri"/>
          <w:lang w:val="en-GB"/>
        </w:rPr>
        <w:t>e</w:t>
      </w:r>
      <w:r w:rsidRPr="00D30847">
        <w:rPr>
          <w:rFonts w:eastAsia="Times New Roman" w:cs="Calibri"/>
          <w:lang w:val="en-GB"/>
        </w:rPr>
        <w:t>ments</w:t>
      </w:r>
      <w:r w:rsidR="00C34014" w:rsidRPr="00D30847">
        <w:rPr>
          <w:rFonts w:eastAsia="Times New Roman" w:cs="Calibri"/>
          <w:lang w:val="en-GB"/>
        </w:rPr>
        <w:t xml:space="preserve"> </w:t>
      </w:r>
      <w:r w:rsidRPr="00D30847">
        <w:rPr>
          <w:rFonts w:eastAsia="Times New Roman" w:cs="Calibri"/>
          <w:lang w:val="en-GB"/>
        </w:rPr>
        <w:t xml:space="preserve">for audit on LSG, audit of public enterprises, audit of state owned </w:t>
      </w:r>
      <w:r w:rsidR="00AC245B" w:rsidRPr="00D30847">
        <w:rPr>
          <w:rFonts w:eastAsia="Times New Roman" w:cs="Calibri"/>
          <w:lang w:val="en-GB"/>
        </w:rPr>
        <w:t xml:space="preserve">trade companies, </w:t>
      </w:r>
      <w:r w:rsidR="00C34014" w:rsidRPr="00D30847">
        <w:rPr>
          <w:rFonts w:eastAsia="Times New Roman" w:cs="Calibri"/>
          <w:lang w:val="en-GB"/>
        </w:rPr>
        <w:t>enterprises</w:t>
      </w:r>
      <w:r w:rsidRPr="00D30847">
        <w:rPr>
          <w:rFonts w:eastAsia="Times New Roman" w:cs="Calibri"/>
          <w:lang w:val="en-GB"/>
        </w:rPr>
        <w:t xml:space="preserve"> and new audit requir</w:t>
      </w:r>
      <w:r w:rsidR="00AC245B" w:rsidRPr="00D30847">
        <w:rPr>
          <w:rFonts w:eastAsia="Times New Roman" w:cs="Calibri"/>
          <w:lang w:val="en-GB"/>
        </w:rPr>
        <w:t>e</w:t>
      </w:r>
      <w:r w:rsidRPr="00D30847">
        <w:rPr>
          <w:rFonts w:eastAsia="Times New Roman" w:cs="Calibri"/>
          <w:lang w:val="en-GB"/>
        </w:rPr>
        <w:t xml:space="preserve">ments from the new Organic Budget Law (audit of the financial statements of the Core Budget), </w:t>
      </w:r>
      <w:r w:rsidR="00AC245B" w:rsidRPr="00D30847">
        <w:rPr>
          <w:rFonts w:eastAsia="Times New Roman" w:cs="Calibri"/>
          <w:lang w:val="en-GB"/>
        </w:rPr>
        <w:t>audit of  the Reform and Growth Facility</w:t>
      </w:r>
      <w:r w:rsidRPr="00D30847">
        <w:rPr>
          <w:rFonts w:eastAsia="Times New Roman" w:cs="Calibri"/>
          <w:lang w:val="en-GB"/>
        </w:rPr>
        <w:t>.</w:t>
      </w:r>
    </w:p>
    <w:p w14:paraId="171ABC82" w14:textId="77777777" w:rsidR="007733B2" w:rsidRPr="00D30847" w:rsidRDefault="007733B2" w:rsidP="00E84CD0">
      <w:pPr>
        <w:keepNext/>
        <w:keepLines/>
        <w:spacing w:before="240" w:after="120" w:line="240" w:lineRule="auto"/>
        <w:jc w:val="both"/>
        <w:outlineLvl w:val="3"/>
        <w:rPr>
          <w:rFonts w:eastAsia="MS PGothic" w:cs="Calibri"/>
          <w:b/>
          <w:bCs/>
          <w:iCs/>
          <w:color w:val="0070C0"/>
          <w:lang w:val="en-GB" w:eastAsia="zh-CN"/>
        </w:rPr>
      </w:pPr>
      <w:r w:rsidRPr="00D30847">
        <w:rPr>
          <w:rFonts w:eastAsia="MS PGothic" w:cs="Calibri"/>
          <w:b/>
          <w:bCs/>
          <w:iCs/>
          <w:color w:val="0070C0"/>
          <w:lang w:val="en-GB" w:eastAsia="zh-CN"/>
        </w:rPr>
        <w:t>Activity 2: Strengthen the capacity to conduct audits</w:t>
      </w:r>
    </w:p>
    <w:p w14:paraId="77BE814B" w14:textId="2E5B90B6" w:rsidR="00764B1D" w:rsidRPr="00D30847" w:rsidRDefault="00764B1D" w:rsidP="00764B1D">
      <w:pPr>
        <w:autoSpaceDE w:val="0"/>
        <w:autoSpaceDN w:val="0"/>
        <w:adjustRightInd w:val="0"/>
        <w:spacing w:before="120" w:line="240" w:lineRule="auto"/>
        <w:jc w:val="both"/>
        <w:rPr>
          <w:rFonts w:eastAsia="Times New Roman" w:cs="Calibri"/>
          <w:color w:val="202124"/>
          <w:lang w:val="en-GB"/>
        </w:rPr>
      </w:pPr>
      <w:r w:rsidRPr="00D30847">
        <w:rPr>
          <w:rFonts w:eastAsia="Times New Roman" w:cs="Calibri"/>
          <w:color w:val="202124"/>
          <w:lang w:val="en-GB"/>
        </w:rPr>
        <w:t xml:space="preserve">The institutional and human resource capacities of the SAO will be strengthened in order to increase the number of performance audits, increase the audit scope of public expenditure and ensure continuous quality of operation, high integrity of employees and </w:t>
      </w:r>
      <w:r w:rsidR="002F500A" w:rsidRPr="00D30847">
        <w:rPr>
          <w:rFonts w:eastAsia="Times New Roman" w:cs="Calibri"/>
          <w:color w:val="202124"/>
          <w:lang w:val="en-GB"/>
        </w:rPr>
        <w:t>fulfilment</w:t>
      </w:r>
      <w:r w:rsidRPr="00D30847">
        <w:rPr>
          <w:rFonts w:eastAsia="Times New Roman" w:cs="Calibri"/>
          <w:color w:val="202124"/>
          <w:lang w:val="en-GB"/>
        </w:rPr>
        <w:t xml:space="preserve"> of the appropriate conditions for the audit work.</w:t>
      </w:r>
    </w:p>
    <w:p w14:paraId="627311AE" w14:textId="77777777" w:rsidR="00764B1D" w:rsidRPr="00D30847" w:rsidRDefault="00764B1D" w:rsidP="00764B1D">
      <w:pPr>
        <w:autoSpaceDE w:val="0"/>
        <w:autoSpaceDN w:val="0"/>
        <w:adjustRightInd w:val="0"/>
        <w:spacing w:before="120" w:line="240" w:lineRule="auto"/>
        <w:jc w:val="both"/>
        <w:rPr>
          <w:rFonts w:eastAsia="Times New Roman" w:cs="Calibri"/>
          <w:color w:val="202124"/>
          <w:lang w:val="en-GB"/>
        </w:rPr>
      </w:pPr>
      <w:r w:rsidRPr="00D30847">
        <w:rPr>
          <w:rFonts w:eastAsia="Times New Roman" w:cs="Calibri"/>
          <w:color w:val="202124"/>
          <w:lang w:val="en-GB"/>
        </w:rPr>
        <w:t>The modernization of the audit processes will continue with the use of advanced equipment and working conditions, modern audit tools, methodologies and techniques for improving the efficiency of the state audit.</w:t>
      </w:r>
    </w:p>
    <w:p w14:paraId="383D65E3" w14:textId="73987BA3" w:rsidR="00C75160" w:rsidRPr="00D30847" w:rsidRDefault="00C75160" w:rsidP="00C75160">
      <w:pPr>
        <w:autoSpaceDE w:val="0"/>
        <w:autoSpaceDN w:val="0"/>
        <w:adjustRightInd w:val="0"/>
        <w:spacing w:before="120" w:line="240" w:lineRule="auto"/>
        <w:jc w:val="both"/>
        <w:rPr>
          <w:rFonts w:eastAsia="Times New Roman" w:cs="Calibri"/>
          <w:lang w:val="en-GB" w:eastAsia="x-none"/>
        </w:rPr>
      </w:pPr>
      <w:bookmarkStart w:id="65" w:name="_Hlk156893308"/>
      <w:r w:rsidRPr="00D30847">
        <w:rPr>
          <w:rFonts w:eastAsia="Times New Roman" w:cs="Calibri"/>
          <w:lang w:val="en-GB" w:eastAsia="x-none"/>
        </w:rPr>
        <w:t xml:space="preserve">Education of new employees for real-time audits, Sustainable Development Goals, Value for money, Forensic audits, LGU audit, public enterprises, </w:t>
      </w:r>
      <w:r w:rsidR="002F500A" w:rsidRPr="00D30847">
        <w:rPr>
          <w:rFonts w:eastAsia="Times New Roman" w:cs="Calibri"/>
          <w:lang w:val="en-GB" w:eastAsia="x-none"/>
        </w:rPr>
        <w:t>trade companies</w:t>
      </w:r>
      <w:r w:rsidRPr="00D30847">
        <w:rPr>
          <w:rFonts w:eastAsia="Times New Roman" w:cs="Calibri"/>
          <w:lang w:val="en-GB" w:eastAsia="x-none"/>
        </w:rPr>
        <w:t xml:space="preserve"> at the central and local level, review of the State budget</w:t>
      </w:r>
      <w:r w:rsidR="00AC245B" w:rsidRPr="00D30847">
        <w:rPr>
          <w:rFonts w:eastAsia="Times New Roman" w:cs="Calibri"/>
          <w:lang w:val="en-GB" w:eastAsia="x-none"/>
        </w:rPr>
        <w:t xml:space="preserve"> and audit of the Reform and Growth </w:t>
      </w:r>
      <w:r w:rsidR="002F500A" w:rsidRPr="00D30847">
        <w:rPr>
          <w:rFonts w:eastAsia="Times New Roman" w:cs="Calibri"/>
          <w:lang w:val="en-GB" w:eastAsia="x-none"/>
        </w:rPr>
        <w:t>Facility.</w:t>
      </w:r>
    </w:p>
    <w:bookmarkEnd w:id="65"/>
    <w:p w14:paraId="315F92B4" w14:textId="77777777" w:rsidR="007733B2" w:rsidRPr="00D30847" w:rsidRDefault="007733B2" w:rsidP="00E84CD0">
      <w:pPr>
        <w:keepNext/>
        <w:keepLines/>
        <w:spacing w:before="240" w:after="120" w:line="240" w:lineRule="auto"/>
        <w:jc w:val="both"/>
        <w:outlineLvl w:val="3"/>
        <w:rPr>
          <w:rFonts w:eastAsia="MS PGothic" w:cs="Calibri"/>
          <w:b/>
          <w:bCs/>
          <w:iCs/>
          <w:color w:val="0070C0"/>
          <w:lang w:val="en-GB" w:eastAsia="zh-CN"/>
        </w:rPr>
      </w:pPr>
      <w:r w:rsidRPr="00D30847">
        <w:rPr>
          <w:rFonts w:eastAsia="MS PGothic" w:cs="Calibri"/>
          <w:b/>
          <w:bCs/>
          <w:iCs/>
          <w:color w:val="0070C0"/>
          <w:lang w:val="en-GB" w:eastAsia="zh-CN"/>
        </w:rPr>
        <w:t>Activity 3: Increasing the visibility of the SAO and communication with the stakeholders</w:t>
      </w:r>
    </w:p>
    <w:p w14:paraId="3A8BC40E" w14:textId="77777777" w:rsidR="00764B1D" w:rsidRPr="00D30847" w:rsidRDefault="00764B1D" w:rsidP="00764B1D">
      <w:pPr>
        <w:autoSpaceDE w:val="0"/>
        <w:autoSpaceDN w:val="0"/>
        <w:adjustRightInd w:val="0"/>
        <w:spacing w:before="120" w:line="240" w:lineRule="auto"/>
        <w:jc w:val="both"/>
        <w:rPr>
          <w:rFonts w:eastAsia="Times New Roman" w:cs="Calibri"/>
          <w:lang w:val="en-GB"/>
        </w:rPr>
      </w:pPr>
      <w:r w:rsidRPr="00D30847">
        <w:rPr>
          <w:rFonts w:eastAsia="Times New Roman" w:cs="Calibri"/>
          <w:lang w:val="en-GB"/>
        </w:rPr>
        <w:t>The institutional and human resource capacities of the SAO will be strengthened in order to increase the effects of the SAO activities, increase SAO visibility and improve the communication processes with stakeholders via electronic tools and media.</w:t>
      </w:r>
    </w:p>
    <w:p w14:paraId="1EED1D90" w14:textId="77777777" w:rsidR="00764B1D" w:rsidRPr="00D30847" w:rsidRDefault="00764B1D" w:rsidP="00764B1D">
      <w:pPr>
        <w:autoSpaceDE w:val="0"/>
        <w:autoSpaceDN w:val="0"/>
        <w:adjustRightInd w:val="0"/>
        <w:spacing w:before="120" w:line="240" w:lineRule="auto"/>
        <w:jc w:val="both"/>
        <w:rPr>
          <w:rFonts w:eastAsia="Times New Roman" w:cs="Calibri"/>
          <w:lang w:val="en-GB"/>
        </w:rPr>
      </w:pPr>
      <w:r w:rsidRPr="00D30847">
        <w:rPr>
          <w:rFonts w:eastAsia="Times New Roman" w:cs="Calibri"/>
          <w:lang w:val="en-GB"/>
        </w:rPr>
        <w:lastRenderedPageBreak/>
        <w:t>The modernization of the work processes will continue with the use of advanced equipment and modern forms for innovative presentation of the audit results to the public and strengthening cooperation with stakeholders (Assembly, Government, Ministry of Finance, Public Prosecutor's Office, Ministry of Interior, State Commission for Prevention of Corruption, audited entities, the public).</w:t>
      </w:r>
    </w:p>
    <w:p w14:paraId="0993D3F0" w14:textId="77777777" w:rsidR="007733B2" w:rsidRPr="00D30847" w:rsidRDefault="007733B2" w:rsidP="00E84CD0">
      <w:pPr>
        <w:keepNext/>
        <w:keepLines/>
        <w:spacing w:before="120" w:line="240" w:lineRule="auto"/>
        <w:jc w:val="both"/>
        <w:outlineLvl w:val="3"/>
        <w:rPr>
          <w:rFonts w:cs="Calibri"/>
          <w:b/>
          <w:bCs/>
          <w:i/>
          <w:iCs/>
          <w:color w:val="4F81BD"/>
          <w:lang w:val="en-GB"/>
        </w:rPr>
      </w:pPr>
      <w:r w:rsidRPr="00D30847">
        <w:rPr>
          <w:rFonts w:cs="Calibri"/>
          <w:b/>
          <w:bCs/>
          <w:i/>
          <w:iCs/>
          <w:color w:val="4F81BD"/>
          <w:lang w:val="en-GB"/>
        </w:rPr>
        <w:t>Implementation</w:t>
      </w:r>
    </w:p>
    <w:tbl>
      <w:tblPr>
        <w:tblW w:w="0" w:type="auto"/>
        <w:tblBorders>
          <w:insideH w:val="single" w:sz="4" w:space="0" w:color="FFFFFF"/>
        </w:tblBorders>
        <w:tblLayout w:type="fixed"/>
        <w:tblLook w:val="0080" w:firstRow="0" w:lastRow="0" w:firstColumn="1" w:lastColumn="0" w:noHBand="0" w:noVBand="0"/>
      </w:tblPr>
      <w:tblGrid>
        <w:gridCol w:w="2448"/>
        <w:gridCol w:w="6246"/>
      </w:tblGrid>
      <w:tr w:rsidR="007733B2" w:rsidRPr="00D30847" w14:paraId="1A314810" w14:textId="77777777" w:rsidTr="003A2F75">
        <w:tc>
          <w:tcPr>
            <w:tcW w:w="2448" w:type="dxa"/>
            <w:tcBorders>
              <w:top w:val="nil"/>
              <w:bottom w:val="single" w:sz="4" w:space="0" w:color="FFFFFF"/>
            </w:tcBorders>
            <w:shd w:val="clear" w:color="auto" w:fill="002060"/>
          </w:tcPr>
          <w:p w14:paraId="073661A0" w14:textId="126A4F96" w:rsidR="007733B2" w:rsidRPr="00D30847" w:rsidRDefault="007733B2" w:rsidP="00E84CD0">
            <w:pPr>
              <w:spacing w:line="240" w:lineRule="auto"/>
              <w:jc w:val="both"/>
              <w:rPr>
                <w:rFonts w:cs="Calibri"/>
                <w:b/>
                <w:sz w:val="20"/>
                <w:szCs w:val="20"/>
                <w:lang w:val="en-GB"/>
              </w:rPr>
            </w:pPr>
            <w:r w:rsidRPr="00D30847">
              <w:rPr>
                <w:rFonts w:cs="Calibri"/>
                <w:b/>
                <w:sz w:val="20"/>
                <w:szCs w:val="20"/>
                <w:lang w:val="en-GB"/>
              </w:rPr>
              <w:t>Completed</w:t>
            </w:r>
            <w:r w:rsidR="00C34014" w:rsidRPr="00D30847">
              <w:rPr>
                <w:rFonts w:cs="Calibri"/>
                <w:b/>
                <w:sz w:val="20"/>
                <w:szCs w:val="20"/>
                <w:lang w:val="en-GB"/>
              </w:rPr>
              <w:t xml:space="preserve"> </w:t>
            </w:r>
            <w:r w:rsidRPr="00D30847">
              <w:rPr>
                <w:rFonts w:cs="Calibri"/>
                <w:b/>
                <w:sz w:val="20"/>
                <w:szCs w:val="20"/>
                <w:lang w:val="en-GB"/>
              </w:rPr>
              <w:t>in</w:t>
            </w:r>
            <w:r w:rsidR="00C34014" w:rsidRPr="00D30847">
              <w:rPr>
                <w:rFonts w:cs="Calibri"/>
                <w:b/>
                <w:sz w:val="20"/>
                <w:szCs w:val="20"/>
                <w:lang w:val="en-GB"/>
              </w:rPr>
              <w:t xml:space="preserve"> </w:t>
            </w:r>
            <w:r w:rsidRPr="00D30847">
              <w:rPr>
                <w:rFonts w:cs="Calibri"/>
                <w:b/>
                <w:sz w:val="20"/>
                <w:szCs w:val="20"/>
                <w:lang w:val="en-GB"/>
              </w:rPr>
              <w:t>year:</w:t>
            </w:r>
          </w:p>
        </w:tc>
        <w:tc>
          <w:tcPr>
            <w:tcW w:w="6246" w:type="dxa"/>
            <w:tcBorders>
              <w:top w:val="nil"/>
              <w:bottom w:val="single" w:sz="4" w:space="0" w:color="FFFFFF"/>
            </w:tcBorders>
            <w:shd w:val="clear" w:color="auto" w:fill="D9E2F3"/>
          </w:tcPr>
          <w:p w14:paraId="4C4BFCE2" w14:textId="63F4C771" w:rsidR="007733B2" w:rsidRPr="00D30847" w:rsidRDefault="009C7897" w:rsidP="009C7897">
            <w:pPr>
              <w:tabs>
                <w:tab w:val="left" w:pos="1526"/>
              </w:tabs>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 </w:t>
            </w:r>
            <w:r w:rsidR="007733B2" w:rsidRPr="00D30847">
              <w:rPr>
                <w:rFonts w:eastAsia="Times New Roman" w:cs="Calibri"/>
                <w:color w:val="202124"/>
                <w:sz w:val="20"/>
                <w:szCs w:val="20"/>
                <w:lang w:val="en-GB"/>
              </w:rPr>
              <w:t>202</w:t>
            </w:r>
            <w:r w:rsidR="00AC245B" w:rsidRPr="00D30847">
              <w:rPr>
                <w:rFonts w:eastAsia="Times New Roman" w:cs="Calibri"/>
                <w:color w:val="202124"/>
                <w:sz w:val="20"/>
                <w:szCs w:val="20"/>
                <w:lang w:val="en-GB"/>
              </w:rPr>
              <w:t>8</w:t>
            </w:r>
          </w:p>
        </w:tc>
      </w:tr>
      <w:tr w:rsidR="007733B2" w:rsidRPr="00D30847" w14:paraId="5E4E506A" w14:textId="77777777" w:rsidTr="003A2F75">
        <w:tc>
          <w:tcPr>
            <w:tcW w:w="2448" w:type="dxa"/>
            <w:tcBorders>
              <w:top w:val="single" w:sz="4" w:space="0" w:color="FFFFFF"/>
              <w:bottom w:val="single" w:sz="4" w:space="0" w:color="FFFFFF"/>
            </w:tcBorders>
            <w:shd w:val="clear" w:color="auto" w:fill="002060"/>
          </w:tcPr>
          <w:p w14:paraId="6FA65F1B" w14:textId="77777777" w:rsidR="007733B2" w:rsidRPr="00D30847" w:rsidRDefault="007733B2" w:rsidP="00E84CD0">
            <w:pPr>
              <w:spacing w:line="240" w:lineRule="auto"/>
              <w:jc w:val="both"/>
              <w:rPr>
                <w:rFonts w:cs="Calibri"/>
                <w:b/>
                <w:sz w:val="20"/>
                <w:szCs w:val="20"/>
                <w:lang w:val="en-GB"/>
              </w:rPr>
            </w:pPr>
            <w:r w:rsidRPr="00D30847">
              <w:rPr>
                <w:rFonts w:cs="Calibri"/>
                <w:b/>
                <w:sz w:val="20"/>
                <w:szCs w:val="20"/>
                <w:lang w:val="en-GB"/>
              </w:rPr>
              <w:t>Deliverables:</w:t>
            </w:r>
          </w:p>
        </w:tc>
        <w:tc>
          <w:tcPr>
            <w:tcW w:w="6246" w:type="dxa"/>
            <w:tcBorders>
              <w:top w:val="single" w:sz="4" w:space="0" w:color="FFFFFF"/>
              <w:bottom w:val="single" w:sz="4" w:space="0" w:color="FFFFFF"/>
            </w:tcBorders>
            <w:shd w:val="clear" w:color="auto" w:fill="D9E2F3"/>
          </w:tcPr>
          <w:p w14:paraId="5C9B9215" w14:textId="63CF9F5A" w:rsidR="003F3FB2" w:rsidRPr="00D30847" w:rsidRDefault="009C7897" w:rsidP="009C7897">
            <w:pPr>
              <w:autoSpaceDE w:val="0"/>
              <w:autoSpaceDN w:val="0"/>
              <w:adjustRightInd w:val="0"/>
              <w:spacing w:after="0" w:line="240" w:lineRule="auto"/>
              <w:contextualSpacing/>
              <w:jc w:val="both"/>
              <w:rPr>
                <w:rFonts w:eastAsia="Times New Roman" w:cs="Calibri"/>
                <w:sz w:val="20"/>
                <w:szCs w:val="20"/>
                <w:lang w:val="en-GB"/>
              </w:rPr>
            </w:pPr>
            <w:r w:rsidRPr="00D30847">
              <w:rPr>
                <w:rFonts w:eastAsia="Times New Roman" w:cs="Calibri"/>
                <w:sz w:val="20"/>
                <w:szCs w:val="20"/>
                <w:lang w:val="en-GB"/>
              </w:rPr>
              <w:t xml:space="preserve">- </w:t>
            </w:r>
            <w:r w:rsidR="003F3FB2" w:rsidRPr="00D30847">
              <w:rPr>
                <w:rFonts w:eastAsia="Times New Roman" w:cs="Calibri"/>
                <w:sz w:val="20"/>
                <w:szCs w:val="20"/>
                <w:lang w:val="en-GB"/>
              </w:rPr>
              <w:t>Analysis with recommendations for improving the audit process on the Annual Account of the Budget of the Republic of North Macedonia;</w:t>
            </w:r>
          </w:p>
          <w:p w14:paraId="57401275" w14:textId="45188EF0" w:rsidR="003F3FB2" w:rsidRPr="00D30847" w:rsidRDefault="009C7897" w:rsidP="00E32BC1">
            <w:pPr>
              <w:spacing w:line="240" w:lineRule="auto"/>
              <w:jc w:val="both"/>
              <w:rPr>
                <w:rFonts w:eastAsia="Times New Roman" w:cs="Calibri"/>
                <w:sz w:val="20"/>
                <w:szCs w:val="20"/>
                <w:lang w:val="en-GB"/>
              </w:rPr>
            </w:pPr>
            <w:r w:rsidRPr="00D30847">
              <w:rPr>
                <w:rFonts w:eastAsia="Times New Roman" w:cs="Calibri"/>
                <w:sz w:val="20"/>
                <w:szCs w:val="20"/>
                <w:lang w:val="en-GB"/>
              </w:rPr>
              <w:t xml:space="preserve">- </w:t>
            </w:r>
            <w:r w:rsidR="003F3FB2" w:rsidRPr="00D30847">
              <w:rPr>
                <w:rFonts w:eastAsia="Times New Roman" w:cs="Calibri"/>
                <w:sz w:val="20"/>
                <w:szCs w:val="20"/>
                <w:lang w:val="en-GB"/>
              </w:rPr>
              <w:t>New or improved methodological acts and tools on topics relevant to the responsible management and use of public funds (audits of sustainable development goals, audits of financial statements prepared on an accrual basis, audits of value for money (Value for Money), audits of LSGUs, audit of public enterprises and state owned companies, audit of financial statements of the Core budget etc.).</w:t>
            </w:r>
            <w:r w:rsidR="00AC245B" w:rsidRPr="00D30847">
              <w:rPr>
                <w:rFonts w:eastAsia="Times New Roman" w:cs="Calibri"/>
                <w:sz w:val="20"/>
                <w:szCs w:val="20"/>
                <w:lang w:val="en-GB"/>
              </w:rPr>
              <w:t xml:space="preserve"> audit of the Reform and Growth Facility.</w:t>
            </w:r>
          </w:p>
          <w:p w14:paraId="04C4BDFF" w14:textId="40941683" w:rsidR="00C75160" w:rsidRPr="00D30847" w:rsidRDefault="009C7897" w:rsidP="00E32BC1">
            <w:pPr>
              <w:spacing w:line="240" w:lineRule="auto"/>
              <w:jc w:val="both"/>
              <w:rPr>
                <w:rFonts w:eastAsia="Times New Roman" w:cs="Calibri"/>
                <w:sz w:val="20"/>
                <w:szCs w:val="20"/>
                <w:lang w:val="en-GB"/>
              </w:rPr>
            </w:pPr>
            <w:r w:rsidRPr="00D30847">
              <w:rPr>
                <w:rFonts w:eastAsia="Times New Roman" w:cs="Calibri"/>
                <w:sz w:val="20"/>
                <w:szCs w:val="20"/>
                <w:lang w:val="en-GB" w:eastAsia="x-none"/>
              </w:rPr>
              <w:t xml:space="preserve">- </w:t>
            </w:r>
            <w:r w:rsidR="00C75160" w:rsidRPr="00D30847">
              <w:rPr>
                <w:rFonts w:eastAsia="Times New Roman" w:cs="Calibri"/>
                <w:sz w:val="20"/>
                <w:szCs w:val="20"/>
                <w:lang w:val="en-GB" w:eastAsia="x-none"/>
              </w:rPr>
              <w:t>Conducted performance audits in relevant areas of government policy and topics of importance for the responsible management and use of public funds (audit of EU funds, audits of sustainable development goals, audit of financial statements prepared on an accrual basis, audit of values ​​for money, audits of LGUs, gender equality audit, audits in the areas determined in the National Development Strategy of the Republic of North Macedonia, etc.)</w:t>
            </w:r>
            <w:r w:rsidR="00AC245B" w:rsidRPr="00D30847">
              <w:rPr>
                <w:rFonts w:eastAsia="Times New Roman" w:cs="Calibri"/>
                <w:sz w:val="20"/>
                <w:szCs w:val="20"/>
                <w:lang w:val="en-GB" w:eastAsia="x-none"/>
              </w:rPr>
              <w:t>,</w:t>
            </w:r>
            <w:r w:rsidR="00AC245B" w:rsidRPr="00D30847">
              <w:rPr>
                <w:rFonts w:eastAsia="Times New Roman" w:cs="Calibri"/>
                <w:sz w:val="20"/>
                <w:szCs w:val="20"/>
                <w:lang w:val="en-GB"/>
              </w:rPr>
              <w:t xml:space="preserve"> audit of the Reform and Growth Facility.</w:t>
            </w:r>
          </w:p>
          <w:p w14:paraId="0AB99105" w14:textId="76134151" w:rsidR="00C75160" w:rsidRPr="00D30847" w:rsidRDefault="009C7897" w:rsidP="00E32BC1">
            <w:pPr>
              <w:spacing w:line="240" w:lineRule="auto"/>
              <w:jc w:val="both"/>
              <w:rPr>
                <w:rFonts w:eastAsia="Times New Roman" w:cs="Calibri"/>
                <w:sz w:val="20"/>
                <w:szCs w:val="20"/>
                <w:lang w:val="en-GB"/>
              </w:rPr>
            </w:pPr>
            <w:r w:rsidRPr="00D30847">
              <w:rPr>
                <w:rFonts w:eastAsia="Times New Roman" w:cs="Calibri"/>
                <w:sz w:val="20"/>
                <w:szCs w:val="20"/>
                <w:lang w:val="en-GB" w:eastAsia="x-none"/>
              </w:rPr>
              <w:t xml:space="preserve">- </w:t>
            </w:r>
            <w:r w:rsidR="00C75160" w:rsidRPr="00D30847">
              <w:rPr>
                <w:rFonts w:eastAsia="Times New Roman" w:cs="Calibri"/>
                <w:sz w:val="20"/>
                <w:szCs w:val="20"/>
                <w:lang w:val="en-GB" w:eastAsia="x-none"/>
              </w:rPr>
              <w:t xml:space="preserve">Conducted trainings (study visits, conferences, seminars, workshops) on topics of importance for responsible management and use of public funds </w:t>
            </w:r>
            <w:r w:rsidR="00C75160" w:rsidRPr="00D30847">
              <w:rPr>
                <w:rFonts w:cs="Calibri"/>
                <w:sz w:val="20"/>
                <w:szCs w:val="20"/>
                <w:lang w:val="en-GB"/>
              </w:rPr>
              <w:t>in line with SAO strategic documents:</w:t>
            </w:r>
            <w:r w:rsidR="00C75160" w:rsidRPr="00D30847">
              <w:rPr>
                <w:rFonts w:eastAsia="Times New Roman" w:cs="Calibri"/>
                <w:sz w:val="20"/>
                <w:szCs w:val="20"/>
                <w:lang w:val="en-GB" w:eastAsia="x-none"/>
              </w:rPr>
              <w:t xml:space="preserve"> audit of EU funds, prevention and detection of corruption, audits of sustainable development goals, audits of financial statements prepared on an accrual basis, value for money audits, LGU audits, gender equality audits, </w:t>
            </w:r>
            <w:r w:rsidR="009F7A1B" w:rsidRPr="00D30847">
              <w:rPr>
                <w:rFonts w:eastAsia="Times New Roman" w:cs="Calibri"/>
                <w:sz w:val="20"/>
                <w:szCs w:val="20"/>
                <w:lang w:val="en-GB"/>
              </w:rPr>
              <w:t xml:space="preserve">audit of the Reform and Growth Facility, </w:t>
            </w:r>
            <w:r w:rsidR="00C75160" w:rsidRPr="00D30847">
              <w:rPr>
                <w:rFonts w:eastAsia="Times New Roman" w:cs="Calibri"/>
                <w:sz w:val="20"/>
                <w:szCs w:val="20"/>
                <w:lang w:val="en-GB" w:eastAsia="x-none"/>
              </w:rPr>
              <w:t>Certified Fraud Examiner; Certified corruption risk management, IT, data science, graphic design, Python, project management, full stack and front end programming, UIX design, etc.</w:t>
            </w:r>
          </w:p>
          <w:p w14:paraId="0BFD14D5" w14:textId="4483911F" w:rsidR="00C75160" w:rsidRPr="00D30847" w:rsidRDefault="009C7897" w:rsidP="009C7897">
            <w:pPr>
              <w:autoSpaceDE w:val="0"/>
              <w:autoSpaceDN w:val="0"/>
              <w:adjustRightInd w:val="0"/>
              <w:spacing w:after="0" w:line="240" w:lineRule="auto"/>
              <w:contextualSpacing/>
              <w:jc w:val="both"/>
              <w:rPr>
                <w:rFonts w:eastAsia="Times New Roman" w:cs="Calibri"/>
                <w:sz w:val="20"/>
                <w:szCs w:val="20"/>
                <w:lang w:val="en-GB" w:eastAsia="x-none"/>
              </w:rPr>
            </w:pPr>
            <w:r w:rsidRPr="00D30847">
              <w:rPr>
                <w:rFonts w:eastAsia="Times New Roman" w:cs="Calibri"/>
                <w:sz w:val="20"/>
                <w:szCs w:val="20"/>
                <w:lang w:val="en-GB" w:eastAsia="x-none"/>
              </w:rPr>
              <w:t xml:space="preserve">- </w:t>
            </w:r>
            <w:r w:rsidR="00C75160" w:rsidRPr="00D30847">
              <w:rPr>
                <w:rFonts w:eastAsia="Times New Roman" w:cs="Calibri"/>
                <w:sz w:val="20"/>
                <w:szCs w:val="20"/>
                <w:lang w:val="en-GB" w:eastAsia="x-none"/>
              </w:rPr>
              <w:t>Trainings to strengthen cooperation with stakeholders;</w:t>
            </w:r>
          </w:p>
          <w:p w14:paraId="0714E2B5" w14:textId="2699C7DE" w:rsidR="00C75160" w:rsidRPr="00D30847" w:rsidRDefault="009C7897" w:rsidP="009C7897">
            <w:pPr>
              <w:autoSpaceDE w:val="0"/>
              <w:autoSpaceDN w:val="0"/>
              <w:adjustRightInd w:val="0"/>
              <w:spacing w:after="0" w:line="240" w:lineRule="auto"/>
              <w:contextualSpacing/>
              <w:jc w:val="both"/>
              <w:rPr>
                <w:rFonts w:eastAsia="Times New Roman" w:cs="Calibri"/>
                <w:sz w:val="20"/>
                <w:szCs w:val="20"/>
                <w:lang w:val="en-GB" w:eastAsia="x-none"/>
              </w:rPr>
            </w:pPr>
            <w:r w:rsidRPr="00D30847">
              <w:rPr>
                <w:rFonts w:eastAsia="Times New Roman" w:cs="Calibri"/>
                <w:sz w:val="20"/>
                <w:szCs w:val="20"/>
                <w:lang w:val="en-GB" w:eastAsia="x-none"/>
              </w:rPr>
              <w:t xml:space="preserve">- </w:t>
            </w:r>
            <w:r w:rsidR="00C75160" w:rsidRPr="00D30847">
              <w:rPr>
                <w:rFonts w:eastAsia="Times New Roman" w:cs="Calibri"/>
                <w:sz w:val="20"/>
                <w:szCs w:val="20"/>
                <w:lang w:val="en-GB" w:eastAsia="x-none"/>
              </w:rPr>
              <w:t>Using modern auditing tools, methodologies and techniques and development of software tools for reclassification of financial statements / software tools for auditing financial statements prepared on an accrual basis;</w:t>
            </w:r>
          </w:p>
          <w:p w14:paraId="4749FD7D" w14:textId="20EEA9C0" w:rsidR="00C75160" w:rsidRPr="00D30847" w:rsidRDefault="009C7897" w:rsidP="009C7897">
            <w:pPr>
              <w:autoSpaceDE w:val="0"/>
              <w:autoSpaceDN w:val="0"/>
              <w:adjustRightInd w:val="0"/>
              <w:spacing w:after="0" w:line="240" w:lineRule="auto"/>
              <w:contextualSpacing/>
              <w:jc w:val="both"/>
              <w:rPr>
                <w:rFonts w:eastAsia="Times New Roman" w:cs="Calibri"/>
                <w:sz w:val="20"/>
                <w:szCs w:val="20"/>
                <w:lang w:val="en-GB" w:eastAsia="x-none"/>
              </w:rPr>
            </w:pPr>
            <w:r w:rsidRPr="00D30847">
              <w:rPr>
                <w:rFonts w:eastAsia="Times New Roman" w:cs="Calibri"/>
                <w:sz w:val="20"/>
                <w:szCs w:val="20"/>
                <w:lang w:val="en-GB" w:eastAsia="x-none"/>
              </w:rPr>
              <w:t xml:space="preserve">- </w:t>
            </w:r>
            <w:r w:rsidR="00C75160" w:rsidRPr="00D30847">
              <w:rPr>
                <w:rFonts w:eastAsia="Times New Roman" w:cs="Calibri"/>
                <w:sz w:val="20"/>
                <w:szCs w:val="20"/>
                <w:lang w:val="en-GB" w:eastAsia="x-none"/>
              </w:rPr>
              <w:t>Use of modern equipment and improved working conditions.</w:t>
            </w:r>
          </w:p>
          <w:p w14:paraId="7C8E860A" w14:textId="49FE7DCE" w:rsidR="00C75160" w:rsidRPr="00D30847" w:rsidRDefault="009C7897" w:rsidP="009C7897">
            <w:pPr>
              <w:autoSpaceDE w:val="0"/>
              <w:autoSpaceDN w:val="0"/>
              <w:adjustRightInd w:val="0"/>
              <w:spacing w:after="0" w:line="240" w:lineRule="auto"/>
              <w:contextualSpacing/>
              <w:jc w:val="both"/>
              <w:rPr>
                <w:rFonts w:eastAsia="Times New Roman" w:cs="Calibri"/>
                <w:sz w:val="20"/>
                <w:szCs w:val="20"/>
                <w:lang w:val="en-GB" w:eastAsia="x-none"/>
              </w:rPr>
            </w:pPr>
            <w:r w:rsidRPr="00D30847">
              <w:rPr>
                <w:rFonts w:eastAsia="Times New Roman" w:cs="Calibri"/>
                <w:sz w:val="20"/>
                <w:szCs w:val="20"/>
                <w:lang w:val="en-GB" w:eastAsia="x-none"/>
              </w:rPr>
              <w:t xml:space="preserve">- </w:t>
            </w:r>
            <w:r w:rsidR="00C75160" w:rsidRPr="00D30847">
              <w:rPr>
                <w:rFonts w:eastAsia="Times New Roman" w:cs="Calibri"/>
                <w:sz w:val="20"/>
                <w:szCs w:val="20"/>
                <w:lang w:val="en-GB" w:eastAsia="x-none"/>
              </w:rPr>
              <w:t>Using visualization (infographics, video presentations, flyers) to present the results of the audit to the public;</w:t>
            </w:r>
          </w:p>
          <w:p w14:paraId="02B9217A" w14:textId="3754A5CB" w:rsidR="00C75160" w:rsidRPr="00D30847" w:rsidRDefault="009C7897" w:rsidP="009C7897">
            <w:pPr>
              <w:autoSpaceDE w:val="0"/>
              <w:autoSpaceDN w:val="0"/>
              <w:adjustRightInd w:val="0"/>
              <w:spacing w:after="0" w:line="240" w:lineRule="auto"/>
              <w:contextualSpacing/>
              <w:jc w:val="both"/>
              <w:rPr>
                <w:rFonts w:eastAsia="Times New Roman" w:cs="Calibri"/>
                <w:sz w:val="20"/>
                <w:szCs w:val="20"/>
                <w:lang w:val="en-GB" w:eastAsia="x-none"/>
              </w:rPr>
            </w:pPr>
            <w:r w:rsidRPr="00D30847">
              <w:rPr>
                <w:rFonts w:eastAsia="Times New Roman" w:cs="Calibri"/>
                <w:sz w:val="20"/>
                <w:szCs w:val="20"/>
                <w:lang w:val="en-GB" w:eastAsia="x-none"/>
              </w:rPr>
              <w:t xml:space="preserve">- </w:t>
            </w:r>
            <w:r w:rsidR="00C75160" w:rsidRPr="00D30847">
              <w:rPr>
                <w:rFonts w:eastAsia="Times New Roman" w:cs="Calibri"/>
                <w:sz w:val="20"/>
                <w:szCs w:val="20"/>
                <w:lang w:val="en-GB" w:eastAsia="x-none"/>
              </w:rPr>
              <w:t>New channels for communication with stakeholders (the Assembly, the Government, the Ministry of Finance, the Public Prosecutor's Office, the Ministry of Internal Affairs, the State Commission for the Prevention of Corruption, the entities subject to audit, the public);</w:t>
            </w:r>
          </w:p>
          <w:p w14:paraId="1345F1E8" w14:textId="7009AE0B" w:rsidR="00C75160" w:rsidRPr="00D30847" w:rsidRDefault="009C7897" w:rsidP="009C7897">
            <w:pPr>
              <w:autoSpaceDE w:val="0"/>
              <w:autoSpaceDN w:val="0"/>
              <w:adjustRightInd w:val="0"/>
              <w:spacing w:after="0" w:line="240" w:lineRule="auto"/>
              <w:contextualSpacing/>
              <w:jc w:val="both"/>
              <w:rPr>
                <w:rFonts w:eastAsia="Times New Roman" w:cs="Calibri"/>
                <w:sz w:val="20"/>
                <w:szCs w:val="20"/>
                <w:lang w:val="en-GB" w:eastAsia="x-none"/>
              </w:rPr>
            </w:pPr>
            <w:r w:rsidRPr="00D30847">
              <w:rPr>
                <w:rFonts w:eastAsia="Times New Roman" w:cs="Calibri"/>
                <w:sz w:val="20"/>
                <w:szCs w:val="20"/>
                <w:lang w:val="en-GB" w:eastAsia="x-none"/>
              </w:rPr>
              <w:t xml:space="preserve">- </w:t>
            </w:r>
            <w:r w:rsidR="00C75160" w:rsidRPr="00D30847">
              <w:rPr>
                <w:rFonts w:eastAsia="Times New Roman" w:cs="Calibri"/>
                <w:sz w:val="20"/>
                <w:szCs w:val="20"/>
                <w:lang w:val="en-GB" w:eastAsia="x-none"/>
              </w:rPr>
              <w:t>Using digital tools to achieve efficient cooperation and communication with parliamentary bodies to support the work of the RNM Assembly;</w:t>
            </w:r>
          </w:p>
          <w:p w14:paraId="7D5E07AE" w14:textId="06911687" w:rsidR="00C75160" w:rsidRPr="00D30847" w:rsidRDefault="009C7897" w:rsidP="009C7897">
            <w:pPr>
              <w:autoSpaceDE w:val="0"/>
              <w:autoSpaceDN w:val="0"/>
              <w:adjustRightInd w:val="0"/>
              <w:spacing w:after="0" w:line="240" w:lineRule="auto"/>
              <w:contextualSpacing/>
              <w:jc w:val="both"/>
              <w:rPr>
                <w:rFonts w:eastAsia="Times New Roman" w:cs="Calibri"/>
                <w:sz w:val="20"/>
                <w:szCs w:val="20"/>
                <w:lang w:val="en-GB" w:eastAsia="x-none"/>
              </w:rPr>
            </w:pPr>
            <w:r w:rsidRPr="00D30847">
              <w:rPr>
                <w:rFonts w:eastAsia="Times New Roman" w:cs="Calibri"/>
                <w:sz w:val="20"/>
                <w:szCs w:val="20"/>
                <w:lang w:val="en-GB" w:eastAsia="x-none"/>
              </w:rPr>
              <w:t xml:space="preserve">- </w:t>
            </w:r>
            <w:r w:rsidR="00C34014" w:rsidRPr="00D30847">
              <w:rPr>
                <w:rFonts w:eastAsia="Times New Roman" w:cs="Calibri"/>
                <w:sz w:val="20"/>
                <w:szCs w:val="20"/>
                <w:lang w:val="en-GB" w:eastAsia="x-none"/>
              </w:rPr>
              <w:t xml:space="preserve">Conducting </w:t>
            </w:r>
            <w:r w:rsidR="00C75160" w:rsidRPr="00D30847">
              <w:rPr>
                <w:rFonts w:eastAsia="Times New Roman" w:cs="Calibri"/>
                <w:sz w:val="20"/>
                <w:szCs w:val="20"/>
                <w:lang w:val="en-GB" w:eastAsia="x-none"/>
              </w:rPr>
              <w:t>peer review according to the International standards of INTOSAI;</w:t>
            </w:r>
          </w:p>
          <w:p w14:paraId="5FB7FED0" w14:textId="77777777" w:rsidR="007733B2" w:rsidRPr="00D30847" w:rsidRDefault="009C7897" w:rsidP="009C7897">
            <w:pPr>
              <w:autoSpaceDE w:val="0"/>
              <w:autoSpaceDN w:val="0"/>
              <w:adjustRightInd w:val="0"/>
              <w:spacing w:after="0" w:line="240" w:lineRule="auto"/>
              <w:contextualSpacing/>
              <w:jc w:val="both"/>
              <w:rPr>
                <w:rFonts w:eastAsia="Times New Roman" w:cs="Calibri"/>
                <w:sz w:val="20"/>
                <w:szCs w:val="20"/>
                <w:lang w:val="en-GB" w:eastAsia="x-none"/>
              </w:rPr>
            </w:pPr>
            <w:r w:rsidRPr="00D30847">
              <w:rPr>
                <w:rFonts w:eastAsia="Times New Roman" w:cs="Calibri"/>
                <w:sz w:val="20"/>
                <w:szCs w:val="20"/>
                <w:lang w:val="en-GB" w:eastAsia="x-none"/>
              </w:rPr>
              <w:t xml:space="preserve">- </w:t>
            </w:r>
            <w:r w:rsidR="00C75160" w:rsidRPr="00D30847">
              <w:rPr>
                <w:rFonts w:eastAsia="Times New Roman" w:cs="Calibri"/>
                <w:sz w:val="20"/>
                <w:szCs w:val="20"/>
                <w:lang w:val="en-GB" w:eastAsia="x-none"/>
              </w:rPr>
              <w:t>New forms for monitoring and presenting the implementation of audit recommendations.</w:t>
            </w:r>
          </w:p>
          <w:p w14:paraId="1F501550" w14:textId="30B76960" w:rsidR="009F7A1B" w:rsidRPr="00D30847" w:rsidRDefault="009F7A1B" w:rsidP="009C7897">
            <w:pPr>
              <w:autoSpaceDE w:val="0"/>
              <w:autoSpaceDN w:val="0"/>
              <w:adjustRightInd w:val="0"/>
              <w:spacing w:after="0" w:line="240" w:lineRule="auto"/>
              <w:contextualSpacing/>
              <w:jc w:val="both"/>
              <w:rPr>
                <w:rFonts w:eastAsia="Times New Roman" w:cs="Calibri"/>
                <w:color w:val="202124"/>
                <w:sz w:val="20"/>
                <w:szCs w:val="20"/>
                <w:lang w:val="en-GB"/>
              </w:rPr>
            </w:pPr>
            <w:r w:rsidRPr="00D30847">
              <w:rPr>
                <w:rFonts w:eastAsia="Times New Roman" w:cs="Calibri"/>
                <w:sz w:val="20"/>
                <w:szCs w:val="20"/>
                <w:lang w:val="en-GB" w:eastAsia="x-none"/>
              </w:rPr>
              <w:t>- analysis and preparation of new  SAO Strategic documents;</w:t>
            </w:r>
          </w:p>
        </w:tc>
      </w:tr>
      <w:tr w:rsidR="007733B2" w:rsidRPr="00D30847" w14:paraId="58ADF067" w14:textId="77777777" w:rsidTr="003A2F75">
        <w:tc>
          <w:tcPr>
            <w:tcW w:w="2448" w:type="dxa"/>
            <w:tcBorders>
              <w:top w:val="single" w:sz="4" w:space="0" w:color="FFFFFF"/>
              <w:bottom w:val="single" w:sz="4" w:space="0" w:color="FFFFFF"/>
            </w:tcBorders>
            <w:shd w:val="clear" w:color="auto" w:fill="002060"/>
          </w:tcPr>
          <w:p w14:paraId="7D6FCEBE" w14:textId="4410A9DA" w:rsidR="007733B2" w:rsidRPr="00D30847" w:rsidRDefault="007733B2" w:rsidP="00E84CD0">
            <w:pPr>
              <w:spacing w:line="240" w:lineRule="auto"/>
              <w:jc w:val="both"/>
              <w:rPr>
                <w:rFonts w:cs="Calibri"/>
                <w:b/>
                <w:sz w:val="20"/>
                <w:szCs w:val="20"/>
                <w:lang w:val="en-GB"/>
              </w:rPr>
            </w:pPr>
            <w:r w:rsidRPr="00D30847">
              <w:rPr>
                <w:rFonts w:cs="Calibri"/>
                <w:b/>
                <w:sz w:val="20"/>
                <w:szCs w:val="20"/>
                <w:lang w:val="en-GB"/>
              </w:rPr>
              <w:t>Costs</w:t>
            </w:r>
            <w:r w:rsidR="00C34014" w:rsidRPr="00D30847">
              <w:rPr>
                <w:rFonts w:cs="Calibri"/>
                <w:b/>
                <w:sz w:val="20"/>
                <w:szCs w:val="20"/>
                <w:lang w:val="en-GB"/>
              </w:rPr>
              <w:t xml:space="preserve"> </w:t>
            </w:r>
            <w:r w:rsidRPr="00D30847">
              <w:rPr>
                <w:rFonts w:cs="Calibri"/>
                <w:b/>
                <w:sz w:val="20"/>
                <w:szCs w:val="20"/>
                <w:lang w:val="en-GB"/>
              </w:rPr>
              <w:t>implications:</w:t>
            </w:r>
          </w:p>
        </w:tc>
        <w:tc>
          <w:tcPr>
            <w:tcW w:w="6246" w:type="dxa"/>
            <w:tcBorders>
              <w:top w:val="single" w:sz="4" w:space="0" w:color="FFFFFF"/>
              <w:bottom w:val="single" w:sz="4" w:space="0" w:color="FFFFFF"/>
            </w:tcBorders>
            <w:shd w:val="clear" w:color="auto" w:fill="D9E2F3"/>
          </w:tcPr>
          <w:p w14:paraId="455B3FDE" w14:textId="50F6B626" w:rsidR="007733B2" w:rsidRPr="00D30847" w:rsidRDefault="009C7897" w:rsidP="009C7897">
            <w:pPr>
              <w:tabs>
                <w:tab w:val="left" w:pos="245"/>
                <w:tab w:val="left" w:pos="4219"/>
              </w:tabs>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 </w:t>
            </w:r>
            <w:r w:rsidR="007733B2" w:rsidRPr="00D30847">
              <w:rPr>
                <w:rFonts w:eastAsia="Times New Roman" w:cs="Calibri"/>
                <w:color w:val="202124"/>
                <w:sz w:val="20"/>
                <w:szCs w:val="20"/>
                <w:lang w:val="en-GB"/>
              </w:rPr>
              <w:t xml:space="preserve">EUR </w:t>
            </w:r>
            <w:r w:rsidR="00F94837" w:rsidRPr="00D30847">
              <w:rPr>
                <w:rFonts w:eastAsia="Times New Roman" w:cs="Calibri"/>
                <w:color w:val="202124"/>
                <w:sz w:val="20"/>
                <w:szCs w:val="20"/>
                <w:lang w:val="en-GB"/>
              </w:rPr>
              <w:t>6</w:t>
            </w:r>
            <w:r w:rsidR="009F7A1B" w:rsidRPr="00D30847">
              <w:rPr>
                <w:rFonts w:eastAsia="Times New Roman" w:cs="Calibri"/>
                <w:color w:val="202124"/>
                <w:sz w:val="20"/>
                <w:szCs w:val="20"/>
                <w:lang w:val="en-GB"/>
              </w:rPr>
              <w:t>982</w:t>
            </w:r>
            <w:r w:rsidR="007733B2" w:rsidRPr="00D30847">
              <w:rPr>
                <w:rFonts w:eastAsia="Times New Roman" w:cs="Calibri"/>
                <w:color w:val="202124"/>
                <w:sz w:val="20"/>
                <w:szCs w:val="20"/>
                <w:lang w:val="en-GB"/>
              </w:rPr>
              <w:t>,000</w:t>
            </w:r>
          </w:p>
        </w:tc>
      </w:tr>
      <w:tr w:rsidR="007733B2" w:rsidRPr="00D30847" w14:paraId="28CC7CD0" w14:textId="77777777" w:rsidTr="003A2F75">
        <w:tc>
          <w:tcPr>
            <w:tcW w:w="2448" w:type="dxa"/>
            <w:tcBorders>
              <w:top w:val="single" w:sz="4" w:space="0" w:color="FFFFFF"/>
              <w:bottom w:val="single" w:sz="4" w:space="0" w:color="FFFFFF"/>
            </w:tcBorders>
            <w:shd w:val="clear" w:color="auto" w:fill="002060"/>
          </w:tcPr>
          <w:p w14:paraId="23EC8792" w14:textId="78992C15" w:rsidR="007733B2" w:rsidRPr="00D30847" w:rsidRDefault="007733B2" w:rsidP="00E84CD0">
            <w:pPr>
              <w:spacing w:line="240" w:lineRule="auto"/>
              <w:jc w:val="both"/>
              <w:rPr>
                <w:rFonts w:cs="Calibri"/>
                <w:b/>
                <w:sz w:val="20"/>
                <w:szCs w:val="20"/>
                <w:lang w:val="en-GB"/>
              </w:rPr>
            </w:pPr>
            <w:r w:rsidRPr="00D30847">
              <w:rPr>
                <w:rFonts w:cs="Calibri"/>
                <w:b/>
                <w:sz w:val="20"/>
                <w:szCs w:val="20"/>
                <w:lang w:val="en-GB"/>
              </w:rPr>
              <w:lastRenderedPageBreak/>
              <w:t>Responsible</w:t>
            </w:r>
            <w:r w:rsidR="00C34014" w:rsidRPr="00D30847">
              <w:rPr>
                <w:rFonts w:cs="Calibri"/>
                <w:b/>
                <w:sz w:val="20"/>
                <w:szCs w:val="20"/>
                <w:lang w:val="en-GB"/>
              </w:rPr>
              <w:t xml:space="preserve"> </w:t>
            </w:r>
            <w:r w:rsidRPr="00D30847">
              <w:rPr>
                <w:rFonts w:cs="Calibri"/>
                <w:b/>
                <w:sz w:val="20"/>
                <w:szCs w:val="20"/>
                <w:lang w:val="en-GB"/>
              </w:rPr>
              <w:t xml:space="preserve">entity: </w:t>
            </w:r>
          </w:p>
        </w:tc>
        <w:tc>
          <w:tcPr>
            <w:tcW w:w="6246" w:type="dxa"/>
            <w:tcBorders>
              <w:top w:val="single" w:sz="4" w:space="0" w:color="FFFFFF"/>
              <w:bottom w:val="single" w:sz="4" w:space="0" w:color="FFFFFF"/>
            </w:tcBorders>
            <w:shd w:val="clear" w:color="auto" w:fill="D9E2F3"/>
          </w:tcPr>
          <w:p w14:paraId="4419B1F2" w14:textId="24024AE5" w:rsidR="007733B2" w:rsidRPr="00D30847" w:rsidRDefault="009C7897" w:rsidP="009C7897">
            <w:pPr>
              <w:tabs>
                <w:tab w:val="left" w:pos="425"/>
                <w:tab w:val="left" w:pos="4219"/>
              </w:tabs>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 </w:t>
            </w:r>
            <w:r w:rsidR="00764B1D" w:rsidRPr="00D30847">
              <w:rPr>
                <w:rFonts w:eastAsia="Times New Roman" w:cs="Calibri"/>
                <w:color w:val="202124"/>
                <w:sz w:val="20"/>
                <w:szCs w:val="20"/>
                <w:lang w:val="en-GB"/>
              </w:rPr>
              <w:t>The</w:t>
            </w:r>
            <w:r w:rsidR="00F66DF5" w:rsidRPr="00D30847">
              <w:rPr>
                <w:rFonts w:eastAsia="Times New Roman" w:cs="Calibri"/>
                <w:color w:val="202124"/>
                <w:sz w:val="20"/>
                <w:szCs w:val="20"/>
                <w:lang w:val="en-GB"/>
              </w:rPr>
              <w:t xml:space="preserve"> </w:t>
            </w:r>
            <w:r w:rsidR="00764B1D" w:rsidRPr="00D30847">
              <w:rPr>
                <w:rFonts w:eastAsia="Times New Roman" w:cs="Calibri"/>
                <w:color w:val="202124"/>
                <w:sz w:val="20"/>
                <w:szCs w:val="20"/>
                <w:lang w:val="en-GB"/>
              </w:rPr>
              <w:t>State</w:t>
            </w:r>
            <w:r w:rsidR="00C34014" w:rsidRPr="00D30847">
              <w:rPr>
                <w:rFonts w:eastAsia="Times New Roman" w:cs="Calibri"/>
                <w:color w:val="202124"/>
                <w:sz w:val="20"/>
                <w:szCs w:val="20"/>
                <w:lang w:val="en-GB"/>
              </w:rPr>
              <w:t xml:space="preserve"> </w:t>
            </w:r>
            <w:r w:rsidR="00764B1D" w:rsidRPr="00D30847">
              <w:rPr>
                <w:rFonts w:eastAsia="Times New Roman" w:cs="Calibri"/>
                <w:color w:val="202124"/>
                <w:sz w:val="20"/>
                <w:szCs w:val="20"/>
                <w:lang w:val="en-GB"/>
              </w:rPr>
              <w:t>Audit Office in</w:t>
            </w:r>
            <w:r w:rsidR="00F66DF5" w:rsidRPr="00D30847">
              <w:rPr>
                <w:rFonts w:eastAsia="Times New Roman" w:cs="Calibri"/>
                <w:color w:val="202124"/>
                <w:sz w:val="20"/>
                <w:szCs w:val="20"/>
                <w:lang w:val="en-GB"/>
              </w:rPr>
              <w:t xml:space="preserve"> </w:t>
            </w:r>
            <w:r w:rsidR="00764B1D" w:rsidRPr="00D30847">
              <w:rPr>
                <w:rFonts w:eastAsia="Times New Roman" w:cs="Calibri"/>
                <w:color w:val="202124"/>
                <w:sz w:val="20"/>
                <w:szCs w:val="20"/>
                <w:lang w:val="en-GB"/>
              </w:rPr>
              <w:t>cooperation</w:t>
            </w:r>
            <w:r w:rsidR="00F66DF5" w:rsidRPr="00D30847">
              <w:rPr>
                <w:rFonts w:eastAsia="Times New Roman" w:cs="Calibri"/>
                <w:color w:val="202124"/>
                <w:sz w:val="20"/>
                <w:szCs w:val="20"/>
                <w:lang w:val="en-GB"/>
              </w:rPr>
              <w:t xml:space="preserve"> </w:t>
            </w:r>
            <w:r w:rsidR="00764B1D" w:rsidRPr="00D30847">
              <w:rPr>
                <w:rFonts w:eastAsia="Times New Roman" w:cs="Calibri"/>
                <w:color w:val="202124"/>
                <w:sz w:val="20"/>
                <w:szCs w:val="20"/>
                <w:lang w:val="en-GB"/>
              </w:rPr>
              <w:t>with</w:t>
            </w:r>
            <w:r w:rsidR="00F66DF5" w:rsidRPr="00D30847">
              <w:rPr>
                <w:rFonts w:eastAsia="Times New Roman" w:cs="Calibri"/>
                <w:color w:val="202124"/>
                <w:sz w:val="20"/>
                <w:szCs w:val="20"/>
                <w:lang w:val="en-GB"/>
              </w:rPr>
              <w:t xml:space="preserve"> </w:t>
            </w:r>
            <w:r w:rsidR="00764B1D" w:rsidRPr="00D30847">
              <w:rPr>
                <w:rFonts w:eastAsia="Times New Roman" w:cs="Calibri"/>
                <w:color w:val="202124"/>
                <w:sz w:val="20"/>
                <w:szCs w:val="20"/>
                <w:lang w:val="en-GB"/>
              </w:rPr>
              <w:t>the</w:t>
            </w:r>
            <w:r w:rsidR="00F66DF5" w:rsidRPr="00D30847">
              <w:rPr>
                <w:rFonts w:eastAsia="Times New Roman" w:cs="Calibri"/>
                <w:color w:val="202124"/>
                <w:sz w:val="20"/>
                <w:szCs w:val="20"/>
                <w:lang w:val="en-GB"/>
              </w:rPr>
              <w:t xml:space="preserve"> </w:t>
            </w:r>
            <w:r w:rsidR="00764B1D" w:rsidRPr="00D30847">
              <w:rPr>
                <w:rFonts w:eastAsia="Times New Roman" w:cs="Calibri"/>
                <w:color w:val="202124"/>
                <w:sz w:val="20"/>
                <w:szCs w:val="20"/>
                <w:lang w:val="en-GB"/>
              </w:rPr>
              <w:t>stakeholders</w:t>
            </w:r>
          </w:p>
        </w:tc>
      </w:tr>
      <w:tr w:rsidR="007733B2" w:rsidRPr="00D30847" w14:paraId="3BE8D9DC" w14:textId="77777777" w:rsidTr="003A2F75">
        <w:tc>
          <w:tcPr>
            <w:tcW w:w="2448" w:type="dxa"/>
            <w:tcBorders>
              <w:top w:val="single" w:sz="4" w:space="0" w:color="FFFFFF"/>
              <w:bottom w:val="nil"/>
            </w:tcBorders>
            <w:shd w:val="clear" w:color="auto" w:fill="002060"/>
          </w:tcPr>
          <w:p w14:paraId="47DD009E" w14:textId="77777777" w:rsidR="007733B2" w:rsidRPr="00D30847" w:rsidRDefault="007733B2" w:rsidP="00E84CD0">
            <w:pPr>
              <w:spacing w:line="240" w:lineRule="auto"/>
              <w:jc w:val="both"/>
              <w:rPr>
                <w:rFonts w:cs="Calibri"/>
                <w:b/>
                <w:sz w:val="20"/>
                <w:szCs w:val="20"/>
                <w:lang w:val="en-GB"/>
              </w:rPr>
            </w:pPr>
            <w:r w:rsidRPr="00D30847">
              <w:rPr>
                <w:rFonts w:cs="Calibri"/>
                <w:b/>
                <w:sz w:val="20"/>
                <w:szCs w:val="20"/>
                <w:lang w:val="en-GB"/>
              </w:rPr>
              <w:t>Risk:</w:t>
            </w:r>
          </w:p>
        </w:tc>
        <w:tc>
          <w:tcPr>
            <w:tcW w:w="6246" w:type="dxa"/>
            <w:tcBorders>
              <w:top w:val="single" w:sz="4" w:space="0" w:color="FFFFFF"/>
              <w:bottom w:val="nil"/>
            </w:tcBorders>
            <w:shd w:val="clear" w:color="auto" w:fill="D9E2F3"/>
          </w:tcPr>
          <w:p w14:paraId="046D8B10" w14:textId="2E2355A2" w:rsidR="003F3FB2" w:rsidRPr="00D30847" w:rsidRDefault="003F3FB2" w:rsidP="00AD2AD5">
            <w:pPr>
              <w:numPr>
                <w:ilvl w:val="0"/>
                <w:numId w:val="30"/>
              </w:numPr>
              <w:tabs>
                <w:tab w:val="left" w:pos="176"/>
              </w:tabs>
              <w:spacing w:after="0" w:line="240" w:lineRule="auto"/>
              <w:ind w:left="155" w:hanging="180"/>
              <w:jc w:val="both"/>
              <w:rPr>
                <w:rFonts w:eastAsia="Times New Roman" w:cs="Calibri"/>
                <w:sz w:val="20"/>
                <w:szCs w:val="20"/>
                <w:lang w:val="en-GB"/>
              </w:rPr>
            </w:pPr>
            <w:r w:rsidRPr="00D30847">
              <w:rPr>
                <w:rFonts w:eastAsia="Times New Roman" w:cs="Calibri"/>
                <w:sz w:val="20"/>
                <w:szCs w:val="20"/>
                <w:lang w:val="en-GB"/>
              </w:rPr>
              <w:t>Limited opportunities for modernization of audit processes and</w:t>
            </w:r>
            <w:r w:rsidR="00742767" w:rsidRPr="00D30847">
              <w:rPr>
                <w:rFonts w:eastAsia="Times New Roman" w:cs="Calibri"/>
                <w:sz w:val="20"/>
                <w:szCs w:val="20"/>
                <w:lang w:val="en-GB"/>
              </w:rPr>
              <w:t xml:space="preserve"> </w:t>
            </w:r>
            <w:r w:rsidRPr="00D30847">
              <w:rPr>
                <w:rFonts w:eastAsia="Times New Roman" w:cs="Calibri"/>
                <w:sz w:val="20"/>
                <w:szCs w:val="20"/>
                <w:lang w:val="en-GB"/>
              </w:rPr>
              <w:t>presentation of audit results;</w:t>
            </w:r>
          </w:p>
          <w:p w14:paraId="797C9A3C" w14:textId="77777777" w:rsidR="003F3FB2" w:rsidRPr="00D30847" w:rsidRDefault="003F3FB2" w:rsidP="00AD2AD5">
            <w:pPr>
              <w:numPr>
                <w:ilvl w:val="0"/>
                <w:numId w:val="30"/>
              </w:numPr>
              <w:tabs>
                <w:tab w:val="left" w:pos="176"/>
              </w:tabs>
              <w:spacing w:after="0" w:line="240" w:lineRule="auto"/>
              <w:ind w:left="155" w:hanging="180"/>
              <w:jc w:val="both"/>
              <w:rPr>
                <w:rFonts w:eastAsia="Times New Roman" w:cs="Calibri"/>
                <w:sz w:val="20"/>
                <w:szCs w:val="20"/>
                <w:lang w:val="en-GB"/>
              </w:rPr>
            </w:pPr>
            <w:r w:rsidRPr="00D30847">
              <w:rPr>
                <w:rFonts w:eastAsia="Times New Roman" w:cs="Calibri"/>
                <w:sz w:val="20"/>
                <w:szCs w:val="20"/>
                <w:lang w:val="en-GB"/>
              </w:rPr>
              <w:t>Insufficient interest of stakeholders for cooperation with SAO;</w:t>
            </w:r>
          </w:p>
          <w:p w14:paraId="3C35DD31" w14:textId="3400F4CF" w:rsidR="003F3FB2" w:rsidRPr="00D30847" w:rsidRDefault="003F3FB2" w:rsidP="00AD2AD5">
            <w:pPr>
              <w:numPr>
                <w:ilvl w:val="0"/>
                <w:numId w:val="30"/>
              </w:numPr>
              <w:tabs>
                <w:tab w:val="left" w:pos="176"/>
              </w:tabs>
              <w:spacing w:after="0" w:line="240" w:lineRule="auto"/>
              <w:ind w:left="155" w:hanging="180"/>
              <w:jc w:val="both"/>
              <w:rPr>
                <w:rFonts w:eastAsia="Times New Roman" w:cs="Calibri"/>
                <w:sz w:val="20"/>
                <w:szCs w:val="20"/>
                <w:lang w:val="en-GB"/>
              </w:rPr>
            </w:pPr>
            <w:r w:rsidRPr="00D30847">
              <w:rPr>
                <w:rFonts w:eastAsia="Times New Roman" w:cs="Calibri"/>
                <w:sz w:val="20"/>
                <w:szCs w:val="20"/>
                <w:lang w:val="en-GB"/>
              </w:rPr>
              <w:t>Lack of funds for financing activities for the period 202</w:t>
            </w:r>
            <w:r w:rsidR="009F7A1B" w:rsidRPr="00D30847">
              <w:rPr>
                <w:rFonts w:eastAsia="Times New Roman" w:cs="Calibri"/>
                <w:sz w:val="20"/>
                <w:szCs w:val="20"/>
                <w:lang w:val="en-GB"/>
              </w:rPr>
              <w:t>4</w:t>
            </w:r>
            <w:r w:rsidRPr="00D30847">
              <w:rPr>
                <w:rFonts w:eastAsia="Times New Roman" w:cs="Calibri"/>
                <w:sz w:val="20"/>
                <w:szCs w:val="20"/>
                <w:lang w:val="en-GB"/>
              </w:rPr>
              <w:t xml:space="preserve"> - 202</w:t>
            </w:r>
            <w:r w:rsidR="009F7A1B" w:rsidRPr="00D30847">
              <w:rPr>
                <w:rFonts w:eastAsia="Times New Roman" w:cs="Calibri"/>
                <w:sz w:val="20"/>
                <w:szCs w:val="20"/>
                <w:lang w:val="en-GB"/>
              </w:rPr>
              <w:t>8</w:t>
            </w:r>
            <w:r w:rsidRPr="00D30847">
              <w:rPr>
                <w:rFonts w:eastAsia="Times New Roman" w:cs="Calibri"/>
                <w:sz w:val="20"/>
                <w:szCs w:val="20"/>
                <w:lang w:val="en-GB"/>
              </w:rPr>
              <w:t>;</w:t>
            </w:r>
          </w:p>
          <w:p w14:paraId="79738221" w14:textId="77777777" w:rsidR="003F3FB2" w:rsidRPr="00D30847" w:rsidRDefault="003F3FB2" w:rsidP="00AD2AD5">
            <w:pPr>
              <w:numPr>
                <w:ilvl w:val="0"/>
                <w:numId w:val="30"/>
              </w:numPr>
              <w:tabs>
                <w:tab w:val="left" w:pos="176"/>
              </w:tabs>
              <w:spacing w:after="0" w:line="240" w:lineRule="auto"/>
              <w:ind w:left="155" w:hanging="180"/>
              <w:jc w:val="both"/>
              <w:rPr>
                <w:rFonts w:eastAsia="Times New Roman" w:cs="Calibri"/>
                <w:sz w:val="20"/>
                <w:szCs w:val="20"/>
                <w:lang w:val="en-GB"/>
              </w:rPr>
            </w:pPr>
            <w:r w:rsidRPr="00D30847">
              <w:rPr>
                <w:rFonts w:eastAsia="Times New Roman" w:cs="Calibri"/>
                <w:sz w:val="20"/>
                <w:szCs w:val="20"/>
                <w:lang w:val="en-GB"/>
              </w:rPr>
              <w:t>Lack of support from relevant experts for the development of new or improved methodological acts and auditing tools;</w:t>
            </w:r>
          </w:p>
          <w:p w14:paraId="5F542A51" w14:textId="77777777" w:rsidR="003F3FB2" w:rsidRPr="00D30847" w:rsidRDefault="003F3FB2" w:rsidP="00AD2AD5">
            <w:pPr>
              <w:numPr>
                <w:ilvl w:val="0"/>
                <w:numId w:val="30"/>
              </w:numPr>
              <w:tabs>
                <w:tab w:val="left" w:pos="176"/>
              </w:tabs>
              <w:spacing w:after="0" w:line="240" w:lineRule="auto"/>
              <w:ind w:left="155" w:hanging="180"/>
              <w:jc w:val="both"/>
              <w:rPr>
                <w:rFonts w:eastAsia="Times New Roman" w:cs="Calibri"/>
                <w:sz w:val="20"/>
                <w:szCs w:val="20"/>
                <w:lang w:val="en-GB"/>
              </w:rPr>
            </w:pPr>
            <w:r w:rsidRPr="00D30847">
              <w:rPr>
                <w:rFonts w:eastAsia="Times New Roman" w:cs="Calibri"/>
                <w:sz w:val="20"/>
                <w:szCs w:val="20"/>
                <w:lang w:val="en-GB"/>
              </w:rPr>
              <w:t>Institutional and SAO capacities are not strengthened to a satisfactory level;</w:t>
            </w:r>
          </w:p>
          <w:p w14:paraId="5A7454DF" w14:textId="333A5A95" w:rsidR="007733B2" w:rsidRPr="00D30847" w:rsidRDefault="003F3FB2" w:rsidP="00AD2AD5">
            <w:pPr>
              <w:numPr>
                <w:ilvl w:val="0"/>
                <w:numId w:val="30"/>
              </w:numPr>
              <w:tabs>
                <w:tab w:val="left" w:pos="176"/>
              </w:tabs>
              <w:spacing w:after="0" w:line="240" w:lineRule="auto"/>
              <w:ind w:left="155" w:hanging="180"/>
              <w:jc w:val="both"/>
              <w:rPr>
                <w:rFonts w:eastAsia="Times New Roman" w:cs="Calibri"/>
                <w:color w:val="202124"/>
                <w:sz w:val="20"/>
                <w:szCs w:val="20"/>
                <w:lang w:val="en-GB"/>
              </w:rPr>
            </w:pPr>
            <w:r w:rsidRPr="00D30847">
              <w:rPr>
                <w:rFonts w:eastAsia="Times New Roman" w:cs="Calibri"/>
                <w:sz w:val="20"/>
                <w:szCs w:val="20"/>
                <w:lang w:val="en-GB"/>
              </w:rPr>
              <w:t>Limited opportunities for modernization of audit processes, obtaining modern equipment and improved working conditions.</w:t>
            </w:r>
          </w:p>
        </w:tc>
      </w:tr>
    </w:tbl>
    <w:p w14:paraId="79BD1E0B" w14:textId="77777777" w:rsidR="00E91268" w:rsidRDefault="00E91268" w:rsidP="00E86FCA">
      <w:pPr>
        <w:pStyle w:val="Heading1"/>
        <w:rPr>
          <w:rFonts w:ascii="Calibri" w:eastAsia="MS PGothic" w:hAnsi="Calibri" w:cs="Calibri"/>
          <w:color w:val="2F5496"/>
          <w:sz w:val="28"/>
          <w:szCs w:val="28"/>
          <w:lang w:val="en-GB"/>
        </w:rPr>
      </w:pPr>
    </w:p>
    <w:p w14:paraId="205E460E" w14:textId="77777777" w:rsidR="00E91268" w:rsidRDefault="00E91268" w:rsidP="00E86FCA">
      <w:pPr>
        <w:pStyle w:val="Heading1"/>
        <w:rPr>
          <w:rFonts w:ascii="Calibri" w:eastAsia="MS PGothic" w:hAnsi="Calibri" w:cs="Calibri"/>
          <w:color w:val="2F5496"/>
          <w:sz w:val="28"/>
          <w:szCs w:val="28"/>
          <w:lang w:val="en-GB"/>
        </w:rPr>
      </w:pPr>
    </w:p>
    <w:p w14:paraId="32084C17" w14:textId="77777777" w:rsidR="00E91268" w:rsidRDefault="00E91268" w:rsidP="00E86FCA">
      <w:pPr>
        <w:pStyle w:val="Heading1"/>
        <w:rPr>
          <w:rFonts w:ascii="Calibri" w:eastAsia="MS PGothic" w:hAnsi="Calibri" w:cs="Calibri"/>
          <w:color w:val="2F5496"/>
          <w:sz w:val="28"/>
          <w:szCs w:val="28"/>
          <w:lang w:val="en-GB"/>
        </w:rPr>
      </w:pPr>
    </w:p>
    <w:p w14:paraId="48E31E5C" w14:textId="77777777" w:rsidR="00E91268" w:rsidRDefault="00E91268" w:rsidP="00E86FCA">
      <w:pPr>
        <w:pStyle w:val="Heading1"/>
        <w:rPr>
          <w:rFonts w:ascii="Calibri" w:eastAsia="MS PGothic" w:hAnsi="Calibri" w:cs="Calibri"/>
          <w:color w:val="2F5496"/>
          <w:sz w:val="28"/>
          <w:szCs w:val="28"/>
          <w:lang w:val="en-GB"/>
        </w:rPr>
      </w:pPr>
    </w:p>
    <w:p w14:paraId="3ADD34D5" w14:textId="77777777" w:rsidR="00E91268" w:rsidRDefault="00E91268" w:rsidP="00E86FCA">
      <w:pPr>
        <w:pStyle w:val="Heading1"/>
        <w:rPr>
          <w:rFonts w:ascii="Calibri" w:eastAsia="MS PGothic" w:hAnsi="Calibri" w:cs="Calibri"/>
          <w:color w:val="2F5496"/>
          <w:sz w:val="28"/>
          <w:szCs w:val="28"/>
          <w:lang w:val="en-GB"/>
        </w:rPr>
      </w:pPr>
    </w:p>
    <w:p w14:paraId="31FECE82" w14:textId="77777777" w:rsidR="00E91268" w:rsidRDefault="00E91268" w:rsidP="00E86FCA">
      <w:pPr>
        <w:pStyle w:val="Heading1"/>
        <w:rPr>
          <w:rFonts w:ascii="Calibri" w:eastAsia="MS PGothic" w:hAnsi="Calibri" w:cs="Calibri"/>
          <w:color w:val="2F5496"/>
          <w:sz w:val="28"/>
          <w:szCs w:val="28"/>
          <w:lang w:val="en-GB"/>
        </w:rPr>
      </w:pPr>
    </w:p>
    <w:p w14:paraId="71E55750" w14:textId="77777777" w:rsidR="00E91268" w:rsidRDefault="00E91268" w:rsidP="00E86FCA">
      <w:pPr>
        <w:pStyle w:val="Heading1"/>
        <w:rPr>
          <w:rFonts w:ascii="Calibri" w:eastAsia="MS PGothic" w:hAnsi="Calibri" w:cs="Calibri"/>
          <w:color w:val="2F5496"/>
          <w:sz w:val="28"/>
          <w:szCs w:val="28"/>
          <w:lang w:val="en-GB"/>
        </w:rPr>
      </w:pPr>
    </w:p>
    <w:p w14:paraId="629B0DB4" w14:textId="77777777" w:rsidR="00E91268" w:rsidRDefault="00E91268" w:rsidP="00E86FCA">
      <w:pPr>
        <w:pStyle w:val="Heading1"/>
        <w:rPr>
          <w:rFonts w:ascii="Calibri" w:eastAsia="MS PGothic" w:hAnsi="Calibri" w:cs="Calibri"/>
          <w:color w:val="2F5496"/>
          <w:sz w:val="28"/>
          <w:szCs w:val="28"/>
          <w:lang w:val="en-GB"/>
        </w:rPr>
      </w:pPr>
    </w:p>
    <w:p w14:paraId="627D6185" w14:textId="77777777" w:rsidR="00E91268" w:rsidRDefault="00E91268" w:rsidP="00E86FCA">
      <w:pPr>
        <w:pStyle w:val="Heading1"/>
        <w:rPr>
          <w:rFonts w:ascii="Calibri" w:eastAsia="MS PGothic" w:hAnsi="Calibri" w:cs="Calibri"/>
          <w:color w:val="2F5496"/>
          <w:sz w:val="28"/>
          <w:szCs w:val="28"/>
          <w:lang w:val="en-GB"/>
        </w:rPr>
      </w:pPr>
    </w:p>
    <w:p w14:paraId="660ED0EA" w14:textId="77777777" w:rsidR="00E91268" w:rsidRDefault="00E91268" w:rsidP="00E86FCA">
      <w:pPr>
        <w:pStyle w:val="Heading1"/>
        <w:rPr>
          <w:rFonts w:ascii="Calibri" w:eastAsia="MS PGothic" w:hAnsi="Calibri" w:cs="Calibri"/>
          <w:color w:val="2F5496"/>
          <w:sz w:val="28"/>
          <w:szCs w:val="28"/>
          <w:lang w:val="en-GB"/>
        </w:rPr>
      </w:pPr>
    </w:p>
    <w:p w14:paraId="46D7E1DE" w14:textId="77777777" w:rsidR="00E91268" w:rsidRDefault="00E91268" w:rsidP="00E86FCA">
      <w:pPr>
        <w:pStyle w:val="Heading1"/>
        <w:rPr>
          <w:rFonts w:ascii="Calibri" w:eastAsia="MS PGothic" w:hAnsi="Calibri" w:cs="Calibri"/>
          <w:color w:val="2F5496"/>
          <w:sz w:val="28"/>
          <w:szCs w:val="28"/>
          <w:lang w:val="en-GB"/>
        </w:rPr>
      </w:pPr>
    </w:p>
    <w:p w14:paraId="540DD90E" w14:textId="77777777" w:rsidR="00E91268" w:rsidRDefault="00E91268" w:rsidP="00E86FCA">
      <w:pPr>
        <w:pStyle w:val="Heading1"/>
        <w:rPr>
          <w:rFonts w:ascii="Calibri" w:eastAsia="MS PGothic" w:hAnsi="Calibri" w:cs="Calibri"/>
          <w:color w:val="2F5496"/>
          <w:sz w:val="28"/>
          <w:szCs w:val="28"/>
          <w:lang w:val="en-GB"/>
        </w:rPr>
      </w:pPr>
    </w:p>
    <w:p w14:paraId="20165AED" w14:textId="77777777" w:rsidR="00E91268" w:rsidRDefault="00E91268" w:rsidP="00E86FCA">
      <w:pPr>
        <w:pStyle w:val="Heading1"/>
        <w:rPr>
          <w:rFonts w:ascii="Calibri" w:eastAsia="MS PGothic" w:hAnsi="Calibri" w:cs="Calibri"/>
          <w:color w:val="2F5496"/>
          <w:sz w:val="28"/>
          <w:szCs w:val="28"/>
          <w:lang w:val="en-GB"/>
        </w:rPr>
      </w:pPr>
    </w:p>
    <w:p w14:paraId="10652A13" w14:textId="2376F94F" w:rsidR="00E91268" w:rsidRDefault="00E91268" w:rsidP="00E86FCA">
      <w:pPr>
        <w:pStyle w:val="Heading1"/>
        <w:rPr>
          <w:rFonts w:ascii="Calibri" w:eastAsia="MS PGothic" w:hAnsi="Calibri" w:cs="Calibri"/>
          <w:color w:val="2F5496"/>
          <w:sz w:val="28"/>
          <w:szCs w:val="28"/>
          <w:lang w:val="en-GB"/>
        </w:rPr>
      </w:pPr>
    </w:p>
    <w:p w14:paraId="3F6B79A0" w14:textId="77777777" w:rsidR="00E91268" w:rsidRDefault="00E91268" w:rsidP="00E86FCA">
      <w:pPr>
        <w:pStyle w:val="Heading1"/>
        <w:rPr>
          <w:rFonts w:ascii="Calibri" w:eastAsia="MS PGothic" w:hAnsi="Calibri" w:cs="Calibri"/>
          <w:color w:val="2F5496"/>
          <w:sz w:val="28"/>
          <w:szCs w:val="28"/>
          <w:lang w:val="en-GB"/>
        </w:rPr>
      </w:pPr>
    </w:p>
    <w:p w14:paraId="66B77DC6" w14:textId="1EE97E62" w:rsidR="00E91268" w:rsidRDefault="00E91268" w:rsidP="00E86FCA">
      <w:pPr>
        <w:pStyle w:val="Heading1"/>
        <w:rPr>
          <w:rFonts w:ascii="Calibri" w:eastAsia="MS PGothic" w:hAnsi="Calibri" w:cs="Calibri"/>
          <w:color w:val="2F5496"/>
          <w:sz w:val="28"/>
          <w:szCs w:val="28"/>
          <w:lang w:val="en-GB"/>
        </w:rPr>
      </w:pPr>
    </w:p>
    <w:p w14:paraId="7EA22600" w14:textId="77777777" w:rsidR="00E91268" w:rsidRPr="00E91268" w:rsidRDefault="00E91268" w:rsidP="00E91268">
      <w:pPr>
        <w:rPr>
          <w:lang w:val="en-GB"/>
        </w:rPr>
      </w:pPr>
    </w:p>
    <w:p w14:paraId="6EFAA782" w14:textId="1A87CC5B" w:rsidR="007733B2" w:rsidRPr="00D30847" w:rsidRDefault="007733B2" w:rsidP="00E86FCA">
      <w:pPr>
        <w:pStyle w:val="Heading1"/>
        <w:rPr>
          <w:rFonts w:ascii="Calibri" w:hAnsi="Calibri" w:cs="Calibri"/>
          <w:color w:val="2F5496"/>
          <w:sz w:val="28"/>
          <w:szCs w:val="28"/>
          <w:lang w:val="en-GB"/>
        </w:rPr>
      </w:pPr>
      <w:bookmarkStart w:id="66" w:name="_Toc187841823"/>
      <w:r w:rsidRPr="00D30847">
        <w:rPr>
          <w:rFonts w:ascii="Calibri" w:eastAsia="MS PGothic" w:hAnsi="Calibri" w:cs="Calibri"/>
          <w:color w:val="2F5496"/>
          <w:sz w:val="28"/>
          <w:szCs w:val="28"/>
          <w:lang w:val="en-GB"/>
        </w:rPr>
        <w:lastRenderedPageBreak/>
        <w:t xml:space="preserve">Priority 2: </w:t>
      </w:r>
      <w:r w:rsidR="00C34014" w:rsidRPr="00D30847">
        <w:rPr>
          <w:rFonts w:ascii="Calibri" w:eastAsia="MS PGothic" w:hAnsi="Calibri" w:cs="Calibri"/>
          <w:color w:val="2F5496"/>
          <w:sz w:val="28"/>
          <w:szCs w:val="28"/>
          <w:lang w:val="en-GB"/>
        </w:rPr>
        <w:t>Parliamentary</w:t>
      </w:r>
      <w:r w:rsidRPr="00D30847">
        <w:rPr>
          <w:rFonts w:ascii="Calibri" w:eastAsia="MS PGothic" w:hAnsi="Calibri" w:cs="Calibri"/>
          <w:color w:val="2F5496"/>
          <w:sz w:val="28"/>
          <w:szCs w:val="28"/>
          <w:lang w:val="en-GB"/>
        </w:rPr>
        <w:t xml:space="preserve"> oversight</w:t>
      </w:r>
      <w:bookmarkEnd w:id="66"/>
    </w:p>
    <w:p w14:paraId="20F91738" w14:textId="77777777" w:rsidR="007733B2" w:rsidRPr="00D30847" w:rsidRDefault="007733B2" w:rsidP="00E84CD0">
      <w:pPr>
        <w:spacing w:line="240" w:lineRule="auto"/>
        <w:jc w:val="both"/>
        <w:rPr>
          <w:rFonts w:cs="Calibri"/>
          <w:b/>
          <w:bCs/>
          <w:i/>
          <w:iCs/>
          <w:color w:val="4F81BD"/>
          <w:lang w:val="en-GB"/>
        </w:rPr>
      </w:pPr>
      <w:r w:rsidRPr="00D30847">
        <w:rPr>
          <w:rFonts w:cs="Calibri"/>
          <w:b/>
          <w:bCs/>
          <w:i/>
          <w:iCs/>
          <w:color w:val="4F81BD"/>
          <w:lang w:val="en-GB"/>
        </w:rPr>
        <w:t>Objective</w:t>
      </w:r>
    </w:p>
    <w:p w14:paraId="0EFC95E4" w14:textId="77777777" w:rsidR="00FD28C9" w:rsidRPr="00D30847" w:rsidRDefault="00FD28C9" w:rsidP="00FD28C9">
      <w:pPr>
        <w:spacing w:line="240" w:lineRule="auto"/>
        <w:jc w:val="both"/>
        <w:rPr>
          <w:rFonts w:eastAsia="Times New Roman" w:cs="Calibri"/>
          <w:lang w:val="en-GB"/>
        </w:rPr>
      </w:pPr>
      <w:r w:rsidRPr="00D30847">
        <w:rPr>
          <w:rFonts w:eastAsia="Times New Roman" w:cs="Calibri"/>
          <w:lang w:val="en-GB"/>
        </w:rPr>
        <w:t>Strengthening the management of public finances and ensuring transparency and accountability for the use of public funds through:</w:t>
      </w:r>
    </w:p>
    <w:p w14:paraId="5912C9A2" w14:textId="63821A8E" w:rsidR="007733B2" w:rsidRPr="00D30847" w:rsidRDefault="00FD28C9" w:rsidP="00E84CD0">
      <w:pPr>
        <w:autoSpaceDE w:val="0"/>
        <w:autoSpaceDN w:val="0"/>
        <w:adjustRightInd w:val="0"/>
        <w:spacing w:before="120" w:line="240" w:lineRule="auto"/>
        <w:jc w:val="both"/>
        <w:rPr>
          <w:rFonts w:eastAsia="Times New Roman" w:cs="Calibri"/>
          <w:color w:val="202124"/>
          <w:lang w:val="en-GB"/>
        </w:rPr>
      </w:pPr>
      <w:r w:rsidRPr="00D30847">
        <w:rPr>
          <w:rFonts w:eastAsia="Times New Roman" w:cs="Calibri"/>
          <w:lang w:val="en-GB"/>
        </w:rPr>
        <w:t>The objective of this priority will be achieved through the following measures and activities:</w:t>
      </w:r>
    </w:p>
    <w:tbl>
      <w:tblPr>
        <w:tblW w:w="9176" w:type="dxa"/>
        <w:tblInd w:w="548" w:type="dxa"/>
        <w:tblLook w:val="01E0" w:firstRow="1" w:lastRow="1" w:firstColumn="1" w:lastColumn="1" w:noHBand="0" w:noVBand="0"/>
      </w:tblPr>
      <w:tblGrid>
        <w:gridCol w:w="1270"/>
        <w:gridCol w:w="7906"/>
      </w:tblGrid>
      <w:tr w:rsidR="007733B2" w:rsidRPr="00D30847" w14:paraId="1B1317AA" w14:textId="77777777" w:rsidTr="00C75160">
        <w:tc>
          <w:tcPr>
            <w:tcW w:w="1270" w:type="dxa"/>
            <w:shd w:val="clear" w:color="auto" w:fill="auto"/>
          </w:tcPr>
          <w:p w14:paraId="40CE2730" w14:textId="77777777" w:rsidR="007733B2" w:rsidRPr="00D30847" w:rsidRDefault="007733B2" w:rsidP="009C7897">
            <w:pPr>
              <w:spacing w:after="0" w:line="240" w:lineRule="auto"/>
              <w:jc w:val="both"/>
              <w:rPr>
                <w:rFonts w:cs="Calibri"/>
                <w:b/>
                <w:bCs/>
                <w:iCs/>
                <w:lang w:val="en-GB"/>
              </w:rPr>
            </w:pPr>
            <w:r w:rsidRPr="00D30847">
              <w:rPr>
                <w:rFonts w:cs="Calibri"/>
                <w:b/>
                <w:bCs/>
                <w:iCs/>
                <w:lang w:val="en-GB"/>
              </w:rPr>
              <w:t>Measure 1:</w:t>
            </w:r>
          </w:p>
        </w:tc>
        <w:tc>
          <w:tcPr>
            <w:tcW w:w="7906" w:type="dxa"/>
            <w:shd w:val="clear" w:color="auto" w:fill="auto"/>
          </w:tcPr>
          <w:p w14:paraId="3FC24663" w14:textId="71374C50" w:rsidR="007733B2" w:rsidRPr="00D30847" w:rsidRDefault="00C75160" w:rsidP="009C7897">
            <w:pPr>
              <w:spacing w:after="0" w:line="240" w:lineRule="auto"/>
              <w:jc w:val="both"/>
              <w:rPr>
                <w:rFonts w:cs="Calibri"/>
                <w:b/>
                <w:bCs/>
                <w:iCs/>
                <w:lang w:val="en-GB"/>
              </w:rPr>
            </w:pPr>
            <w:r w:rsidRPr="00D30847">
              <w:rPr>
                <w:rFonts w:cs="Calibri"/>
                <w:b/>
                <w:bCs/>
                <w:iCs/>
                <w:lang w:val="en-GB"/>
              </w:rPr>
              <w:t>Establishing a mechanism for reviewing the audit reports and the measures taken following the recommendations given in the audit reports in the RNM Assembly</w:t>
            </w:r>
          </w:p>
        </w:tc>
      </w:tr>
      <w:tr w:rsidR="007733B2" w:rsidRPr="00D30847" w14:paraId="772E0FFE" w14:textId="77777777" w:rsidTr="00C75160">
        <w:tc>
          <w:tcPr>
            <w:tcW w:w="1270" w:type="dxa"/>
            <w:shd w:val="clear" w:color="auto" w:fill="auto"/>
          </w:tcPr>
          <w:p w14:paraId="467F841D" w14:textId="77777777" w:rsidR="007733B2" w:rsidRPr="00D30847" w:rsidRDefault="007733B2" w:rsidP="009C7897">
            <w:pPr>
              <w:spacing w:after="0"/>
              <w:jc w:val="both"/>
              <w:rPr>
                <w:rFonts w:eastAsia="Times New Roman" w:cs="Calibri"/>
                <w:lang w:val="en-GB"/>
              </w:rPr>
            </w:pPr>
            <w:r w:rsidRPr="00D30847">
              <w:rPr>
                <w:rFonts w:eastAsia="Times New Roman" w:cs="Calibri"/>
                <w:lang w:val="en-GB"/>
              </w:rPr>
              <w:t>Activity 1:</w:t>
            </w:r>
          </w:p>
        </w:tc>
        <w:tc>
          <w:tcPr>
            <w:tcW w:w="7906" w:type="dxa"/>
            <w:shd w:val="clear" w:color="auto" w:fill="auto"/>
          </w:tcPr>
          <w:p w14:paraId="24FC1E95" w14:textId="1DD51E6C" w:rsidR="007733B2" w:rsidRPr="00D30847" w:rsidRDefault="00C75160" w:rsidP="009C7897">
            <w:pPr>
              <w:spacing w:after="0"/>
              <w:jc w:val="both"/>
              <w:rPr>
                <w:rFonts w:eastAsia="Times New Roman" w:cs="Calibri"/>
                <w:lang w:val="en-GB"/>
              </w:rPr>
            </w:pPr>
            <w:r w:rsidRPr="00D30847">
              <w:rPr>
                <w:rFonts w:eastAsia="Times New Roman" w:cs="Calibri"/>
                <w:lang w:val="en-GB" w:eastAsia="x-none"/>
              </w:rPr>
              <w:t>Implementation of concluded Memorandum of cooperation between the Assembly and the SAO;</w:t>
            </w:r>
          </w:p>
        </w:tc>
      </w:tr>
      <w:tr w:rsidR="007733B2" w:rsidRPr="00D30847" w14:paraId="104BA492" w14:textId="77777777" w:rsidTr="00C75160">
        <w:tc>
          <w:tcPr>
            <w:tcW w:w="1270" w:type="dxa"/>
            <w:shd w:val="clear" w:color="auto" w:fill="auto"/>
          </w:tcPr>
          <w:p w14:paraId="3D28899F" w14:textId="77777777" w:rsidR="007733B2" w:rsidRPr="00D30847" w:rsidRDefault="007733B2" w:rsidP="009C7897">
            <w:pPr>
              <w:spacing w:after="0"/>
              <w:jc w:val="both"/>
              <w:rPr>
                <w:rFonts w:eastAsia="Times New Roman" w:cs="Calibri"/>
                <w:lang w:val="en-GB"/>
              </w:rPr>
            </w:pPr>
            <w:r w:rsidRPr="00D30847">
              <w:rPr>
                <w:rFonts w:eastAsia="Times New Roman" w:cs="Calibri"/>
                <w:lang w:val="en-GB"/>
              </w:rPr>
              <w:t>Activity 2:</w:t>
            </w:r>
          </w:p>
        </w:tc>
        <w:tc>
          <w:tcPr>
            <w:tcW w:w="7906" w:type="dxa"/>
            <w:shd w:val="clear" w:color="auto" w:fill="auto"/>
          </w:tcPr>
          <w:p w14:paraId="57346676" w14:textId="03A1F3C6" w:rsidR="007733B2" w:rsidRPr="00D30847" w:rsidRDefault="00FD28C9" w:rsidP="009C7897">
            <w:pPr>
              <w:spacing w:after="0"/>
              <w:jc w:val="both"/>
              <w:rPr>
                <w:rFonts w:eastAsia="Times New Roman" w:cs="Calibri"/>
                <w:lang w:val="en-GB"/>
              </w:rPr>
            </w:pPr>
            <w:r w:rsidRPr="00D30847">
              <w:rPr>
                <w:rFonts w:eastAsia="Times New Roman" w:cs="Calibri"/>
                <w:lang w:val="en-GB"/>
              </w:rPr>
              <w:t>Preparation of final/proposal procedures in the SAO and the Assembly for submission and review of audit reports and other documents;</w:t>
            </w:r>
          </w:p>
        </w:tc>
      </w:tr>
      <w:tr w:rsidR="007733B2" w:rsidRPr="00D30847" w14:paraId="27AFAC7F" w14:textId="77777777" w:rsidTr="00C75160">
        <w:tc>
          <w:tcPr>
            <w:tcW w:w="1270" w:type="dxa"/>
            <w:shd w:val="clear" w:color="auto" w:fill="auto"/>
          </w:tcPr>
          <w:p w14:paraId="4B08CEBB" w14:textId="77777777" w:rsidR="007733B2" w:rsidRPr="00D30847" w:rsidRDefault="007733B2" w:rsidP="009C7897">
            <w:pPr>
              <w:spacing w:after="0" w:line="240" w:lineRule="auto"/>
              <w:jc w:val="both"/>
              <w:rPr>
                <w:rFonts w:cs="Calibri"/>
                <w:b/>
                <w:bCs/>
                <w:iCs/>
                <w:lang w:val="en-GB"/>
              </w:rPr>
            </w:pPr>
            <w:r w:rsidRPr="00D30847">
              <w:rPr>
                <w:rFonts w:cs="Calibri"/>
                <w:b/>
                <w:bCs/>
                <w:iCs/>
                <w:lang w:val="en-GB"/>
              </w:rPr>
              <w:t>Measure 2:</w:t>
            </w:r>
          </w:p>
        </w:tc>
        <w:tc>
          <w:tcPr>
            <w:tcW w:w="7906" w:type="dxa"/>
            <w:shd w:val="clear" w:color="auto" w:fill="auto"/>
          </w:tcPr>
          <w:p w14:paraId="2BEFC044" w14:textId="77FD1B3F" w:rsidR="007733B2" w:rsidRPr="00D30847" w:rsidRDefault="00C75160" w:rsidP="009C7897">
            <w:pPr>
              <w:spacing w:after="0" w:line="240" w:lineRule="auto"/>
              <w:jc w:val="both"/>
              <w:rPr>
                <w:rFonts w:cs="Calibri"/>
                <w:b/>
                <w:bCs/>
                <w:iCs/>
                <w:lang w:val="en-GB"/>
              </w:rPr>
            </w:pPr>
            <w:r w:rsidRPr="00D30847">
              <w:rPr>
                <w:rFonts w:cs="Calibri"/>
                <w:b/>
                <w:bCs/>
                <w:iCs/>
                <w:lang w:val="en-GB"/>
              </w:rPr>
              <w:t>Strengthening the institutional capacities for reviewing audit reports in the Assembly of RNM.</w:t>
            </w:r>
          </w:p>
        </w:tc>
      </w:tr>
      <w:tr w:rsidR="007733B2" w:rsidRPr="00D30847" w14:paraId="3CE02702" w14:textId="77777777" w:rsidTr="00C75160">
        <w:tc>
          <w:tcPr>
            <w:tcW w:w="1270" w:type="dxa"/>
            <w:shd w:val="clear" w:color="auto" w:fill="auto"/>
          </w:tcPr>
          <w:p w14:paraId="19795C08" w14:textId="77777777" w:rsidR="007733B2" w:rsidRPr="00D30847" w:rsidRDefault="007733B2" w:rsidP="009C7897">
            <w:pPr>
              <w:spacing w:after="0"/>
              <w:jc w:val="both"/>
              <w:rPr>
                <w:rFonts w:eastAsia="Times New Roman" w:cs="Calibri"/>
                <w:lang w:val="en-GB"/>
              </w:rPr>
            </w:pPr>
            <w:r w:rsidRPr="00D30847">
              <w:rPr>
                <w:rFonts w:eastAsia="Times New Roman" w:cs="Calibri"/>
                <w:lang w:val="en-GB"/>
              </w:rPr>
              <w:t>Activity 1:</w:t>
            </w:r>
          </w:p>
        </w:tc>
        <w:tc>
          <w:tcPr>
            <w:tcW w:w="7906" w:type="dxa"/>
            <w:shd w:val="clear" w:color="auto" w:fill="auto"/>
          </w:tcPr>
          <w:p w14:paraId="5FCC54DA" w14:textId="3A47E1E9" w:rsidR="007733B2" w:rsidRPr="00D30847" w:rsidRDefault="00FD28C9" w:rsidP="009C7897">
            <w:pPr>
              <w:spacing w:after="0"/>
              <w:jc w:val="both"/>
              <w:rPr>
                <w:rFonts w:eastAsia="Times New Roman" w:cs="Calibri"/>
                <w:lang w:val="en-GB"/>
              </w:rPr>
            </w:pPr>
            <w:r w:rsidRPr="00D30847">
              <w:rPr>
                <w:rFonts w:eastAsia="Times New Roman" w:cs="Calibri"/>
                <w:lang w:val="en-GB"/>
              </w:rPr>
              <w:t>Preparation of a Training Plan for MPs and employees of the RNM Assembly Service in order to facilitate the understanding of the audit reports and preparation for a debate on the audit reports;</w:t>
            </w:r>
          </w:p>
        </w:tc>
      </w:tr>
      <w:tr w:rsidR="007733B2" w:rsidRPr="00D30847" w14:paraId="1344C1F6" w14:textId="77777777" w:rsidTr="00C75160">
        <w:tc>
          <w:tcPr>
            <w:tcW w:w="1270" w:type="dxa"/>
            <w:shd w:val="clear" w:color="auto" w:fill="auto"/>
          </w:tcPr>
          <w:p w14:paraId="7E453C35" w14:textId="77777777" w:rsidR="007733B2" w:rsidRPr="00D30847" w:rsidRDefault="007733B2" w:rsidP="009C7897">
            <w:pPr>
              <w:spacing w:after="0"/>
              <w:jc w:val="both"/>
              <w:rPr>
                <w:rFonts w:eastAsia="Times New Roman" w:cs="Calibri"/>
                <w:lang w:val="en-GB"/>
              </w:rPr>
            </w:pPr>
            <w:r w:rsidRPr="00D30847">
              <w:rPr>
                <w:rFonts w:eastAsia="Times New Roman" w:cs="Calibri"/>
                <w:lang w:val="en-GB"/>
              </w:rPr>
              <w:t>Activity 2:</w:t>
            </w:r>
          </w:p>
        </w:tc>
        <w:tc>
          <w:tcPr>
            <w:tcW w:w="7906" w:type="dxa"/>
            <w:shd w:val="clear" w:color="auto" w:fill="auto"/>
          </w:tcPr>
          <w:p w14:paraId="4123BE35" w14:textId="45679075" w:rsidR="007733B2" w:rsidRPr="00D30847" w:rsidRDefault="00FD28C9" w:rsidP="009C7897">
            <w:pPr>
              <w:spacing w:after="0"/>
              <w:jc w:val="both"/>
              <w:rPr>
                <w:rFonts w:eastAsia="Times New Roman" w:cs="Calibri"/>
                <w:lang w:val="en-GB"/>
              </w:rPr>
            </w:pPr>
            <w:r w:rsidRPr="00D30847">
              <w:rPr>
                <w:rFonts w:eastAsia="Times New Roman" w:cs="Calibri"/>
                <w:lang w:val="en-GB"/>
              </w:rPr>
              <w:t>Conducting trainings in accordance with the Training Plan for the Members of Parliament and employees of the RNM Assembly Service in order to facilitate the understanding of the audit reports and preparation for the debate on the audit reports.</w:t>
            </w:r>
          </w:p>
        </w:tc>
      </w:tr>
      <w:tr w:rsidR="007733B2" w:rsidRPr="00D30847" w14:paraId="5670C81C" w14:textId="77777777" w:rsidTr="00C75160">
        <w:tc>
          <w:tcPr>
            <w:tcW w:w="1270" w:type="dxa"/>
            <w:shd w:val="clear" w:color="auto" w:fill="auto"/>
          </w:tcPr>
          <w:p w14:paraId="4FD1B184" w14:textId="77777777" w:rsidR="007733B2" w:rsidRPr="00D30847" w:rsidRDefault="007733B2" w:rsidP="009C7897">
            <w:pPr>
              <w:spacing w:after="0"/>
              <w:jc w:val="both"/>
              <w:rPr>
                <w:rFonts w:eastAsia="Times New Roman" w:cs="Calibri"/>
                <w:lang w:val="en-GB"/>
              </w:rPr>
            </w:pPr>
            <w:r w:rsidRPr="00D30847">
              <w:rPr>
                <w:rFonts w:eastAsia="Times New Roman" w:cs="Calibri"/>
                <w:lang w:val="en-GB"/>
              </w:rPr>
              <w:t>Activity 3:</w:t>
            </w:r>
          </w:p>
        </w:tc>
        <w:tc>
          <w:tcPr>
            <w:tcW w:w="7906" w:type="dxa"/>
            <w:shd w:val="clear" w:color="auto" w:fill="auto"/>
          </w:tcPr>
          <w:p w14:paraId="3A93E2CE" w14:textId="5D4994E1" w:rsidR="007733B2" w:rsidRPr="00D30847" w:rsidRDefault="00FD28C9" w:rsidP="009C7897">
            <w:pPr>
              <w:spacing w:after="0"/>
              <w:jc w:val="both"/>
              <w:rPr>
                <w:rFonts w:eastAsia="Times New Roman" w:cs="Calibri"/>
                <w:lang w:val="en-GB"/>
              </w:rPr>
            </w:pPr>
            <w:r w:rsidRPr="00D30847">
              <w:rPr>
                <w:rFonts w:eastAsia="Times New Roman" w:cs="Calibri"/>
                <w:lang w:val="en-GB"/>
              </w:rPr>
              <w:t>Implementation of activities for strengthening cooperation with Committee on Financing and Budget, Parliamentary Institute and the Parliamentary budget office of the RNM Assembly.</w:t>
            </w:r>
          </w:p>
        </w:tc>
      </w:tr>
    </w:tbl>
    <w:p w14:paraId="54BD49E8" w14:textId="77777777" w:rsidR="007733B2" w:rsidRPr="00D30847" w:rsidRDefault="007733B2" w:rsidP="00E84CD0">
      <w:pPr>
        <w:keepNext/>
        <w:keepLines/>
        <w:spacing w:before="120" w:line="240" w:lineRule="auto"/>
        <w:jc w:val="both"/>
        <w:outlineLvl w:val="3"/>
        <w:rPr>
          <w:rFonts w:cs="Calibri"/>
          <w:b/>
          <w:bCs/>
          <w:i/>
          <w:iCs/>
          <w:color w:val="4F81BD"/>
          <w:lang w:val="en-GB"/>
        </w:rPr>
      </w:pPr>
      <w:r w:rsidRPr="00D30847">
        <w:rPr>
          <w:rFonts w:cs="Calibri"/>
          <w:b/>
          <w:bCs/>
          <w:i/>
          <w:iCs/>
          <w:color w:val="4F81BD"/>
          <w:lang w:val="en-GB"/>
        </w:rPr>
        <w:t>Outcome</w:t>
      </w:r>
    </w:p>
    <w:p w14:paraId="7CC9315A" w14:textId="77777777" w:rsidR="007733B2" w:rsidRPr="00D30847" w:rsidRDefault="007733B2" w:rsidP="00E84CD0">
      <w:pPr>
        <w:spacing w:after="0" w:line="240" w:lineRule="auto"/>
        <w:jc w:val="both"/>
        <w:rPr>
          <w:rFonts w:eastAsia="Times New Roman" w:cs="Calibri"/>
          <w:color w:val="202124"/>
          <w:lang w:val="en-GB"/>
        </w:rPr>
      </w:pPr>
      <w:r w:rsidRPr="00D30847">
        <w:rPr>
          <w:rFonts w:eastAsia="Times New Roman" w:cs="Calibri"/>
          <w:color w:val="202124"/>
          <w:lang w:val="en-GB"/>
        </w:rPr>
        <w:t>Enhanced effects of audit.</w:t>
      </w:r>
    </w:p>
    <w:p w14:paraId="4D77555C" w14:textId="77777777" w:rsidR="007733B2" w:rsidRPr="00D30847" w:rsidRDefault="007733B2" w:rsidP="00E84CD0">
      <w:pPr>
        <w:keepNext/>
        <w:keepLines/>
        <w:spacing w:before="120" w:after="120" w:line="240" w:lineRule="auto"/>
        <w:jc w:val="both"/>
        <w:outlineLvl w:val="3"/>
        <w:rPr>
          <w:rFonts w:eastAsia="MS PGothic" w:cs="Calibri"/>
          <w:b/>
          <w:bCs/>
          <w:i/>
          <w:iCs/>
          <w:color w:val="4F81BD"/>
          <w:lang w:val="en-GB" w:eastAsia="zh-CN"/>
        </w:rPr>
      </w:pPr>
      <w:r w:rsidRPr="00D30847">
        <w:rPr>
          <w:rFonts w:eastAsia="MS PGothic" w:cs="Calibri"/>
          <w:b/>
          <w:bCs/>
          <w:i/>
          <w:iCs/>
          <w:color w:val="4F81BD"/>
          <w:lang w:val="en-GB" w:eastAsia="zh-CN"/>
        </w:rPr>
        <w:t>Outcome indicator</w:t>
      </w:r>
    </w:p>
    <w:p w14:paraId="76129A70" w14:textId="5B5D4800" w:rsidR="00460ED3" w:rsidRPr="00D30847" w:rsidRDefault="00460ED3" w:rsidP="00764B1D">
      <w:pPr>
        <w:spacing w:after="120" w:line="240" w:lineRule="auto"/>
        <w:contextualSpacing/>
        <w:jc w:val="both"/>
        <w:rPr>
          <w:rFonts w:eastAsia="Times New Roman" w:cs="Calibri"/>
          <w:lang w:val="en-GB"/>
        </w:rPr>
      </w:pPr>
      <w:r w:rsidRPr="00D30847">
        <w:rPr>
          <w:rFonts w:eastAsia="Times New Roman" w:cs="Calibri"/>
          <w:lang w:val="en-GB"/>
        </w:rPr>
        <w:t xml:space="preserve">1. </w:t>
      </w:r>
      <w:r w:rsidR="00FD28C9" w:rsidRPr="00D30847">
        <w:rPr>
          <w:rFonts w:eastAsia="Times New Roman" w:cs="Calibri"/>
          <w:lang w:val="en-GB"/>
        </w:rPr>
        <w:t>Percentage of external audit recommendations for which corrective measures have been taken.</w:t>
      </w:r>
    </w:p>
    <w:p w14:paraId="24A015C6" w14:textId="77777777" w:rsidR="00F66DF5" w:rsidRPr="00D30847" w:rsidRDefault="00F66DF5" w:rsidP="00764B1D">
      <w:pPr>
        <w:spacing w:after="120" w:line="240" w:lineRule="auto"/>
        <w:contextualSpacing/>
        <w:jc w:val="both"/>
        <w:rPr>
          <w:rFonts w:eastAsia="Times New Roman"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460ED3" w:rsidRPr="00D30847" w14:paraId="1359A4AC" w14:textId="77777777" w:rsidTr="002B77A4">
        <w:trPr>
          <w:trHeight w:val="395"/>
        </w:trPr>
        <w:tc>
          <w:tcPr>
            <w:tcW w:w="4608" w:type="dxa"/>
            <w:shd w:val="clear" w:color="auto" w:fill="E8E8E8"/>
          </w:tcPr>
          <w:p w14:paraId="42BBA9BB" w14:textId="23BC7EEB" w:rsidR="00460ED3" w:rsidRPr="00D30847" w:rsidRDefault="00460ED3" w:rsidP="002B77A4">
            <w:pPr>
              <w:spacing w:line="240" w:lineRule="auto"/>
              <w:jc w:val="both"/>
              <w:rPr>
                <w:rFonts w:eastAsia="Times New Roman" w:cs="Calibri"/>
                <w:b/>
                <w:bCs/>
                <w:i/>
                <w:iCs/>
                <w:color w:val="202124"/>
                <w:sz w:val="20"/>
                <w:szCs w:val="20"/>
                <w:lang w:val="en-GB"/>
              </w:rPr>
            </w:pPr>
            <w:bookmarkStart w:id="67" w:name="_Hlk161821343"/>
            <w:r w:rsidRPr="00D30847">
              <w:rPr>
                <w:rFonts w:eastAsia="Times New Roman" w:cs="Calibri"/>
                <w:b/>
                <w:bCs/>
                <w:i/>
                <w:iCs/>
                <w:color w:val="202124"/>
                <w:sz w:val="20"/>
                <w:szCs w:val="20"/>
                <w:lang w:val="en-GB"/>
              </w:rPr>
              <w:t>Baseline 202</w:t>
            </w:r>
            <w:r w:rsidR="009F7A1B" w:rsidRPr="00D30847">
              <w:rPr>
                <w:rFonts w:eastAsia="Times New Roman" w:cs="Calibri"/>
                <w:b/>
                <w:bCs/>
                <w:i/>
                <w:iCs/>
                <w:color w:val="202124"/>
                <w:sz w:val="20"/>
                <w:szCs w:val="20"/>
                <w:lang w:val="en-GB"/>
              </w:rPr>
              <w:t>3</w:t>
            </w:r>
          </w:p>
        </w:tc>
        <w:tc>
          <w:tcPr>
            <w:tcW w:w="4608" w:type="dxa"/>
            <w:shd w:val="clear" w:color="auto" w:fill="E8E8E8"/>
          </w:tcPr>
          <w:p w14:paraId="346B4C44" w14:textId="115DCF6C" w:rsidR="00460ED3" w:rsidRPr="00D30847" w:rsidRDefault="00460ED3" w:rsidP="002B77A4">
            <w:pPr>
              <w:spacing w:line="240" w:lineRule="auto"/>
              <w:jc w:val="both"/>
              <w:rPr>
                <w:rFonts w:eastAsia="Times New Roman" w:cs="Calibri"/>
                <w:b/>
                <w:bCs/>
                <w:i/>
                <w:iCs/>
                <w:color w:val="202124"/>
                <w:sz w:val="20"/>
                <w:szCs w:val="20"/>
                <w:lang w:val="en-GB"/>
              </w:rPr>
            </w:pPr>
            <w:r w:rsidRPr="00D30847">
              <w:rPr>
                <w:rFonts w:eastAsia="Times New Roman" w:cs="Calibri"/>
                <w:b/>
                <w:bCs/>
                <w:i/>
                <w:iCs/>
                <w:color w:val="202124"/>
                <w:sz w:val="20"/>
                <w:szCs w:val="20"/>
                <w:lang w:val="en-GB"/>
              </w:rPr>
              <w:t>Target 202</w:t>
            </w:r>
            <w:r w:rsidR="009F7A1B" w:rsidRPr="00D30847">
              <w:rPr>
                <w:rFonts w:eastAsia="Times New Roman" w:cs="Calibri"/>
                <w:b/>
                <w:bCs/>
                <w:i/>
                <w:iCs/>
                <w:color w:val="202124"/>
                <w:sz w:val="20"/>
                <w:szCs w:val="20"/>
                <w:lang w:val="en-GB"/>
              </w:rPr>
              <w:t>8</w:t>
            </w:r>
          </w:p>
        </w:tc>
      </w:tr>
      <w:tr w:rsidR="00460ED3" w:rsidRPr="00D30847" w14:paraId="37273F3F" w14:textId="77777777" w:rsidTr="002B77A4">
        <w:trPr>
          <w:trHeight w:val="278"/>
        </w:trPr>
        <w:tc>
          <w:tcPr>
            <w:tcW w:w="4608" w:type="dxa"/>
            <w:shd w:val="clear" w:color="auto" w:fill="E8E8E8"/>
          </w:tcPr>
          <w:p w14:paraId="710F1766" w14:textId="56EB11BD" w:rsidR="00460ED3" w:rsidRPr="00D30847" w:rsidRDefault="009F7A1B"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71</w:t>
            </w:r>
            <w:r w:rsidR="003C1602" w:rsidRPr="00D30847">
              <w:rPr>
                <w:rFonts w:eastAsia="Times New Roman" w:cs="Calibri"/>
                <w:color w:val="202124"/>
                <w:sz w:val="20"/>
                <w:szCs w:val="20"/>
                <w:lang w:val="en-GB"/>
              </w:rPr>
              <w:t>%</w:t>
            </w:r>
          </w:p>
        </w:tc>
        <w:tc>
          <w:tcPr>
            <w:tcW w:w="4608" w:type="dxa"/>
            <w:shd w:val="clear" w:color="auto" w:fill="E8E8E8"/>
          </w:tcPr>
          <w:p w14:paraId="6B0197BE" w14:textId="77777777" w:rsidR="00460ED3" w:rsidRPr="00D30847" w:rsidRDefault="003C1602" w:rsidP="002B77A4">
            <w:pPr>
              <w:spacing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≥78%</w:t>
            </w:r>
          </w:p>
        </w:tc>
      </w:tr>
      <w:bookmarkEnd w:id="67"/>
    </w:tbl>
    <w:p w14:paraId="77B22B06" w14:textId="77777777" w:rsidR="00460ED3" w:rsidRPr="00D30847" w:rsidRDefault="00460ED3" w:rsidP="00764B1D">
      <w:pPr>
        <w:spacing w:after="120" w:line="240" w:lineRule="auto"/>
        <w:contextualSpacing/>
        <w:jc w:val="both"/>
        <w:rPr>
          <w:rFonts w:eastAsia="Times New Roman" w:cs="Calibri"/>
          <w:lang w:val="en-GB"/>
        </w:rPr>
      </w:pPr>
    </w:p>
    <w:p w14:paraId="09298EE7" w14:textId="7AF0B001" w:rsidR="005E6C71" w:rsidRPr="00D30847" w:rsidRDefault="005E6C71" w:rsidP="00E84CD0">
      <w:pPr>
        <w:keepNext/>
        <w:keepLines/>
        <w:spacing w:before="120" w:line="240" w:lineRule="auto"/>
        <w:jc w:val="both"/>
        <w:outlineLvl w:val="3"/>
        <w:rPr>
          <w:rFonts w:cs="Calibri"/>
          <w:b/>
          <w:color w:val="0070C0"/>
          <w:sz w:val="24"/>
          <w:szCs w:val="24"/>
          <w:lang w:val="en-GB"/>
        </w:rPr>
      </w:pPr>
      <w:r w:rsidRPr="00D30847">
        <w:rPr>
          <w:rFonts w:cs="Calibri"/>
          <w:b/>
          <w:color w:val="0070C0"/>
          <w:sz w:val="24"/>
          <w:szCs w:val="24"/>
          <w:lang w:val="en-GB"/>
        </w:rPr>
        <w:t xml:space="preserve">Measure 1: </w:t>
      </w:r>
      <w:r w:rsidR="00FD28C9" w:rsidRPr="00D30847">
        <w:rPr>
          <w:rFonts w:cs="Calibri"/>
          <w:b/>
          <w:color w:val="0070C0"/>
          <w:sz w:val="24"/>
          <w:szCs w:val="24"/>
          <w:lang w:val="en-GB"/>
        </w:rPr>
        <w:t>Establishing a mechanism for reviewing the audit reports and the measures taken following the recommendations given in the audit reports in the RNM Assembly</w:t>
      </w:r>
    </w:p>
    <w:p w14:paraId="1A5BE200" w14:textId="705BE8AC" w:rsidR="007733B2" w:rsidRPr="00D30847" w:rsidRDefault="00C34014" w:rsidP="00E84CD0">
      <w:pPr>
        <w:keepNext/>
        <w:keepLines/>
        <w:spacing w:before="120" w:line="240" w:lineRule="auto"/>
        <w:jc w:val="both"/>
        <w:outlineLvl w:val="3"/>
        <w:rPr>
          <w:rFonts w:cs="Calibri"/>
          <w:b/>
          <w:bCs/>
          <w:i/>
          <w:iCs/>
          <w:color w:val="4F81BD"/>
          <w:lang w:val="en-GB"/>
        </w:rPr>
      </w:pPr>
      <w:r w:rsidRPr="00D30847">
        <w:rPr>
          <w:rFonts w:cs="Calibri"/>
          <w:b/>
          <w:bCs/>
          <w:i/>
          <w:iCs/>
          <w:color w:val="4F81BD"/>
          <w:lang w:val="en-GB"/>
        </w:rPr>
        <w:t>Measure Objective</w:t>
      </w:r>
    </w:p>
    <w:p w14:paraId="7B60040B" w14:textId="6A3598E8" w:rsidR="00FD28C9" w:rsidRPr="00D30847" w:rsidRDefault="00FD28C9" w:rsidP="00E84CD0">
      <w:pPr>
        <w:keepNext/>
        <w:keepLines/>
        <w:spacing w:before="160" w:after="60" w:line="240" w:lineRule="auto"/>
        <w:jc w:val="both"/>
        <w:outlineLvl w:val="3"/>
        <w:rPr>
          <w:rFonts w:eastAsia="Times New Roman" w:cs="Calibri"/>
          <w:color w:val="202124"/>
          <w:lang w:val="en-GB"/>
        </w:rPr>
      </w:pPr>
      <w:r w:rsidRPr="00D30847">
        <w:rPr>
          <w:rFonts w:eastAsia="Times New Roman" w:cs="Calibri"/>
          <w:color w:val="202124"/>
          <w:lang w:val="en-GB"/>
        </w:rPr>
        <w:t>Strengthening institutional mechanism for reviewing audit reports by the Assembly of RNM.</w:t>
      </w:r>
    </w:p>
    <w:p w14:paraId="2D8819FA" w14:textId="77777777" w:rsidR="007733B2" w:rsidRPr="00D30847" w:rsidRDefault="007733B2" w:rsidP="00E84CD0">
      <w:pPr>
        <w:keepNext/>
        <w:keepLines/>
        <w:spacing w:before="160" w:after="60" w:line="240" w:lineRule="auto"/>
        <w:jc w:val="both"/>
        <w:outlineLvl w:val="3"/>
        <w:rPr>
          <w:rFonts w:eastAsia="MS PGothic" w:cs="Calibri"/>
          <w:b/>
          <w:bCs/>
          <w:i/>
          <w:iCs/>
          <w:color w:val="4F81BD"/>
          <w:lang w:val="en-GB"/>
        </w:rPr>
      </w:pPr>
      <w:r w:rsidRPr="00D30847">
        <w:rPr>
          <w:rFonts w:eastAsia="MS PGothic" w:cs="Calibri"/>
          <w:b/>
          <w:bCs/>
          <w:i/>
          <w:iCs/>
          <w:color w:val="4F81BD"/>
          <w:lang w:val="en-GB" w:eastAsia="zh-CN"/>
        </w:rPr>
        <w:t>Reference to findings from external assessments: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461"/>
        <w:gridCol w:w="7611"/>
      </w:tblGrid>
      <w:tr w:rsidR="007733B2" w:rsidRPr="00D30847" w14:paraId="721DFB55" w14:textId="77777777" w:rsidTr="00F66DF5">
        <w:tc>
          <w:tcPr>
            <w:tcW w:w="1461" w:type="dxa"/>
            <w:shd w:val="clear" w:color="auto" w:fill="DDDDDD"/>
          </w:tcPr>
          <w:p w14:paraId="59594896" w14:textId="0820772E" w:rsidR="007733B2" w:rsidRPr="00D30847" w:rsidRDefault="007733B2" w:rsidP="00E84CD0">
            <w:pPr>
              <w:spacing w:line="240" w:lineRule="auto"/>
              <w:jc w:val="both"/>
              <w:rPr>
                <w:rFonts w:eastAsia="Times New Roman" w:cs="Calibri"/>
                <w:b/>
                <w:color w:val="202124"/>
                <w:sz w:val="20"/>
                <w:szCs w:val="20"/>
                <w:lang w:val="en-GB"/>
              </w:rPr>
            </w:pPr>
            <w:r w:rsidRPr="00D30847">
              <w:rPr>
                <w:rFonts w:eastAsia="Times New Roman" w:cs="Calibri"/>
                <w:b/>
                <w:color w:val="202124"/>
                <w:sz w:val="20"/>
                <w:szCs w:val="20"/>
                <w:lang w:val="en-GB"/>
              </w:rPr>
              <w:t>EU</w:t>
            </w:r>
            <w:r w:rsidR="005E6C71" w:rsidRPr="00D30847">
              <w:rPr>
                <w:rFonts w:eastAsia="Times New Roman" w:cs="Calibri"/>
                <w:b/>
                <w:color w:val="202124"/>
                <w:sz w:val="20"/>
                <w:szCs w:val="20"/>
                <w:lang w:val="en-GB"/>
              </w:rPr>
              <w:t xml:space="preserve"> </w:t>
            </w:r>
          </w:p>
        </w:tc>
        <w:tc>
          <w:tcPr>
            <w:tcW w:w="7611" w:type="dxa"/>
            <w:shd w:val="clear" w:color="auto" w:fill="DDDDDD"/>
          </w:tcPr>
          <w:p w14:paraId="7F7BC31C" w14:textId="77777777" w:rsidR="009F7A1B" w:rsidRPr="00D30847" w:rsidRDefault="009F7A1B" w:rsidP="009F7A1B">
            <w:pPr>
              <w:spacing w:after="0" w:line="240" w:lineRule="auto"/>
              <w:jc w:val="both"/>
              <w:rPr>
                <w:rFonts w:eastAsia="Times New Roman" w:cs="Calibri"/>
                <w:b/>
                <w:bCs/>
                <w:color w:val="000000" w:themeColor="text1"/>
                <w:sz w:val="20"/>
                <w:szCs w:val="20"/>
                <w:lang w:val="en-GB" w:eastAsia="x-none"/>
              </w:rPr>
            </w:pPr>
            <w:r w:rsidRPr="00D30847">
              <w:rPr>
                <w:rFonts w:eastAsia="Times New Roman" w:cs="Calibri"/>
                <w:b/>
                <w:bCs/>
                <w:color w:val="000000" w:themeColor="text1"/>
                <w:sz w:val="20"/>
                <w:szCs w:val="20"/>
                <w:lang w:val="en-GB" w:eastAsia="x-none"/>
              </w:rPr>
              <w:t xml:space="preserve">European Commission Report 2024 </w:t>
            </w:r>
          </w:p>
          <w:p w14:paraId="49F916DC" w14:textId="77777777" w:rsidR="009F7A1B" w:rsidRPr="00D30847" w:rsidRDefault="009F7A1B" w:rsidP="009F7A1B">
            <w:pPr>
              <w:spacing w:after="0" w:line="240" w:lineRule="auto"/>
              <w:jc w:val="both"/>
              <w:rPr>
                <w:rFonts w:eastAsia="Times New Roman" w:cs="Calibri"/>
                <w:b/>
                <w:bCs/>
                <w:color w:val="000000" w:themeColor="text1"/>
                <w:sz w:val="20"/>
                <w:szCs w:val="20"/>
                <w:lang w:val="en-GB" w:eastAsia="x-none"/>
              </w:rPr>
            </w:pPr>
            <w:r w:rsidRPr="00D30847">
              <w:rPr>
                <w:rFonts w:eastAsia="Times New Roman" w:cs="Calibri"/>
                <w:b/>
                <w:bCs/>
                <w:color w:val="000000" w:themeColor="text1"/>
                <w:sz w:val="20"/>
                <w:szCs w:val="20"/>
                <w:lang w:val="en-GB" w:eastAsia="x-none"/>
              </w:rPr>
              <w:t xml:space="preserve">Chapter 32: Financial control </w:t>
            </w:r>
          </w:p>
          <w:p w14:paraId="73EEE257" w14:textId="77777777" w:rsidR="009F7A1B" w:rsidRPr="00D30847" w:rsidRDefault="009F7A1B" w:rsidP="009F7A1B">
            <w:pPr>
              <w:spacing w:after="0" w:line="240" w:lineRule="auto"/>
              <w:jc w:val="both"/>
              <w:rPr>
                <w:rFonts w:eastAsia="Times New Roman" w:cs="Calibri"/>
                <w:b/>
                <w:bCs/>
                <w:color w:val="000000" w:themeColor="text1"/>
                <w:sz w:val="20"/>
                <w:szCs w:val="20"/>
                <w:lang w:val="en-GB" w:eastAsia="x-none"/>
              </w:rPr>
            </w:pPr>
            <w:r w:rsidRPr="00D30847">
              <w:rPr>
                <w:rFonts w:eastAsia="Times New Roman" w:cs="Calibri"/>
                <w:b/>
                <w:bCs/>
                <w:color w:val="000000" w:themeColor="text1"/>
                <w:sz w:val="20"/>
                <w:szCs w:val="20"/>
                <w:lang w:val="en-GB" w:eastAsia="x-none"/>
              </w:rPr>
              <w:t>External audit</w:t>
            </w:r>
          </w:p>
          <w:p w14:paraId="2E6E1D71" w14:textId="77777777" w:rsidR="009F7A1B" w:rsidRPr="00D30847" w:rsidRDefault="009F7A1B" w:rsidP="009F7A1B">
            <w:pPr>
              <w:spacing w:after="0" w:line="240" w:lineRule="auto"/>
              <w:jc w:val="both"/>
              <w:rPr>
                <w:rFonts w:eastAsia="Times New Roman" w:cs="Calibri"/>
                <w:sz w:val="20"/>
                <w:szCs w:val="20"/>
                <w:lang w:val="en-GB" w:eastAsia="x-none"/>
              </w:rPr>
            </w:pPr>
          </w:p>
          <w:p w14:paraId="516C3903" w14:textId="77777777" w:rsidR="009F7A1B" w:rsidRPr="00D30847" w:rsidRDefault="009F7A1B" w:rsidP="009F7A1B">
            <w:pPr>
              <w:spacing w:after="120" w:line="240" w:lineRule="auto"/>
              <w:jc w:val="both"/>
              <w:rPr>
                <w:rFonts w:cs="Calibri"/>
                <w:noProof/>
                <w:sz w:val="20"/>
                <w:szCs w:val="20"/>
                <w:lang w:val="en-GB"/>
              </w:rPr>
            </w:pPr>
            <w:r w:rsidRPr="00D30847">
              <w:rPr>
                <w:rFonts w:cs="Calibri"/>
                <w:noProof/>
                <w:sz w:val="20"/>
                <w:szCs w:val="20"/>
                <w:lang w:val="en-GB"/>
              </w:rPr>
              <w:t xml:space="preserve">The new State audit law, that should strengthen SAO’s independence and role of the Parliament in following up individual audit reports, is still in government procedure. SAO carries out a compliance audit on the final government accounts of the core budget by June </w:t>
            </w:r>
            <w:r w:rsidRPr="00D30847">
              <w:rPr>
                <w:rFonts w:cs="Calibri"/>
                <w:noProof/>
                <w:sz w:val="20"/>
                <w:szCs w:val="20"/>
                <w:lang w:val="en-GB"/>
              </w:rPr>
              <w:lastRenderedPageBreak/>
              <w:t>each year. The annual audit report was submitted to the Parliament and published in June 2024.</w:t>
            </w:r>
          </w:p>
          <w:p w14:paraId="3FD41470" w14:textId="77777777" w:rsidR="009F7A1B" w:rsidRPr="00D30847" w:rsidRDefault="009F7A1B" w:rsidP="009F7A1B">
            <w:pPr>
              <w:spacing w:after="120" w:line="240" w:lineRule="auto"/>
              <w:jc w:val="both"/>
              <w:rPr>
                <w:rFonts w:cs="Calibri"/>
                <w:noProof/>
                <w:sz w:val="20"/>
                <w:szCs w:val="20"/>
                <w:lang w:val="en-GB"/>
              </w:rPr>
            </w:pPr>
            <w:r w:rsidRPr="00D30847">
              <w:rPr>
                <w:rFonts w:cs="Calibri"/>
                <w:noProof/>
                <w:sz w:val="20"/>
                <w:szCs w:val="20"/>
                <w:lang w:val="en-GB"/>
              </w:rPr>
              <w:t>On the impact of audits, SAO’s recommendations are not efficiently implemented by the auditees and Parliamentary follow-up of individual audit reports needs to be reinforced. By the time of publication of the annual report, auditees had taken measures to respond to 71% of 2023 audit recommendations.</w:t>
            </w:r>
          </w:p>
          <w:p w14:paraId="0599A365" w14:textId="32679B82" w:rsidR="007733B2" w:rsidRPr="00D30847" w:rsidRDefault="007733B2" w:rsidP="00F66DF5">
            <w:pPr>
              <w:spacing w:after="0" w:line="240" w:lineRule="auto"/>
              <w:jc w:val="both"/>
              <w:rPr>
                <w:rFonts w:eastAsia="Times New Roman" w:cs="Calibri"/>
                <w:sz w:val="20"/>
                <w:szCs w:val="20"/>
                <w:lang w:val="en-GB" w:eastAsia="x-none"/>
              </w:rPr>
            </w:pPr>
          </w:p>
        </w:tc>
      </w:tr>
    </w:tbl>
    <w:p w14:paraId="033FDB14" w14:textId="77777777" w:rsidR="007733B2" w:rsidRPr="00D30847" w:rsidRDefault="007733B2" w:rsidP="00E84CD0">
      <w:pPr>
        <w:keepNext/>
        <w:keepLines/>
        <w:spacing w:before="240" w:line="240" w:lineRule="auto"/>
        <w:jc w:val="both"/>
        <w:outlineLvl w:val="3"/>
        <w:rPr>
          <w:rFonts w:cs="Calibri"/>
          <w:b/>
          <w:bCs/>
          <w:i/>
          <w:iCs/>
          <w:color w:val="4F81BD"/>
          <w:lang w:val="en-GB"/>
        </w:rPr>
      </w:pPr>
      <w:r w:rsidRPr="00D30847">
        <w:rPr>
          <w:rFonts w:cs="Calibri"/>
          <w:b/>
          <w:bCs/>
          <w:i/>
          <w:iCs/>
          <w:color w:val="4F81BD"/>
          <w:lang w:val="en-GB"/>
        </w:rPr>
        <w:lastRenderedPageBreak/>
        <w:t>Context/Background</w:t>
      </w:r>
    </w:p>
    <w:p w14:paraId="312E396C" w14:textId="77777777" w:rsidR="009E731F" w:rsidRPr="00D30847" w:rsidRDefault="009E731F" w:rsidP="009E731F">
      <w:pPr>
        <w:keepNext/>
        <w:keepLines/>
        <w:spacing w:before="160" w:after="60" w:line="240" w:lineRule="auto"/>
        <w:jc w:val="both"/>
        <w:outlineLvl w:val="3"/>
        <w:rPr>
          <w:rFonts w:eastAsia="Times New Roman" w:cs="Calibri"/>
          <w:color w:val="202124"/>
          <w:lang w:val="en-GB"/>
        </w:rPr>
      </w:pPr>
      <w:r w:rsidRPr="00D30847">
        <w:rPr>
          <w:rFonts w:eastAsia="Times New Roman" w:cs="Calibri"/>
          <w:color w:val="202124"/>
          <w:lang w:val="en-GB"/>
        </w:rPr>
        <w:t>In the Report on North Macedonia for 2024 of the European Commission, in Chapter 32 - External audit, it is recommended to improve the efficiency of the parliamentary supervision of public funds and the follow-up of the audit recommendations.</w:t>
      </w:r>
    </w:p>
    <w:p w14:paraId="555DBB86" w14:textId="77777777" w:rsidR="009E731F" w:rsidRPr="00D30847" w:rsidRDefault="009E731F" w:rsidP="009E731F">
      <w:pPr>
        <w:keepNext/>
        <w:keepLines/>
        <w:spacing w:before="160" w:after="60" w:line="240" w:lineRule="auto"/>
        <w:jc w:val="both"/>
        <w:outlineLvl w:val="3"/>
        <w:rPr>
          <w:rFonts w:eastAsia="Times New Roman" w:cs="Calibri"/>
          <w:color w:val="202124"/>
          <w:lang w:val="en-GB"/>
        </w:rPr>
      </w:pPr>
      <w:r w:rsidRPr="00D30847">
        <w:rPr>
          <w:rFonts w:eastAsia="Times New Roman" w:cs="Calibri"/>
          <w:color w:val="202124"/>
          <w:lang w:val="en-GB"/>
        </w:rPr>
        <w:t>The Commission's recommendations from last year were only partially implemented and therefore remain valid for the coming year, and in particular:</w:t>
      </w:r>
    </w:p>
    <w:p w14:paraId="07EFF4FA" w14:textId="77777777" w:rsidR="009E731F" w:rsidRPr="00D30847" w:rsidRDefault="009E731F" w:rsidP="009E731F">
      <w:pPr>
        <w:numPr>
          <w:ilvl w:val="0"/>
          <w:numId w:val="30"/>
        </w:numPr>
        <w:autoSpaceDE w:val="0"/>
        <w:autoSpaceDN w:val="0"/>
        <w:adjustRightInd w:val="0"/>
        <w:spacing w:before="120" w:after="120" w:line="240" w:lineRule="auto"/>
        <w:jc w:val="both"/>
        <w:rPr>
          <w:lang w:val="en-GB"/>
        </w:rPr>
      </w:pPr>
      <w:r w:rsidRPr="00D30847">
        <w:rPr>
          <w:rFonts w:eastAsia="Times New Roman" w:cs="Calibri"/>
          <w:color w:val="202124"/>
          <w:lang w:val="en-GB"/>
        </w:rPr>
        <w:t>independence of the State Audit Office to be guaranteed by the Constitution of RNM;</w:t>
      </w:r>
    </w:p>
    <w:p w14:paraId="1B95C083" w14:textId="77777777" w:rsidR="009E731F" w:rsidRPr="00D30847" w:rsidRDefault="009E731F" w:rsidP="009E731F">
      <w:pPr>
        <w:pStyle w:val="ListParagraph"/>
        <w:numPr>
          <w:ilvl w:val="0"/>
          <w:numId w:val="30"/>
        </w:numPr>
        <w:spacing w:line="240" w:lineRule="auto"/>
        <w:rPr>
          <w:rFonts w:asciiTheme="minorHAnsi" w:eastAsia="Arial Narrow" w:hAnsiTheme="minorHAnsi" w:cstheme="minorHAnsi"/>
          <w:noProof/>
          <w:sz w:val="20"/>
          <w:szCs w:val="20"/>
        </w:rPr>
      </w:pPr>
      <w:r w:rsidRPr="00D30847">
        <w:rPr>
          <w:rFonts w:asciiTheme="minorHAnsi" w:eastAsia="Arial Narrow" w:hAnsiTheme="minorHAnsi" w:cstheme="minorHAnsi"/>
          <w:noProof/>
          <w:sz w:val="20"/>
          <w:szCs w:val="20"/>
        </w:rPr>
        <w:t>adopt the State audit law to strengthen SAO’s independence;</w:t>
      </w:r>
    </w:p>
    <w:p w14:paraId="5B072313" w14:textId="77777777" w:rsidR="009E731F" w:rsidRPr="00D30847" w:rsidRDefault="009E731F" w:rsidP="009E731F">
      <w:pPr>
        <w:numPr>
          <w:ilvl w:val="0"/>
          <w:numId w:val="30"/>
        </w:numPr>
        <w:autoSpaceDE w:val="0"/>
        <w:autoSpaceDN w:val="0"/>
        <w:adjustRightInd w:val="0"/>
        <w:spacing w:before="120" w:after="120" w:line="240" w:lineRule="auto"/>
        <w:jc w:val="both"/>
        <w:rPr>
          <w:rFonts w:eastAsia="Times New Roman" w:cs="Calibri"/>
          <w:color w:val="202124"/>
          <w:lang w:val="en-GB"/>
        </w:rPr>
      </w:pPr>
      <w:r w:rsidRPr="00D30847">
        <w:rPr>
          <w:rFonts w:eastAsia="Times New Roman" w:cs="Calibri"/>
          <w:color w:val="202124"/>
          <w:lang w:val="en-GB"/>
        </w:rPr>
        <w:t>improvement of SAO institutional capacity;</w:t>
      </w:r>
    </w:p>
    <w:p w14:paraId="3BD986AA" w14:textId="77777777" w:rsidR="009E731F" w:rsidRPr="00D30847" w:rsidRDefault="009E731F" w:rsidP="009E731F">
      <w:pPr>
        <w:pStyle w:val="ListParagraph"/>
        <w:numPr>
          <w:ilvl w:val="0"/>
          <w:numId w:val="30"/>
        </w:numPr>
        <w:spacing w:line="240" w:lineRule="auto"/>
        <w:rPr>
          <w:rFonts w:asciiTheme="minorHAnsi" w:eastAsia="Arial Narrow" w:hAnsiTheme="minorHAnsi" w:cstheme="minorHAnsi"/>
          <w:noProof/>
          <w:sz w:val="20"/>
          <w:szCs w:val="20"/>
        </w:rPr>
      </w:pPr>
      <w:r w:rsidRPr="00D30847">
        <w:rPr>
          <w:rFonts w:asciiTheme="minorHAnsi" w:eastAsia="Arial Narrow" w:hAnsiTheme="minorHAnsi" w:cstheme="minorHAnsi"/>
          <w:noProof/>
          <w:sz w:val="20"/>
          <w:szCs w:val="20"/>
        </w:rPr>
        <w:t>enhance cooperation between the SAO and the Parliament;</w:t>
      </w:r>
    </w:p>
    <w:p w14:paraId="230FFDC7" w14:textId="77777777" w:rsidR="009E731F" w:rsidRPr="00D30847" w:rsidRDefault="009E731F" w:rsidP="009E731F">
      <w:pPr>
        <w:pStyle w:val="ListParagraph"/>
        <w:numPr>
          <w:ilvl w:val="0"/>
          <w:numId w:val="30"/>
        </w:numPr>
        <w:spacing w:line="240" w:lineRule="auto"/>
        <w:rPr>
          <w:rFonts w:asciiTheme="minorHAnsi" w:eastAsia="Arial Narrow" w:hAnsiTheme="minorHAnsi" w:cstheme="minorHAnsi"/>
          <w:noProof/>
          <w:sz w:val="20"/>
          <w:szCs w:val="20"/>
        </w:rPr>
      </w:pPr>
      <w:r w:rsidRPr="00D30847">
        <w:rPr>
          <w:rFonts w:asciiTheme="minorHAnsi" w:eastAsia="Arial Narrow" w:hAnsiTheme="minorHAnsi" w:cstheme="minorHAnsi"/>
          <w:noProof/>
          <w:sz w:val="20"/>
          <w:szCs w:val="20"/>
        </w:rPr>
        <w:t>improve Parliamentary scrutiny over individual audit reports and the follow-up to SAO’s recommendations.</w:t>
      </w:r>
    </w:p>
    <w:p w14:paraId="378782DA" w14:textId="77777777" w:rsidR="009E731F" w:rsidRPr="00D30847" w:rsidRDefault="009E731F" w:rsidP="009E731F">
      <w:pPr>
        <w:spacing w:line="240" w:lineRule="auto"/>
        <w:jc w:val="both"/>
        <w:rPr>
          <w:rFonts w:cs="Calibri"/>
          <w:i/>
          <w:iCs/>
          <w:noProof/>
          <w:sz w:val="20"/>
          <w:szCs w:val="20"/>
          <w:lang w:val="en-GB"/>
        </w:rPr>
      </w:pPr>
      <w:r w:rsidRPr="00D30847">
        <w:rPr>
          <w:rFonts w:cs="Calibri"/>
          <w:i/>
          <w:iCs/>
          <w:noProof/>
          <w:sz w:val="20"/>
          <w:szCs w:val="20"/>
          <w:lang w:val="en-GB"/>
        </w:rPr>
        <w:t>In October 2023, for the first time in the history of the Assembly, an individual final audit report on regularity audit was discussed on a committee session. After that, in 2024 several final audit reports were discussed or public hearing was organised by committees and bodies within the Assembly.</w:t>
      </w:r>
    </w:p>
    <w:p w14:paraId="64B3AA94" w14:textId="77777777" w:rsidR="009E731F" w:rsidRPr="00D30847" w:rsidRDefault="009E731F" w:rsidP="009E731F">
      <w:pPr>
        <w:spacing w:line="240" w:lineRule="auto"/>
        <w:jc w:val="both"/>
        <w:rPr>
          <w:rFonts w:cs="Calibri"/>
          <w:i/>
          <w:iCs/>
          <w:noProof/>
          <w:sz w:val="20"/>
          <w:szCs w:val="20"/>
          <w:lang w:val="en-GB"/>
        </w:rPr>
      </w:pPr>
      <w:r w:rsidRPr="00D30847">
        <w:rPr>
          <w:rFonts w:cs="Calibri"/>
          <w:i/>
          <w:iCs/>
          <w:noProof/>
          <w:sz w:val="20"/>
          <w:szCs w:val="20"/>
          <w:lang w:val="en-GB"/>
        </w:rPr>
        <w:t>On 22 October 2024, for the first time since the SAO establishment, final audit report on performance audit was considered and discussed at the plenary session of the Assembly.</w:t>
      </w:r>
    </w:p>
    <w:p w14:paraId="306282ED" w14:textId="4E4591F1" w:rsidR="0061503D" w:rsidRPr="00D30847" w:rsidRDefault="009E731F" w:rsidP="0061503D">
      <w:pPr>
        <w:spacing w:before="240" w:line="240" w:lineRule="auto"/>
        <w:jc w:val="both"/>
        <w:rPr>
          <w:rFonts w:eastAsia="Times New Roman" w:cs="Calibri"/>
          <w:lang w:val="en-GB"/>
        </w:rPr>
      </w:pPr>
      <w:r w:rsidRPr="00D30847">
        <w:rPr>
          <w:rFonts w:eastAsia="Times New Roman" w:cs="Calibri"/>
          <w:lang w:val="en-GB"/>
        </w:rPr>
        <w:t>In the coming period, the SAO will continue the effective cooperation with the RNM Assembly by establishing a regular mechanism for the consideration of the audit reports by the Assembly in order to increase the degree of implementation of the audit recommendations.</w:t>
      </w:r>
    </w:p>
    <w:p w14:paraId="11CB60C2" w14:textId="70411BD0" w:rsidR="005E6C71" w:rsidRPr="00D30847" w:rsidRDefault="005E6C71" w:rsidP="00E84CD0">
      <w:pPr>
        <w:spacing w:before="120" w:after="120" w:line="240" w:lineRule="auto"/>
        <w:jc w:val="both"/>
        <w:rPr>
          <w:rFonts w:eastAsia="MS PGothic" w:cs="Calibri"/>
          <w:b/>
          <w:bCs/>
          <w:iCs/>
          <w:color w:val="0070C0"/>
          <w:lang w:val="en-GB" w:eastAsia="zh-CN"/>
        </w:rPr>
      </w:pPr>
      <w:r w:rsidRPr="00D30847">
        <w:rPr>
          <w:rFonts w:eastAsia="MS PGothic" w:cs="Calibri"/>
          <w:b/>
          <w:bCs/>
          <w:iCs/>
          <w:color w:val="0070C0"/>
          <w:lang w:val="en-GB" w:eastAsia="zh-CN"/>
        </w:rPr>
        <w:t>Activity 1</w:t>
      </w:r>
      <w:r w:rsidR="00742767" w:rsidRPr="00D30847">
        <w:rPr>
          <w:rFonts w:eastAsia="MS PGothic" w:cs="Calibri"/>
          <w:b/>
          <w:bCs/>
          <w:iCs/>
          <w:color w:val="0070C0"/>
          <w:lang w:val="en-GB" w:eastAsia="zh-CN"/>
        </w:rPr>
        <w:t>:</w:t>
      </w:r>
      <w:r w:rsidRPr="00D30847">
        <w:rPr>
          <w:rFonts w:eastAsia="MS PGothic" w:cs="Calibri"/>
          <w:b/>
          <w:bCs/>
          <w:iCs/>
          <w:color w:val="0070C0"/>
          <w:lang w:val="en-GB" w:eastAsia="zh-CN"/>
        </w:rPr>
        <w:t xml:space="preserve"> </w:t>
      </w:r>
      <w:r w:rsidR="00FD28C9" w:rsidRPr="00D30847">
        <w:rPr>
          <w:rFonts w:eastAsia="MS PGothic" w:cs="Calibri"/>
          <w:b/>
          <w:bCs/>
          <w:iCs/>
          <w:color w:val="0070C0"/>
          <w:lang w:val="en-GB" w:eastAsia="zh-CN"/>
        </w:rPr>
        <w:t>Implementation of concluded Memorandum of cooperation between the Assembly and the SAO</w:t>
      </w:r>
    </w:p>
    <w:p w14:paraId="458A1B61" w14:textId="585D2400" w:rsidR="00C75160" w:rsidRPr="00D30847" w:rsidRDefault="00C75160" w:rsidP="00C75160">
      <w:pPr>
        <w:spacing w:before="120" w:after="120" w:line="240" w:lineRule="auto"/>
        <w:jc w:val="both"/>
        <w:rPr>
          <w:rFonts w:eastAsia="Times New Roman" w:cs="Calibri"/>
          <w:lang w:val="en-GB" w:eastAsia="x-none"/>
        </w:rPr>
      </w:pPr>
      <w:r w:rsidRPr="00D30847">
        <w:rPr>
          <w:rFonts w:eastAsia="Times New Roman" w:cs="Calibri"/>
          <w:lang w:val="en-GB" w:eastAsia="x-none"/>
        </w:rPr>
        <w:t>During the year 2022, a Memorandum of Cooperation was concluded between the SAO and the Parliament, the implementation of which should ensure the review of key audit reports, i.e. certain summary audit reports.</w:t>
      </w:r>
    </w:p>
    <w:p w14:paraId="5B2A1B97" w14:textId="77777777" w:rsidR="000C1FEA" w:rsidRPr="00D30847" w:rsidRDefault="000C1FEA" w:rsidP="000C1FEA">
      <w:pPr>
        <w:spacing w:line="240" w:lineRule="auto"/>
        <w:jc w:val="both"/>
        <w:rPr>
          <w:rFonts w:cs="Calibri"/>
          <w:i/>
          <w:iCs/>
          <w:noProof/>
          <w:sz w:val="20"/>
          <w:szCs w:val="20"/>
          <w:lang w:val="en-GB"/>
        </w:rPr>
      </w:pPr>
      <w:r w:rsidRPr="00D30847">
        <w:rPr>
          <w:rFonts w:cs="Calibri"/>
          <w:i/>
          <w:iCs/>
          <w:noProof/>
          <w:sz w:val="20"/>
          <w:szCs w:val="20"/>
          <w:lang w:val="en-GB"/>
        </w:rPr>
        <w:t>In October 2023, for the first time in the history of the Assembly, an individual final audit report on regularity audit was discussed on a committee session. After that, in 2024 several final audit reports were discussed or public hearing was organised by committees and bodies within the Assembly.</w:t>
      </w:r>
    </w:p>
    <w:p w14:paraId="083B048C" w14:textId="0CABC63E" w:rsidR="000C1FEA" w:rsidRPr="00D30847" w:rsidRDefault="000C1FEA" w:rsidP="00E32BC1">
      <w:pPr>
        <w:spacing w:line="240" w:lineRule="auto"/>
        <w:jc w:val="both"/>
        <w:rPr>
          <w:rFonts w:cs="Calibri"/>
          <w:i/>
          <w:iCs/>
          <w:noProof/>
          <w:sz w:val="20"/>
          <w:szCs w:val="20"/>
          <w:lang w:val="en-GB"/>
        </w:rPr>
      </w:pPr>
      <w:r w:rsidRPr="00D30847">
        <w:rPr>
          <w:rFonts w:cs="Calibri"/>
          <w:i/>
          <w:iCs/>
          <w:noProof/>
          <w:sz w:val="20"/>
          <w:szCs w:val="20"/>
          <w:lang w:val="en-GB"/>
        </w:rPr>
        <w:t>On 22 October 2024, for the first time since the SAO establishment, final audit report on performance audit was considered and discussed at the plenary session of the Assembly.</w:t>
      </w:r>
    </w:p>
    <w:p w14:paraId="6EC509CC" w14:textId="5E2CCAFC" w:rsidR="005E6C71" w:rsidRPr="00D30847" w:rsidRDefault="005E6C71" w:rsidP="00E84CD0">
      <w:pPr>
        <w:spacing w:line="240" w:lineRule="auto"/>
        <w:jc w:val="both"/>
        <w:rPr>
          <w:rFonts w:eastAsia="MS PGothic" w:cs="Calibri"/>
          <w:b/>
          <w:bCs/>
          <w:iCs/>
          <w:color w:val="0070C0"/>
          <w:lang w:val="en-GB" w:eastAsia="zh-CN"/>
        </w:rPr>
      </w:pPr>
      <w:r w:rsidRPr="00D30847">
        <w:rPr>
          <w:rFonts w:eastAsia="MS PGothic" w:cs="Calibri"/>
          <w:b/>
          <w:bCs/>
          <w:iCs/>
          <w:color w:val="0070C0"/>
          <w:lang w:val="en-GB" w:eastAsia="zh-CN"/>
        </w:rPr>
        <w:t>Activity 2</w:t>
      </w:r>
      <w:r w:rsidR="00742767" w:rsidRPr="00D30847">
        <w:rPr>
          <w:rFonts w:eastAsia="MS PGothic" w:cs="Calibri"/>
          <w:b/>
          <w:bCs/>
          <w:iCs/>
          <w:color w:val="0070C0"/>
          <w:lang w:val="en-GB" w:eastAsia="zh-CN"/>
        </w:rPr>
        <w:t xml:space="preserve">: </w:t>
      </w:r>
      <w:r w:rsidR="00FD28C9" w:rsidRPr="00D30847">
        <w:rPr>
          <w:rFonts w:eastAsia="MS PGothic" w:cs="Calibri"/>
          <w:b/>
          <w:bCs/>
          <w:iCs/>
          <w:color w:val="0070C0"/>
          <w:lang w:val="en-GB" w:eastAsia="zh-CN"/>
        </w:rPr>
        <w:t>Preparation of final/proposal procedures in the SAO and the Assembly for submission and review of audit reports and other documents</w:t>
      </w:r>
    </w:p>
    <w:p w14:paraId="1815C45C" w14:textId="77777777" w:rsidR="005E6C71" w:rsidRPr="00D30847" w:rsidRDefault="005E6C71" w:rsidP="00E84CD0">
      <w:pPr>
        <w:keepNext/>
        <w:keepLines/>
        <w:spacing w:before="240" w:after="60" w:line="240" w:lineRule="auto"/>
        <w:jc w:val="both"/>
        <w:outlineLvl w:val="3"/>
        <w:rPr>
          <w:rFonts w:eastAsia="Times New Roman" w:cs="Calibri"/>
          <w:color w:val="202124"/>
          <w:lang w:val="en-GB"/>
        </w:rPr>
      </w:pPr>
      <w:r w:rsidRPr="00D30847">
        <w:rPr>
          <w:rFonts w:eastAsia="Times New Roman" w:cs="Calibri"/>
          <w:color w:val="202124"/>
          <w:lang w:val="en-GB"/>
        </w:rPr>
        <w:lastRenderedPageBreak/>
        <w:t>With the Twinning project, draft procedures were prepared for the preparation, submission and consideration of audit reports and other documents to the RNM Assembly, as well as for their consideration by the RNM Assembly, which remain to be defined as final after the adoption of the new Law on State audit.</w:t>
      </w:r>
    </w:p>
    <w:p w14:paraId="1F6E0F10" w14:textId="77777777" w:rsidR="007733B2" w:rsidRPr="00D30847" w:rsidRDefault="007733B2" w:rsidP="00E84CD0">
      <w:pPr>
        <w:keepNext/>
        <w:keepLines/>
        <w:spacing w:before="120" w:line="240" w:lineRule="auto"/>
        <w:jc w:val="both"/>
        <w:outlineLvl w:val="3"/>
        <w:rPr>
          <w:rFonts w:cs="Calibri"/>
          <w:b/>
          <w:bCs/>
          <w:i/>
          <w:iCs/>
          <w:color w:val="4F81BD"/>
          <w:lang w:val="en-GB"/>
        </w:rPr>
      </w:pPr>
      <w:r w:rsidRPr="00D30847">
        <w:rPr>
          <w:rFonts w:cs="Calibri"/>
          <w:b/>
          <w:bCs/>
          <w:i/>
          <w:iCs/>
          <w:color w:val="4F81BD"/>
          <w:lang w:val="en-GB"/>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7733B2" w:rsidRPr="00D30847" w14:paraId="50D821BB" w14:textId="77777777" w:rsidTr="003A2F75">
        <w:tc>
          <w:tcPr>
            <w:tcW w:w="2518" w:type="dxa"/>
            <w:tcBorders>
              <w:top w:val="nil"/>
              <w:bottom w:val="single" w:sz="4" w:space="0" w:color="FFFFFF"/>
            </w:tcBorders>
            <w:shd w:val="clear" w:color="auto" w:fill="002060"/>
          </w:tcPr>
          <w:p w14:paraId="5C449979" w14:textId="4B315FD4" w:rsidR="007733B2" w:rsidRPr="00D30847" w:rsidRDefault="007733B2" w:rsidP="00E84CD0">
            <w:pPr>
              <w:spacing w:line="240" w:lineRule="auto"/>
              <w:jc w:val="both"/>
              <w:rPr>
                <w:rFonts w:cs="Calibri"/>
                <w:b/>
                <w:color w:val="FFFFFF"/>
                <w:sz w:val="20"/>
                <w:szCs w:val="20"/>
                <w:lang w:val="en-GB"/>
              </w:rPr>
            </w:pPr>
            <w:r w:rsidRPr="00D30847">
              <w:rPr>
                <w:rFonts w:cs="Calibri"/>
                <w:b/>
                <w:color w:val="FFFFFF"/>
                <w:sz w:val="20"/>
                <w:szCs w:val="20"/>
                <w:lang w:val="en-GB"/>
              </w:rPr>
              <w:t>Completed</w:t>
            </w:r>
            <w:r w:rsidR="00C34014" w:rsidRPr="00D30847">
              <w:rPr>
                <w:rFonts w:cs="Calibri"/>
                <w:b/>
                <w:color w:val="FFFFFF"/>
                <w:sz w:val="20"/>
                <w:szCs w:val="20"/>
                <w:lang w:val="en-GB"/>
              </w:rPr>
              <w:t xml:space="preserve"> </w:t>
            </w:r>
            <w:r w:rsidRPr="00D30847">
              <w:rPr>
                <w:rFonts w:cs="Calibri"/>
                <w:b/>
                <w:color w:val="FFFFFF"/>
                <w:sz w:val="20"/>
                <w:szCs w:val="20"/>
                <w:lang w:val="en-GB"/>
              </w:rPr>
              <w:t>in</w:t>
            </w:r>
            <w:r w:rsidR="00C34014" w:rsidRPr="00D30847">
              <w:rPr>
                <w:rFonts w:cs="Calibri"/>
                <w:b/>
                <w:color w:val="FFFFFF"/>
                <w:sz w:val="20"/>
                <w:szCs w:val="20"/>
                <w:lang w:val="en-GB"/>
              </w:rPr>
              <w:t xml:space="preserve"> </w:t>
            </w:r>
            <w:r w:rsidRPr="00D30847">
              <w:rPr>
                <w:rFonts w:cs="Calibri"/>
                <w:b/>
                <w:color w:val="FFFFFF"/>
                <w:sz w:val="20"/>
                <w:szCs w:val="20"/>
                <w:lang w:val="en-GB"/>
              </w:rPr>
              <w:t>year:</w:t>
            </w:r>
          </w:p>
        </w:tc>
        <w:tc>
          <w:tcPr>
            <w:tcW w:w="6246" w:type="dxa"/>
            <w:tcBorders>
              <w:top w:val="nil"/>
              <w:bottom w:val="single" w:sz="4" w:space="0" w:color="FFFFFF"/>
            </w:tcBorders>
            <w:shd w:val="clear" w:color="auto" w:fill="D9E2F3"/>
          </w:tcPr>
          <w:p w14:paraId="4EC0ADCB" w14:textId="7A1B8A41" w:rsidR="007733B2" w:rsidRPr="00D30847" w:rsidRDefault="00322136" w:rsidP="00DE7D8F">
            <w:pPr>
              <w:spacing w:after="0" w:line="240" w:lineRule="auto"/>
              <w:jc w:val="both"/>
              <w:rPr>
                <w:rFonts w:cs="Calibri"/>
                <w:sz w:val="20"/>
                <w:szCs w:val="20"/>
                <w:lang w:val="en-GB"/>
              </w:rPr>
            </w:pPr>
            <w:r w:rsidRPr="00D30847">
              <w:rPr>
                <w:rFonts w:cs="Calibri"/>
                <w:sz w:val="20"/>
                <w:szCs w:val="20"/>
                <w:lang w:val="en-GB"/>
              </w:rPr>
              <w:t xml:space="preserve">- </w:t>
            </w:r>
            <w:r w:rsidR="007733B2" w:rsidRPr="00D30847">
              <w:rPr>
                <w:rFonts w:cs="Calibri"/>
                <w:sz w:val="20"/>
                <w:szCs w:val="20"/>
                <w:lang w:val="en-GB"/>
              </w:rPr>
              <w:t>202</w:t>
            </w:r>
            <w:r w:rsidR="000C1FEA" w:rsidRPr="00D30847">
              <w:rPr>
                <w:rFonts w:cs="Calibri"/>
                <w:sz w:val="20"/>
                <w:szCs w:val="20"/>
                <w:lang w:val="en-GB"/>
              </w:rPr>
              <w:t>8</w:t>
            </w:r>
          </w:p>
        </w:tc>
      </w:tr>
      <w:tr w:rsidR="007733B2" w:rsidRPr="00D30847" w14:paraId="02CFDFE4" w14:textId="77777777" w:rsidTr="003A2F75">
        <w:tc>
          <w:tcPr>
            <w:tcW w:w="2518" w:type="dxa"/>
            <w:tcBorders>
              <w:top w:val="single" w:sz="4" w:space="0" w:color="FFFFFF"/>
              <w:bottom w:val="single" w:sz="4" w:space="0" w:color="FFFFFF"/>
            </w:tcBorders>
            <w:shd w:val="clear" w:color="auto" w:fill="002060"/>
          </w:tcPr>
          <w:p w14:paraId="0E92ECBC" w14:textId="77777777" w:rsidR="007733B2" w:rsidRPr="00D30847" w:rsidRDefault="007733B2" w:rsidP="00E84CD0">
            <w:pPr>
              <w:spacing w:line="240" w:lineRule="auto"/>
              <w:jc w:val="both"/>
              <w:rPr>
                <w:rFonts w:cs="Calibri"/>
                <w:b/>
                <w:color w:val="FFFFFF"/>
                <w:sz w:val="20"/>
                <w:szCs w:val="20"/>
                <w:lang w:val="en-GB"/>
              </w:rPr>
            </w:pPr>
            <w:r w:rsidRPr="00D30847">
              <w:rPr>
                <w:rFonts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3590AE0E" w14:textId="77777777" w:rsidR="00846F30" w:rsidRPr="00D30847" w:rsidRDefault="00846F30" w:rsidP="00AD2AD5">
            <w:pPr>
              <w:numPr>
                <w:ilvl w:val="0"/>
                <w:numId w:val="47"/>
              </w:numPr>
              <w:spacing w:after="0" w:line="240" w:lineRule="auto"/>
              <w:ind w:left="183" w:hanging="180"/>
              <w:jc w:val="both"/>
              <w:rPr>
                <w:rFonts w:eastAsia="Times New Roman" w:cs="Calibri"/>
                <w:sz w:val="20"/>
                <w:szCs w:val="20"/>
                <w:lang w:val="en-GB"/>
              </w:rPr>
            </w:pPr>
            <w:r w:rsidRPr="00D30847">
              <w:rPr>
                <w:rFonts w:eastAsia="Times New Roman" w:cs="Calibri"/>
                <w:sz w:val="20"/>
                <w:szCs w:val="20"/>
                <w:lang w:val="en-GB"/>
              </w:rPr>
              <w:t>Final procedures of the SAO for preparing and submitting audit reports and other documents to the RNM Assembly;</w:t>
            </w:r>
          </w:p>
          <w:p w14:paraId="6B284444" w14:textId="3352924A" w:rsidR="007733B2" w:rsidRPr="00D30847" w:rsidRDefault="00846F30" w:rsidP="003654D9">
            <w:pPr>
              <w:numPr>
                <w:ilvl w:val="0"/>
                <w:numId w:val="47"/>
              </w:numPr>
              <w:spacing w:after="0" w:line="240" w:lineRule="auto"/>
              <w:ind w:left="183" w:hanging="180"/>
              <w:jc w:val="both"/>
              <w:rPr>
                <w:rFonts w:eastAsia="Times New Roman" w:cs="Calibri"/>
                <w:sz w:val="20"/>
                <w:szCs w:val="20"/>
                <w:lang w:val="en-GB"/>
              </w:rPr>
            </w:pPr>
            <w:r w:rsidRPr="00D30847">
              <w:rPr>
                <w:rFonts w:eastAsia="Times New Roman" w:cs="Calibri"/>
                <w:sz w:val="20"/>
                <w:szCs w:val="20"/>
                <w:lang w:val="en-GB"/>
              </w:rPr>
              <w:t>Proposal - procedures for manner of reviewing audit reports (from receipt of audit reports and other documents to adoption conclusions and monitoring implementation of audit recommendations) in the RNM Assembly;</w:t>
            </w:r>
          </w:p>
        </w:tc>
      </w:tr>
      <w:tr w:rsidR="007733B2" w:rsidRPr="00D30847" w14:paraId="7D510D9F" w14:textId="77777777" w:rsidTr="003A2F75">
        <w:trPr>
          <w:trHeight w:val="296"/>
        </w:trPr>
        <w:tc>
          <w:tcPr>
            <w:tcW w:w="2518" w:type="dxa"/>
            <w:tcBorders>
              <w:top w:val="single" w:sz="4" w:space="0" w:color="FFFFFF"/>
              <w:bottom w:val="single" w:sz="4" w:space="0" w:color="FFFFFF"/>
            </w:tcBorders>
            <w:shd w:val="clear" w:color="auto" w:fill="002060"/>
          </w:tcPr>
          <w:p w14:paraId="7BCCD29D" w14:textId="2B8EE7DB" w:rsidR="007733B2" w:rsidRPr="00D30847" w:rsidRDefault="007733B2" w:rsidP="00E84CD0">
            <w:pPr>
              <w:spacing w:line="240" w:lineRule="auto"/>
              <w:jc w:val="both"/>
              <w:rPr>
                <w:rFonts w:cs="Calibri"/>
                <w:b/>
                <w:color w:val="FFFFFF"/>
                <w:sz w:val="20"/>
                <w:szCs w:val="20"/>
                <w:lang w:val="en-GB"/>
              </w:rPr>
            </w:pPr>
            <w:r w:rsidRPr="00D30847">
              <w:rPr>
                <w:rFonts w:cs="Calibri"/>
                <w:b/>
                <w:color w:val="FFFFFF"/>
                <w:sz w:val="20"/>
                <w:szCs w:val="20"/>
                <w:lang w:val="en-GB"/>
              </w:rPr>
              <w:t>Costs</w:t>
            </w:r>
            <w:r w:rsidR="00C34014" w:rsidRPr="00D30847">
              <w:rPr>
                <w:rFonts w:cs="Calibri"/>
                <w:b/>
                <w:color w:val="FFFFFF"/>
                <w:sz w:val="20"/>
                <w:szCs w:val="20"/>
                <w:lang w:val="en-GB"/>
              </w:rPr>
              <w:t xml:space="preserve"> </w:t>
            </w:r>
            <w:r w:rsidRPr="00D30847">
              <w:rPr>
                <w:rFonts w:cs="Calibri"/>
                <w:b/>
                <w:color w:val="FFFFFF"/>
                <w:sz w:val="20"/>
                <w:szCs w:val="20"/>
                <w:lang w:val="en-GB"/>
              </w:rPr>
              <w:t>implications:</w:t>
            </w:r>
          </w:p>
        </w:tc>
        <w:tc>
          <w:tcPr>
            <w:tcW w:w="6246" w:type="dxa"/>
            <w:tcBorders>
              <w:top w:val="single" w:sz="4" w:space="0" w:color="FFFFFF"/>
              <w:bottom w:val="single" w:sz="4" w:space="0" w:color="FFFFFF"/>
            </w:tcBorders>
            <w:shd w:val="clear" w:color="auto" w:fill="D9E2F3"/>
          </w:tcPr>
          <w:p w14:paraId="7BB8D85B" w14:textId="77777777" w:rsidR="007733B2" w:rsidRPr="00D30847" w:rsidRDefault="007733B2" w:rsidP="00AD2AD5">
            <w:pPr>
              <w:numPr>
                <w:ilvl w:val="0"/>
                <w:numId w:val="47"/>
              </w:numPr>
              <w:spacing w:after="0" w:line="240" w:lineRule="auto"/>
              <w:ind w:left="183" w:hanging="180"/>
              <w:jc w:val="both"/>
              <w:rPr>
                <w:rFonts w:eastAsia="Times New Roman" w:cs="Calibri"/>
                <w:color w:val="202124"/>
                <w:sz w:val="20"/>
                <w:szCs w:val="20"/>
                <w:lang w:val="en-GB"/>
              </w:rPr>
            </w:pPr>
            <w:r w:rsidRPr="00D30847">
              <w:rPr>
                <w:rFonts w:eastAsia="Times New Roman" w:cs="Calibri"/>
                <w:color w:val="202124"/>
                <w:sz w:val="20"/>
                <w:szCs w:val="20"/>
                <w:lang w:val="en-GB"/>
              </w:rPr>
              <w:t>EUR 146,000</w:t>
            </w:r>
          </w:p>
        </w:tc>
      </w:tr>
      <w:tr w:rsidR="007733B2" w:rsidRPr="00D30847" w14:paraId="585060C4" w14:textId="77777777" w:rsidTr="003A2F75">
        <w:trPr>
          <w:trHeight w:val="296"/>
        </w:trPr>
        <w:tc>
          <w:tcPr>
            <w:tcW w:w="2518" w:type="dxa"/>
            <w:tcBorders>
              <w:top w:val="single" w:sz="4" w:space="0" w:color="FFFFFF"/>
              <w:bottom w:val="single" w:sz="4" w:space="0" w:color="FFFFFF"/>
            </w:tcBorders>
            <w:shd w:val="clear" w:color="auto" w:fill="002060"/>
          </w:tcPr>
          <w:p w14:paraId="298482A0" w14:textId="07140087" w:rsidR="007733B2" w:rsidRPr="00D30847" w:rsidRDefault="00C34014" w:rsidP="00E84CD0">
            <w:pPr>
              <w:spacing w:line="240" w:lineRule="auto"/>
              <w:jc w:val="both"/>
              <w:rPr>
                <w:rFonts w:cs="Calibri"/>
                <w:b/>
                <w:color w:val="FFFFFF"/>
                <w:sz w:val="20"/>
                <w:szCs w:val="20"/>
                <w:lang w:val="en-GB"/>
              </w:rPr>
            </w:pPr>
            <w:r w:rsidRPr="00D30847">
              <w:rPr>
                <w:rFonts w:cs="Calibri"/>
                <w:b/>
                <w:color w:val="FFFFFF"/>
                <w:sz w:val="20"/>
                <w:szCs w:val="20"/>
                <w:lang w:val="en-GB"/>
              </w:rPr>
              <w:t>Responsible entity</w:t>
            </w:r>
            <w:r w:rsidR="007733B2" w:rsidRPr="00D30847">
              <w:rPr>
                <w:rFonts w:cs="Calibri"/>
                <w:b/>
                <w:color w:val="FFFFFF"/>
                <w:sz w:val="20"/>
                <w:szCs w:val="20"/>
                <w:lang w:val="en-GB"/>
              </w:rPr>
              <w:t xml:space="preserve">: </w:t>
            </w:r>
          </w:p>
        </w:tc>
        <w:tc>
          <w:tcPr>
            <w:tcW w:w="6246" w:type="dxa"/>
            <w:tcBorders>
              <w:top w:val="single" w:sz="4" w:space="0" w:color="FFFFFF"/>
              <w:bottom w:val="single" w:sz="4" w:space="0" w:color="FFFFFF"/>
            </w:tcBorders>
            <w:shd w:val="clear" w:color="auto" w:fill="D9E2F3"/>
          </w:tcPr>
          <w:p w14:paraId="5B940353" w14:textId="77777777" w:rsidR="007733B2" w:rsidRPr="00D30847" w:rsidRDefault="005E6C71" w:rsidP="00AD2AD5">
            <w:pPr>
              <w:numPr>
                <w:ilvl w:val="0"/>
                <w:numId w:val="47"/>
              </w:numPr>
              <w:spacing w:after="0" w:line="240" w:lineRule="auto"/>
              <w:ind w:left="183" w:hanging="180"/>
              <w:jc w:val="both"/>
              <w:rPr>
                <w:rFonts w:eastAsia="Times New Roman" w:cs="Calibri"/>
                <w:color w:val="202124"/>
                <w:sz w:val="20"/>
                <w:szCs w:val="20"/>
                <w:lang w:val="en-GB"/>
              </w:rPr>
            </w:pPr>
            <w:r w:rsidRPr="00D30847">
              <w:rPr>
                <w:rFonts w:eastAsia="Times New Roman" w:cs="Calibri"/>
                <w:sz w:val="20"/>
                <w:szCs w:val="20"/>
                <w:lang w:val="en-GB"/>
              </w:rPr>
              <w:t>The State Audit Office in cooperation with the RNM Assembly</w:t>
            </w:r>
          </w:p>
        </w:tc>
      </w:tr>
      <w:tr w:rsidR="007733B2" w:rsidRPr="00D30847" w14:paraId="69EBCCD0" w14:textId="77777777" w:rsidTr="003A2F75">
        <w:tc>
          <w:tcPr>
            <w:tcW w:w="2518" w:type="dxa"/>
            <w:tcBorders>
              <w:top w:val="single" w:sz="4" w:space="0" w:color="FFFFFF"/>
              <w:bottom w:val="single" w:sz="4" w:space="0" w:color="FFFFFF"/>
            </w:tcBorders>
            <w:shd w:val="clear" w:color="auto" w:fill="002060"/>
          </w:tcPr>
          <w:p w14:paraId="1E9D2256" w14:textId="77777777" w:rsidR="007733B2" w:rsidRPr="00D30847" w:rsidRDefault="007733B2" w:rsidP="00E84CD0">
            <w:pPr>
              <w:spacing w:line="240" w:lineRule="auto"/>
              <w:jc w:val="both"/>
              <w:rPr>
                <w:rFonts w:cs="Calibri"/>
                <w:b/>
                <w:color w:val="FFFFFF"/>
                <w:sz w:val="20"/>
                <w:szCs w:val="20"/>
                <w:lang w:val="en-GB"/>
              </w:rPr>
            </w:pPr>
            <w:r w:rsidRPr="00D30847">
              <w:rPr>
                <w:rFonts w:cs="Calibri"/>
                <w:b/>
                <w:color w:val="FFFFFF"/>
                <w:sz w:val="20"/>
                <w:szCs w:val="20"/>
                <w:lang w:val="en-GB"/>
              </w:rPr>
              <w:t>Risk:</w:t>
            </w:r>
          </w:p>
        </w:tc>
        <w:tc>
          <w:tcPr>
            <w:tcW w:w="6246" w:type="dxa"/>
            <w:tcBorders>
              <w:top w:val="single" w:sz="4" w:space="0" w:color="FFFFFF"/>
              <w:bottom w:val="single" w:sz="4" w:space="0" w:color="FFFFFF"/>
            </w:tcBorders>
            <w:shd w:val="clear" w:color="auto" w:fill="D9E2F3"/>
          </w:tcPr>
          <w:p w14:paraId="4AB779BF" w14:textId="77777777" w:rsidR="00C75160" w:rsidRPr="00D30847" w:rsidRDefault="00C75160" w:rsidP="00AD2AD5">
            <w:pPr>
              <w:numPr>
                <w:ilvl w:val="0"/>
                <w:numId w:val="47"/>
              </w:numPr>
              <w:spacing w:after="0" w:line="240" w:lineRule="auto"/>
              <w:ind w:left="183" w:hanging="180"/>
              <w:jc w:val="both"/>
              <w:rPr>
                <w:rFonts w:eastAsia="Times New Roman" w:cs="Calibri"/>
                <w:sz w:val="20"/>
                <w:szCs w:val="20"/>
                <w:lang w:val="en-GB"/>
              </w:rPr>
            </w:pPr>
            <w:r w:rsidRPr="00D30847">
              <w:rPr>
                <w:rFonts w:eastAsia="Times New Roman" w:cs="Calibri"/>
                <w:sz w:val="20"/>
                <w:szCs w:val="20"/>
                <w:lang w:val="en-GB"/>
              </w:rPr>
              <w:t>Uncreated conditions of implementing the Memorandum of cooperation between the Assembly and the SAO;</w:t>
            </w:r>
          </w:p>
          <w:p w14:paraId="324A5D58" w14:textId="0C575CC6" w:rsidR="007733B2" w:rsidRPr="00D30847" w:rsidRDefault="00C75160" w:rsidP="009734E8">
            <w:pPr>
              <w:numPr>
                <w:ilvl w:val="0"/>
                <w:numId w:val="47"/>
              </w:numPr>
              <w:spacing w:after="0" w:line="240" w:lineRule="auto"/>
              <w:ind w:left="183" w:hanging="180"/>
              <w:jc w:val="both"/>
              <w:rPr>
                <w:rFonts w:eastAsia="Times New Roman" w:cs="Calibri"/>
                <w:sz w:val="20"/>
                <w:szCs w:val="20"/>
                <w:lang w:val="en-GB"/>
              </w:rPr>
            </w:pPr>
            <w:r w:rsidRPr="00D30847">
              <w:rPr>
                <w:rFonts w:eastAsia="Times New Roman" w:cs="Calibri"/>
                <w:sz w:val="20"/>
                <w:szCs w:val="20"/>
                <w:lang w:val="en-GB"/>
              </w:rPr>
              <w:t>Uncreated conditions to prepare and adopt final/proposal procedures of the Assembly for the mechanism for reviewing audit reports;</w:t>
            </w:r>
          </w:p>
        </w:tc>
      </w:tr>
    </w:tbl>
    <w:p w14:paraId="161D2B38" w14:textId="77777777" w:rsidR="007733B2" w:rsidRPr="00D30847" w:rsidRDefault="007733B2" w:rsidP="00E84CD0">
      <w:pPr>
        <w:spacing w:line="240" w:lineRule="auto"/>
        <w:jc w:val="both"/>
        <w:rPr>
          <w:rFonts w:cs="Calibri"/>
          <w:b/>
          <w:color w:val="C00000"/>
          <w:lang w:val="en-GB"/>
        </w:rPr>
      </w:pPr>
    </w:p>
    <w:p w14:paraId="780FCD25" w14:textId="25CBF3C6" w:rsidR="005E6C71" w:rsidRPr="00D30847" w:rsidRDefault="005E6C71" w:rsidP="00E84CD0">
      <w:pPr>
        <w:keepNext/>
        <w:keepLines/>
        <w:spacing w:before="120" w:line="240" w:lineRule="auto"/>
        <w:jc w:val="both"/>
        <w:outlineLvl w:val="3"/>
        <w:rPr>
          <w:rFonts w:cs="Calibri"/>
          <w:b/>
          <w:color w:val="0070C0"/>
          <w:sz w:val="24"/>
          <w:szCs w:val="24"/>
          <w:lang w:val="en-GB"/>
        </w:rPr>
      </w:pPr>
      <w:r w:rsidRPr="00D30847">
        <w:rPr>
          <w:rFonts w:cs="Calibri"/>
          <w:b/>
          <w:color w:val="0070C0"/>
          <w:sz w:val="24"/>
          <w:szCs w:val="24"/>
          <w:lang w:val="en-GB"/>
        </w:rPr>
        <w:t xml:space="preserve">Measure 2: </w:t>
      </w:r>
      <w:r w:rsidR="00846F30" w:rsidRPr="00D30847">
        <w:rPr>
          <w:rFonts w:cs="Calibri"/>
          <w:b/>
          <w:color w:val="0070C0"/>
          <w:sz w:val="24"/>
          <w:szCs w:val="24"/>
          <w:lang w:val="en-GB"/>
        </w:rPr>
        <w:t>Strengthening the institutional capacities for reviewing audit reports in the Assembly of RNM</w:t>
      </w:r>
    </w:p>
    <w:p w14:paraId="113E016D" w14:textId="63F4D665" w:rsidR="007733B2" w:rsidRPr="00D30847" w:rsidRDefault="00C34014" w:rsidP="00E84CD0">
      <w:pPr>
        <w:keepNext/>
        <w:keepLines/>
        <w:spacing w:before="120" w:line="240" w:lineRule="auto"/>
        <w:jc w:val="both"/>
        <w:outlineLvl w:val="3"/>
        <w:rPr>
          <w:rFonts w:cs="Calibri"/>
          <w:b/>
          <w:bCs/>
          <w:i/>
          <w:iCs/>
          <w:color w:val="4F81BD"/>
          <w:lang w:val="en-GB"/>
        </w:rPr>
      </w:pPr>
      <w:r w:rsidRPr="00D30847">
        <w:rPr>
          <w:rFonts w:cs="Calibri"/>
          <w:b/>
          <w:bCs/>
          <w:i/>
          <w:iCs/>
          <w:color w:val="4F81BD"/>
          <w:lang w:val="en-GB"/>
        </w:rPr>
        <w:t>Measure Objective</w:t>
      </w:r>
    </w:p>
    <w:p w14:paraId="12C9652D" w14:textId="77777777" w:rsidR="007733B2" w:rsidRPr="00D30847" w:rsidRDefault="007733B2" w:rsidP="00E84CD0">
      <w:pPr>
        <w:spacing w:before="120" w:line="240" w:lineRule="auto"/>
        <w:jc w:val="both"/>
        <w:rPr>
          <w:rFonts w:eastAsia="Times New Roman" w:cs="Calibri"/>
          <w:color w:val="202124"/>
          <w:lang w:val="en-GB"/>
        </w:rPr>
      </w:pPr>
      <w:r w:rsidRPr="00D30847">
        <w:rPr>
          <w:rFonts w:eastAsia="Times New Roman" w:cs="Calibri"/>
          <w:color w:val="202124"/>
          <w:lang w:val="en-GB"/>
        </w:rPr>
        <w:t>Strengthened institutional capacities for reviewing the audit reports in the Assembly of RNM.</w:t>
      </w:r>
    </w:p>
    <w:p w14:paraId="533B3A20" w14:textId="77777777" w:rsidR="007733B2" w:rsidRPr="00D30847" w:rsidRDefault="007733B2" w:rsidP="00E84CD0">
      <w:pPr>
        <w:keepNext/>
        <w:keepLines/>
        <w:spacing w:before="160" w:after="60" w:line="240" w:lineRule="auto"/>
        <w:jc w:val="both"/>
        <w:outlineLvl w:val="3"/>
        <w:rPr>
          <w:rFonts w:eastAsia="MS PGothic" w:cs="Calibri"/>
          <w:b/>
          <w:bCs/>
          <w:i/>
          <w:iCs/>
          <w:color w:val="4F81BD"/>
          <w:lang w:val="en-GB"/>
        </w:rPr>
      </w:pPr>
      <w:r w:rsidRPr="00D30847">
        <w:rPr>
          <w:rFonts w:eastAsia="MS PGothic" w:cs="Calibri"/>
          <w:b/>
          <w:bCs/>
          <w:i/>
          <w:iCs/>
          <w:color w:val="4F81BD"/>
          <w:lang w:val="en-GB" w:eastAsia="zh-CN"/>
        </w:rPr>
        <w:t>Reference to findings from external assessments:</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170"/>
        <w:gridCol w:w="7477"/>
      </w:tblGrid>
      <w:tr w:rsidR="007733B2" w:rsidRPr="00D30847" w14:paraId="1AB94EF7" w14:textId="77777777" w:rsidTr="00322136">
        <w:tc>
          <w:tcPr>
            <w:tcW w:w="1170" w:type="dxa"/>
            <w:shd w:val="clear" w:color="auto" w:fill="DDDDDD"/>
          </w:tcPr>
          <w:p w14:paraId="2231C21B" w14:textId="73C46B2C" w:rsidR="007733B2" w:rsidRPr="00D30847" w:rsidRDefault="007733B2" w:rsidP="00E84CD0">
            <w:pPr>
              <w:spacing w:before="80" w:after="0" w:line="240" w:lineRule="auto"/>
              <w:jc w:val="both"/>
              <w:rPr>
                <w:rFonts w:eastAsia="Times New Roman" w:cs="Calibri"/>
                <w:b/>
                <w:color w:val="202124"/>
                <w:sz w:val="20"/>
                <w:szCs w:val="20"/>
                <w:lang w:val="en-GB"/>
              </w:rPr>
            </w:pPr>
            <w:r w:rsidRPr="00D30847">
              <w:rPr>
                <w:rFonts w:eastAsia="Times New Roman" w:cs="Calibri"/>
                <w:b/>
                <w:color w:val="202124"/>
                <w:sz w:val="20"/>
                <w:szCs w:val="20"/>
                <w:lang w:val="en-GB"/>
              </w:rPr>
              <w:t>EU</w:t>
            </w:r>
          </w:p>
        </w:tc>
        <w:tc>
          <w:tcPr>
            <w:tcW w:w="7477" w:type="dxa"/>
            <w:shd w:val="clear" w:color="auto" w:fill="DDDDDD"/>
          </w:tcPr>
          <w:p w14:paraId="786AC1A9" w14:textId="77777777" w:rsidR="000C1FEA" w:rsidRPr="00D30847" w:rsidRDefault="000C1FEA" w:rsidP="000C1FEA">
            <w:pPr>
              <w:spacing w:after="0" w:line="240" w:lineRule="auto"/>
              <w:jc w:val="both"/>
              <w:rPr>
                <w:rFonts w:eastAsia="Times New Roman" w:cs="Calibri"/>
                <w:b/>
                <w:bCs/>
                <w:color w:val="000000" w:themeColor="text1"/>
                <w:sz w:val="20"/>
                <w:szCs w:val="20"/>
                <w:lang w:val="en-GB" w:eastAsia="x-none"/>
              </w:rPr>
            </w:pPr>
            <w:r w:rsidRPr="00D30847">
              <w:rPr>
                <w:rFonts w:eastAsia="Times New Roman" w:cs="Calibri"/>
                <w:b/>
                <w:bCs/>
                <w:color w:val="000000" w:themeColor="text1"/>
                <w:sz w:val="20"/>
                <w:szCs w:val="20"/>
                <w:lang w:val="en-GB" w:eastAsia="x-none"/>
              </w:rPr>
              <w:t xml:space="preserve">European Commission Report 2024 </w:t>
            </w:r>
          </w:p>
          <w:p w14:paraId="32945972" w14:textId="77777777" w:rsidR="000C1FEA" w:rsidRPr="00D30847" w:rsidRDefault="000C1FEA" w:rsidP="000C1FEA">
            <w:pPr>
              <w:spacing w:after="0" w:line="240" w:lineRule="auto"/>
              <w:jc w:val="both"/>
              <w:rPr>
                <w:rFonts w:eastAsia="Times New Roman" w:cs="Calibri"/>
                <w:b/>
                <w:bCs/>
                <w:color w:val="000000" w:themeColor="text1"/>
                <w:sz w:val="20"/>
                <w:szCs w:val="20"/>
                <w:lang w:val="en-GB" w:eastAsia="x-none"/>
              </w:rPr>
            </w:pPr>
            <w:r w:rsidRPr="00D30847">
              <w:rPr>
                <w:rFonts w:eastAsia="Times New Roman" w:cs="Calibri"/>
                <w:b/>
                <w:bCs/>
                <w:color w:val="000000" w:themeColor="text1"/>
                <w:sz w:val="20"/>
                <w:szCs w:val="20"/>
                <w:lang w:val="en-GB" w:eastAsia="x-none"/>
              </w:rPr>
              <w:t xml:space="preserve">Chapter 32: Financial control </w:t>
            </w:r>
          </w:p>
          <w:p w14:paraId="0038375F" w14:textId="77777777" w:rsidR="000C1FEA" w:rsidRPr="00D30847" w:rsidRDefault="000C1FEA" w:rsidP="000C1FEA">
            <w:pPr>
              <w:spacing w:after="0" w:line="240" w:lineRule="auto"/>
              <w:jc w:val="both"/>
              <w:rPr>
                <w:rFonts w:eastAsia="Times New Roman" w:cs="Calibri"/>
                <w:b/>
                <w:bCs/>
                <w:color w:val="000000" w:themeColor="text1"/>
                <w:sz w:val="20"/>
                <w:szCs w:val="20"/>
                <w:lang w:val="en-GB" w:eastAsia="x-none"/>
              </w:rPr>
            </w:pPr>
            <w:r w:rsidRPr="00D30847">
              <w:rPr>
                <w:rFonts w:eastAsia="Times New Roman" w:cs="Calibri"/>
                <w:b/>
                <w:bCs/>
                <w:color w:val="000000" w:themeColor="text1"/>
                <w:sz w:val="20"/>
                <w:szCs w:val="20"/>
                <w:lang w:val="en-GB" w:eastAsia="x-none"/>
              </w:rPr>
              <w:t>External audit</w:t>
            </w:r>
          </w:p>
          <w:p w14:paraId="07B0D988" w14:textId="77777777" w:rsidR="000C1FEA" w:rsidRPr="00D30847" w:rsidRDefault="000C1FEA" w:rsidP="000C1FEA">
            <w:pPr>
              <w:spacing w:after="0" w:line="240" w:lineRule="auto"/>
              <w:jc w:val="both"/>
              <w:rPr>
                <w:rFonts w:eastAsia="Times New Roman" w:cs="Calibri"/>
                <w:sz w:val="20"/>
                <w:szCs w:val="20"/>
                <w:lang w:val="en-GB" w:eastAsia="x-none"/>
              </w:rPr>
            </w:pPr>
          </w:p>
          <w:p w14:paraId="2695FBB8" w14:textId="77777777" w:rsidR="000C1FEA" w:rsidRPr="00D30847" w:rsidRDefault="000C1FEA" w:rsidP="000C1FEA">
            <w:pPr>
              <w:spacing w:after="120" w:line="240" w:lineRule="auto"/>
              <w:jc w:val="both"/>
              <w:rPr>
                <w:rFonts w:cs="Calibri"/>
                <w:noProof/>
                <w:sz w:val="20"/>
                <w:szCs w:val="20"/>
                <w:lang w:val="en-GB"/>
              </w:rPr>
            </w:pPr>
            <w:r w:rsidRPr="00D30847">
              <w:rPr>
                <w:rFonts w:cs="Calibri"/>
                <w:noProof/>
                <w:sz w:val="20"/>
                <w:szCs w:val="20"/>
                <w:lang w:val="en-GB"/>
              </w:rPr>
              <w:t>The new State audit law, that should strengthen SAO’s independence and role of the Parliament in following up individual audit reports, is still in government procedure. SAO carries out a compliance audit on the final government accounts of the core budget by June each year. The annual audit report was submitted to the Parliament and published in June 2024.</w:t>
            </w:r>
          </w:p>
          <w:p w14:paraId="0B536E40" w14:textId="5198226A" w:rsidR="007733B2" w:rsidRPr="00D30847" w:rsidRDefault="000C1FEA" w:rsidP="00A01770">
            <w:pPr>
              <w:spacing w:after="120" w:line="240" w:lineRule="auto"/>
              <w:jc w:val="both"/>
              <w:rPr>
                <w:rFonts w:cs="Calibri"/>
                <w:noProof/>
                <w:sz w:val="20"/>
                <w:szCs w:val="20"/>
                <w:lang w:val="en-GB"/>
              </w:rPr>
            </w:pPr>
            <w:r w:rsidRPr="00D30847">
              <w:rPr>
                <w:rFonts w:cs="Calibri"/>
                <w:noProof/>
                <w:sz w:val="20"/>
                <w:szCs w:val="20"/>
                <w:lang w:val="en-GB"/>
              </w:rPr>
              <w:t>On the impact of audits, SAO’s recommendations are not efficiently implemented by the auditees and Parliamentary follow-up of individual audit reports needs to be reinforced. By the time of publication of the annual report, auditees had taken measures to respond to 71% of 2023 audit recommendations.</w:t>
            </w:r>
          </w:p>
        </w:tc>
      </w:tr>
    </w:tbl>
    <w:p w14:paraId="521718AB" w14:textId="77777777" w:rsidR="007733B2" w:rsidRPr="00D30847" w:rsidRDefault="007733B2" w:rsidP="00E84CD0">
      <w:pPr>
        <w:keepNext/>
        <w:keepLines/>
        <w:spacing w:before="120" w:line="240" w:lineRule="auto"/>
        <w:jc w:val="both"/>
        <w:outlineLvl w:val="3"/>
        <w:rPr>
          <w:rFonts w:cs="Calibri"/>
          <w:b/>
          <w:bCs/>
          <w:i/>
          <w:iCs/>
          <w:color w:val="4F81BD"/>
          <w:lang w:val="en-GB"/>
        </w:rPr>
      </w:pPr>
      <w:r w:rsidRPr="00D30847">
        <w:rPr>
          <w:rFonts w:cs="Calibri"/>
          <w:b/>
          <w:bCs/>
          <w:i/>
          <w:iCs/>
          <w:color w:val="4F81BD"/>
          <w:lang w:val="en-GB"/>
        </w:rPr>
        <w:t>Context/Background</w:t>
      </w:r>
    </w:p>
    <w:p w14:paraId="212FD981" w14:textId="77777777" w:rsidR="000C1FEA" w:rsidRPr="00D30847" w:rsidRDefault="000C1FEA" w:rsidP="000C1FEA">
      <w:pPr>
        <w:keepNext/>
        <w:keepLines/>
        <w:spacing w:before="160" w:after="60" w:line="240" w:lineRule="auto"/>
        <w:jc w:val="both"/>
        <w:outlineLvl w:val="3"/>
        <w:rPr>
          <w:rFonts w:eastAsia="Times New Roman" w:cs="Calibri"/>
          <w:color w:val="202124"/>
          <w:lang w:val="en-GB"/>
        </w:rPr>
      </w:pPr>
      <w:r w:rsidRPr="00D30847">
        <w:rPr>
          <w:rFonts w:eastAsia="Times New Roman" w:cs="Calibri"/>
          <w:color w:val="202124"/>
          <w:lang w:val="en-GB"/>
        </w:rPr>
        <w:t>In the Report on North Macedonia for 2024 of the European Commission, in Chapter 32 - External audit, it is recommended to improve the efficiency of the parliamentary supervision of public funds and the follow-up of the audit recommendations.</w:t>
      </w:r>
    </w:p>
    <w:p w14:paraId="43B7EF66" w14:textId="77777777" w:rsidR="000C1FEA" w:rsidRPr="00D30847" w:rsidRDefault="000C1FEA" w:rsidP="000C1FEA">
      <w:pPr>
        <w:keepNext/>
        <w:keepLines/>
        <w:spacing w:before="160" w:after="60" w:line="240" w:lineRule="auto"/>
        <w:jc w:val="both"/>
        <w:outlineLvl w:val="3"/>
        <w:rPr>
          <w:rFonts w:eastAsia="Times New Roman" w:cs="Calibri"/>
          <w:color w:val="202124"/>
          <w:lang w:val="en-GB"/>
        </w:rPr>
      </w:pPr>
      <w:r w:rsidRPr="00D30847">
        <w:rPr>
          <w:rFonts w:eastAsia="Times New Roman" w:cs="Calibri"/>
          <w:color w:val="202124"/>
          <w:lang w:val="en-GB"/>
        </w:rPr>
        <w:t>The Commission's recommendations from last year were only partially implemented and therefore remain valid for the coming year, and in particular:</w:t>
      </w:r>
    </w:p>
    <w:p w14:paraId="0267E51D" w14:textId="77777777" w:rsidR="000C1FEA" w:rsidRPr="00D30847" w:rsidRDefault="000C1FEA" w:rsidP="000C1FEA">
      <w:pPr>
        <w:pStyle w:val="ListParagraph"/>
        <w:numPr>
          <w:ilvl w:val="0"/>
          <w:numId w:val="30"/>
        </w:numPr>
        <w:spacing w:line="240" w:lineRule="auto"/>
        <w:rPr>
          <w:rFonts w:asciiTheme="minorHAnsi" w:eastAsia="Arial Narrow" w:hAnsiTheme="minorHAnsi" w:cstheme="minorHAnsi"/>
          <w:noProof/>
          <w:sz w:val="20"/>
          <w:szCs w:val="20"/>
        </w:rPr>
      </w:pPr>
      <w:r w:rsidRPr="00D30847">
        <w:rPr>
          <w:rFonts w:asciiTheme="minorHAnsi" w:eastAsia="Arial Narrow" w:hAnsiTheme="minorHAnsi" w:cstheme="minorHAnsi"/>
          <w:noProof/>
          <w:sz w:val="20"/>
          <w:szCs w:val="20"/>
        </w:rPr>
        <w:t>adopt the State audit law to strengthen SAO’s independence;</w:t>
      </w:r>
    </w:p>
    <w:p w14:paraId="66CD40D5" w14:textId="77777777" w:rsidR="000C1FEA" w:rsidRPr="00D30847" w:rsidRDefault="000C1FEA" w:rsidP="000C1FEA">
      <w:pPr>
        <w:pStyle w:val="ListParagraph"/>
        <w:numPr>
          <w:ilvl w:val="0"/>
          <w:numId w:val="30"/>
        </w:numPr>
        <w:spacing w:line="240" w:lineRule="auto"/>
        <w:rPr>
          <w:rFonts w:asciiTheme="minorHAnsi" w:eastAsia="Arial Narrow" w:hAnsiTheme="minorHAnsi" w:cstheme="minorHAnsi"/>
          <w:noProof/>
          <w:sz w:val="20"/>
          <w:szCs w:val="20"/>
        </w:rPr>
      </w:pPr>
      <w:r w:rsidRPr="00D30847">
        <w:rPr>
          <w:rFonts w:asciiTheme="minorHAnsi" w:eastAsia="Arial Narrow" w:hAnsiTheme="minorHAnsi" w:cstheme="minorHAnsi"/>
          <w:noProof/>
          <w:sz w:val="20"/>
          <w:szCs w:val="20"/>
        </w:rPr>
        <w:t>enhance cooperation between the SAO and the Parliament;</w:t>
      </w:r>
    </w:p>
    <w:p w14:paraId="6B3D072B" w14:textId="77777777" w:rsidR="000C1FEA" w:rsidRPr="00D30847" w:rsidRDefault="000C1FEA" w:rsidP="000C1FEA">
      <w:pPr>
        <w:pStyle w:val="ListParagraph"/>
        <w:numPr>
          <w:ilvl w:val="0"/>
          <w:numId w:val="30"/>
        </w:numPr>
        <w:spacing w:line="240" w:lineRule="auto"/>
        <w:rPr>
          <w:rFonts w:asciiTheme="minorHAnsi" w:eastAsia="Arial Narrow" w:hAnsiTheme="minorHAnsi" w:cstheme="minorHAnsi"/>
          <w:noProof/>
          <w:sz w:val="20"/>
          <w:szCs w:val="20"/>
        </w:rPr>
      </w:pPr>
      <w:r w:rsidRPr="00D30847">
        <w:rPr>
          <w:rFonts w:asciiTheme="minorHAnsi" w:eastAsia="Arial Narrow" w:hAnsiTheme="minorHAnsi" w:cstheme="minorHAnsi"/>
          <w:noProof/>
          <w:sz w:val="20"/>
          <w:szCs w:val="20"/>
        </w:rPr>
        <w:lastRenderedPageBreak/>
        <w:t>improve Parliamentary scrutiny over individual audit reports and the follow-up to SAO’s recommendations.</w:t>
      </w:r>
    </w:p>
    <w:p w14:paraId="1F48DAA9" w14:textId="77777777" w:rsidR="000C1FEA" w:rsidRPr="00D30847" w:rsidRDefault="000C1FEA" w:rsidP="000C1FEA">
      <w:pPr>
        <w:spacing w:line="240" w:lineRule="auto"/>
        <w:jc w:val="both"/>
        <w:rPr>
          <w:rFonts w:cs="Calibri"/>
          <w:i/>
          <w:iCs/>
          <w:noProof/>
          <w:sz w:val="20"/>
          <w:szCs w:val="20"/>
          <w:lang w:val="en-GB"/>
        </w:rPr>
      </w:pPr>
      <w:r w:rsidRPr="00D30847">
        <w:rPr>
          <w:rFonts w:cs="Calibri"/>
          <w:i/>
          <w:iCs/>
          <w:noProof/>
          <w:sz w:val="20"/>
          <w:szCs w:val="20"/>
          <w:lang w:val="en-GB"/>
        </w:rPr>
        <w:t>In October 2023, for the first time in the history of the Assembly, an individual final audit report on regularity audit was discussed on a committee session. After that, in 2024 several final audit reports were discussed or public hearing was organised by committees and bodies within the Assembly.</w:t>
      </w:r>
    </w:p>
    <w:p w14:paraId="48F9375F" w14:textId="77777777" w:rsidR="000C1FEA" w:rsidRPr="00D30847" w:rsidRDefault="000C1FEA" w:rsidP="000C1FEA">
      <w:pPr>
        <w:spacing w:line="240" w:lineRule="auto"/>
        <w:jc w:val="both"/>
        <w:rPr>
          <w:rFonts w:cs="Calibri"/>
          <w:i/>
          <w:iCs/>
          <w:noProof/>
          <w:sz w:val="20"/>
          <w:szCs w:val="20"/>
          <w:lang w:val="en-GB"/>
        </w:rPr>
      </w:pPr>
      <w:r w:rsidRPr="00D30847">
        <w:rPr>
          <w:rFonts w:cs="Calibri"/>
          <w:i/>
          <w:iCs/>
          <w:noProof/>
          <w:sz w:val="20"/>
          <w:szCs w:val="20"/>
          <w:lang w:val="en-GB"/>
        </w:rPr>
        <w:t>On 22 October 2024, for the first time since the SAO establishment, final audit report on performance audit was considered and discussed at the plenary session of the Assembly.</w:t>
      </w:r>
    </w:p>
    <w:p w14:paraId="763EBA2D" w14:textId="77777777" w:rsidR="00A01770" w:rsidRPr="00D30847" w:rsidRDefault="000C1FEA" w:rsidP="00E84CD0">
      <w:pPr>
        <w:spacing w:line="240" w:lineRule="auto"/>
        <w:jc w:val="both"/>
        <w:rPr>
          <w:rFonts w:eastAsia="Times New Roman" w:cs="Calibri"/>
          <w:lang w:val="en-GB"/>
        </w:rPr>
      </w:pPr>
      <w:r w:rsidRPr="00D30847">
        <w:rPr>
          <w:rFonts w:eastAsia="Times New Roman" w:cs="Calibri"/>
          <w:lang w:val="en-GB"/>
        </w:rPr>
        <w:t>In the coming period, the SAO will continue the effective cooperation with the RNM Assembly by establishing a regular mechanism for the consideration of the audit reports by the Assembly in order to increase the degree of implementation of the audit recommendations.</w:t>
      </w:r>
    </w:p>
    <w:p w14:paraId="26C5F724" w14:textId="546D0AA8" w:rsidR="005E6C71" w:rsidRPr="00D30847" w:rsidRDefault="005E6C71" w:rsidP="00E84CD0">
      <w:pPr>
        <w:spacing w:line="240" w:lineRule="auto"/>
        <w:jc w:val="both"/>
        <w:rPr>
          <w:rFonts w:eastAsia="MS PGothic" w:cs="Calibri"/>
          <w:b/>
          <w:bCs/>
          <w:iCs/>
          <w:color w:val="0070C0"/>
          <w:lang w:val="en-GB" w:eastAsia="zh-CN"/>
        </w:rPr>
      </w:pPr>
      <w:r w:rsidRPr="00D30847">
        <w:rPr>
          <w:rFonts w:eastAsia="MS PGothic" w:cs="Calibri"/>
          <w:b/>
          <w:bCs/>
          <w:iCs/>
          <w:color w:val="0070C0"/>
          <w:lang w:val="en-GB" w:eastAsia="zh-CN"/>
        </w:rPr>
        <w:t>Activity 1</w:t>
      </w:r>
      <w:r w:rsidR="00322136" w:rsidRPr="00D30847">
        <w:rPr>
          <w:rFonts w:eastAsia="MS PGothic" w:cs="Calibri"/>
          <w:b/>
          <w:bCs/>
          <w:iCs/>
          <w:color w:val="0070C0"/>
          <w:lang w:val="en-GB" w:eastAsia="zh-CN"/>
        </w:rPr>
        <w:t>:</w:t>
      </w:r>
      <w:r w:rsidRPr="00D30847">
        <w:rPr>
          <w:rFonts w:eastAsia="MS PGothic" w:cs="Calibri"/>
          <w:b/>
          <w:bCs/>
          <w:iCs/>
          <w:color w:val="0070C0"/>
          <w:lang w:val="en-GB" w:eastAsia="zh-CN"/>
        </w:rPr>
        <w:t xml:space="preserve"> </w:t>
      </w:r>
      <w:r w:rsidR="00846F30" w:rsidRPr="00D30847">
        <w:rPr>
          <w:rFonts w:eastAsia="MS PGothic" w:cs="Calibri"/>
          <w:b/>
          <w:bCs/>
          <w:iCs/>
          <w:color w:val="0070C0"/>
          <w:lang w:val="en-GB" w:eastAsia="zh-CN"/>
        </w:rPr>
        <w:t>Preparation of a Training Plan for MPs and employees of the RNM Assembly Service in order to facilitate the understanding of the audit reports and preparation for a debate on the audit reports</w:t>
      </w:r>
    </w:p>
    <w:p w14:paraId="413D928B" w14:textId="77777777" w:rsidR="00C75160" w:rsidRPr="00D30847" w:rsidRDefault="00C75160" w:rsidP="00C75160">
      <w:pPr>
        <w:spacing w:before="120" w:line="240" w:lineRule="auto"/>
        <w:jc w:val="both"/>
        <w:rPr>
          <w:rFonts w:eastAsia="Times New Roman" w:cs="Calibri"/>
          <w:lang w:val="en-GB" w:eastAsia="x-none"/>
        </w:rPr>
      </w:pPr>
      <w:r w:rsidRPr="00D30847">
        <w:rPr>
          <w:rFonts w:eastAsia="Times New Roman" w:cs="Calibri"/>
          <w:lang w:val="en-GB" w:eastAsia="x-none"/>
        </w:rPr>
        <w:t>A Training Plan for MPs and the parliamentary administration will be prepared, aimed at understanding audit reports and preparing for a debate on audit reports.</w:t>
      </w:r>
    </w:p>
    <w:p w14:paraId="04284814" w14:textId="153980E3" w:rsidR="005E6C71" w:rsidRPr="00D30847" w:rsidRDefault="005E6C71" w:rsidP="00E84CD0">
      <w:pPr>
        <w:spacing w:before="120" w:line="240" w:lineRule="auto"/>
        <w:jc w:val="both"/>
        <w:rPr>
          <w:rFonts w:eastAsia="MS PGothic" w:cs="Calibri"/>
          <w:b/>
          <w:bCs/>
          <w:iCs/>
          <w:color w:val="0070C0"/>
          <w:lang w:val="en-GB" w:eastAsia="zh-CN"/>
        </w:rPr>
      </w:pPr>
      <w:r w:rsidRPr="00D30847">
        <w:rPr>
          <w:rFonts w:eastAsia="MS PGothic" w:cs="Calibri"/>
          <w:b/>
          <w:bCs/>
          <w:iCs/>
          <w:color w:val="0070C0"/>
          <w:lang w:val="en-GB" w:eastAsia="zh-CN"/>
        </w:rPr>
        <w:t>Activity 2</w:t>
      </w:r>
      <w:r w:rsidR="00322136" w:rsidRPr="00D30847">
        <w:rPr>
          <w:rFonts w:eastAsia="MS PGothic" w:cs="Calibri"/>
          <w:b/>
          <w:bCs/>
          <w:iCs/>
          <w:color w:val="0070C0"/>
          <w:lang w:val="en-GB" w:eastAsia="zh-CN"/>
        </w:rPr>
        <w:t>:</w:t>
      </w:r>
      <w:r w:rsidRPr="00D30847">
        <w:rPr>
          <w:rFonts w:eastAsia="MS PGothic" w:cs="Calibri"/>
          <w:b/>
          <w:bCs/>
          <w:iCs/>
          <w:color w:val="0070C0"/>
          <w:lang w:val="en-GB" w:eastAsia="zh-CN"/>
        </w:rPr>
        <w:t xml:space="preserve"> </w:t>
      </w:r>
      <w:r w:rsidR="00846F30" w:rsidRPr="00D30847">
        <w:rPr>
          <w:rFonts w:eastAsia="MS PGothic" w:cs="Calibri"/>
          <w:b/>
          <w:bCs/>
          <w:iCs/>
          <w:color w:val="0070C0"/>
          <w:lang w:val="en-GB" w:eastAsia="zh-CN"/>
        </w:rPr>
        <w:t>Conducting trainings in accordance with the Training Plan for the Members of Parliament and employees of the RNM Assembly Service in order to facilitate the understanding of the audit reports and preparation for the debate on the audit reports</w:t>
      </w:r>
    </w:p>
    <w:p w14:paraId="7A188A9F" w14:textId="77777777" w:rsidR="00C75160" w:rsidRPr="00D30847" w:rsidRDefault="00C75160" w:rsidP="00E84CD0">
      <w:pPr>
        <w:spacing w:before="120" w:line="240" w:lineRule="auto"/>
        <w:jc w:val="both"/>
        <w:rPr>
          <w:rFonts w:cs="Calibri"/>
          <w:lang w:val="en-GB"/>
        </w:rPr>
      </w:pPr>
      <w:r w:rsidRPr="00D30847">
        <w:rPr>
          <w:rFonts w:cs="Calibri"/>
          <w:lang w:val="en-GB"/>
        </w:rPr>
        <w:t>The trainings will be conducted in accordance with the Plan for the training of MPs and employees in the Service of the Parliament in order to understand the audit reports and to prepare for the debate on the audit reports (through workshops, case studies, debate simulations).</w:t>
      </w:r>
    </w:p>
    <w:p w14:paraId="2AE279A2" w14:textId="0C3D3915" w:rsidR="005E6C71" w:rsidRPr="00D30847" w:rsidRDefault="005E6C71" w:rsidP="00E84CD0">
      <w:pPr>
        <w:spacing w:before="120" w:line="240" w:lineRule="auto"/>
        <w:jc w:val="both"/>
        <w:rPr>
          <w:rFonts w:eastAsia="MS PGothic" w:cs="Calibri"/>
          <w:b/>
          <w:bCs/>
          <w:iCs/>
          <w:color w:val="0070C0"/>
          <w:lang w:val="en-GB" w:eastAsia="zh-CN"/>
        </w:rPr>
      </w:pPr>
      <w:r w:rsidRPr="00D30847">
        <w:rPr>
          <w:rFonts w:eastAsia="MS PGothic" w:cs="Calibri"/>
          <w:b/>
          <w:bCs/>
          <w:iCs/>
          <w:color w:val="0070C0"/>
          <w:lang w:val="en-GB" w:eastAsia="zh-CN"/>
        </w:rPr>
        <w:t>Activity 3</w:t>
      </w:r>
      <w:r w:rsidR="00322136" w:rsidRPr="00D30847">
        <w:rPr>
          <w:rFonts w:eastAsia="MS PGothic" w:cs="Calibri"/>
          <w:b/>
          <w:bCs/>
          <w:iCs/>
          <w:color w:val="0070C0"/>
          <w:lang w:val="en-GB" w:eastAsia="zh-CN"/>
        </w:rPr>
        <w:t>:</w:t>
      </w:r>
      <w:r w:rsidRPr="00D30847">
        <w:rPr>
          <w:rFonts w:eastAsia="MS PGothic" w:cs="Calibri"/>
          <w:b/>
          <w:bCs/>
          <w:iCs/>
          <w:color w:val="0070C0"/>
          <w:lang w:val="en-GB" w:eastAsia="zh-CN"/>
        </w:rPr>
        <w:t xml:space="preserve"> </w:t>
      </w:r>
      <w:r w:rsidR="00846F30" w:rsidRPr="00D30847">
        <w:rPr>
          <w:rFonts w:eastAsia="MS PGothic" w:cs="Calibri"/>
          <w:b/>
          <w:bCs/>
          <w:iCs/>
          <w:color w:val="0070C0"/>
          <w:lang w:val="en-GB" w:eastAsia="zh-CN"/>
        </w:rPr>
        <w:t>Implementation of activities for strengthening cooperation with Committee on Financing and Budget, Parliamentary Institute and the Parliamentary budget office of the RNM Assembly</w:t>
      </w:r>
    </w:p>
    <w:p w14:paraId="3C36A5E3" w14:textId="2EFB9D99" w:rsidR="00A01770" w:rsidRPr="00D30847" w:rsidRDefault="005E6C71" w:rsidP="00E84CD0">
      <w:pPr>
        <w:spacing w:before="120" w:line="240" w:lineRule="auto"/>
        <w:jc w:val="both"/>
        <w:rPr>
          <w:rFonts w:eastAsia="Times New Roman" w:cs="Calibri"/>
          <w:lang w:val="en-GB"/>
        </w:rPr>
      </w:pPr>
      <w:r w:rsidRPr="00D30847">
        <w:rPr>
          <w:rFonts w:eastAsia="Times New Roman" w:cs="Calibri"/>
          <w:lang w:val="en-GB"/>
        </w:rPr>
        <w:t>Activities will be carried out to strengthen the cooperation with the Committee on Financing and Budget, the Parliamentary Institute and the Parliamentary Budget Off</w:t>
      </w:r>
      <w:r w:rsidR="008669D8" w:rsidRPr="00D30847">
        <w:rPr>
          <w:rFonts w:eastAsia="Times New Roman" w:cs="Calibri"/>
          <w:lang w:val="en-GB"/>
        </w:rPr>
        <w:t>ice of the Assembly of the RNM.</w:t>
      </w:r>
    </w:p>
    <w:p w14:paraId="27E87E75" w14:textId="77777777" w:rsidR="007733B2" w:rsidRPr="00D30847" w:rsidRDefault="007733B2" w:rsidP="00E84CD0">
      <w:pPr>
        <w:keepNext/>
        <w:keepLines/>
        <w:spacing w:before="120" w:line="240" w:lineRule="auto"/>
        <w:jc w:val="both"/>
        <w:outlineLvl w:val="3"/>
        <w:rPr>
          <w:rFonts w:cs="Calibri"/>
          <w:b/>
          <w:bCs/>
          <w:i/>
          <w:iCs/>
          <w:color w:val="4F81BD"/>
          <w:lang w:val="en-GB"/>
        </w:rPr>
      </w:pPr>
      <w:r w:rsidRPr="00D30847">
        <w:rPr>
          <w:rFonts w:cs="Calibri"/>
          <w:b/>
          <w:bCs/>
          <w:i/>
          <w:iCs/>
          <w:color w:val="4F81BD"/>
          <w:lang w:val="en-GB"/>
        </w:rPr>
        <w:t>Implementation</w:t>
      </w:r>
    </w:p>
    <w:tbl>
      <w:tblPr>
        <w:tblW w:w="0" w:type="auto"/>
        <w:tblBorders>
          <w:insideH w:val="single" w:sz="4" w:space="0" w:color="FFFFFF"/>
        </w:tblBorders>
        <w:tblLayout w:type="fixed"/>
        <w:tblLook w:val="0080" w:firstRow="0" w:lastRow="0" w:firstColumn="1" w:lastColumn="0" w:noHBand="0" w:noVBand="0"/>
      </w:tblPr>
      <w:tblGrid>
        <w:gridCol w:w="2518"/>
        <w:gridCol w:w="6246"/>
      </w:tblGrid>
      <w:tr w:rsidR="007733B2" w:rsidRPr="00D30847" w14:paraId="187E640B" w14:textId="77777777" w:rsidTr="003A2F75">
        <w:tc>
          <w:tcPr>
            <w:tcW w:w="2518" w:type="dxa"/>
            <w:tcBorders>
              <w:top w:val="nil"/>
              <w:bottom w:val="single" w:sz="4" w:space="0" w:color="FFFFFF"/>
            </w:tcBorders>
            <w:shd w:val="clear" w:color="auto" w:fill="002060"/>
          </w:tcPr>
          <w:p w14:paraId="1D481D55" w14:textId="1DA66130" w:rsidR="007733B2" w:rsidRPr="00D30847" w:rsidRDefault="007733B2" w:rsidP="00E84CD0">
            <w:pPr>
              <w:spacing w:line="240" w:lineRule="auto"/>
              <w:jc w:val="both"/>
              <w:rPr>
                <w:rFonts w:cs="Calibri"/>
                <w:b/>
                <w:color w:val="FFFFFF"/>
                <w:sz w:val="20"/>
                <w:szCs w:val="20"/>
                <w:lang w:val="en-GB"/>
              </w:rPr>
            </w:pPr>
            <w:r w:rsidRPr="00D30847">
              <w:rPr>
                <w:rFonts w:cs="Calibri"/>
                <w:b/>
                <w:color w:val="FFFFFF"/>
                <w:sz w:val="20"/>
                <w:szCs w:val="20"/>
                <w:lang w:val="en-GB"/>
              </w:rPr>
              <w:t>Completed</w:t>
            </w:r>
            <w:r w:rsidR="00C34014" w:rsidRPr="00D30847">
              <w:rPr>
                <w:rFonts w:cs="Calibri"/>
                <w:b/>
                <w:color w:val="FFFFFF"/>
                <w:sz w:val="20"/>
                <w:szCs w:val="20"/>
                <w:lang w:val="en-GB"/>
              </w:rPr>
              <w:t xml:space="preserve"> </w:t>
            </w:r>
            <w:r w:rsidRPr="00D30847">
              <w:rPr>
                <w:rFonts w:cs="Calibri"/>
                <w:b/>
                <w:color w:val="FFFFFF"/>
                <w:sz w:val="20"/>
                <w:szCs w:val="20"/>
                <w:lang w:val="en-GB"/>
              </w:rPr>
              <w:t>in</w:t>
            </w:r>
            <w:r w:rsidR="00C34014" w:rsidRPr="00D30847">
              <w:rPr>
                <w:rFonts w:cs="Calibri"/>
                <w:b/>
                <w:color w:val="FFFFFF"/>
                <w:sz w:val="20"/>
                <w:szCs w:val="20"/>
                <w:lang w:val="en-GB"/>
              </w:rPr>
              <w:t xml:space="preserve"> </w:t>
            </w:r>
            <w:r w:rsidRPr="00D30847">
              <w:rPr>
                <w:rFonts w:cs="Calibri"/>
                <w:b/>
                <w:color w:val="FFFFFF"/>
                <w:sz w:val="20"/>
                <w:szCs w:val="20"/>
                <w:lang w:val="en-GB"/>
              </w:rPr>
              <w:t>year:</w:t>
            </w:r>
          </w:p>
        </w:tc>
        <w:tc>
          <w:tcPr>
            <w:tcW w:w="6246" w:type="dxa"/>
            <w:tcBorders>
              <w:top w:val="nil"/>
              <w:bottom w:val="single" w:sz="4" w:space="0" w:color="FFFFFF"/>
            </w:tcBorders>
            <w:shd w:val="clear" w:color="auto" w:fill="D9E2F3"/>
          </w:tcPr>
          <w:p w14:paraId="7299FCA6" w14:textId="3ABCBEBF" w:rsidR="007733B2" w:rsidRPr="00D30847" w:rsidRDefault="00322136" w:rsidP="00DE7D8F">
            <w:pPr>
              <w:spacing w:after="0" w:line="240" w:lineRule="auto"/>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 </w:t>
            </w:r>
            <w:r w:rsidR="007733B2" w:rsidRPr="00D30847">
              <w:rPr>
                <w:rFonts w:eastAsia="Times New Roman" w:cs="Calibri"/>
                <w:color w:val="202124"/>
                <w:sz w:val="20"/>
                <w:szCs w:val="20"/>
                <w:lang w:val="en-GB"/>
              </w:rPr>
              <w:t>202</w:t>
            </w:r>
            <w:r w:rsidR="000C1FEA" w:rsidRPr="00D30847">
              <w:rPr>
                <w:rFonts w:eastAsia="Times New Roman" w:cs="Calibri"/>
                <w:color w:val="202124"/>
                <w:sz w:val="20"/>
                <w:szCs w:val="20"/>
                <w:lang w:val="en-GB"/>
              </w:rPr>
              <w:t>8</w:t>
            </w:r>
          </w:p>
        </w:tc>
      </w:tr>
      <w:tr w:rsidR="007733B2" w:rsidRPr="00D30847" w14:paraId="47095E11" w14:textId="77777777" w:rsidTr="003A2F75">
        <w:tc>
          <w:tcPr>
            <w:tcW w:w="2518" w:type="dxa"/>
            <w:tcBorders>
              <w:top w:val="single" w:sz="4" w:space="0" w:color="FFFFFF"/>
              <w:bottom w:val="single" w:sz="4" w:space="0" w:color="FFFFFF"/>
            </w:tcBorders>
            <w:shd w:val="clear" w:color="auto" w:fill="002060"/>
          </w:tcPr>
          <w:p w14:paraId="43D0B7AA" w14:textId="77777777" w:rsidR="007733B2" w:rsidRPr="00D30847" w:rsidRDefault="007733B2" w:rsidP="00E84CD0">
            <w:pPr>
              <w:spacing w:line="240" w:lineRule="auto"/>
              <w:jc w:val="both"/>
              <w:rPr>
                <w:rFonts w:cs="Calibri"/>
                <w:b/>
                <w:color w:val="FFFFFF"/>
                <w:sz w:val="20"/>
                <w:szCs w:val="20"/>
                <w:lang w:val="en-GB"/>
              </w:rPr>
            </w:pPr>
            <w:r w:rsidRPr="00D30847">
              <w:rPr>
                <w:rFonts w:cs="Calibri"/>
                <w:b/>
                <w:color w:val="FFFFFF"/>
                <w:sz w:val="20"/>
                <w:szCs w:val="20"/>
                <w:lang w:val="en-GB"/>
              </w:rPr>
              <w:t>Deliverables:</w:t>
            </w:r>
          </w:p>
        </w:tc>
        <w:tc>
          <w:tcPr>
            <w:tcW w:w="6246" w:type="dxa"/>
            <w:tcBorders>
              <w:top w:val="single" w:sz="4" w:space="0" w:color="FFFFFF"/>
              <w:bottom w:val="single" w:sz="4" w:space="0" w:color="FFFFFF"/>
            </w:tcBorders>
            <w:shd w:val="clear" w:color="auto" w:fill="D9E2F3"/>
          </w:tcPr>
          <w:p w14:paraId="3922BB0B" w14:textId="5613D922" w:rsidR="00846F30" w:rsidRPr="00D30847" w:rsidRDefault="00322136" w:rsidP="00322136">
            <w:pPr>
              <w:tabs>
                <w:tab w:val="left" w:pos="122"/>
                <w:tab w:val="left" w:pos="273"/>
              </w:tabs>
              <w:spacing w:after="0" w:line="240" w:lineRule="auto"/>
              <w:contextualSpacing/>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 </w:t>
            </w:r>
            <w:r w:rsidR="00846F30" w:rsidRPr="00D30847">
              <w:rPr>
                <w:rFonts w:eastAsia="Times New Roman" w:cs="Calibri"/>
                <w:color w:val="202124"/>
                <w:sz w:val="20"/>
                <w:szCs w:val="20"/>
                <w:lang w:val="en-GB"/>
              </w:rPr>
              <w:t xml:space="preserve">A training plan for MPs in the Committee on Financing and Budget and other MPs who participate in the committees and employees of the RNM Assembly Service to facilitate the understanding of audit reports and preparation for discussion on audit reports; </w:t>
            </w:r>
          </w:p>
          <w:p w14:paraId="1BC47274" w14:textId="5E31CAC8" w:rsidR="008669D8" w:rsidRPr="00D30847" w:rsidRDefault="00322136" w:rsidP="00322136">
            <w:pPr>
              <w:tabs>
                <w:tab w:val="left" w:pos="122"/>
                <w:tab w:val="left" w:pos="273"/>
              </w:tabs>
              <w:spacing w:after="0" w:line="240" w:lineRule="auto"/>
              <w:contextualSpacing/>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 </w:t>
            </w:r>
            <w:r w:rsidR="00846F30" w:rsidRPr="00D30847">
              <w:rPr>
                <w:rFonts w:eastAsia="Times New Roman" w:cs="Calibri"/>
                <w:color w:val="202124"/>
                <w:sz w:val="20"/>
                <w:szCs w:val="20"/>
                <w:lang w:val="en-GB"/>
              </w:rPr>
              <w:t xml:space="preserve">Conducting trainings in accordance with the Training Plan for MPs and employees of the RNM Assembly Service in order to understand the audit reports and to prepare for the debate on the audit reports (through study visits, workshops, case studies, debate simulations); </w:t>
            </w:r>
          </w:p>
          <w:p w14:paraId="7C82F54C" w14:textId="431C31E9" w:rsidR="007733B2" w:rsidRPr="00D30847" w:rsidRDefault="00322136" w:rsidP="00322136">
            <w:pPr>
              <w:tabs>
                <w:tab w:val="left" w:pos="122"/>
                <w:tab w:val="left" w:pos="273"/>
              </w:tabs>
              <w:spacing w:after="0" w:line="240" w:lineRule="auto"/>
              <w:contextualSpacing/>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 </w:t>
            </w:r>
            <w:r w:rsidR="00846F30" w:rsidRPr="00D30847">
              <w:rPr>
                <w:rFonts w:eastAsia="Times New Roman" w:cs="Calibri"/>
                <w:color w:val="202124"/>
                <w:sz w:val="20"/>
                <w:szCs w:val="20"/>
                <w:lang w:val="en-GB"/>
              </w:rPr>
              <w:t>Activities to strengthen cooperation with the Committee on Financing and Budget, the Parliamentary Institute and the Parliamentary Budget Office of the Assembly of the RNM.</w:t>
            </w:r>
          </w:p>
        </w:tc>
      </w:tr>
      <w:tr w:rsidR="007733B2" w:rsidRPr="00D30847" w14:paraId="2D00EB4E" w14:textId="77777777" w:rsidTr="003A2F75">
        <w:tc>
          <w:tcPr>
            <w:tcW w:w="2518" w:type="dxa"/>
            <w:tcBorders>
              <w:top w:val="single" w:sz="4" w:space="0" w:color="FFFFFF"/>
              <w:bottom w:val="single" w:sz="4" w:space="0" w:color="FFFFFF"/>
            </w:tcBorders>
            <w:shd w:val="clear" w:color="auto" w:fill="002060"/>
          </w:tcPr>
          <w:p w14:paraId="4D6A9CF3" w14:textId="49B331C9" w:rsidR="007733B2" w:rsidRPr="00D30847" w:rsidRDefault="00C34014" w:rsidP="00E84CD0">
            <w:pPr>
              <w:spacing w:line="240" w:lineRule="auto"/>
              <w:jc w:val="both"/>
              <w:rPr>
                <w:rFonts w:cs="Calibri"/>
                <w:b/>
                <w:color w:val="FFFFFF"/>
                <w:sz w:val="20"/>
                <w:szCs w:val="20"/>
                <w:lang w:val="en-GB"/>
              </w:rPr>
            </w:pPr>
            <w:r w:rsidRPr="00D30847">
              <w:rPr>
                <w:rFonts w:cs="Calibri"/>
                <w:b/>
                <w:color w:val="FFFFFF"/>
                <w:sz w:val="20"/>
                <w:szCs w:val="20"/>
                <w:lang w:val="en-GB"/>
              </w:rPr>
              <w:t>Costs implications</w:t>
            </w:r>
            <w:r w:rsidR="007733B2" w:rsidRPr="00D30847">
              <w:rPr>
                <w:rFonts w:cs="Calibri"/>
                <w:b/>
                <w:color w:val="FFFFFF"/>
                <w:sz w:val="20"/>
                <w:szCs w:val="20"/>
                <w:lang w:val="en-GB"/>
              </w:rPr>
              <w:t>:</w:t>
            </w:r>
          </w:p>
        </w:tc>
        <w:tc>
          <w:tcPr>
            <w:tcW w:w="6246" w:type="dxa"/>
            <w:tcBorders>
              <w:top w:val="single" w:sz="4" w:space="0" w:color="FFFFFF"/>
              <w:bottom w:val="single" w:sz="4" w:space="0" w:color="FFFFFF"/>
            </w:tcBorders>
            <w:shd w:val="clear" w:color="auto" w:fill="D9E2F3"/>
          </w:tcPr>
          <w:p w14:paraId="0E13E9E7" w14:textId="237C4CBD" w:rsidR="007733B2" w:rsidRPr="00D30847" w:rsidRDefault="00322136" w:rsidP="00322136">
            <w:pPr>
              <w:tabs>
                <w:tab w:val="left" w:pos="122"/>
              </w:tabs>
              <w:spacing w:after="0" w:line="240" w:lineRule="auto"/>
              <w:contextualSpacing/>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 </w:t>
            </w:r>
            <w:r w:rsidR="007733B2" w:rsidRPr="00D30847">
              <w:rPr>
                <w:rFonts w:eastAsia="Times New Roman" w:cs="Calibri"/>
                <w:color w:val="202124"/>
                <w:sz w:val="20"/>
                <w:szCs w:val="20"/>
                <w:lang w:val="en-GB"/>
              </w:rPr>
              <w:t>EUR 2</w:t>
            </w:r>
            <w:r w:rsidR="00846F30" w:rsidRPr="00D30847">
              <w:rPr>
                <w:rFonts w:eastAsia="Times New Roman" w:cs="Calibri"/>
                <w:color w:val="202124"/>
                <w:sz w:val="20"/>
                <w:szCs w:val="20"/>
                <w:lang w:val="en-GB"/>
              </w:rPr>
              <w:t>71</w:t>
            </w:r>
            <w:r w:rsidR="007733B2" w:rsidRPr="00D30847">
              <w:rPr>
                <w:rFonts w:eastAsia="Times New Roman" w:cs="Calibri"/>
                <w:color w:val="202124"/>
                <w:sz w:val="20"/>
                <w:szCs w:val="20"/>
                <w:lang w:val="en-GB"/>
              </w:rPr>
              <w:t>,000</w:t>
            </w:r>
          </w:p>
        </w:tc>
      </w:tr>
      <w:tr w:rsidR="007733B2" w:rsidRPr="00D30847" w14:paraId="60D19590" w14:textId="77777777" w:rsidTr="003A2F75">
        <w:tc>
          <w:tcPr>
            <w:tcW w:w="2518" w:type="dxa"/>
            <w:tcBorders>
              <w:top w:val="single" w:sz="4" w:space="0" w:color="FFFFFF"/>
              <w:bottom w:val="single" w:sz="4" w:space="0" w:color="FFFFFF"/>
            </w:tcBorders>
            <w:shd w:val="clear" w:color="auto" w:fill="002060"/>
          </w:tcPr>
          <w:p w14:paraId="174FE582" w14:textId="0005E617" w:rsidR="007733B2" w:rsidRPr="00D30847" w:rsidRDefault="00C34014" w:rsidP="00E84CD0">
            <w:pPr>
              <w:spacing w:line="240" w:lineRule="auto"/>
              <w:jc w:val="both"/>
              <w:rPr>
                <w:rFonts w:cs="Calibri"/>
                <w:b/>
                <w:color w:val="FFFFFF"/>
                <w:sz w:val="20"/>
                <w:szCs w:val="20"/>
                <w:lang w:val="en-GB"/>
              </w:rPr>
            </w:pPr>
            <w:r w:rsidRPr="00D30847">
              <w:rPr>
                <w:rFonts w:cs="Calibri"/>
                <w:b/>
                <w:color w:val="FFFFFF"/>
                <w:sz w:val="20"/>
                <w:szCs w:val="20"/>
                <w:lang w:val="en-GB"/>
              </w:rPr>
              <w:t>Responsible entity</w:t>
            </w:r>
            <w:r w:rsidR="007733B2" w:rsidRPr="00D30847">
              <w:rPr>
                <w:rFonts w:cs="Calibri"/>
                <w:b/>
                <w:color w:val="FFFFFF"/>
                <w:sz w:val="20"/>
                <w:szCs w:val="20"/>
                <w:lang w:val="en-GB"/>
              </w:rPr>
              <w:t xml:space="preserve">: </w:t>
            </w:r>
          </w:p>
        </w:tc>
        <w:tc>
          <w:tcPr>
            <w:tcW w:w="6246" w:type="dxa"/>
            <w:tcBorders>
              <w:top w:val="single" w:sz="4" w:space="0" w:color="FFFFFF"/>
              <w:bottom w:val="single" w:sz="4" w:space="0" w:color="FFFFFF"/>
            </w:tcBorders>
            <w:shd w:val="clear" w:color="auto" w:fill="D9E2F3"/>
          </w:tcPr>
          <w:p w14:paraId="6F245B5B" w14:textId="1E5806B6" w:rsidR="007733B2" w:rsidRPr="00D30847" w:rsidRDefault="00322136" w:rsidP="00322136">
            <w:pPr>
              <w:tabs>
                <w:tab w:val="left" w:pos="122"/>
              </w:tabs>
              <w:spacing w:after="0" w:line="240" w:lineRule="auto"/>
              <w:contextualSpacing/>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 </w:t>
            </w:r>
            <w:r w:rsidR="005E6C71" w:rsidRPr="00D30847">
              <w:rPr>
                <w:rFonts w:eastAsia="Times New Roman" w:cs="Calibri"/>
                <w:color w:val="202124"/>
                <w:sz w:val="20"/>
                <w:szCs w:val="20"/>
                <w:lang w:val="en-GB"/>
              </w:rPr>
              <w:t>The State Audit Office in cooperation with the RNM Assembly</w:t>
            </w:r>
          </w:p>
        </w:tc>
      </w:tr>
      <w:tr w:rsidR="007733B2" w:rsidRPr="00D30847" w14:paraId="147F148F" w14:textId="77777777" w:rsidTr="003A2F75">
        <w:tc>
          <w:tcPr>
            <w:tcW w:w="2518" w:type="dxa"/>
            <w:tcBorders>
              <w:top w:val="single" w:sz="4" w:space="0" w:color="FFFFFF"/>
              <w:bottom w:val="single" w:sz="4" w:space="0" w:color="FFFFFF"/>
            </w:tcBorders>
            <w:shd w:val="clear" w:color="auto" w:fill="002060"/>
          </w:tcPr>
          <w:p w14:paraId="6363978B" w14:textId="77777777" w:rsidR="007733B2" w:rsidRPr="00D30847" w:rsidRDefault="007733B2" w:rsidP="00E84CD0">
            <w:pPr>
              <w:spacing w:line="240" w:lineRule="auto"/>
              <w:jc w:val="both"/>
              <w:rPr>
                <w:rFonts w:cs="Calibri"/>
                <w:b/>
                <w:color w:val="FFFFFF"/>
                <w:sz w:val="20"/>
                <w:szCs w:val="20"/>
                <w:lang w:val="en-GB"/>
              </w:rPr>
            </w:pPr>
            <w:r w:rsidRPr="00D30847">
              <w:rPr>
                <w:rFonts w:cs="Calibri"/>
                <w:b/>
                <w:color w:val="FFFFFF"/>
                <w:sz w:val="20"/>
                <w:szCs w:val="20"/>
                <w:lang w:val="en-GB"/>
              </w:rPr>
              <w:t>Risk:</w:t>
            </w:r>
          </w:p>
        </w:tc>
        <w:tc>
          <w:tcPr>
            <w:tcW w:w="6246" w:type="dxa"/>
            <w:tcBorders>
              <w:top w:val="single" w:sz="4" w:space="0" w:color="FFFFFF"/>
              <w:bottom w:val="single" w:sz="4" w:space="0" w:color="FFFFFF"/>
            </w:tcBorders>
            <w:shd w:val="clear" w:color="auto" w:fill="D9E2F3"/>
          </w:tcPr>
          <w:p w14:paraId="2F971140" w14:textId="78BCF42F" w:rsidR="00846F30" w:rsidRPr="00D30847" w:rsidRDefault="00322136" w:rsidP="00322136">
            <w:pPr>
              <w:tabs>
                <w:tab w:val="left" w:pos="122"/>
              </w:tabs>
              <w:spacing w:after="0" w:line="240" w:lineRule="auto"/>
              <w:contextualSpacing/>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 </w:t>
            </w:r>
            <w:r w:rsidR="00846F30" w:rsidRPr="00D30847">
              <w:rPr>
                <w:rFonts w:eastAsia="Times New Roman" w:cs="Calibri"/>
                <w:color w:val="202124"/>
                <w:sz w:val="20"/>
                <w:szCs w:val="20"/>
                <w:lang w:val="en-GB"/>
              </w:rPr>
              <w:t>Insufficient interest in conducting trainings;</w:t>
            </w:r>
          </w:p>
          <w:p w14:paraId="4C2DCF86" w14:textId="52EEDC7E" w:rsidR="007733B2" w:rsidRPr="00D30847" w:rsidRDefault="00322136" w:rsidP="00322136">
            <w:pPr>
              <w:tabs>
                <w:tab w:val="left" w:pos="122"/>
              </w:tabs>
              <w:spacing w:after="0" w:line="240" w:lineRule="auto"/>
              <w:contextualSpacing/>
              <w:jc w:val="both"/>
              <w:rPr>
                <w:rFonts w:eastAsia="Times New Roman" w:cs="Calibri"/>
                <w:color w:val="202124"/>
                <w:sz w:val="20"/>
                <w:szCs w:val="20"/>
                <w:lang w:val="en-GB"/>
              </w:rPr>
            </w:pPr>
            <w:r w:rsidRPr="00D30847">
              <w:rPr>
                <w:rFonts w:eastAsia="Times New Roman" w:cs="Calibri"/>
                <w:color w:val="202124"/>
                <w:sz w:val="20"/>
                <w:szCs w:val="20"/>
                <w:lang w:val="en-GB"/>
              </w:rPr>
              <w:t xml:space="preserve">- </w:t>
            </w:r>
            <w:r w:rsidR="00846F30" w:rsidRPr="00D30847">
              <w:rPr>
                <w:rFonts w:eastAsia="Times New Roman" w:cs="Calibri"/>
                <w:color w:val="202124"/>
                <w:sz w:val="20"/>
                <w:szCs w:val="20"/>
                <w:lang w:val="en-GB"/>
              </w:rPr>
              <w:t>Lack of funds for conducting trainings.</w:t>
            </w:r>
          </w:p>
        </w:tc>
      </w:tr>
    </w:tbl>
    <w:p w14:paraId="6A44735C" w14:textId="77777777" w:rsidR="007733B2" w:rsidRPr="00D30847" w:rsidRDefault="007733B2" w:rsidP="00E84CD0">
      <w:pPr>
        <w:spacing w:line="240" w:lineRule="auto"/>
        <w:jc w:val="both"/>
        <w:rPr>
          <w:rFonts w:cs="Calibri"/>
          <w:b/>
          <w:color w:val="C00000"/>
          <w:lang w:val="en-GB"/>
        </w:rPr>
      </w:pPr>
    </w:p>
    <w:p w14:paraId="6E57FA26" w14:textId="1786BF0C" w:rsidR="005C4562" w:rsidRPr="00D30847" w:rsidRDefault="007733B2" w:rsidP="00E32BC1">
      <w:pPr>
        <w:pStyle w:val="Heading1"/>
        <w:spacing w:line="240" w:lineRule="auto"/>
        <w:jc w:val="both"/>
        <w:rPr>
          <w:rFonts w:cs="Calibri"/>
          <w:lang w:val="en-GB"/>
        </w:rPr>
      </w:pPr>
      <w:r w:rsidRPr="00D30847">
        <w:rPr>
          <w:rFonts w:ascii="Calibri" w:eastAsia="Calibri" w:hAnsi="Calibri" w:cs="Calibri"/>
          <w:b w:val="0"/>
          <w:bCs w:val="0"/>
          <w:color w:val="2F5496"/>
          <w:kern w:val="0"/>
          <w:sz w:val="28"/>
          <w:szCs w:val="28"/>
          <w:lang w:val="en-GB"/>
        </w:rPr>
        <w:br w:type="page"/>
      </w:r>
    </w:p>
    <w:p w14:paraId="55D1D12F" w14:textId="77777777" w:rsidR="00A42B0B" w:rsidRPr="00D30847" w:rsidRDefault="005B28E4" w:rsidP="00E84CD0">
      <w:pPr>
        <w:pStyle w:val="Heading1"/>
        <w:spacing w:line="240" w:lineRule="auto"/>
        <w:jc w:val="both"/>
        <w:rPr>
          <w:rFonts w:ascii="Calibri" w:eastAsia="MS PGothic" w:hAnsi="Calibri" w:cs="Calibri"/>
          <w:color w:val="2E74B5"/>
          <w:lang w:val="en-GB" w:eastAsia="zh-CN"/>
        </w:rPr>
      </w:pPr>
      <w:bookmarkStart w:id="68" w:name="_Toc187841824"/>
      <w:r w:rsidRPr="00D30847">
        <w:rPr>
          <w:rFonts w:ascii="Calibri" w:eastAsia="MS PGothic" w:hAnsi="Calibri" w:cs="Calibri"/>
          <w:color w:val="2F5496"/>
          <w:lang w:val="en-GB" w:eastAsia="zh-CN"/>
        </w:rPr>
        <w:lastRenderedPageBreak/>
        <w:t xml:space="preserve">Chapter III: </w:t>
      </w:r>
      <w:r w:rsidR="00A42B0B" w:rsidRPr="00D30847">
        <w:rPr>
          <w:rFonts w:ascii="Calibri" w:eastAsia="MS PGothic" w:hAnsi="Calibri" w:cs="Calibri"/>
          <w:color w:val="2F5496"/>
          <w:lang w:val="en-GB" w:eastAsia="zh-CN"/>
        </w:rPr>
        <w:t xml:space="preserve">Roles and Responsibilities for Implementing, Monitoring and </w:t>
      </w:r>
      <w:r w:rsidR="00FF079C" w:rsidRPr="00D30847">
        <w:rPr>
          <w:rFonts w:ascii="Calibri" w:eastAsia="MS PGothic" w:hAnsi="Calibri" w:cs="Calibri"/>
          <w:color w:val="2F5496"/>
          <w:lang w:val="en-GB" w:eastAsia="zh-CN"/>
        </w:rPr>
        <w:t>Reporting</w:t>
      </w:r>
      <w:bookmarkEnd w:id="68"/>
    </w:p>
    <w:p w14:paraId="6D52D62F" w14:textId="77777777" w:rsidR="00C60174" w:rsidRPr="00D30847" w:rsidRDefault="00C60174" w:rsidP="00C60174">
      <w:pPr>
        <w:spacing w:line="240" w:lineRule="auto"/>
        <w:jc w:val="both"/>
        <w:rPr>
          <w:rFonts w:cs="Calibri"/>
          <w:lang w:val="en-GB"/>
        </w:rPr>
      </w:pPr>
      <w:r w:rsidRPr="00D30847">
        <w:rPr>
          <w:rFonts w:cs="Calibri"/>
          <w:lang w:val="en-GB"/>
        </w:rPr>
        <w:t xml:space="preserve">The PFM Reform Programme will be implemented through annual action plans adopted by the Government. </w:t>
      </w:r>
    </w:p>
    <w:p w14:paraId="1DEFB3C6" w14:textId="77777777" w:rsidR="00C60174" w:rsidRPr="00D30847" w:rsidRDefault="00C60174" w:rsidP="00C60174">
      <w:pPr>
        <w:spacing w:line="240" w:lineRule="auto"/>
        <w:jc w:val="both"/>
        <w:rPr>
          <w:rFonts w:cs="Calibri"/>
          <w:lang w:val="en-GB"/>
        </w:rPr>
      </w:pPr>
      <w:r w:rsidRPr="00D30847">
        <w:rPr>
          <w:rFonts w:cs="Calibri"/>
          <w:lang w:val="en-GB"/>
        </w:rPr>
        <w:t>The responsibility for coordinating the implementation of and reporting about the reform lies with the Ministry of Finance through the PFM Sector Working Group, while the Programme oversight is performed by the PFM Council.</w:t>
      </w:r>
    </w:p>
    <w:p w14:paraId="0FD07F96" w14:textId="77777777" w:rsidR="00C60174" w:rsidRPr="00D30847" w:rsidRDefault="00C60174" w:rsidP="00C60174">
      <w:pPr>
        <w:spacing w:line="240" w:lineRule="auto"/>
        <w:jc w:val="both"/>
        <w:rPr>
          <w:rFonts w:cs="Calibri"/>
          <w:lang w:val="en-GB"/>
        </w:rPr>
      </w:pPr>
      <w:r w:rsidRPr="00D30847">
        <w:rPr>
          <w:rFonts w:cs="Calibri"/>
          <w:lang w:val="en-GB"/>
        </w:rPr>
        <w:t>PFM Reform Programme and PFM strategies involve the entire government sector, including line ministries, public enterprises and local governments.</w:t>
      </w:r>
    </w:p>
    <w:p w14:paraId="4CBB4A00" w14:textId="5702586B" w:rsidR="00C60174" w:rsidRPr="00D30847" w:rsidRDefault="00074B7F" w:rsidP="00C60174">
      <w:pPr>
        <w:spacing w:line="240" w:lineRule="auto"/>
        <w:jc w:val="both"/>
        <w:rPr>
          <w:rFonts w:cs="Calibri"/>
          <w:lang w:val="en-GB"/>
        </w:rPr>
      </w:pPr>
      <w:r w:rsidRPr="00D30847">
        <w:rPr>
          <w:rFonts w:cs="Calibri"/>
          <w:lang w:val="en-GB"/>
        </w:rPr>
        <w:t xml:space="preserve">The PFM Management and Coordination Framework was established in December 2017 with the adoption of the first PFM Program for the period 2018-2021 by the Government and is composed of the following </w:t>
      </w:r>
      <w:r w:rsidR="002F500A" w:rsidRPr="00D30847">
        <w:rPr>
          <w:rFonts w:cs="Calibri"/>
          <w:lang w:val="en-GB"/>
        </w:rPr>
        <w:t>bodies:</w:t>
      </w:r>
      <w:r w:rsidR="00C60174" w:rsidRPr="00D30847">
        <w:rPr>
          <w:rFonts w:cs="Calibri"/>
          <w:lang w:val="en-GB"/>
        </w:rPr>
        <w:t xml:space="preserve"> </w:t>
      </w:r>
    </w:p>
    <w:p w14:paraId="4812B7CB" w14:textId="78B48DFA" w:rsidR="00C60174" w:rsidRPr="00D30847" w:rsidRDefault="00342FE4" w:rsidP="00342FE4">
      <w:pPr>
        <w:spacing w:line="240" w:lineRule="auto"/>
        <w:jc w:val="both"/>
        <w:rPr>
          <w:rFonts w:cs="Calibri"/>
          <w:lang w:val="en-GB"/>
        </w:rPr>
      </w:pPr>
      <w:r w:rsidRPr="00D30847">
        <w:rPr>
          <w:rFonts w:cs="Calibri"/>
          <w:lang w:val="en-GB"/>
        </w:rPr>
        <w:t xml:space="preserve">- </w:t>
      </w:r>
      <w:r w:rsidR="00C60174" w:rsidRPr="00D30847">
        <w:rPr>
          <w:rFonts w:cs="Calibri"/>
          <w:lang w:val="en-GB"/>
        </w:rPr>
        <w:t>PFM Council;</w:t>
      </w:r>
    </w:p>
    <w:p w14:paraId="1121BFC4" w14:textId="4998B110" w:rsidR="00C60174" w:rsidRPr="00D30847" w:rsidRDefault="00342FE4" w:rsidP="00342FE4">
      <w:pPr>
        <w:spacing w:line="240" w:lineRule="auto"/>
        <w:jc w:val="both"/>
        <w:rPr>
          <w:rFonts w:cs="Calibri"/>
          <w:lang w:val="en-GB"/>
        </w:rPr>
      </w:pPr>
      <w:r w:rsidRPr="00D30847">
        <w:rPr>
          <w:rFonts w:cs="Calibri"/>
          <w:lang w:val="en-GB"/>
        </w:rPr>
        <w:t xml:space="preserve">- </w:t>
      </w:r>
      <w:r w:rsidR="00C60174" w:rsidRPr="00D30847">
        <w:rPr>
          <w:rFonts w:cs="Calibri"/>
          <w:lang w:val="en-GB"/>
        </w:rPr>
        <w:t>PFM Sector Working Group;</w:t>
      </w:r>
    </w:p>
    <w:p w14:paraId="56C66D96" w14:textId="488512B7" w:rsidR="00C60174" w:rsidRPr="00D30847" w:rsidRDefault="00342FE4" w:rsidP="00342FE4">
      <w:pPr>
        <w:spacing w:line="240" w:lineRule="auto"/>
        <w:jc w:val="both"/>
        <w:rPr>
          <w:rFonts w:cs="Calibri"/>
          <w:lang w:val="en-GB"/>
        </w:rPr>
      </w:pPr>
      <w:r w:rsidRPr="00D30847">
        <w:rPr>
          <w:rFonts w:cs="Calibri"/>
          <w:lang w:val="en-GB"/>
        </w:rPr>
        <w:t xml:space="preserve">- </w:t>
      </w:r>
      <w:r w:rsidR="00C60174" w:rsidRPr="00D30847">
        <w:rPr>
          <w:rFonts w:cs="Calibri"/>
          <w:lang w:val="en-GB"/>
        </w:rPr>
        <w:t>Priority Coordinators;</w:t>
      </w:r>
    </w:p>
    <w:p w14:paraId="1566F3DA" w14:textId="1039FE96" w:rsidR="00C60174" w:rsidRPr="00D30847" w:rsidRDefault="00342FE4" w:rsidP="00342FE4">
      <w:pPr>
        <w:spacing w:line="240" w:lineRule="auto"/>
        <w:jc w:val="both"/>
        <w:rPr>
          <w:rFonts w:cs="Calibri"/>
          <w:lang w:val="en-GB"/>
        </w:rPr>
      </w:pPr>
      <w:r w:rsidRPr="00D30847">
        <w:rPr>
          <w:rFonts w:cs="Calibri"/>
          <w:lang w:val="en-GB"/>
        </w:rPr>
        <w:t xml:space="preserve">- </w:t>
      </w:r>
      <w:r w:rsidR="00C60174" w:rsidRPr="00D30847">
        <w:rPr>
          <w:rFonts w:cs="Calibri"/>
          <w:lang w:val="en-GB"/>
        </w:rPr>
        <w:t>Coordination Unit within the Ministry of Finance;</w:t>
      </w:r>
    </w:p>
    <w:p w14:paraId="29A5BC4D" w14:textId="77777777" w:rsidR="00C60174" w:rsidRPr="00D30847" w:rsidRDefault="00C60174" w:rsidP="00C60174">
      <w:pPr>
        <w:pStyle w:val="NormalPFM1"/>
        <w:spacing w:before="0" w:after="120" w:line="240" w:lineRule="auto"/>
        <w:rPr>
          <w:rFonts w:eastAsia="Calibri" w:cs="Calibri"/>
          <w:b/>
          <w:color w:val="0070C0"/>
          <w:sz w:val="24"/>
          <w:szCs w:val="24"/>
          <w:lang w:eastAsia="en-US"/>
        </w:rPr>
      </w:pPr>
      <w:r w:rsidRPr="00D30847">
        <w:rPr>
          <w:rFonts w:eastAsia="Calibri" w:cs="Calibri"/>
          <w:b/>
          <w:color w:val="0070C0"/>
          <w:sz w:val="24"/>
          <w:szCs w:val="24"/>
          <w:lang w:eastAsia="en-US"/>
        </w:rPr>
        <w:t>PFM Council</w:t>
      </w:r>
    </w:p>
    <w:p w14:paraId="2C3B18A2" w14:textId="58B23A70" w:rsidR="0079422A" w:rsidRPr="00D30847" w:rsidRDefault="0079422A" w:rsidP="0079422A">
      <w:pPr>
        <w:spacing w:line="240" w:lineRule="auto"/>
        <w:jc w:val="both"/>
        <w:rPr>
          <w:rFonts w:cs="Calibri"/>
          <w:lang w:val="en-GB"/>
        </w:rPr>
      </w:pPr>
      <w:r w:rsidRPr="00D30847">
        <w:rPr>
          <w:rFonts w:cs="Calibri"/>
          <w:lang w:val="en-GB"/>
        </w:rPr>
        <w:t>Before the adoption of each new Public Finance Management Reform Program by the Government, a new Public Finance Management Council is previously established with legitimacy for the duration of the Program. It was initially planned to adopt a Public Finance Management Program for the period 2024-2027, for which the Public Finance Management Council was established by the Government on September 20, 2024 (Official Gazette of the Republic of Macedonia No. 195/2024), as the highest coordinating body, with the primary aim of providing full political support in achieving the reform goals of the Public Financ</w:t>
      </w:r>
      <w:r w:rsidR="004062ED" w:rsidRPr="00D30847">
        <w:rPr>
          <w:rFonts w:cs="Calibri"/>
          <w:lang w:val="en-GB"/>
        </w:rPr>
        <w:t>e Management Reform Program 2024 - 2027</w:t>
      </w:r>
      <w:r w:rsidRPr="00D30847">
        <w:rPr>
          <w:rFonts w:cs="Calibri"/>
          <w:lang w:val="en-GB"/>
        </w:rPr>
        <w:t>.</w:t>
      </w:r>
    </w:p>
    <w:p w14:paraId="722CBB8A" w14:textId="77777777" w:rsidR="0079422A" w:rsidRPr="00D30847" w:rsidRDefault="0079422A" w:rsidP="0079422A">
      <w:pPr>
        <w:spacing w:line="240" w:lineRule="auto"/>
        <w:jc w:val="both"/>
        <w:rPr>
          <w:rFonts w:cs="Calibri"/>
          <w:lang w:val="en-GB"/>
        </w:rPr>
      </w:pPr>
      <w:r w:rsidRPr="00D30847">
        <w:rPr>
          <w:rFonts w:cs="Calibri"/>
          <w:lang w:val="en-GB"/>
        </w:rPr>
        <w:t>The Public Finance Management Program for the period 2024-2027 was not adopted by the Government, as initially planned in April 2024. After the election process was completed, it was determined that it needed to be aligned with the Government Program for the period 2024-2028, for which the PFM Program covering the period 2025-2028 was revised.</w:t>
      </w:r>
    </w:p>
    <w:p w14:paraId="629887E6" w14:textId="401D63AC" w:rsidR="00C60174" w:rsidRPr="00D30847" w:rsidRDefault="0079422A" w:rsidP="00C60174">
      <w:pPr>
        <w:spacing w:line="240" w:lineRule="auto"/>
        <w:jc w:val="both"/>
        <w:rPr>
          <w:rFonts w:cs="Calibri"/>
          <w:lang w:val="en-GB"/>
        </w:rPr>
      </w:pPr>
      <w:r w:rsidRPr="00D30847">
        <w:rPr>
          <w:rFonts w:cs="Calibri"/>
          <w:lang w:val="en-GB"/>
        </w:rPr>
        <w:t>Therefore, the tasks and responsibilities, as well as the composition of the PFM Council, have been determined by a new decision on the establishment of the PFM Council, for the PFM Program for 2025-2028.</w:t>
      </w:r>
      <w:r w:rsidRPr="00D30847" w:rsidDel="0079422A">
        <w:rPr>
          <w:rFonts w:cs="Calibri"/>
          <w:lang w:val="en-GB"/>
        </w:rPr>
        <w:t xml:space="preserve"> </w:t>
      </w:r>
      <w:r w:rsidR="00C60174" w:rsidRPr="00D30847">
        <w:rPr>
          <w:rFonts w:cs="Calibri"/>
          <w:lang w:val="en-GB"/>
        </w:rPr>
        <w:t>PFM Council comprises the following members:</w:t>
      </w:r>
    </w:p>
    <w:p w14:paraId="10A27533" w14:textId="77777777" w:rsidR="00C60174" w:rsidRPr="00D30847" w:rsidRDefault="00C60174" w:rsidP="00342FE4">
      <w:pPr>
        <w:numPr>
          <w:ilvl w:val="0"/>
          <w:numId w:val="11"/>
        </w:numPr>
        <w:spacing w:after="0"/>
        <w:ind w:left="270" w:hanging="270"/>
        <w:jc w:val="both"/>
        <w:rPr>
          <w:rFonts w:cs="Calibri"/>
          <w:lang w:val="en-GB"/>
        </w:rPr>
      </w:pPr>
      <w:r w:rsidRPr="00D30847">
        <w:rPr>
          <w:rFonts w:cs="Calibri"/>
          <w:lang w:val="en-GB"/>
        </w:rPr>
        <w:t>Minister of Finance - Chairman</w:t>
      </w:r>
    </w:p>
    <w:p w14:paraId="7F7349C2" w14:textId="77777777" w:rsidR="00C75160" w:rsidRPr="00D30847" w:rsidRDefault="00C75160" w:rsidP="00342FE4">
      <w:pPr>
        <w:numPr>
          <w:ilvl w:val="0"/>
          <w:numId w:val="11"/>
        </w:numPr>
        <w:spacing w:after="0"/>
        <w:ind w:left="270" w:hanging="270"/>
        <w:jc w:val="both"/>
        <w:rPr>
          <w:rFonts w:cs="Calibri"/>
          <w:lang w:val="en-GB"/>
        </w:rPr>
      </w:pPr>
      <w:r w:rsidRPr="00D30847">
        <w:rPr>
          <w:rFonts w:cs="Calibri"/>
          <w:lang w:val="en-GB"/>
        </w:rPr>
        <w:t xml:space="preserve">Deputy Prime Minister for European Affairs </w:t>
      </w:r>
    </w:p>
    <w:p w14:paraId="5AFB1D2F" w14:textId="535757F8" w:rsidR="00C75160" w:rsidRPr="00D30847" w:rsidRDefault="00C75160" w:rsidP="00342FE4">
      <w:pPr>
        <w:numPr>
          <w:ilvl w:val="0"/>
          <w:numId w:val="11"/>
        </w:numPr>
        <w:spacing w:after="0"/>
        <w:ind w:left="270" w:hanging="270"/>
        <w:jc w:val="both"/>
        <w:rPr>
          <w:rFonts w:cs="Calibri"/>
          <w:lang w:val="en-GB"/>
        </w:rPr>
      </w:pPr>
      <w:r w:rsidRPr="00D30847">
        <w:rPr>
          <w:rFonts w:cs="Calibri"/>
          <w:lang w:val="en-GB"/>
        </w:rPr>
        <w:t xml:space="preserve">Minister </w:t>
      </w:r>
      <w:r w:rsidR="002F500A" w:rsidRPr="00D30847">
        <w:rPr>
          <w:rFonts w:cs="Calibri"/>
          <w:lang w:val="en-GB"/>
        </w:rPr>
        <w:t>of energy</w:t>
      </w:r>
      <w:r w:rsidR="0079422A" w:rsidRPr="00D30847">
        <w:rPr>
          <w:rFonts w:cs="Calibri"/>
          <w:lang w:val="en-GB"/>
        </w:rPr>
        <w:t xml:space="preserve"> mining and mineral resources</w:t>
      </w:r>
      <w:r w:rsidRPr="00D30847">
        <w:rPr>
          <w:rFonts w:cs="Calibri"/>
          <w:lang w:val="en-GB"/>
        </w:rPr>
        <w:t xml:space="preserve"> </w:t>
      </w:r>
    </w:p>
    <w:p w14:paraId="6E9B7F12" w14:textId="05DF8CBD" w:rsidR="00C75160" w:rsidRPr="00D30847" w:rsidRDefault="00C75160" w:rsidP="00342FE4">
      <w:pPr>
        <w:numPr>
          <w:ilvl w:val="0"/>
          <w:numId w:val="11"/>
        </w:numPr>
        <w:spacing w:after="0"/>
        <w:ind w:left="270" w:hanging="270"/>
        <w:jc w:val="both"/>
        <w:rPr>
          <w:rFonts w:cs="Calibri"/>
          <w:lang w:val="en-GB"/>
        </w:rPr>
      </w:pPr>
      <w:r w:rsidRPr="00D30847">
        <w:rPr>
          <w:rFonts w:cs="Calibri"/>
          <w:lang w:val="en-GB"/>
        </w:rPr>
        <w:t xml:space="preserve">Minister of </w:t>
      </w:r>
      <w:r w:rsidR="0079422A" w:rsidRPr="00D30847">
        <w:rPr>
          <w:rFonts w:cs="Calibri"/>
          <w:lang w:val="en-GB"/>
        </w:rPr>
        <w:t>Public</w:t>
      </w:r>
      <w:r w:rsidRPr="00D30847">
        <w:rPr>
          <w:rFonts w:cs="Calibri"/>
          <w:lang w:val="en-GB"/>
        </w:rPr>
        <w:t xml:space="preserve"> Administration </w:t>
      </w:r>
    </w:p>
    <w:p w14:paraId="37E6421E" w14:textId="5582BE1E" w:rsidR="003D78C2" w:rsidRPr="00D30847" w:rsidRDefault="003D78C2" w:rsidP="00342FE4">
      <w:pPr>
        <w:numPr>
          <w:ilvl w:val="0"/>
          <w:numId w:val="11"/>
        </w:numPr>
        <w:spacing w:after="0"/>
        <w:ind w:left="270" w:hanging="270"/>
        <w:jc w:val="both"/>
        <w:rPr>
          <w:rFonts w:cs="Calibri"/>
          <w:lang w:val="en-GB"/>
        </w:rPr>
      </w:pPr>
      <w:r w:rsidRPr="00D30847">
        <w:rPr>
          <w:rFonts w:cs="Calibri"/>
          <w:lang w:val="en-GB"/>
        </w:rPr>
        <w:t>Minister of Digital Transformation</w:t>
      </w:r>
    </w:p>
    <w:p w14:paraId="5E66BE10" w14:textId="77777777" w:rsidR="00C75160" w:rsidRPr="00D30847" w:rsidRDefault="00C75160" w:rsidP="00342FE4">
      <w:pPr>
        <w:numPr>
          <w:ilvl w:val="0"/>
          <w:numId w:val="11"/>
        </w:numPr>
        <w:spacing w:after="0"/>
        <w:ind w:left="270" w:hanging="270"/>
        <w:jc w:val="both"/>
        <w:rPr>
          <w:rFonts w:cs="Calibri"/>
          <w:lang w:val="en-GB"/>
        </w:rPr>
      </w:pPr>
      <w:r w:rsidRPr="00D30847">
        <w:rPr>
          <w:rFonts w:cs="Calibri"/>
          <w:lang w:val="en-GB"/>
        </w:rPr>
        <w:t xml:space="preserve">Customs Administration Director </w:t>
      </w:r>
    </w:p>
    <w:p w14:paraId="269654A4" w14:textId="77777777" w:rsidR="00C75160" w:rsidRPr="00D30847" w:rsidRDefault="00C75160" w:rsidP="00342FE4">
      <w:pPr>
        <w:numPr>
          <w:ilvl w:val="0"/>
          <w:numId w:val="11"/>
        </w:numPr>
        <w:spacing w:after="0"/>
        <w:ind w:left="270" w:hanging="270"/>
        <w:jc w:val="both"/>
        <w:rPr>
          <w:rFonts w:cs="Calibri"/>
          <w:lang w:val="en-GB"/>
        </w:rPr>
      </w:pPr>
      <w:r w:rsidRPr="00D30847">
        <w:rPr>
          <w:rFonts w:cs="Calibri"/>
          <w:lang w:val="en-GB"/>
        </w:rPr>
        <w:t xml:space="preserve">Public Revenue Office Director </w:t>
      </w:r>
    </w:p>
    <w:p w14:paraId="7039CF79" w14:textId="77777777" w:rsidR="00C75160" w:rsidRPr="00D30847" w:rsidRDefault="00C75160" w:rsidP="00342FE4">
      <w:pPr>
        <w:numPr>
          <w:ilvl w:val="0"/>
          <w:numId w:val="11"/>
        </w:numPr>
        <w:spacing w:after="0"/>
        <w:ind w:left="270" w:hanging="270"/>
        <w:jc w:val="both"/>
        <w:rPr>
          <w:rFonts w:cs="Calibri"/>
          <w:lang w:val="en-GB"/>
        </w:rPr>
      </w:pPr>
      <w:r w:rsidRPr="00D30847">
        <w:rPr>
          <w:rFonts w:cs="Calibri"/>
          <w:lang w:val="en-GB"/>
        </w:rPr>
        <w:t xml:space="preserve">Public Procurement Bureau Director </w:t>
      </w:r>
    </w:p>
    <w:p w14:paraId="74D94220" w14:textId="77777777" w:rsidR="00C75160" w:rsidRPr="00D30847" w:rsidRDefault="00C75160" w:rsidP="00342FE4">
      <w:pPr>
        <w:numPr>
          <w:ilvl w:val="0"/>
          <w:numId w:val="11"/>
        </w:numPr>
        <w:spacing w:after="0"/>
        <w:ind w:left="270" w:hanging="270"/>
        <w:jc w:val="both"/>
        <w:rPr>
          <w:rFonts w:cs="Calibri"/>
          <w:lang w:val="en-GB"/>
        </w:rPr>
      </w:pPr>
      <w:r w:rsidRPr="00D30847">
        <w:rPr>
          <w:rFonts w:cs="Calibri"/>
          <w:lang w:val="en-GB"/>
        </w:rPr>
        <w:t>President of the State Appeals Commission</w:t>
      </w:r>
    </w:p>
    <w:p w14:paraId="4DCAB87D" w14:textId="77777777" w:rsidR="00C75160" w:rsidRPr="00D30847" w:rsidRDefault="00C75160" w:rsidP="00342FE4">
      <w:pPr>
        <w:numPr>
          <w:ilvl w:val="0"/>
          <w:numId w:val="11"/>
        </w:numPr>
        <w:spacing w:after="0"/>
        <w:ind w:left="270" w:hanging="270"/>
        <w:jc w:val="both"/>
        <w:rPr>
          <w:rFonts w:cs="Calibri"/>
          <w:lang w:val="en-GB"/>
        </w:rPr>
      </w:pPr>
      <w:r w:rsidRPr="00D30847">
        <w:rPr>
          <w:rFonts w:cs="Calibri"/>
          <w:lang w:val="en-GB"/>
        </w:rPr>
        <w:t>Auditor General</w:t>
      </w:r>
    </w:p>
    <w:p w14:paraId="0B4B244C" w14:textId="1C49BD51" w:rsidR="00C60174" w:rsidRPr="00D30847" w:rsidRDefault="00C60174" w:rsidP="00C60174">
      <w:pPr>
        <w:spacing w:line="240" w:lineRule="auto"/>
        <w:jc w:val="both"/>
        <w:rPr>
          <w:rFonts w:cs="Calibri"/>
          <w:lang w:val="en-GB"/>
        </w:rPr>
      </w:pPr>
      <w:r w:rsidRPr="00D30847">
        <w:rPr>
          <w:rFonts w:cs="Calibri"/>
          <w:lang w:val="en-GB"/>
        </w:rPr>
        <w:lastRenderedPageBreak/>
        <w:t xml:space="preserve">PFM Council oversees the Programme implementation, undertakes the necessary activities while fulfilling the reform goals under the Programme, jointly deliberates on the critical points or bottlenecks in further implementation of the Programme, proposes and undertakes corrective actions to resolve the identified problems, holds high-level policy dialogue with the donors and other stakeholders on the implementation, financing and scope of the PFM </w:t>
      </w:r>
      <w:r w:rsidR="00FD1416" w:rsidRPr="00D30847">
        <w:rPr>
          <w:rFonts w:cs="Calibri"/>
          <w:lang w:val="en-GB"/>
        </w:rPr>
        <w:t>reform.</w:t>
      </w:r>
      <w:r w:rsidR="00FD1416" w:rsidRPr="00D30847">
        <w:rPr>
          <w:rFonts w:cs="Calibri"/>
          <w:color w:val="000000"/>
          <w:lang w:val="en-GB"/>
        </w:rPr>
        <w:t xml:space="preserve"> It</w:t>
      </w:r>
      <w:r w:rsidRPr="00D30847">
        <w:rPr>
          <w:rFonts w:cs="Calibri"/>
          <w:color w:val="000000"/>
          <w:lang w:val="en-GB"/>
        </w:rPr>
        <w:t xml:space="preserve"> approves the annual action plans and reports on monitoring the Programme implementation, which are submitted for adoption to the Government of North Macedonia.</w:t>
      </w:r>
    </w:p>
    <w:p w14:paraId="3D1516E7" w14:textId="77777777" w:rsidR="00C60174" w:rsidRPr="00D30847" w:rsidRDefault="00C60174" w:rsidP="00C60174">
      <w:pPr>
        <w:spacing w:line="240" w:lineRule="auto"/>
        <w:jc w:val="both"/>
        <w:rPr>
          <w:rFonts w:cs="Calibri"/>
          <w:b/>
          <w:color w:val="0070C0"/>
          <w:sz w:val="24"/>
          <w:szCs w:val="24"/>
          <w:lang w:val="en-GB"/>
        </w:rPr>
      </w:pPr>
      <w:r w:rsidRPr="00D30847">
        <w:rPr>
          <w:rFonts w:cs="Calibri"/>
          <w:b/>
          <w:color w:val="0070C0"/>
          <w:sz w:val="24"/>
          <w:szCs w:val="24"/>
          <w:lang w:val="en-GB"/>
        </w:rPr>
        <w:t>PFM Sector Working Group</w:t>
      </w:r>
    </w:p>
    <w:p w14:paraId="6D1C6738" w14:textId="6C5B9B89" w:rsidR="00C60174" w:rsidRPr="00D30847" w:rsidRDefault="00C60174" w:rsidP="00C60174">
      <w:pPr>
        <w:spacing w:line="240" w:lineRule="auto"/>
        <w:jc w:val="both"/>
        <w:rPr>
          <w:rFonts w:cs="Calibri"/>
          <w:lang w:val="en-GB"/>
        </w:rPr>
      </w:pPr>
      <w:r w:rsidRPr="00D30847">
        <w:rPr>
          <w:rFonts w:cs="Calibri"/>
          <w:lang w:val="en-GB"/>
        </w:rPr>
        <w:t>PFM Sector Working Group is a technical working body established by the Minister of Finance for the purpose of preparing, monitoring and reporting on the PFM Reform Programme.</w:t>
      </w:r>
      <w:r w:rsidR="00FD1416" w:rsidRPr="00D30847">
        <w:rPr>
          <w:rFonts w:cs="Calibri"/>
          <w:lang w:val="en-GB"/>
        </w:rPr>
        <w:t xml:space="preserve"> </w:t>
      </w:r>
      <w:r w:rsidRPr="00D30847">
        <w:rPr>
          <w:rFonts w:cs="Calibri"/>
          <w:lang w:val="en-GB"/>
        </w:rPr>
        <w:t>It comprises members and observers nominated by the relevant institutions included in activities related to PFM sector (ministries and other public entities, civil society organisations, donor community).The Working Group was initially established under a Decision adopted by the Minister of Finance on 10</w:t>
      </w:r>
      <w:r w:rsidRPr="00D30847">
        <w:rPr>
          <w:rFonts w:cs="Calibri"/>
          <w:vertAlign w:val="superscript"/>
          <w:lang w:val="en-GB"/>
        </w:rPr>
        <w:t>th</w:t>
      </w:r>
      <w:r w:rsidRPr="00D30847">
        <w:rPr>
          <w:rFonts w:cs="Calibri"/>
          <w:lang w:val="en-GB"/>
        </w:rPr>
        <w:t xml:space="preserve"> June 2015, and it has been modified and amended several time since, with the recent amendment made on 3</w:t>
      </w:r>
      <w:r w:rsidRPr="00D30847">
        <w:rPr>
          <w:rFonts w:cs="Calibri"/>
          <w:vertAlign w:val="superscript"/>
          <w:lang w:val="en-GB"/>
        </w:rPr>
        <w:t>th</w:t>
      </w:r>
      <w:r w:rsidRPr="00D30847">
        <w:rPr>
          <w:rFonts w:cs="Calibri"/>
          <w:lang w:val="en-GB"/>
        </w:rPr>
        <w:t>July 2023.New decision of appointment of WG members and observers will be adopted in line with the new structure of the PFM Reform Programme 2024-2027.</w:t>
      </w:r>
    </w:p>
    <w:p w14:paraId="75B0BE3C" w14:textId="77777777" w:rsidR="00C60174" w:rsidRPr="00D30847" w:rsidRDefault="00C60174" w:rsidP="00C60174">
      <w:pPr>
        <w:spacing w:line="240" w:lineRule="auto"/>
        <w:jc w:val="both"/>
        <w:rPr>
          <w:rFonts w:cs="Calibri"/>
          <w:lang w:val="en-GB"/>
        </w:rPr>
      </w:pPr>
      <w:r w:rsidRPr="00D30847">
        <w:rPr>
          <w:rFonts w:cs="Calibri"/>
          <w:lang w:val="en-GB"/>
        </w:rPr>
        <w:t>Minister of Finance, or in his absence, Deputy Chairman appointed by him, chairs the PFM Sector Working Group.</w:t>
      </w:r>
    </w:p>
    <w:p w14:paraId="187EFD69" w14:textId="60C95CD2" w:rsidR="00C60174" w:rsidRPr="00D30847" w:rsidRDefault="00C60174" w:rsidP="00C60174">
      <w:pPr>
        <w:spacing w:line="240" w:lineRule="auto"/>
        <w:jc w:val="both"/>
        <w:rPr>
          <w:rFonts w:cs="Calibri"/>
          <w:lang w:val="en-GB"/>
        </w:rPr>
      </w:pPr>
      <w:r w:rsidRPr="00D30847">
        <w:rPr>
          <w:rFonts w:cs="Calibri"/>
          <w:lang w:val="en-GB"/>
        </w:rPr>
        <w:t>Following institutions participate in the operations of the PFM SWG:</w:t>
      </w:r>
      <w:r w:rsidR="00FD1416" w:rsidRPr="00D30847">
        <w:rPr>
          <w:rFonts w:cs="Calibri"/>
          <w:lang w:val="en-GB"/>
        </w:rPr>
        <w:t xml:space="preserve"> </w:t>
      </w:r>
      <w:r w:rsidRPr="00D30847">
        <w:rPr>
          <w:rFonts w:cs="Calibri"/>
          <w:lang w:val="en-GB"/>
        </w:rPr>
        <w:t>Ministry of Finance, Customs Administration, Public revenue Office, Public Procurement Bureau, Ministry of Economy, State Audit Office, , Secretariat for European Affairs, Ministry of Information Society and Administration, Cabinet of the Deputy Prime Minister in charge of Economic Affairs, Coordination of Economic Departments and Investments, representatives of the development partners  and civil society organisations in the field of PFM.</w:t>
      </w:r>
    </w:p>
    <w:p w14:paraId="5ACC5120" w14:textId="77777777" w:rsidR="00C60174" w:rsidRPr="00D30847" w:rsidRDefault="00C60174" w:rsidP="00C60174">
      <w:pPr>
        <w:spacing w:line="240" w:lineRule="auto"/>
        <w:jc w:val="both"/>
        <w:rPr>
          <w:rFonts w:cs="Calibri"/>
          <w:lang w:val="en-GB"/>
        </w:rPr>
      </w:pPr>
      <w:r w:rsidRPr="00D30847">
        <w:rPr>
          <w:rFonts w:cs="Calibri"/>
          <w:lang w:val="en-GB"/>
        </w:rPr>
        <w:t>Under the Decision, Priority Coordinators are appointed for the priorities within the Programme Pillars, assigning them tasks and duties related to the monitoring and reporting system.</w:t>
      </w:r>
    </w:p>
    <w:p w14:paraId="6B512A5D" w14:textId="474D34D8" w:rsidR="00C60174" w:rsidRPr="00D30847" w:rsidRDefault="00C60174" w:rsidP="00C60174">
      <w:pPr>
        <w:spacing w:line="240" w:lineRule="auto"/>
        <w:jc w:val="both"/>
        <w:rPr>
          <w:rFonts w:cs="Calibri"/>
          <w:lang w:val="en-GB"/>
        </w:rPr>
      </w:pPr>
      <w:r w:rsidRPr="00D30847">
        <w:rPr>
          <w:rFonts w:cs="Calibri"/>
          <w:lang w:val="en-GB"/>
        </w:rPr>
        <w:t>PFM SWG will continue its operations in order to ensure support in the implementation of PFM Reform Programme 202</w:t>
      </w:r>
      <w:r w:rsidR="00723A55" w:rsidRPr="00D30847">
        <w:rPr>
          <w:rFonts w:cs="Calibri"/>
          <w:lang w:val="en-GB"/>
        </w:rPr>
        <w:t>5</w:t>
      </w:r>
      <w:r w:rsidRPr="00D30847">
        <w:rPr>
          <w:rFonts w:cs="Calibri"/>
          <w:lang w:val="en-GB"/>
        </w:rPr>
        <w:t>-202</w:t>
      </w:r>
      <w:r w:rsidR="00723A55" w:rsidRPr="00D30847">
        <w:rPr>
          <w:rFonts w:cs="Calibri"/>
          <w:lang w:val="en-GB"/>
        </w:rPr>
        <w:t>8</w:t>
      </w:r>
      <w:r w:rsidRPr="00D30847">
        <w:rPr>
          <w:rFonts w:cs="Calibri"/>
          <w:lang w:val="en-GB"/>
        </w:rPr>
        <w:t>.</w:t>
      </w:r>
    </w:p>
    <w:p w14:paraId="23D327A6" w14:textId="2FAD6BA9" w:rsidR="00C60174" w:rsidRPr="00D30847" w:rsidRDefault="00C60174" w:rsidP="00C60174">
      <w:pPr>
        <w:spacing w:line="240" w:lineRule="auto"/>
        <w:jc w:val="both"/>
        <w:rPr>
          <w:rFonts w:cs="Calibri"/>
          <w:lang w:val="en-GB"/>
        </w:rPr>
      </w:pPr>
      <w:r w:rsidRPr="00D30847">
        <w:rPr>
          <w:rFonts w:cs="Calibri"/>
          <w:lang w:val="en-GB"/>
        </w:rPr>
        <w:t>The Working Group is the main coordination body at technical level to debate on the national PFM reform documents, as well as inter-sector and sector strategies and development programmes (planning documents) related to PFM reforms.</w:t>
      </w:r>
      <w:r w:rsidR="00FD1416" w:rsidRPr="00D30847">
        <w:rPr>
          <w:rFonts w:cs="Calibri"/>
          <w:lang w:val="en-GB"/>
        </w:rPr>
        <w:t xml:space="preserve"> </w:t>
      </w:r>
      <w:r w:rsidRPr="00D30847">
        <w:rPr>
          <w:rFonts w:cs="Calibri"/>
          <w:lang w:val="en-GB"/>
        </w:rPr>
        <w:t>It is an inter-institutional coordination forum with a mandate to implement expert-level tasks related to formulation, monitoring and evaluation of PFM reform policies, including those relevant for the EU integration.</w:t>
      </w:r>
    </w:p>
    <w:p w14:paraId="76A4DA80" w14:textId="77777777" w:rsidR="00C60174" w:rsidRPr="00D30847" w:rsidRDefault="00C60174" w:rsidP="00C60174">
      <w:pPr>
        <w:spacing w:line="240" w:lineRule="auto"/>
        <w:jc w:val="both"/>
        <w:rPr>
          <w:rFonts w:cs="Calibri"/>
          <w:lang w:val="en-GB"/>
        </w:rPr>
      </w:pPr>
      <w:r w:rsidRPr="00D30847">
        <w:rPr>
          <w:rFonts w:cs="Calibri"/>
          <w:lang w:val="en-GB"/>
        </w:rPr>
        <w:t>PFM SWG tasks and obligations are regulated in more details with a decision on its establishment.</w:t>
      </w:r>
    </w:p>
    <w:p w14:paraId="2D5F607B" w14:textId="77777777" w:rsidR="00C60174" w:rsidRPr="00D30847" w:rsidRDefault="00C60174" w:rsidP="00C60174">
      <w:pPr>
        <w:spacing w:line="240" w:lineRule="auto"/>
        <w:jc w:val="both"/>
        <w:rPr>
          <w:rFonts w:cs="Calibri"/>
          <w:lang w:val="en-GB"/>
        </w:rPr>
      </w:pPr>
      <w:r w:rsidRPr="00D30847">
        <w:rPr>
          <w:rFonts w:cs="Calibri"/>
          <w:lang w:val="en-GB"/>
        </w:rPr>
        <w:t>It prepares annual action plans on Programme implementation, coordinates and monitors the implementation of activities within each priority and prepares reports on progress monitoring.</w:t>
      </w:r>
    </w:p>
    <w:p w14:paraId="3F050B73" w14:textId="77777777" w:rsidR="00C60174" w:rsidRPr="00D30847" w:rsidRDefault="00C60174" w:rsidP="00C60174">
      <w:pPr>
        <w:spacing w:line="240" w:lineRule="auto"/>
        <w:jc w:val="both"/>
        <w:rPr>
          <w:rFonts w:cs="Calibri"/>
          <w:lang w:val="en-GB"/>
        </w:rPr>
      </w:pPr>
      <w:r w:rsidRPr="00D30847">
        <w:rPr>
          <w:rFonts w:cs="Calibri"/>
          <w:lang w:val="en-GB"/>
        </w:rPr>
        <w:t>PFM SWG will convene a plenary session at least twice a year to monitor the reform progress and, if necessary, any other stakeholders may be invited to participate in its work.</w:t>
      </w:r>
    </w:p>
    <w:p w14:paraId="2E50A3A9" w14:textId="6922108F" w:rsidR="00C75160" w:rsidRPr="00D30847" w:rsidRDefault="00C75160" w:rsidP="00C75160">
      <w:pPr>
        <w:spacing w:line="240" w:lineRule="auto"/>
        <w:jc w:val="both"/>
        <w:rPr>
          <w:rFonts w:cs="Calibri"/>
          <w:lang w:val="en-GB"/>
        </w:rPr>
      </w:pPr>
      <w:r w:rsidRPr="00D30847">
        <w:rPr>
          <w:lang w:val="en-GB"/>
        </w:rPr>
        <w:t>For each pillar of the Programme risks that the measures, defined for each priority, will not lead to achieving the objectives and expected deliverables are presented in the Implementation table.</w:t>
      </w:r>
      <w:r w:rsidR="00FD1416" w:rsidRPr="00D30847">
        <w:rPr>
          <w:lang w:val="en-GB"/>
        </w:rPr>
        <w:t xml:space="preserve"> </w:t>
      </w:r>
      <w:r w:rsidRPr="00D30847">
        <w:rPr>
          <w:lang w:val="en-GB"/>
        </w:rPr>
        <w:t>The responsible entities (in this case, the priority coordinators) are</w:t>
      </w:r>
      <w:r w:rsidR="00FD1416" w:rsidRPr="00D30847">
        <w:rPr>
          <w:lang w:val="en-GB"/>
        </w:rPr>
        <w:t xml:space="preserve"> </w:t>
      </w:r>
      <w:r w:rsidRPr="00D30847">
        <w:rPr>
          <w:lang w:val="en-GB"/>
        </w:rPr>
        <w:t>responsible</w:t>
      </w:r>
      <w:r w:rsidR="00FD1416" w:rsidRPr="00D30847">
        <w:rPr>
          <w:lang w:val="en-GB"/>
        </w:rPr>
        <w:t xml:space="preserve"> </w:t>
      </w:r>
      <w:r w:rsidRPr="00D30847">
        <w:rPr>
          <w:lang w:val="en-GB"/>
        </w:rPr>
        <w:t xml:space="preserve">for taking mitigating measures and to report </w:t>
      </w:r>
      <w:r w:rsidR="00FD1416" w:rsidRPr="00D30847">
        <w:rPr>
          <w:lang w:val="en-GB"/>
        </w:rPr>
        <w:t>on the</w:t>
      </w:r>
      <w:r w:rsidRPr="00D30847">
        <w:rPr>
          <w:lang w:val="en-GB"/>
        </w:rPr>
        <w:t xml:space="preserve"> results of these mitigating measures and on still existing risks in the</w:t>
      </w:r>
      <w:r w:rsidR="00FD1416" w:rsidRPr="00D30847">
        <w:rPr>
          <w:lang w:val="en-GB"/>
        </w:rPr>
        <w:t xml:space="preserve"> </w:t>
      </w:r>
      <w:r w:rsidRPr="00D30847">
        <w:rPr>
          <w:lang w:val="en-GB"/>
        </w:rPr>
        <w:t>annual monitoring report.</w:t>
      </w:r>
    </w:p>
    <w:p w14:paraId="47B8278B" w14:textId="77777777" w:rsidR="00C60174" w:rsidRPr="00D30847" w:rsidRDefault="00C60174" w:rsidP="00C60174">
      <w:pPr>
        <w:spacing w:line="240" w:lineRule="auto"/>
        <w:jc w:val="both"/>
        <w:rPr>
          <w:rFonts w:cs="Calibri"/>
          <w:lang w:val="en-GB"/>
        </w:rPr>
      </w:pPr>
      <w:r w:rsidRPr="00D30847">
        <w:rPr>
          <w:rFonts w:cs="Calibri"/>
          <w:lang w:val="en-GB"/>
        </w:rPr>
        <w:t>Meetings of the PFM SWG are held at policy and technical level.</w:t>
      </w:r>
    </w:p>
    <w:p w14:paraId="7ED1E2EC" w14:textId="77777777" w:rsidR="00C60174" w:rsidRPr="00D30847" w:rsidRDefault="00C60174" w:rsidP="00C60174">
      <w:pPr>
        <w:spacing w:line="240" w:lineRule="auto"/>
        <w:jc w:val="both"/>
        <w:rPr>
          <w:rFonts w:cs="Calibri"/>
          <w:lang w:val="en-GB"/>
        </w:rPr>
      </w:pPr>
      <w:r w:rsidRPr="00D30847">
        <w:rPr>
          <w:rFonts w:cs="Calibri"/>
          <w:lang w:val="en-GB"/>
        </w:rPr>
        <w:lastRenderedPageBreak/>
        <w:t>At policy level, the meetings are held in a form of high-level PFM policy dialogues with all relevant stakeholders (civil society, academia, EC and other donors, IFI’s and other international partners active in the sector).</w:t>
      </w:r>
    </w:p>
    <w:p w14:paraId="54FB795C" w14:textId="77777777" w:rsidR="00C60174" w:rsidRPr="00D30847" w:rsidRDefault="00C60174" w:rsidP="00C60174">
      <w:pPr>
        <w:spacing w:line="240" w:lineRule="auto"/>
        <w:jc w:val="both"/>
        <w:rPr>
          <w:rFonts w:eastAsia="Times New Roman" w:cs="Calibri"/>
          <w:lang w:val="en-GB" w:eastAsia="mk-MK"/>
        </w:rPr>
      </w:pPr>
      <w:r w:rsidRPr="00D30847">
        <w:rPr>
          <w:rFonts w:cs="Calibri"/>
          <w:iCs/>
          <w:lang w:val="en-GB" w:eastAsia="mk-MK"/>
        </w:rPr>
        <w:t>At technical level, SWG meetings are held with its members, discussing concrete PFM issues, including IPA programming and implementation.</w:t>
      </w:r>
    </w:p>
    <w:p w14:paraId="4E6BA18D" w14:textId="77777777" w:rsidR="00C60174" w:rsidRPr="00D30847" w:rsidRDefault="00C60174" w:rsidP="00C60174">
      <w:pPr>
        <w:spacing w:line="240" w:lineRule="auto"/>
        <w:jc w:val="both"/>
        <w:rPr>
          <w:rFonts w:cs="Calibri"/>
          <w:b/>
          <w:color w:val="0070C0"/>
          <w:sz w:val="24"/>
          <w:szCs w:val="24"/>
          <w:lang w:val="en-GB"/>
        </w:rPr>
      </w:pPr>
      <w:r w:rsidRPr="00D30847">
        <w:rPr>
          <w:rFonts w:cs="Calibri"/>
          <w:b/>
          <w:color w:val="0070C0"/>
          <w:sz w:val="24"/>
          <w:szCs w:val="24"/>
          <w:lang w:val="en-GB"/>
        </w:rPr>
        <w:t>Priority Coordinator</w:t>
      </w:r>
    </w:p>
    <w:p w14:paraId="122183FA" w14:textId="2C2D1266" w:rsidR="00C60174" w:rsidRPr="00D30847" w:rsidRDefault="00C60174" w:rsidP="00C60174">
      <w:pPr>
        <w:spacing w:after="120" w:line="240" w:lineRule="auto"/>
        <w:jc w:val="both"/>
        <w:rPr>
          <w:rFonts w:eastAsia="Times New Roman" w:cs="Calibri"/>
          <w:iCs/>
          <w:lang w:val="en-GB" w:eastAsia="mk-MK"/>
        </w:rPr>
      </w:pPr>
      <w:r w:rsidRPr="00D30847">
        <w:rPr>
          <w:rFonts w:cs="Calibri"/>
          <w:color w:val="000000"/>
          <w:lang w:val="en-GB"/>
        </w:rPr>
        <w:t xml:space="preserve">On the basis of nominations submitted by the relevant institutions, Minister of Finance appoints Priority Coordinator for each priority within the respective </w:t>
      </w:r>
      <w:r w:rsidR="00FD1416" w:rsidRPr="00D30847">
        <w:rPr>
          <w:rFonts w:cs="Calibri"/>
          <w:color w:val="000000"/>
          <w:lang w:val="en-GB"/>
        </w:rPr>
        <w:t>Pillar. Priority</w:t>
      </w:r>
      <w:r w:rsidRPr="00D30847">
        <w:rPr>
          <w:rFonts w:cs="Calibri"/>
          <w:color w:val="000000"/>
          <w:lang w:val="en-GB"/>
        </w:rPr>
        <w:t xml:space="preserve"> Coordinator coordinates and monitors the implementation of the activities within each priority measure, monitors the fulfilment of the priority indicators and reports on the progress </w:t>
      </w:r>
      <w:r w:rsidR="00FD1416" w:rsidRPr="00D30847">
        <w:rPr>
          <w:rFonts w:cs="Calibri"/>
          <w:color w:val="000000"/>
          <w:lang w:val="en-GB"/>
        </w:rPr>
        <w:t>achieved. He</w:t>
      </w:r>
      <w:r w:rsidRPr="00D30847">
        <w:rPr>
          <w:rFonts w:cs="Calibri"/>
          <w:color w:val="000000"/>
          <w:lang w:val="en-GB"/>
        </w:rPr>
        <w:t xml:space="preserve">/she prepares reports on </w:t>
      </w:r>
      <w:r w:rsidRPr="00D30847">
        <w:rPr>
          <w:rFonts w:cs="Calibri"/>
          <w:iCs/>
          <w:lang w:val="en-GB" w:eastAsia="mk-MK"/>
        </w:rPr>
        <w:t>the implementation of the reforms under each priority</w:t>
      </w:r>
      <w:r w:rsidRPr="00D30847">
        <w:rPr>
          <w:rFonts w:cs="Calibri"/>
          <w:color w:val="000000"/>
          <w:lang w:val="en-GB"/>
        </w:rPr>
        <w:t xml:space="preserve"> and proposes annual action plans on Programme implementation.</w:t>
      </w:r>
    </w:p>
    <w:p w14:paraId="2AD0DAEC" w14:textId="77777777" w:rsidR="00C60174" w:rsidRPr="00D30847" w:rsidRDefault="00C60174" w:rsidP="00C60174">
      <w:pPr>
        <w:spacing w:line="240" w:lineRule="auto"/>
        <w:jc w:val="both"/>
        <w:rPr>
          <w:rFonts w:cs="Calibri"/>
          <w:b/>
          <w:color w:val="0070C0"/>
          <w:sz w:val="24"/>
          <w:szCs w:val="24"/>
          <w:lang w:val="en-GB"/>
        </w:rPr>
      </w:pPr>
      <w:r w:rsidRPr="00D30847">
        <w:rPr>
          <w:rFonts w:cs="Calibri"/>
          <w:b/>
          <w:color w:val="0070C0"/>
          <w:sz w:val="24"/>
          <w:szCs w:val="24"/>
          <w:lang w:val="en-GB"/>
        </w:rPr>
        <w:t>Coordination Unit within the Ministry of Finance</w:t>
      </w:r>
    </w:p>
    <w:p w14:paraId="296B660E" w14:textId="11C21588" w:rsidR="00C60174" w:rsidRPr="00D30847" w:rsidRDefault="00C60174" w:rsidP="00C60174">
      <w:pPr>
        <w:spacing w:after="120" w:line="240" w:lineRule="auto"/>
        <w:jc w:val="both"/>
        <w:rPr>
          <w:rFonts w:cs="Calibri"/>
          <w:color w:val="000000"/>
          <w:lang w:val="en-GB"/>
        </w:rPr>
      </w:pPr>
      <w:r w:rsidRPr="00D30847">
        <w:rPr>
          <w:rFonts w:cs="Calibri"/>
          <w:color w:val="000000"/>
          <w:lang w:val="en-GB"/>
        </w:rPr>
        <w:t xml:space="preserve">Coordination Unit within the Ministry of Finance </w:t>
      </w:r>
      <w:r w:rsidRPr="00D30847">
        <w:rPr>
          <w:rFonts w:cs="Calibri"/>
          <w:iCs/>
          <w:lang w:val="en-GB" w:eastAsia="mk-MK"/>
        </w:rPr>
        <w:t xml:space="preserve">acts as a technical secretariat to support the functioning of the PFM Working Group and the PFM </w:t>
      </w:r>
      <w:r w:rsidR="00FD1416" w:rsidRPr="00D30847">
        <w:rPr>
          <w:rFonts w:cs="Calibri"/>
          <w:iCs/>
          <w:lang w:val="en-GB" w:eastAsia="mk-MK"/>
        </w:rPr>
        <w:t>Council.</w:t>
      </w:r>
      <w:r w:rsidR="00FD1416" w:rsidRPr="00D30847">
        <w:rPr>
          <w:rFonts w:cs="Calibri"/>
          <w:color w:val="000000"/>
          <w:lang w:val="en-GB"/>
        </w:rPr>
        <w:t xml:space="preserve"> In</w:t>
      </w:r>
      <w:r w:rsidRPr="00D30847">
        <w:rPr>
          <w:rFonts w:cs="Calibri"/>
          <w:color w:val="000000"/>
          <w:lang w:val="en-GB"/>
        </w:rPr>
        <w:t xml:space="preserve"> general, </w:t>
      </w:r>
      <w:r w:rsidRPr="00D30847">
        <w:rPr>
          <w:rFonts w:cs="Calibri"/>
          <w:iCs/>
          <w:lang w:val="en-GB" w:eastAsia="mk-MK"/>
        </w:rPr>
        <w:t>its tasks comprise preparation of the meetings of both the PFM Council and the PFM Working Group at policy level and at technical level, as well as preparation of compiled reports on the progress in the implementation of the reforms under each priority and compiled annual action plans, based on the input provided by the Priority Coordinators.</w:t>
      </w:r>
    </w:p>
    <w:p w14:paraId="1836E428" w14:textId="77777777" w:rsidR="00C60174" w:rsidRPr="00D30847" w:rsidRDefault="00C60174" w:rsidP="00C60174">
      <w:pPr>
        <w:spacing w:line="240" w:lineRule="auto"/>
        <w:jc w:val="both"/>
        <w:rPr>
          <w:rFonts w:cs="Calibri"/>
          <w:b/>
          <w:color w:val="0070C0"/>
          <w:lang w:val="en-GB"/>
        </w:rPr>
      </w:pPr>
    </w:p>
    <w:p w14:paraId="0CDB876F" w14:textId="7AB1F385" w:rsidR="00C60174" w:rsidRPr="00D30847" w:rsidRDefault="00C60174" w:rsidP="00C60174">
      <w:pPr>
        <w:spacing w:line="240" w:lineRule="auto"/>
        <w:jc w:val="center"/>
        <w:rPr>
          <w:b/>
          <w:color w:val="0070C0"/>
          <w:sz w:val="24"/>
          <w:szCs w:val="24"/>
          <w:lang w:val="en-GB"/>
        </w:rPr>
      </w:pPr>
      <w:r w:rsidRPr="00D30847">
        <w:rPr>
          <w:b/>
          <w:color w:val="0070C0"/>
          <w:sz w:val="28"/>
          <w:szCs w:val="28"/>
          <w:lang w:val="en-GB"/>
        </w:rPr>
        <w:br w:type="page"/>
      </w:r>
      <w:r w:rsidRPr="00D30847">
        <w:rPr>
          <w:b/>
          <w:color w:val="0070C0"/>
          <w:sz w:val="24"/>
          <w:szCs w:val="24"/>
          <w:lang w:val="en-GB"/>
        </w:rPr>
        <w:lastRenderedPageBreak/>
        <w:t>Reporting process for implementation of the PFM Reform Programme 202</w:t>
      </w:r>
      <w:r w:rsidR="00723A55" w:rsidRPr="00D30847">
        <w:rPr>
          <w:b/>
          <w:color w:val="0070C0"/>
          <w:sz w:val="24"/>
          <w:szCs w:val="24"/>
          <w:lang w:val="en-GB"/>
        </w:rPr>
        <w:t>5</w:t>
      </w:r>
      <w:r w:rsidRPr="00D30847">
        <w:rPr>
          <w:b/>
          <w:color w:val="0070C0"/>
          <w:sz w:val="24"/>
          <w:szCs w:val="24"/>
          <w:lang w:val="en-GB"/>
        </w:rPr>
        <w:t xml:space="preserve"> - 202</w:t>
      </w:r>
      <w:r w:rsidR="00723A55" w:rsidRPr="00D30847">
        <w:rPr>
          <w:b/>
          <w:color w:val="0070C0"/>
          <w:sz w:val="24"/>
          <w:szCs w:val="24"/>
          <w:lang w:val="en-GB"/>
        </w:rPr>
        <w:t>8</w:t>
      </w:r>
    </w:p>
    <w:p w14:paraId="5CE769F1" w14:textId="13245FD4" w:rsidR="00C60174" w:rsidRPr="00D30847" w:rsidRDefault="00F113BE" w:rsidP="00C60174">
      <w:pPr>
        <w:tabs>
          <w:tab w:val="left" w:pos="851"/>
        </w:tabs>
        <w:spacing w:after="120" w:line="240" w:lineRule="auto"/>
        <w:jc w:val="center"/>
        <w:rPr>
          <w:rFonts w:eastAsia="MS PGothic"/>
          <w:b/>
          <w:color w:val="C00000"/>
          <w:highlight w:val="yellow"/>
          <w:lang w:val="en-GB" w:eastAsia="zh-CN"/>
        </w:rPr>
      </w:pPr>
      <w:r w:rsidRPr="00D30847">
        <w:rPr>
          <w:rFonts w:eastAsia="MS PGothic"/>
          <w:b/>
          <w:noProof/>
          <w:color w:val="C00000"/>
          <w:lang w:eastAsia="mk-MK"/>
        </w:rPr>
        <mc:AlternateContent>
          <mc:Choice Requires="wps">
            <w:drawing>
              <wp:anchor distT="0" distB="0" distL="114300" distR="114300" simplePos="0" relativeHeight="251662336" behindDoc="0" locked="0" layoutInCell="1" allowOverlap="1" wp14:anchorId="6486ED12" wp14:editId="2816F0E6">
                <wp:simplePos x="0" y="0"/>
                <wp:positionH relativeFrom="margin">
                  <wp:posOffset>1196340</wp:posOffset>
                </wp:positionH>
                <wp:positionV relativeFrom="paragraph">
                  <wp:posOffset>134620</wp:posOffset>
                </wp:positionV>
                <wp:extent cx="2804795" cy="523875"/>
                <wp:effectExtent l="0" t="0" r="0" b="9525"/>
                <wp:wrapNone/>
                <wp:docPr id="57062470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795" cy="523875"/>
                        </a:xfrm>
                        <a:prstGeom prst="rect">
                          <a:avLst/>
                        </a:prstGeom>
                        <a:solidFill>
                          <a:srgbClr val="FFFFFF"/>
                        </a:solidFill>
                        <a:ln w="12700">
                          <a:solidFill>
                            <a:srgbClr val="622423"/>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3ADB3A" w14:textId="77777777" w:rsidR="00093CDB" w:rsidRPr="00ED4954" w:rsidRDefault="00093CDB" w:rsidP="00C60174">
                            <w:pPr>
                              <w:jc w:val="center"/>
                              <w:rPr>
                                <w:b/>
                                <w:sz w:val="20"/>
                              </w:rPr>
                            </w:pPr>
                            <w:r>
                              <w:rPr>
                                <w:b/>
                                <w:sz w:val="20"/>
                              </w:rPr>
                              <w:t>Government of North Macedonia</w:t>
                            </w:r>
                          </w:p>
                          <w:p w14:paraId="1AF8FFFD" w14:textId="77777777" w:rsidR="00093CDB" w:rsidRPr="00902166" w:rsidRDefault="00093CDB" w:rsidP="00C60174">
                            <w:pPr>
                              <w:jc w:val="center"/>
                              <w:rPr>
                                <w:sz w:val="20"/>
                              </w:rPr>
                            </w:pPr>
                            <w:r>
                              <w:rPr>
                                <w:i/>
                                <w:sz w:val="16"/>
                              </w:rPr>
                              <w:t>Adopts the Report.</w:t>
                            </w:r>
                          </w:p>
                          <w:p w14:paraId="5D813E10" w14:textId="77777777" w:rsidR="00093CDB" w:rsidRDefault="00093CDB" w:rsidP="00C60174">
                            <w:pPr>
                              <w:jc w:val="center"/>
                              <w:rPr>
                                <w:b/>
                                <w:sz w:val="20"/>
                              </w:rPr>
                            </w:pPr>
                          </w:p>
                          <w:p w14:paraId="4236CBA5" w14:textId="77777777" w:rsidR="00093CDB" w:rsidRPr="009B0916" w:rsidRDefault="00093CDB" w:rsidP="00C60174">
                            <w:pPr>
                              <w:rPr>
                                <w:i/>
                                <w:sz w:val="16"/>
                              </w:rPr>
                            </w:pPr>
                          </w:p>
                          <w:p w14:paraId="4B2F5EFE" w14:textId="77777777" w:rsidR="00093CDB" w:rsidRPr="003F6183" w:rsidRDefault="00093CDB" w:rsidP="00C60174">
                            <w:pP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86ED12" id="Rectangle 13" o:spid="_x0000_s1027" style="position:absolute;left:0;text-align:left;margin-left:94.2pt;margin-top:10.6pt;width:220.85pt;height:4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" strokecolor="#622423" strokeweight="1pt">
                <v:shadow color="#868686"/>
                <v:textbox>
                  <w:txbxContent>
                    <w:p w14:paraId="063ADB3A" w14:textId="77777777" w:rsidR="00093CDB" w:rsidRPr="00ED4954" w:rsidRDefault="00093CDB" w:rsidP="00C60174">
                      <w:pPr>
                        <w:jc w:val="center"/>
                        <w:rPr>
                          <w:b/>
                          <w:sz w:val="20"/>
                        </w:rPr>
                      </w:pPr>
                      <w:r>
                        <w:rPr>
                          <w:b/>
                          <w:sz w:val="20"/>
                        </w:rPr>
                        <w:t>Government of North Macedonia</w:t>
                      </w:r>
                    </w:p>
                    <w:p w14:paraId="1AF8FFFD" w14:textId="77777777" w:rsidR="00093CDB" w:rsidRPr="00902166" w:rsidRDefault="00093CDB" w:rsidP="00C60174">
                      <w:pPr>
                        <w:jc w:val="center"/>
                        <w:rPr>
                          <w:sz w:val="20"/>
                        </w:rPr>
                      </w:pPr>
                      <w:r>
                        <w:rPr>
                          <w:i/>
                          <w:sz w:val="16"/>
                        </w:rPr>
                        <w:t>Adopts the Report.</w:t>
                      </w:r>
                    </w:p>
                    <w:p w14:paraId="5D813E10" w14:textId="77777777" w:rsidR="00093CDB" w:rsidRDefault="00093CDB" w:rsidP="00C60174">
                      <w:pPr>
                        <w:jc w:val="center"/>
                        <w:rPr>
                          <w:b/>
                          <w:sz w:val="20"/>
                        </w:rPr>
                      </w:pPr>
                    </w:p>
                    <w:p w14:paraId="4236CBA5" w14:textId="77777777" w:rsidR="00093CDB" w:rsidRPr="009B0916" w:rsidRDefault="00093CDB" w:rsidP="00C60174">
                      <w:pPr>
                        <w:rPr>
                          <w:i/>
                          <w:sz w:val="16"/>
                        </w:rPr>
                      </w:pPr>
                    </w:p>
                    <w:p w14:paraId="4B2F5EFE" w14:textId="77777777" w:rsidR="00093CDB" w:rsidRPr="003F6183" w:rsidRDefault="00093CDB" w:rsidP="00C60174">
                      <w:pPr>
                        <w:rPr>
                          <w:b/>
                          <w:sz w:val="20"/>
                        </w:rPr>
                      </w:pPr>
                    </w:p>
                  </w:txbxContent>
                </v:textbox>
                <w10:wrap anchorx="margin"/>
              </v:rect>
            </w:pict>
          </mc:Fallback>
        </mc:AlternateContent>
      </w:r>
    </w:p>
    <w:p w14:paraId="34D81A5E" w14:textId="77777777" w:rsidR="00C60174" w:rsidRPr="00D30847" w:rsidRDefault="00C60174" w:rsidP="00C60174">
      <w:pPr>
        <w:tabs>
          <w:tab w:val="left" w:pos="851"/>
        </w:tabs>
        <w:spacing w:after="120" w:line="240" w:lineRule="auto"/>
        <w:jc w:val="center"/>
        <w:rPr>
          <w:rFonts w:eastAsia="MS PGothic"/>
          <w:b/>
          <w:color w:val="C00000"/>
          <w:highlight w:val="yellow"/>
          <w:lang w:val="en-GB" w:eastAsia="zh-CN"/>
        </w:rPr>
      </w:pPr>
    </w:p>
    <w:p w14:paraId="61785D7D" w14:textId="5A25F73D" w:rsidR="00C60174" w:rsidRPr="00D30847" w:rsidRDefault="00F113BE" w:rsidP="00C60174">
      <w:pPr>
        <w:tabs>
          <w:tab w:val="left" w:pos="851"/>
        </w:tabs>
        <w:spacing w:after="120" w:line="240" w:lineRule="auto"/>
        <w:jc w:val="both"/>
        <w:rPr>
          <w:rFonts w:eastAsia="MS PGothic"/>
          <w:b/>
          <w:color w:val="C00000"/>
          <w:highlight w:val="yellow"/>
          <w:lang w:val="en-GB" w:eastAsia="zh-CN"/>
        </w:rPr>
      </w:pPr>
      <w:r w:rsidRPr="00D30847">
        <w:rPr>
          <w:rFonts w:eastAsia="MS PGothic"/>
          <w:b/>
          <w:noProof/>
          <w:color w:val="C00000"/>
          <w:lang w:eastAsia="mk-MK"/>
        </w:rPr>
        <mc:AlternateContent>
          <mc:Choice Requires="wps">
            <w:drawing>
              <wp:anchor distT="0" distB="0" distL="114300" distR="114300" simplePos="0" relativeHeight="251658240" behindDoc="0" locked="0" layoutInCell="1" allowOverlap="1" wp14:anchorId="2741B3EA" wp14:editId="3AB202E6">
                <wp:simplePos x="0" y="0"/>
                <wp:positionH relativeFrom="column">
                  <wp:posOffset>2539365</wp:posOffset>
                </wp:positionH>
                <wp:positionV relativeFrom="paragraph">
                  <wp:posOffset>114300</wp:posOffset>
                </wp:positionV>
                <wp:extent cx="135255" cy="285750"/>
                <wp:effectExtent l="19050" t="19050" r="17145" b="0"/>
                <wp:wrapNone/>
                <wp:docPr id="8" name="Arrow: Up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 cy="285750"/>
                        </a:xfrm>
                        <a:prstGeom prst="upArrow">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8F1809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8" o:spid="_x0000_s1026" type="#_x0000_t68" style="position:absolute;margin-left:199.95pt;margin-top:9pt;width:10.6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" adj="5112" fillcolor="#e7e6e6" strokecolor="#44546a" strokeweight="1pt">
                <v:path arrowok="t"/>
              </v:shape>
            </w:pict>
          </mc:Fallback>
        </mc:AlternateContent>
      </w:r>
    </w:p>
    <w:p w14:paraId="61A78057" w14:textId="51106718" w:rsidR="00C60174" w:rsidRPr="00D30847" w:rsidRDefault="00F113BE" w:rsidP="00C60174">
      <w:pPr>
        <w:tabs>
          <w:tab w:val="left" w:pos="851"/>
        </w:tabs>
        <w:spacing w:after="120" w:line="240" w:lineRule="auto"/>
        <w:jc w:val="center"/>
        <w:rPr>
          <w:rFonts w:eastAsia="MS PGothic"/>
          <w:b/>
          <w:color w:val="C00000"/>
          <w:highlight w:val="yellow"/>
          <w:lang w:val="en-GB" w:eastAsia="zh-CN"/>
        </w:rPr>
      </w:pPr>
      <w:r w:rsidRPr="00D30847">
        <w:rPr>
          <w:rFonts w:eastAsia="MS PGothic"/>
          <w:noProof/>
          <w:lang w:eastAsia="mk-MK"/>
        </w:rPr>
        <mc:AlternateContent>
          <mc:Choice Requires="wps">
            <w:drawing>
              <wp:anchor distT="0" distB="0" distL="114300" distR="114300" simplePos="0" relativeHeight="251654144" behindDoc="0" locked="0" layoutInCell="1" allowOverlap="1" wp14:anchorId="1E9FF2D3" wp14:editId="48AA872B">
                <wp:simplePos x="0" y="0"/>
                <wp:positionH relativeFrom="margin">
                  <wp:posOffset>1196340</wp:posOffset>
                </wp:positionH>
                <wp:positionV relativeFrom="paragraph">
                  <wp:posOffset>127635</wp:posOffset>
                </wp:positionV>
                <wp:extent cx="2804795" cy="694690"/>
                <wp:effectExtent l="0" t="0" r="0" b="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795" cy="694690"/>
                        </a:xfrm>
                        <a:prstGeom prst="rect">
                          <a:avLst/>
                        </a:prstGeom>
                        <a:solidFill>
                          <a:srgbClr val="FFFFFF"/>
                        </a:solidFill>
                        <a:ln w="12700">
                          <a:solidFill>
                            <a:srgbClr val="622423"/>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27A016" w14:textId="77777777" w:rsidR="00093CDB" w:rsidRDefault="00093CDB" w:rsidP="00C60174">
                            <w:pPr>
                              <w:spacing w:after="0" w:line="240" w:lineRule="auto"/>
                              <w:jc w:val="center"/>
                              <w:rPr>
                                <w:b/>
                                <w:sz w:val="20"/>
                              </w:rPr>
                            </w:pPr>
                            <w:r>
                              <w:rPr>
                                <w:b/>
                                <w:sz w:val="20"/>
                              </w:rPr>
                              <w:t>PFM Council</w:t>
                            </w:r>
                          </w:p>
                          <w:p w14:paraId="7B352A8E" w14:textId="77777777" w:rsidR="00093CDB" w:rsidRDefault="00093CDB" w:rsidP="00C60174">
                            <w:pPr>
                              <w:spacing w:after="0" w:line="240" w:lineRule="auto"/>
                              <w:jc w:val="center"/>
                              <w:rPr>
                                <w:b/>
                                <w:sz w:val="20"/>
                              </w:rPr>
                            </w:pPr>
                          </w:p>
                          <w:p w14:paraId="41AE7D20" w14:textId="77777777" w:rsidR="00093CDB" w:rsidRPr="003F6183" w:rsidRDefault="00093CDB" w:rsidP="00C60174">
                            <w:pPr>
                              <w:spacing w:after="0" w:line="240" w:lineRule="auto"/>
                              <w:jc w:val="center"/>
                              <w:rPr>
                                <w:b/>
                                <w:sz w:val="20"/>
                              </w:rPr>
                            </w:pPr>
                            <w:r>
                              <w:rPr>
                                <w:i/>
                                <w:sz w:val="16"/>
                              </w:rPr>
                              <w:t xml:space="preserve">Proposes amendments as needed and endorses the Report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E9FF2D3" id="Rectangle 4" o:spid="_x0000_s1028" style="position:absolute;left:0;text-align:left;margin-left:94.2pt;margin-top:10.05pt;width:220.85pt;height:54.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" strokecolor="#622423" strokeweight="1pt">
                <v:shadow color="#868686"/>
                <v:textbox>
                  <w:txbxContent>
                    <w:p w14:paraId="3027A016" w14:textId="77777777" w:rsidR="00093CDB" w:rsidRDefault="00093CDB" w:rsidP="00C60174">
                      <w:pPr>
                        <w:spacing w:after="0" w:line="240" w:lineRule="auto"/>
                        <w:jc w:val="center"/>
                        <w:rPr>
                          <w:b/>
                          <w:sz w:val="20"/>
                        </w:rPr>
                      </w:pPr>
                      <w:r>
                        <w:rPr>
                          <w:b/>
                          <w:sz w:val="20"/>
                        </w:rPr>
                        <w:t>PFM Council</w:t>
                      </w:r>
                    </w:p>
                    <w:p w14:paraId="7B352A8E" w14:textId="77777777" w:rsidR="00093CDB" w:rsidRDefault="00093CDB" w:rsidP="00C60174">
                      <w:pPr>
                        <w:spacing w:after="0" w:line="240" w:lineRule="auto"/>
                        <w:jc w:val="center"/>
                        <w:rPr>
                          <w:b/>
                          <w:sz w:val="20"/>
                        </w:rPr>
                      </w:pPr>
                    </w:p>
                    <w:p w14:paraId="41AE7D20" w14:textId="77777777" w:rsidR="00093CDB" w:rsidRPr="003F6183" w:rsidRDefault="00093CDB" w:rsidP="00C60174">
                      <w:pPr>
                        <w:spacing w:after="0" w:line="240" w:lineRule="auto"/>
                        <w:jc w:val="center"/>
                        <w:rPr>
                          <w:b/>
                          <w:sz w:val="20"/>
                        </w:rPr>
                      </w:pPr>
                      <w:r>
                        <w:rPr>
                          <w:i/>
                          <w:sz w:val="16"/>
                        </w:rPr>
                        <w:t xml:space="preserve">Proposes amendments as needed and endorses the Report </w:t>
                      </w:r>
                    </w:p>
                  </w:txbxContent>
                </v:textbox>
                <w10:wrap anchorx="margin"/>
              </v:rect>
            </w:pict>
          </mc:Fallback>
        </mc:AlternateContent>
      </w:r>
    </w:p>
    <w:p w14:paraId="71F37413" w14:textId="77777777" w:rsidR="00C60174" w:rsidRPr="00D30847" w:rsidRDefault="00C60174" w:rsidP="00C60174">
      <w:pPr>
        <w:tabs>
          <w:tab w:val="left" w:pos="851"/>
        </w:tabs>
        <w:spacing w:after="120" w:line="240" w:lineRule="auto"/>
        <w:jc w:val="center"/>
        <w:rPr>
          <w:rFonts w:eastAsia="MS PGothic"/>
          <w:b/>
          <w:color w:val="C00000"/>
          <w:highlight w:val="yellow"/>
          <w:lang w:val="en-GB" w:eastAsia="zh-CN"/>
        </w:rPr>
      </w:pPr>
    </w:p>
    <w:p w14:paraId="23B90161" w14:textId="77777777" w:rsidR="00C60174" w:rsidRPr="00D30847" w:rsidRDefault="00C60174" w:rsidP="00C60174">
      <w:pPr>
        <w:tabs>
          <w:tab w:val="left" w:pos="851"/>
        </w:tabs>
        <w:spacing w:after="120" w:line="240" w:lineRule="auto"/>
        <w:jc w:val="center"/>
        <w:rPr>
          <w:rFonts w:eastAsia="MS PGothic"/>
          <w:b/>
          <w:color w:val="C00000"/>
          <w:highlight w:val="yellow"/>
          <w:lang w:val="en-GB" w:eastAsia="zh-CN"/>
        </w:rPr>
      </w:pPr>
    </w:p>
    <w:p w14:paraId="0B769F1D" w14:textId="2214EA03" w:rsidR="00C60174" w:rsidRPr="00D30847" w:rsidRDefault="00F113BE" w:rsidP="00C60174">
      <w:pPr>
        <w:tabs>
          <w:tab w:val="left" w:pos="851"/>
        </w:tabs>
        <w:spacing w:after="120" w:line="240" w:lineRule="auto"/>
        <w:jc w:val="center"/>
        <w:rPr>
          <w:rFonts w:eastAsia="MS PGothic"/>
          <w:b/>
          <w:color w:val="C00000"/>
          <w:highlight w:val="yellow"/>
          <w:lang w:val="en-GB" w:eastAsia="zh-CN"/>
        </w:rPr>
      </w:pPr>
      <w:r w:rsidRPr="00D30847">
        <w:rPr>
          <w:rFonts w:eastAsia="MS PGothic"/>
          <w:noProof/>
          <w:lang w:eastAsia="mk-MK"/>
        </w:rPr>
        <mc:AlternateContent>
          <mc:Choice Requires="wps">
            <w:drawing>
              <wp:anchor distT="0" distB="0" distL="114300" distR="114300" simplePos="0" relativeHeight="251657216" behindDoc="0" locked="0" layoutInCell="1" allowOverlap="1" wp14:anchorId="793341D2" wp14:editId="6F260EDB">
                <wp:simplePos x="0" y="0"/>
                <wp:positionH relativeFrom="column">
                  <wp:posOffset>2529840</wp:posOffset>
                </wp:positionH>
                <wp:positionV relativeFrom="paragraph">
                  <wp:posOffset>5080</wp:posOffset>
                </wp:positionV>
                <wp:extent cx="144780" cy="293370"/>
                <wp:effectExtent l="19050" t="19050" r="7620" b="0"/>
                <wp:wrapNone/>
                <wp:docPr id="7" name="Arrow: Up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293370"/>
                        </a:xfrm>
                        <a:prstGeom prst="upArrow">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4A7AFA" id="Arrow: Up 7" o:spid="_x0000_s1026" type="#_x0000_t68" style="position:absolute;margin-left:199.2pt;margin-top:.4pt;width:11.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" adj="5330" fillcolor="#e7e6e6" strokecolor="#44546a" strokeweight="1pt">
                <v:path arrowok="t"/>
              </v:shape>
            </w:pict>
          </mc:Fallback>
        </mc:AlternateContent>
      </w:r>
    </w:p>
    <w:p w14:paraId="60C2C9D7" w14:textId="10DA23C9" w:rsidR="00C60174" w:rsidRPr="00D30847" w:rsidRDefault="00F113BE" w:rsidP="00C60174">
      <w:pPr>
        <w:tabs>
          <w:tab w:val="left" w:pos="851"/>
        </w:tabs>
        <w:spacing w:after="120" w:line="240" w:lineRule="auto"/>
        <w:jc w:val="center"/>
        <w:rPr>
          <w:rFonts w:eastAsia="MS PGothic"/>
          <w:b/>
          <w:color w:val="C00000"/>
          <w:highlight w:val="yellow"/>
          <w:lang w:val="en-GB" w:eastAsia="zh-CN"/>
        </w:rPr>
      </w:pPr>
      <w:r w:rsidRPr="00D30847">
        <w:rPr>
          <w:rFonts w:eastAsia="MS PGothic"/>
          <w:noProof/>
          <w:lang w:eastAsia="mk-MK"/>
        </w:rPr>
        <mc:AlternateContent>
          <mc:Choice Requires="wps">
            <w:drawing>
              <wp:anchor distT="0" distB="0" distL="114300" distR="114300" simplePos="0" relativeHeight="251655168" behindDoc="0" locked="0" layoutInCell="1" allowOverlap="1" wp14:anchorId="3E7105D5" wp14:editId="606B5649">
                <wp:simplePos x="0" y="0"/>
                <wp:positionH relativeFrom="margin">
                  <wp:posOffset>1196340</wp:posOffset>
                </wp:positionH>
                <wp:positionV relativeFrom="paragraph">
                  <wp:posOffset>26035</wp:posOffset>
                </wp:positionV>
                <wp:extent cx="2840355" cy="436245"/>
                <wp:effectExtent l="0" t="0" r="0" b="1905"/>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0355" cy="436245"/>
                        </a:xfrm>
                        <a:prstGeom prst="rect">
                          <a:avLst/>
                        </a:prstGeom>
                        <a:solidFill>
                          <a:srgbClr val="FFFFFF"/>
                        </a:solidFill>
                        <a:ln w="12700">
                          <a:solidFill>
                            <a:srgbClr val="622423"/>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D8B6B2" w14:textId="77777777" w:rsidR="00093CDB" w:rsidRDefault="00093CDB" w:rsidP="00C60174">
                            <w:pPr>
                              <w:spacing w:after="0" w:line="240" w:lineRule="auto"/>
                              <w:jc w:val="center"/>
                              <w:rPr>
                                <w:b/>
                                <w:sz w:val="20"/>
                              </w:rPr>
                            </w:pPr>
                            <w:r w:rsidRPr="00ED4954">
                              <w:rPr>
                                <w:b/>
                                <w:sz w:val="20"/>
                              </w:rPr>
                              <w:t xml:space="preserve">PFM Sector Working Group </w:t>
                            </w:r>
                          </w:p>
                          <w:p w14:paraId="32E59E0F" w14:textId="77777777" w:rsidR="00093CDB" w:rsidRPr="00902166" w:rsidRDefault="00093CDB" w:rsidP="00C60174">
                            <w:pPr>
                              <w:spacing w:after="0" w:line="240" w:lineRule="auto"/>
                              <w:jc w:val="center"/>
                              <w:rPr>
                                <w:i/>
                                <w:sz w:val="16"/>
                              </w:rPr>
                            </w:pPr>
                            <w:r>
                              <w:rPr>
                                <w:i/>
                                <w:sz w:val="16"/>
                              </w:rPr>
                              <w:t xml:space="preserve">Reviews/gives opinion and recommendationson the Report. </w:t>
                            </w:r>
                          </w:p>
                          <w:p w14:paraId="2DED85A9" w14:textId="77777777" w:rsidR="00093CDB" w:rsidRPr="003F6183" w:rsidRDefault="00093CDB" w:rsidP="00C60174">
                            <w:pP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7105D5" id="Rectangle 3" o:spid="_x0000_s1029" style="position:absolute;left:0;text-align:left;margin-left:94.2pt;margin-top:2.05pt;width:223.65pt;height:34.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" strokecolor="#622423" strokeweight="1pt">
                <v:shadow color="#868686"/>
                <v:textbox>
                  <w:txbxContent>
                    <w:p w14:paraId="36D8B6B2" w14:textId="77777777" w:rsidR="00093CDB" w:rsidRDefault="00093CDB" w:rsidP="00C60174">
                      <w:pPr>
                        <w:spacing w:after="0" w:line="240" w:lineRule="auto"/>
                        <w:jc w:val="center"/>
                        <w:rPr>
                          <w:b/>
                          <w:sz w:val="20"/>
                        </w:rPr>
                      </w:pPr>
                      <w:r w:rsidRPr="00ED4954">
                        <w:rPr>
                          <w:b/>
                          <w:sz w:val="20"/>
                        </w:rPr>
                        <w:t xml:space="preserve">PFM Sector Working Group </w:t>
                      </w:r>
                    </w:p>
                    <w:p w14:paraId="32E59E0F" w14:textId="77777777" w:rsidR="00093CDB" w:rsidRPr="00902166" w:rsidRDefault="00093CDB" w:rsidP="00C60174">
                      <w:pPr>
                        <w:spacing w:after="0" w:line="240" w:lineRule="auto"/>
                        <w:jc w:val="center"/>
                        <w:rPr>
                          <w:i/>
                          <w:sz w:val="16"/>
                        </w:rPr>
                      </w:pPr>
                      <w:r>
                        <w:rPr>
                          <w:i/>
                          <w:sz w:val="16"/>
                        </w:rPr>
                        <w:t xml:space="preserve">Reviews/gives opinion and recommendationson the Report. </w:t>
                      </w:r>
                    </w:p>
                    <w:p w14:paraId="2DED85A9" w14:textId="77777777" w:rsidR="00093CDB" w:rsidRPr="003F6183" w:rsidRDefault="00093CDB" w:rsidP="00C60174">
                      <w:pPr>
                        <w:rPr>
                          <w:b/>
                          <w:sz w:val="20"/>
                        </w:rPr>
                      </w:pPr>
                    </w:p>
                  </w:txbxContent>
                </v:textbox>
                <w10:wrap anchorx="margin"/>
              </v:rect>
            </w:pict>
          </mc:Fallback>
        </mc:AlternateContent>
      </w:r>
    </w:p>
    <w:p w14:paraId="2BC620B0" w14:textId="4327FB96" w:rsidR="00C60174" w:rsidRPr="00D30847" w:rsidRDefault="00F113BE" w:rsidP="00C60174">
      <w:pPr>
        <w:tabs>
          <w:tab w:val="left" w:pos="851"/>
        </w:tabs>
        <w:spacing w:after="120" w:line="240" w:lineRule="auto"/>
        <w:jc w:val="center"/>
        <w:rPr>
          <w:rFonts w:eastAsia="MS PGothic"/>
          <w:b/>
          <w:color w:val="C00000"/>
          <w:highlight w:val="yellow"/>
          <w:lang w:val="en-GB" w:eastAsia="zh-CN"/>
        </w:rPr>
      </w:pPr>
      <w:r w:rsidRPr="00D30847">
        <w:rPr>
          <w:rFonts w:eastAsia="MS PGothic"/>
          <w:noProof/>
          <w:lang w:eastAsia="mk-MK"/>
        </w:rPr>
        <mc:AlternateContent>
          <mc:Choice Requires="wps">
            <w:drawing>
              <wp:anchor distT="0" distB="0" distL="114300" distR="114300" simplePos="0" relativeHeight="251659264" behindDoc="0" locked="0" layoutInCell="1" allowOverlap="1" wp14:anchorId="10F98FA1" wp14:editId="3C772DE2">
                <wp:simplePos x="0" y="0"/>
                <wp:positionH relativeFrom="column">
                  <wp:posOffset>2539365</wp:posOffset>
                </wp:positionH>
                <wp:positionV relativeFrom="paragraph">
                  <wp:posOffset>190500</wp:posOffset>
                </wp:positionV>
                <wp:extent cx="135255" cy="285750"/>
                <wp:effectExtent l="19050" t="19050" r="17145" b="0"/>
                <wp:wrapNone/>
                <wp:docPr id="6" name="Arrow: Up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 cy="285750"/>
                        </a:xfrm>
                        <a:prstGeom prst="upArrow">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F3BF8E" id="Arrow: Up 6" o:spid="_x0000_s1026" type="#_x0000_t68" style="position:absolute;margin-left:199.95pt;margin-top:15pt;width:10.6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" adj="5112" fillcolor="#e7e6e6" strokecolor="#44546a" strokeweight="1pt">
                <v:path arrowok="t"/>
              </v:shape>
            </w:pict>
          </mc:Fallback>
        </mc:AlternateContent>
      </w:r>
    </w:p>
    <w:p w14:paraId="6AE0C2C5" w14:textId="55A4F123" w:rsidR="00C60174" w:rsidRPr="00D30847" w:rsidRDefault="00F113BE" w:rsidP="00C60174">
      <w:pPr>
        <w:tabs>
          <w:tab w:val="left" w:pos="851"/>
        </w:tabs>
        <w:spacing w:after="120" w:line="240" w:lineRule="auto"/>
        <w:jc w:val="center"/>
        <w:rPr>
          <w:rFonts w:eastAsia="MS PGothic"/>
          <w:b/>
          <w:color w:val="C00000"/>
          <w:highlight w:val="yellow"/>
          <w:lang w:val="en-GB" w:eastAsia="zh-CN"/>
        </w:rPr>
      </w:pPr>
      <w:r w:rsidRPr="00D30847">
        <w:rPr>
          <w:rFonts w:eastAsia="MS PGothic"/>
          <w:noProof/>
          <w:lang w:eastAsia="mk-MK"/>
        </w:rPr>
        <mc:AlternateContent>
          <mc:Choice Requires="wps">
            <w:drawing>
              <wp:anchor distT="0" distB="0" distL="114300" distR="114300" simplePos="0" relativeHeight="251656192" behindDoc="0" locked="0" layoutInCell="1" allowOverlap="1" wp14:anchorId="5107BF65" wp14:editId="3581F51C">
                <wp:simplePos x="0" y="0"/>
                <wp:positionH relativeFrom="margin">
                  <wp:posOffset>1196340</wp:posOffset>
                </wp:positionH>
                <wp:positionV relativeFrom="paragraph">
                  <wp:posOffset>203835</wp:posOffset>
                </wp:positionV>
                <wp:extent cx="2880360" cy="768350"/>
                <wp:effectExtent l="0" t="0" r="0" b="0"/>
                <wp:wrapNone/>
                <wp:docPr id="7830254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360" cy="768350"/>
                        </a:xfrm>
                        <a:prstGeom prst="rect">
                          <a:avLst/>
                        </a:prstGeom>
                        <a:solidFill>
                          <a:srgbClr val="FFFFFF"/>
                        </a:solidFill>
                        <a:ln w="12700">
                          <a:solidFill>
                            <a:srgbClr val="622423"/>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DE48AF" w14:textId="77777777" w:rsidR="00093CDB" w:rsidRDefault="00093CDB" w:rsidP="00C60174">
                            <w:pPr>
                              <w:spacing w:after="0"/>
                              <w:jc w:val="center"/>
                              <w:rPr>
                                <w:b/>
                                <w:sz w:val="20"/>
                              </w:rPr>
                            </w:pPr>
                            <w:r w:rsidRPr="00ED4954">
                              <w:rPr>
                                <w:b/>
                                <w:sz w:val="20"/>
                              </w:rPr>
                              <w:t>Ministry of Finance</w:t>
                            </w:r>
                            <w:r>
                              <w:rPr>
                                <w:b/>
                                <w:sz w:val="20"/>
                              </w:rPr>
                              <w:t xml:space="preserve">- </w:t>
                            </w:r>
                            <w:r w:rsidRPr="00ED4954">
                              <w:rPr>
                                <w:b/>
                                <w:sz w:val="20"/>
                              </w:rPr>
                              <w:t xml:space="preserve">Coordination Unit </w:t>
                            </w:r>
                          </w:p>
                          <w:p w14:paraId="41972948" w14:textId="77777777" w:rsidR="00093CDB" w:rsidRDefault="00093CDB" w:rsidP="00C60174">
                            <w:pPr>
                              <w:spacing w:after="0"/>
                              <w:jc w:val="center"/>
                              <w:rPr>
                                <w:b/>
                                <w:sz w:val="20"/>
                              </w:rPr>
                            </w:pPr>
                          </w:p>
                          <w:p w14:paraId="5F17827A" w14:textId="77777777" w:rsidR="00093CDB" w:rsidRPr="00C03B03" w:rsidRDefault="00093CDB" w:rsidP="00C60174">
                            <w:pPr>
                              <w:jc w:val="center"/>
                              <w:rPr>
                                <w:i/>
                                <w:sz w:val="16"/>
                              </w:rPr>
                            </w:pPr>
                            <w:r>
                              <w:rPr>
                                <w:i/>
                                <w:sz w:val="16"/>
                              </w:rPr>
                              <w:t>coordinates the preparation process and prepares consolidated Report.</w:t>
                            </w:r>
                          </w:p>
                          <w:p w14:paraId="23F55B90" w14:textId="77777777" w:rsidR="00093CDB" w:rsidRPr="003F6183" w:rsidRDefault="00093CDB" w:rsidP="00C60174">
                            <w:pPr>
                              <w:jc w:val="cente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07BF65" id="Rectangle 19" o:spid="_x0000_s1030" style="position:absolute;left:0;text-align:left;margin-left:94.2pt;margin-top:16.05pt;width:226.8pt;height:6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" strokecolor="#622423" strokeweight="1pt">
                <v:shadow color="#868686"/>
                <v:textbox>
                  <w:txbxContent>
                    <w:p w14:paraId="43DE48AF" w14:textId="77777777" w:rsidR="00093CDB" w:rsidRDefault="00093CDB" w:rsidP="00C60174">
                      <w:pPr>
                        <w:spacing w:after="0"/>
                        <w:jc w:val="center"/>
                        <w:rPr>
                          <w:b/>
                          <w:sz w:val="20"/>
                        </w:rPr>
                      </w:pPr>
                      <w:r w:rsidRPr="00ED4954">
                        <w:rPr>
                          <w:b/>
                          <w:sz w:val="20"/>
                        </w:rPr>
                        <w:t>Ministry of Finance</w:t>
                      </w:r>
                      <w:r>
                        <w:rPr>
                          <w:b/>
                          <w:sz w:val="20"/>
                        </w:rPr>
                        <w:t xml:space="preserve">- </w:t>
                      </w:r>
                      <w:r w:rsidRPr="00ED4954">
                        <w:rPr>
                          <w:b/>
                          <w:sz w:val="20"/>
                        </w:rPr>
                        <w:t xml:space="preserve">Coordination Unit </w:t>
                      </w:r>
                    </w:p>
                    <w:p w14:paraId="41972948" w14:textId="77777777" w:rsidR="00093CDB" w:rsidRDefault="00093CDB" w:rsidP="00C60174">
                      <w:pPr>
                        <w:spacing w:after="0"/>
                        <w:jc w:val="center"/>
                        <w:rPr>
                          <w:b/>
                          <w:sz w:val="20"/>
                        </w:rPr>
                      </w:pPr>
                    </w:p>
                    <w:p w14:paraId="5F17827A" w14:textId="77777777" w:rsidR="00093CDB" w:rsidRPr="00C03B03" w:rsidRDefault="00093CDB" w:rsidP="00C60174">
                      <w:pPr>
                        <w:jc w:val="center"/>
                        <w:rPr>
                          <w:i/>
                          <w:sz w:val="16"/>
                        </w:rPr>
                      </w:pPr>
                      <w:r>
                        <w:rPr>
                          <w:i/>
                          <w:sz w:val="16"/>
                        </w:rPr>
                        <w:t>coordinates the preparation process and prepares consolidated Report.</w:t>
                      </w:r>
                    </w:p>
                    <w:p w14:paraId="23F55B90" w14:textId="77777777" w:rsidR="00093CDB" w:rsidRPr="003F6183" w:rsidRDefault="00093CDB" w:rsidP="00C60174">
                      <w:pPr>
                        <w:jc w:val="center"/>
                        <w:rPr>
                          <w:b/>
                          <w:sz w:val="20"/>
                        </w:rPr>
                      </w:pPr>
                    </w:p>
                  </w:txbxContent>
                </v:textbox>
                <w10:wrap anchorx="margin"/>
              </v:rect>
            </w:pict>
          </mc:Fallback>
        </mc:AlternateContent>
      </w:r>
    </w:p>
    <w:p w14:paraId="4B9D00AB" w14:textId="77777777" w:rsidR="00C60174" w:rsidRPr="00D30847" w:rsidRDefault="00C60174" w:rsidP="00C60174">
      <w:pPr>
        <w:tabs>
          <w:tab w:val="left" w:pos="851"/>
        </w:tabs>
        <w:spacing w:after="120" w:line="240" w:lineRule="auto"/>
        <w:jc w:val="center"/>
        <w:rPr>
          <w:rFonts w:eastAsia="MS PGothic"/>
          <w:b/>
          <w:color w:val="C00000"/>
          <w:highlight w:val="yellow"/>
          <w:lang w:val="en-GB" w:eastAsia="zh-CN"/>
        </w:rPr>
      </w:pPr>
    </w:p>
    <w:p w14:paraId="612F78C2" w14:textId="77777777" w:rsidR="00C60174" w:rsidRPr="00D30847" w:rsidRDefault="00C60174" w:rsidP="00C60174">
      <w:pPr>
        <w:tabs>
          <w:tab w:val="left" w:pos="851"/>
        </w:tabs>
        <w:spacing w:after="120" w:line="240" w:lineRule="auto"/>
        <w:jc w:val="center"/>
        <w:rPr>
          <w:rFonts w:eastAsia="MS PGothic"/>
          <w:b/>
          <w:color w:val="C00000"/>
          <w:highlight w:val="yellow"/>
          <w:lang w:val="en-GB" w:eastAsia="zh-CN"/>
        </w:rPr>
      </w:pPr>
    </w:p>
    <w:p w14:paraId="7538A61B" w14:textId="19C05CF2" w:rsidR="00C60174" w:rsidRPr="00D30847" w:rsidRDefault="00F113BE" w:rsidP="00C60174">
      <w:pPr>
        <w:tabs>
          <w:tab w:val="left" w:pos="851"/>
        </w:tabs>
        <w:spacing w:after="120" w:line="240" w:lineRule="auto"/>
        <w:jc w:val="center"/>
        <w:rPr>
          <w:rFonts w:eastAsia="MS PGothic"/>
          <w:b/>
          <w:color w:val="C00000"/>
          <w:highlight w:val="yellow"/>
          <w:lang w:val="en-GB" w:eastAsia="zh-CN"/>
        </w:rPr>
      </w:pPr>
      <w:r w:rsidRPr="00D30847">
        <w:rPr>
          <w:rFonts w:eastAsia="MS PGothic"/>
          <w:b/>
          <w:noProof/>
          <w:color w:val="C00000"/>
          <w:lang w:eastAsia="mk-MK"/>
        </w:rPr>
        <mc:AlternateContent>
          <mc:Choice Requires="wps">
            <w:drawing>
              <wp:anchor distT="0" distB="0" distL="114300" distR="114300" simplePos="0" relativeHeight="251661312" behindDoc="0" locked="0" layoutInCell="1" allowOverlap="1" wp14:anchorId="31467077" wp14:editId="5373BA56">
                <wp:simplePos x="0" y="0"/>
                <wp:positionH relativeFrom="column">
                  <wp:posOffset>2539365</wp:posOffset>
                </wp:positionH>
                <wp:positionV relativeFrom="paragraph">
                  <wp:posOffset>154940</wp:posOffset>
                </wp:positionV>
                <wp:extent cx="135255" cy="285750"/>
                <wp:effectExtent l="19050" t="19050" r="17145" b="0"/>
                <wp:wrapNone/>
                <wp:docPr id="5" name="Arrow: Up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 cy="285750"/>
                        </a:xfrm>
                        <a:prstGeom prst="upArrow">
                          <a:avLst/>
                        </a:prstGeom>
                        <a:solidFill>
                          <a:srgbClr val="E7E6E6"/>
                        </a:solidFill>
                        <a:ln w="1270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E32654" id="Arrow: Up 5" o:spid="_x0000_s1026" type="#_x0000_t68" style="position:absolute;margin-left:199.95pt;margin-top:12.2pt;width:10.6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" adj="5112" fillcolor="#e7e6e6" strokecolor="#44546a" strokeweight="1pt">
                <v:path arrowok="t"/>
              </v:shape>
            </w:pict>
          </mc:Fallback>
        </mc:AlternateContent>
      </w:r>
    </w:p>
    <w:p w14:paraId="19494EC6" w14:textId="43CF5FC3" w:rsidR="00C60174" w:rsidRPr="00D30847" w:rsidRDefault="00F113BE" w:rsidP="00C60174">
      <w:pPr>
        <w:tabs>
          <w:tab w:val="left" w:pos="851"/>
        </w:tabs>
        <w:spacing w:after="120" w:line="240" w:lineRule="auto"/>
        <w:jc w:val="center"/>
        <w:rPr>
          <w:rFonts w:eastAsia="MS PGothic"/>
          <w:b/>
          <w:color w:val="C00000"/>
          <w:highlight w:val="yellow"/>
          <w:lang w:val="en-GB" w:eastAsia="zh-CN"/>
        </w:rPr>
      </w:pPr>
      <w:r w:rsidRPr="00D30847">
        <w:rPr>
          <w:rFonts w:eastAsia="MS PGothic"/>
          <w:b/>
          <w:noProof/>
          <w:color w:val="C00000"/>
          <w:lang w:eastAsia="mk-MK"/>
        </w:rPr>
        <mc:AlternateContent>
          <mc:Choice Requires="wps">
            <w:drawing>
              <wp:anchor distT="0" distB="0" distL="114300" distR="114300" simplePos="0" relativeHeight="251660288" behindDoc="0" locked="0" layoutInCell="1" allowOverlap="1" wp14:anchorId="765558D9" wp14:editId="5223D5D6">
                <wp:simplePos x="0" y="0"/>
                <wp:positionH relativeFrom="margin">
                  <wp:posOffset>1196340</wp:posOffset>
                </wp:positionH>
                <wp:positionV relativeFrom="paragraph">
                  <wp:posOffset>168910</wp:posOffset>
                </wp:positionV>
                <wp:extent cx="2880360" cy="802640"/>
                <wp:effectExtent l="0" t="0" r="0" b="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360" cy="802640"/>
                        </a:xfrm>
                        <a:prstGeom prst="rect">
                          <a:avLst/>
                        </a:prstGeom>
                        <a:solidFill>
                          <a:srgbClr val="FFFFFF"/>
                        </a:solidFill>
                        <a:ln w="12700">
                          <a:solidFill>
                            <a:srgbClr val="622423"/>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E7DEF0" w14:textId="77777777" w:rsidR="00093CDB" w:rsidRDefault="00093CDB" w:rsidP="00C60174">
                            <w:pPr>
                              <w:jc w:val="center"/>
                              <w:rPr>
                                <w:b/>
                                <w:sz w:val="20"/>
                              </w:rPr>
                            </w:pPr>
                            <w:r w:rsidRPr="00ED4954">
                              <w:rPr>
                                <w:b/>
                                <w:sz w:val="20"/>
                              </w:rPr>
                              <w:t>Priority Coordinator</w:t>
                            </w:r>
                          </w:p>
                          <w:p w14:paraId="01608EC8" w14:textId="77777777" w:rsidR="00093CDB" w:rsidRPr="00C03B03" w:rsidRDefault="00093CDB" w:rsidP="00C60174">
                            <w:pPr>
                              <w:jc w:val="center"/>
                              <w:rPr>
                                <w:i/>
                                <w:sz w:val="16"/>
                              </w:rPr>
                            </w:pPr>
                            <w:r>
                              <w:rPr>
                                <w:i/>
                                <w:sz w:val="16"/>
                              </w:rPr>
                              <w:t xml:space="preserve">monitors the implementation of the annual action plan and prepares report on specific priority. </w:t>
                            </w:r>
                          </w:p>
                          <w:p w14:paraId="70525037" w14:textId="77777777" w:rsidR="00093CDB" w:rsidRDefault="00093CDB" w:rsidP="00C60174">
                            <w:pPr>
                              <w:jc w:val="center"/>
                              <w:rPr>
                                <w:b/>
                                <w:sz w:val="20"/>
                              </w:rPr>
                            </w:pPr>
                          </w:p>
                          <w:p w14:paraId="20DC4BB7" w14:textId="77777777" w:rsidR="00093CDB" w:rsidRPr="009B0916" w:rsidRDefault="00093CDB" w:rsidP="00C60174">
                            <w:pPr>
                              <w:rPr>
                                <w:i/>
                                <w:sz w:val="16"/>
                              </w:rPr>
                            </w:pPr>
                          </w:p>
                          <w:p w14:paraId="3E51628E" w14:textId="77777777" w:rsidR="00093CDB" w:rsidRPr="003F6183" w:rsidRDefault="00093CDB" w:rsidP="00C60174">
                            <w:pP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5558D9" id="Rectangle 2" o:spid="_x0000_s1031" style="position:absolute;left:0;text-align:left;margin-left:94.2pt;margin-top:13.3pt;width:226.8pt;height:6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" strokecolor="#622423" strokeweight="1pt">
                <v:shadow color="#868686"/>
                <v:textbox>
                  <w:txbxContent>
                    <w:p w14:paraId="53E7DEF0" w14:textId="77777777" w:rsidR="00093CDB" w:rsidRDefault="00093CDB" w:rsidP="00C60174">
                      <w:pPr>
                        <w:jc w:val="center"/>
                        <w:rPr>
                          <w:b/>
                          <w:sz w:val="20"/>
                        </w:rPr>
                      </w:pPr>
                      <w:r w:rsidRPr="00ED4954">
                        <w:rPr>
                          <w:b/>
                          <w:sz w:val="20"/>
                        </w:rPr>
                        <w:t>Priority Coordinator</w:t>
                      </w:r>
                    </w:p>
                    <w:p w14:paraId="01608EC8" w14:textId="77777777" w:rsidR="00093CDB" w:rsidRPr="00C03B03" w:rsidRDefault="00093CDB" w:rsidP="00C60174">
                      <w:pPr>
                        <w:jc w:val="center"/>
                        <w:rPr>
                          <w:i/>
                          <w:sz w:val="16"/>
                        </w:rPr>
                      </w:pPr>
                      <w:r>
                        <w:rPr>
                          <w:i/>
                          <w:sz w:val="16"/>
                        </w:rPr>
                        <w:t xml:space="preserve">monitors the implementation of the annual action plan and prepares report on specific priority. </w:t>
                      </w:r>
                    </w:p>
                    <w:p w14:paraId="70525037" w14:textId="77777777" w:rsidR="00093CDB" w:rsidRDefault="00093CDB" w:rsidP="00C60174">
                      <w:pPr>
                        <w:jc w:val="center"/>
                        <w:rPr>
                          <w:b/>
                          <w:sz w:val="20"/>
                        </w:rPr>
                      </w:pPr>
                    </w:p>
                    <w:p w14:paraId="20DC4BB7" w14:textId="77777777" w:rsidR="00093CDB" w:rsidRPr="009B0916" w:rsidRDefault="00093CDB" w:rsidP="00C60174">
                      <w:pPr>
                        <w:rPr>
                          <w:i/>
                          <w:sz w:val="16"/>
                        </w:rPr>
                      </w:pPr>
                    </w:p>
                    <w:p w14:paraId="3E51628E" w14:textId="77777777" w:rsidR="00093CDB" w:rsidRPr="003F6183" w:rsidRDefault="00093CDB" w:rsidP="00C60174">
                      <w:pPr>
                        <w:rPr>
                          <w:b/>
                          <w:sz w:val="20"/>
                        </w:rPr>
                      </w:pPr>
                    </w:p>
                  </w:txbxContent>
                </v:textbox>
                <w10:wrap anchorx="margin"/>
              </v:rect>
            </w:pict>
          </mc:Fallback>
        </mc:AlternateContent>
      </w:r>
    </w:p>
    <w:p w14:paraId="2C5FCA3D" w14:textId="77777777" w:rsidR="00C60174" w:rsidRPr="00D30847" w:rsidRDefault="00C60174" w:rsidP="00C60174">
      <w:pPr>
        <w:tabs>
          <w:tab w:val="left" w:pos="851"/>
        </w:tabs>
        <w:spacing w:after="120" w:line="240" w:lineRule="auto"/>
        <w:jc w:val="center"/>
        <w:rPr>
          <w:rFonts w:eastAsia="MS PGothic"/>
          <w:b/>
          <w:color w:val="C00000"/>
          <w:highlight w:val="yellow"/>
          <w:lang w:val="en-GB" w:eastAsia="zh-CN"/>
        </w:rPr>
      </w:pPr>
    </w:p>
    <w:p w14:paraId="71DE447F" w14:textId="77777777" w:rsidR="00C60174" w:rsidRPr="00D30847" w:rsidRDefault="00C60174" w:rsidP="00C60174">
      <w:pPr>
        <w:tabs>
          <w:tab w:val="left" w:pos="851"/>
        </w:tabs>
        <w:spacing w:after="120" w:line="240" w:lineRule="auto"/>
        <w:jc w:val="center"/>
        <w:rPr>
          <w:rFonts w:eastAsia="MS PGothic"/>
          <w:b/>
          <w:noProof/>
          <w:color w:val="C00000"/>
          <w:lang w:val="en-GB" w:eastAsia="zh-CN"/>
        </w:rPr>
      </w:pPr>
    </w:p>
    <w:p w14:paraId="76F6C122" w14:textId="77777777" w:rsidR="00C60174" w:rsidRPr="00D30847" w:rsidRDefault="00C60174" w:rsidP="00C60174">
      <w:pPr>
        <w:tabs>
          <w:tab w:val="left" w:pos="851"/>
        </w:tabs>
        <w:spacing w:after="120" w:line="240" w:lineRule="auto"/>
        <w:jc w:val="both"/>
        <w:rPr>
          <w:rFonts w:eastAsia="MS PGothic"/>
          <w:b/>
          <w:noProof/>
          <w:color w:val="C00000"/>
          <w:highlight w:val="yellow"/>
          <w:lang w:val="en-GB" w:eastAsia="zh-CN"/>
        </w:rPr>
      </w:pPr>
    </w:p>
    <w:p w14:paraId="735C1F13" w14:textId="77777777" w:rsidR="00C60174" w:rsidRPr="00D30847" w:rsidRDefault="00C60174" w:rsidP="00C60174">
      <w:pPr>
        <w:spacing w:line="240" w:lineRule="auto"/>
        <w:rPr>
          <w:b/>
          <w:color w:val="0070C0"/>
          <w:sz w:val="28"/>
          <w:szCs w:val="28"/>
          <w:lang w:val="en-GB"/>
        </w:rPr>
      </w:pPr>
    </w:p>
    <w:p w14:paraId="30210122" w14:textId="77777777" w:rsidR="00C60174" w:rsidRPr="00D30847" w:rsidRDefault="00C60174" w:rsidP="00C60174">
      <w:pPr>
        <w:spacing w:line="240" w:lineRule="auto"/>
        <w:jc w:val="both"/>
        <w:rPr>
          <w:rFonts w:eastAsia="Times New Roman" w:cs="Calibri"/>
          <w:color w:val="202124"/>
          <w:lang w:val="en-GB"/>
        </w:rPr>
      </w:pPr>
      <w:r w:rsidRPr="00D30847">
        <w:rPr>
          <w:rFonts w:eastAsia="Times New Roman" w:cs="Calibri"/>
          <w:color w:val="202124"/>
          <w:lang w:val="en-GB"/>
        </w:rPr>
        <w:t>Program implementation will be monitored by means of semi-annual and annual reports. By way of exception, the reporting period may be longer than 6 months. Upon prior approval by the PFM Council, the Government considers the reports and adopts respective conclusions with assignments for the institutions in charge. Adopted reports are published on the Ministry of Finance website.</w:t>
      </w:r>
    </w:p>
    <w:p w14:paraId="07AE50ED" w14:textId="77777777" w:rsidR="00C60174" w:rsidRPr="00D30847" w:rsidRDefault="00C60174" w:rsidP="00C60174">
      <w:pPr>
        <w:spacing w:line="240" w:lineRule="auto"/>
        <w:jc w:val="both"/>
        <w:rPr>
          <w:color w:val="0070C0"/>
          <w:lang w:val="en-GB"/>
        </w:rPr>
        <w:sectPr w:rsidR="00C60174" w:rsidRPr="00D30847" w:rsidSect="009C1F26">
          <w:headerReference w:type="default" r:id="rId10"/>
          <w:pgSz w:w="11906" w:h="16838"/>
          <w:pgMar w:top="1080" w:right="1440" w:bottom="1260" w:left="1440" w:header="708" w:footer="708" w:gutter="0"/>
          <w:cols w:space="708"/>
          <w:docGrid w:linePitch="360"/>
        </w:sectPr>
      </w:pPr>
    </w:p>
    <w:p w14:paraId="456342B4" w14:textId="77777777" w:rsidR="00C60174" w:rsidRPr="00D30847" w:rsidRDefault="00C60174" w:rsidP="00C60174">
      <w:pPr>
        <w:spacing w:line="240" w:lineRule="auto"/>
        <w:jc w:val="both"/>
        <w:rPr>
          <w:rFonts w:cs="Calibri"/>
          <w:b/>
          <w:color w:val="0070C0"/>
          <w:sz w:val="28"/>
          <w:szCs w:val="28"/>
          <w:lang w:val="en-GB"/>
        </w:rPr>
      </w:pPr>
      <w:r w:rsidRPr="00D30847">
        <w:rPr>
          <w:rFonts w:cs="Calibri"/>
          <w:b/>
          <w:color w:val="0070C0"/>
          <w:sz w:val="28"/>
          <w:szCs w:val="28"/>
          <w:lang w:val="en-GB"/>
        </w:rPr>
        <w:lastRenderedPageBreak/>
        <w:t>Link with the Public Administration Reform Strategy</w:t>
      </w:r>
    </w:p>
    <w:p w14:paraId="0C02CC7C" w14:textId="51B92EE5" w:rsidR="00C60174" w:rsidRPr="00D30847" w:rsidRDefault="00C60174" w:rsidP="00FD1416">
      <w:pPr>
        <w:spacing w:line="240" w:lineRule="auto"/>
        <w:jc w:val="both"/>
        <w:rPr>
          <w:rFonts w:eastAsia="Times New Roman" w:cs="Calibri"/>
          <w:color w:val="202124"/>
          <w:lang w:val="en-GB"/>
        </w:rPr>
      </w:pPr>
      <w:r w:rsidRPr="00D30847">
        <w:rPr>
          <w:rFonts w:eastAsia="Times New Roman" w:cs="Calibri"/>
          <w:color w:val="202124"/>
          <w:lang w:val="en-GB"/>
        </w:rPr>
        <w:t>Public administration reform is a central area of ​​the Cluster “Fundamentals” who is crucial for the progress in negotiations with the EU and therefore public administration reform remains one of the Government's key priorities. Given that the duration of negotiations for full membership depends on the speed with which reforms are implemented in the country, a new Strategy for the Reform of Public Administration (2023-2030) has been prepared, in the time period by which the Republic of North Macedonia is expected to become a full member of the EU the following vision is set: depoliticized, efficient, effective and accountable public administration that provides quality policies and easily accessible services for citizens and the business entities. The work of public administration is based on European principles and values ​​and contributes to sustainable economic growth, rule of law, social cohesion and well-being. The draft version of the Strategy for Public Ad</w:t>
      </w:r>
      <w:r w:rsidR="00F368A1">
        <w:rPr>
          <w:rFonts w:eastAsia="Times New Roman" w:cs="Calibri"/>
          <w:color w:val="202124"/>
          <w:lang w:val="en-GB"/>
        </w:rPr>
        <w:t>ministration Reform (2023-2030)</w:t>
      </w:r>
      <w:r w:rsidRPr="00D30847">
        <w:rPr>
          <w:rFonts w:eastAsia="Times New Roman" w:cs="Calibri"/>
          <w:color w:val="202124"/>
          <w:lang w:val="en-GB"/>
        </w:rPr>
        <w:t xml:space="preserve"> with Action Plan 2023-</w:t>
      </w:r>
      <w:r w:rsidR="00F368A1" w:rsidRPr="00D30847">
        <w:rPr>
          <w:rFonts w:eastAsia="Times New Roman" w:cs="Calibri"/>
          <w:color w:val="202124"/>
          <w:lang w:val="en-GB"/>
        </w:rPr>
        <w:t>2026 reflects</w:t>
      </w:r>
      <w:r w:rsidRPr="00D30847">
        <w:rPr>
          <w:rFonts w:eastAsia="Times New Roman" w:cs="Calibri"/>
          <w:color w:val="202124"/>
          <w:lang w:val="en-GB"/>
        </w:rPr>
        <w:t xml:space="preserve"> the situation and challenges in public administration in the Republic of North Macedonia, as of December 31, 2022, and it was published on ENER for public consultations on 9th February 2023.</w:t>
      </w:r>
    </w:p>
    <w:p w14:paraId="626B6366" w14:textId="105142F2" w:rsidR="00C60174" w:rsidRPr="00D30847" w:rsidRDefault="00C60174" w:rsidP="00FD1416">
      <w:pPr>
        <w:tabs>
          <w:tab w:val="left" w:pos="851"/>
        </w:tabs>
        <w:spacing w:before="120" w:after="120" w:line="240" w:lineRule="auto"/>
        <w:jc w:val="both"/>
        <w:rPr>
          <w:rFonts w:eastAsia="Times New Roman" w:cs="Calibri"/>
          <w:color w:val="202124"/>
          <w:lang w:val="en-GB"/>
        </w:rPr>
      </w:pPr>
      <w:r w:rsidRPr="00D30847">
        <w:rPr>
          <w:rFonts w:eastAsia="Times New Roman" w:cs="Calibri"/>
          <w:color w:val="202124"/>
          <w:lang w:val="en-GB"/>
        </w:rPr>
        <w:t>Public financial management reform is one of the key pillars of the public administration reform (PAR), accordingly being incorporated in the PAR Strategy and the Action Plan for Implementation of PAR Strategy. Given that modern public administration is basis for efficient and effective public financial management, when preparing the PFM Reform Programme and the PAR Strategy, full coherence and harmonisation of both strategic documents is ensured. Particular attention has been paid to the human resources capacity, policy planning capacity, e-services, provision of services and orientation towards results coordination as regards enhancing managerial accountability, internal control environment and improving transparency. Moreover, link between these two strategic document</w:t>
      </w:r>
      <w:r w:rsidR="0014338C" w:rsidRPr="00D30847">
        <w:rPr>
          <w:rFonts w:eastAsia="Times New Roman" w:cs="Calibri"/>
          <w:color w:val="202124"/>
          <w:lang w:val="en-GB"/>
        </w:rPr>
        <w:t>s</w:t>
      </w:r>
      <w:r w:rsidRPr="00D30847">
        <w:rPr>
          <w:rFonts w:eastAsia="Times New Roman" w:cs="Calibri"/>
          <w:color w:val="202124"/>
          <w:lang w:val="en-GB"/>
        </w:rPr>
        <w:t xml:space="preserve"> has been further strengthened with the Minister of Information Society and Administration participating in the process of managing and coordinating the PFM Reform Programme, as a member of the PFM Council, and its representatives in the PFM Sector Working Group, thus ensuring consistency and complementarity in the implementation of both documents. Furthermore, PFM reforms are put on the agenda of the SAA monitoring process, in particular, the progress in implementation of the reforms is discussed during the meetings of the Special Group for Public Administration Reform. In addition, agendas of the PFM policy dialogue and the Special Group for Public Administration Reform are harmonised. </w:t>
      </w:r>
    </w:p>
    <w:p w14:paraId="4CD11C4A" w14:textId="3BAE47F9" w:rsidR="00C60174" w:rsidRPr="00D30847" w:rsidRDefault="00C60174" w:rsidP="00FD1416">
      <w:pPr>
        <w:shd w:val="clear" w:color="auto" w:fill="FFFFFF"/>
        <w:spacing w:before="120" w:after="120" w:line="240" w:lineRule="auto"/>
        <w:jc w:val="both"/>
        <w:rPr>
          <w:rFonts w:eastAsia="Times New Roman" w:cs="Calibri"/>
          <w:color w:val="202124"/>
          <w:lang w:val="en-GB"/>
        </w:rPr>
      </w:pPr>
      <w:r w:rsidRPr="00D30847">
        <w:rPr>
          <w:rFonts w:eastAsia="Times New Roman" w:cs="Calibri"/>
          <w:color w:val="202124"/>
          <w:lang w:val="en-GB"/>
        </w:rPr>
        <w:t>Under IPA Project “Support to State Reorganisation”, implemented by the Ministry of Information Society and Administration, new Law on Organisational Setup and Operations of State Administration Bodies, aimed at streamlining the institutional framework, eliminating the overlapping competencies and improving the efficiency of the administration, strengthening the public services, as well as the ethics, integrity, transparency and accountability of the public administration is in preparation</w:t>
      </w:r>
    </w:p>
    <w:p w14:paraId="0D3733BA" w14:textId="77777777" w:rsidR="00C60174" w:rsidRPr="00D30847" w:rsidRDefault="00C60174" w:rsidP="00FD1416">
      <w:pPr>
        <w:shd w:val="clear" w:color="auto" w:fill="FFFFFF"/>
        <w:spacing w:before="120" w:after="120" w:line="240" w:lineRule="auto"/>
        <w:jc w:val="both"/>
        <w:rPr>
          <w:rFonts w:eastAsia="Times New Roman" w:cs="Calibri"/>
          <w:color w:val="202124"/>
          <w:lang w:val="en-GB"/>
        </w:rPr>
      </w:pPr>
      <w:r w:rsidRPr="00D30847">
        <w:rPr>
          <w:rFonts w:eastAsia="Times New Roman" w:cs="Calibri"/>
          <w:color w:val="202124"/>
          <w:lang w:val="en-GB"/>
        </w:rPr>
        <w:t xml:space="preserve">Organisational setup of the new Departments has been defined with a functional analysis made by the Ministry of Finance. In order to commence performing the new functions related to public investment management, concession registry, carrying out training in the area of public finances, etc., Ministry of Finance in December 2022 had amend the organisation and systematisation acts, so that new organisational units were established and their staffing is underway. </w:t>
      </w:r>
    </w:p>
    <w:p w14:paraId="19C82F2E" w14:textId="77777777" w:rsidR="00C60174" w:rsidRPr="00D30847" w:rsidRDefault="00C60174" w:rsidP="00C60174">
      <w:pPr>
        <w:spacing w:before="360" w:after="120" w:line="240" w:lineRule="auto"/>
        <w:jc w:val="both"/>
        <w:rPr>
          <w:rFonts w:cs="Calibri"/>
          <w:b/>
          <w:color w:val="0070C0"/>
          <w:sz w:val="28"/>
          <w:szCs w:val="28"/>
          <w:lang w:val="en-GB"/>
        </w:rPr>
      </w:pPr>
      <w:r w:rsidRPr="00D30847">
        <w:rPr>
          <w:rFonts w:cs="Calibri"/>
          <w:b/>
          <w:color w:val="0070C0"/>
          <w:sz w:val="28"/>
          <w:szCs w:val="28"/>
          <w:lang w:val="en-GB"/>
        </w:rPr>
        <w:t>PFM Donor Coordination</w:t>
      </w:r>
    </w:p>
    <w:p w14:paraId="2FC6AB90" w14:textId="77777777" w:rsidR="00C60174" w:rsidRPr="00D30847" w:rsidRDefault="00C60174" w:rsidP="00FD1416">
      <w:pPr>
        <w:spacing w:after="120" w:line="240" w:lineRule="auto"/>
        <w:jc w:val="both"/>
        <w:rPr>
          <w:rFonts w:cs="Calibri"/>
          <w:iCs/>
          <w:lang w:val="en-GB"/>
        </w:rPr>
      </w:pPr>
      <w:r w:rsidRPr="00D30847">
        <w:rPr>
          <w:rFonts w:cs="Calibri"/>
          <w:iCs/>
          <w:lang w:val="en-GB"/>
        </w:rPr>
        <w:t>PFM donor coordination is carried out at two levels:</w:t>
      </w:r>
    </w:p>
    <w:p w14:paraId="73B08176" w14:textId="3E31A1B7" w:rsidR="00C60174" w:rsidRPr="00D30847" w:rsidRDefault="00C60174" w:rsidP="00AD2AD5">
      <w:pPr>
        <w:numPr>
          <w:ilvl w:val="0"/>
          <w:numId w:val="7"/>
        </w:numPr>
        <w:spacing w:after="120" w:line="240" w:lineRule="auto"/>
        <w:jc w:val="both"/>
        <w:rPr>
          <w:rFonts w:cs="Calibri"/>
          <w:iCs/>
          <w:lang w:val="en-GB"/>
        </w:rPr>
      </w:pPr>
      <w:r w:rsidRPr="00D30847">
        <w:rPr>
          <w:rFonts w:cs="Calibri"/>
          <w:iCs/>
          <w:lang w:val="en-GB"/>
        </w:rPr>
        <w:t>Policy level - PFM Council and PFM policy dialogue.</w:t>
      </w:r>
      <w:r w:rsidR="00AC5AD1" w:rsidRPr="00D30847">
        <w:rPr>
          <w:rFonts w:cs="Calibri"/>
          <w:iCs/>
          <w:lang w:val="en-GB"/>
        </w:rPr>
        <w:t xml:space="preserve"> </w:t>
      </w:r>
      <w:r w:rsidRPr="00D30847">
        <w:rPr>
          <w:rFonts w:cs="Calibri"/>
          <w:iCs/>
          <w:lang w:val="en-GB"/>
        </w:rPr>
        <w:t>One of the main tasks of the PFM Council is to facilitate the policy dialogue with relevant institutions and donors.</w:t>
      </w:r>
      <w:r w:rsidR="00AC5AD1" w:rsidRPr="00D30847">
        <w:rPr>
          <w:rFonts w:cs="Calibri"/>
          <w:iCs/>
          <w:lang w:val="en-GB"/>
        </w:rPr>
        <w:t xml:space="preserve"> </w:t>
      </w:r>
      <w:r w:rsidRPr="00D30847">
        <w:rPr>
          <w:rFonts w:cs="Calibri"/>
          <w:iCs/>
          <w:lang w:val="en-GB"/>
        </w:rPr>
        <w:t>Members of the PFM Council participate in the PFM policy dialogues with all relevant stakeholders.</w:t>
      </w:r>
    </w:p>
    <w:p w14:paraId="55637704" w14:textId="11D95A0C" w:rsidR="00C60174" w:rsidRPr="00D30847" w:rsidRDefault="00C60174" w:rsidP="00AD2AD5">
      <w:pPr>
        <w:numPr>
          <w:ilvl w:val="0"/>
          <w:numId w:val="7"/>
        </w:numPr>
        <w:spacing w:after="120" w:line="240" w:lineRule="auto"/>
        <w:jc w:val="both"/>
        <w:rPr>
          <w:rFonts w:cs="Calibri"/>
          <w:iCs/>
          <w:lang w:val="en-GB"/>
        </w:rPr>
      </w:pPr>
      <w:r w:rsidRPr="00D30847">
        <w:rPr>
          <w:rFonts w:cs="Calibri"/>
          <w:iCs/>
          <w:lang w:val="en-GB"/>
        </w:rPr>
        <w:lastRenderedPageBreak/>
        <w:t>Technical level - PFM Sector Working Group</w:t>
      </w:r>
      <w:r w:rsidR="002F500A" w:rsidRPr="00D30847">
        <w:rPr>
          <w:rFonts w:cs="Calibri"/>
          <w:iCs/>
          <w:lang w:val="en-GB"/>
        </w:rPr>
        <w:t xml:space="preserve"> </w:t>
      </w:r>
      <w:r w:rsidRPr="00D30847">
        <w:rPr>
          <w:rFonts w:cs="Calibri"/>
          <w:iCs/>
          <w:lang w:val="en-GB"/>
        </w:rPr>
        <w:t>PFM Sector Working Group is the main interinstitutional coordination body at technical level to debate on the national PFM reform documents, as well as inter-sector and sector strategies and development programmes (planning documents) related to PFM reforms, including those of importance for the EU integration, all to the end of providing a sustainable and long-term planning of national priorities and financial support from the donors.</w:t>
      </w:r>
    </w:p>
    <w:p w14:paraId="63D9A4B3" w14:textId="77777777" w:rsidR="00C60174" w:rsidRPr="00D30847" w:rsidRDefault="00C60174" w:rsidP="00FD1416">
      <w:pPr>
        <w:spacing w:after="120" w:line="240" w:lineRule="auto"/>
        <w:ind w:left="720"/>
        <w:jc w:val="both"/>
        <w:rPr>
          <w:rFonts w:cs="Calibri"/>
          <w:iCs/>
          <w:lang w:val="en-GB"/>
        </w:rPr>
      </w:pPr>
      <w:r w:rsidRPr="00D30847">
        <w:rPr>
          <w:rFonts w:cs="Calibri"/>
          <w:iCs/>
          <w:lang w:val="en-GB"/>
        </w:rPr>
        <w:t>Also, separate donor coordination meetings at operational level are organised with regard to the implementation of specific PFM sub-areas measures</w:t>
      </w:r>
    </w:p>
    <w:p w14:paraId="2F905579" w14:textId="77777777" w:rsidR="00C60174" w:rsidRPr="00D30847" w:rsidRDefault="00C60174" w:rsidP="00C60174">
      <w:pPr>
        <w:spacing w:before="360" w:line="240" w:lineRule="auto"/>
        <w:jc w:val="both"/>
        <w:rPr>
          <w:rFonts w:cs="Calibri"/>
          <w:b/>
          <w:color w:val="0070C0"/>
          <w:sz w:val="28"/>
          <w:szCs w:val="28"/>
          <w:lang w:val="en-GB"/>
        </w:rPr>
      </w:pPr>
      <w:r w:rsidRPr="00D30847">
        <w:rPr>
          <w:rFonts w:cs="Calibri"/>
          <w:b/>
          <w:color w:val="0070C0"/>
          <w:sz w:val="28"/>
          <w:szCs w:val="28"/>
          <w:lang w:val="en-GB"/>
        </w:rPr>
        <w:t>Public Consultation with External Partners</w:t>
      </w:r>
    </w:p>
    <w:p w14:paraId="4F2BD2C1" w14:textId="0076B02A" w:rsidR="00C60174" w:rsidRPr="00D30847" w:rsidRDefault="00C60174" w:rsidP="00FD1416">
      <w:pPr>
        <w:pStyle w:val="NormalPFM1"/>
        <w:spacing w:before="0" w:after="120" w:line="240" w:lineRule="auto"/>
        <w:rPr>
          <w:rFonts w:cs="Calibri"/>
          <w:sz w:val="22"/>
          <w:szCs w:val="22"/>
        </w:rPr>
      </w:pPr>
      <w:r w:rsidRPr="00D30847">
        <w:rPr>
          <w:rFonts w:cs="Calibri"/>
          <w:sz w:val="22"/>
          <w:szCs w:val="22"/>
        </w:rPr>
        <w:t>Process of public consultations for the preparation and implementation of the PFM reform program 202</w:t>
      </w:r>
      <w:r w:rsidR="00723A55" w:rsidRPr="00D30847">
        <w:rPr>
          <w:rFonts w:cs="Calibri"/>
          <w:sz w:val="22"/>
          <w:szCs w:val="22"/>
        </w:rPr>
        <w:t>5</w:t>
      </w:r>
      <w:r w:rsidRPr="00D30847">
        <w:rPr>
          <w:rFonts w:cs="Calibri"/>
          <w:sz w:val="22"/>
          <w:szCs w:val="22"/>
        </w:rPr>
        <w:t>-202</w:t>
      </w:r>
      <w:r w:rsidR="00723A55" w:rsidRPr="00D30847">
        <w:rPr>
          <w:rFonts w:cs="Calibri"/>
          <w:sz w:val="22"/>
          <w:szCs w:val="22"/>
        </w:rPr>
        <w:t>8</w:t>
      </w:r>
      <w:r w:rsidRPr="00D30847">
        <w:rPr>
          <w:rFonts w:cs="Calibri"/>
          <w:sz w:val="22"/>
          <w:szCs w:val="22"/>
        </w:rPr>
        <w:t xml:space="preserve"> will be carried out within the activities of the PFM SWG upon prior publication of the draft documents on MoF website.</w:t>
      </w:r>
    </w:p>
    <w:p w14:paraId="5F41211C" w14:textId="61C4BFB2" w:rsidR="00C60174" w:rsidRPr="00D30847" w:rsidRDefault="00C60174" w:rsidP="00FD1416">
      <w:pPr>
        <w:pStyle w:val="NormalPFM1"/>
        <w:spacing w:before="0" w:after="120" w:line="240" w:lineRule="auto"/>
        <w:rPr>
          <w:rFonts w:cs="Calibri"/>
          <w:sz w:val="22"/>
          <w:szCs w:val="22"/>
        </w:rPr>
      </w:pPr>
      <w:r w:rsidRPr="00D30847">
        <w:rPr>
          <w:rFonts w:cs="Calibri"/>
          <w:sz w:val="22"/>
          <w:szCs w:val="22"/>
        </w:rPr>
        <w:t>Prepara</w:t>
      </w:r>
      <w:bookmarkStart w:id="69" w:name="_GoBack"/>
      <w:bookmarkEnd w:id="69"/>
      <w:r w:rsidRPr="00D30847">
        <w:rPr>
          <w:rFonts w:cs="Calibri"/>
          <w:sz w:val="22"/>
          <w:szCs w:val="22"/>
        </w:rPr>
        <w:t>tion and implementation of the new PFM Reform Programme 202</w:t>
      </w:r>
      <w:r w:rsidR="00723A55" w:rsidRPr="00D30847">
        <w:rPr>
          <w:rFonts w:cs="Calibri"/>
          <w:sz w:val="22"/>
          <w:szCs w:val="22"/>
        </w:rPr>
        <w:t>5</w:t>
      </w:r>
      <w:r w:rsidRPr="00D30847">
        <w:rPr>
          <w:rFonts w:cs="Calibri"/>
          <w:sz w:val="22"/>
          <w:szCs w:val="22"/>
        </w:rPr>
        <w:t>-202</w:t>
      </w:r>
      <w:r w:rsidR="00723A55" w:rsidRPr="00D30847">
        <w:rPr>
          <w:rFonts w:cs="Calibri"/>
          <w:sz w:val="22"/>
          <w:szCs w:val="22"/>
        </w:rPr>
        <w:t>8</w:t>
      </w:r>
      <w:r w:rsidRPr="00D30847">
        <w:rPr>
          <w:rFonts w:cs="Calibri"/>
          <w:sz w:val="22"/>
          <w:szCs w:val="22"/>
        </w:rPr>
        <w:t xml:space="preserve"> is based on a sectoral dialogue with all stakeholders - external partners, introduced with the previous PFM Reform Programme.</w:t>
      </w:r>
      <w:r w:rsidR="002F500A" w:rsidRPr="00D30847">
        <w:rPr>
          <w:rFonts w:cs="Calibri"/>
          <w:sz w:val="22"/>
          <w:szCs w:val="22"/>
        </w:rPr>
        <w:t xml:space="preserve"> </w:t>
      </w:r>
      <w:r w:rsidRPr="00D30847">
        <w:rPr>
          <w:rFonts w:cs="Calibri"/>
          <w:sz w:val="22"/>
          <w:szCs w:val="22"/>
        </w:rPr>
        <w:t>The objective of the dialogue is to ensure joint actions as regards the priorities and the policies in the area of public finance management, establishing a synergy and coordination among different initiatives, as well as that budget funds and all other available resources, including donor funds, are used in an appropriate and transparent manner.</w:t>
      </w:r>
    </w:p>
    <w:p w14:paraId="60A017B2" w14:textId="7879E615" w:rsidR="00C60174" w:rsidRPr="00D30847" w:rsidRDefault="00C60174" w:rsidP="00FD1416">
      <w:pPr>
        <w:pStyle w:val="NormalPFM1"/>
        <w:spacing w:before="0" w:after="120" w:line="240" w:lineRule="auto"/>
        <w:rPr>
          <w:rFonts w:cs="Calibri"/>
          <w:sz w:val="22"/>
          <w:szCs w:val="22"/>
        </w:rPr>
      </w:pPr>
      <w:r w:rsidRPr="00D30847">
        <w:rPr>
          <w:rFonts w:cs="Calibri"/>
          <w:sz w:val="22"/>
          <w:szCs w:val="22"/>
        </w:rPr>
        <w:t>Important input and dialogue orientation is received from the external technical reviews, such as IMF Article IV consultations, Public Finance Review and other relevant reviews of the World Bank, SIGMA monitoring reports, PEFA assessments, EU Annual Reports, other assessment missions for specific PFM sub-sectors.</w:t>
      </w:r>
      <w:r w:rsidR="002F500A" w:rsidRPr="00D30847">
        <w:rPr>
          <w:rFonts w:cs="Calibri"/>
          <w:sz w:val="22"/>
          <w:szCs w:val="22"/>
        </w:rPr>
        <w:t xml:space="preserve"> </w:t>
      </w:r>
      <w:r w:rsidRPr="00D30847">
        <w:rPr>
          <w:rFonts w:cs="Calibri"/>
          <w:sz w:val="22"/>
          <w:szCs w:val="22"/>
        </w:rPr>
        <w:t>Key findings from the latest assessments of different international institutions for various PFM area are presented in each measure of the respective priority in Chapter II.</w:t>
      </w:r>
    </w:p>
    <w:p w14:paraId="78B9F069" w14:textId="7DB11C6A" w:rsidR="00C60174" w:rsidRPr="00D30847" w:rsidRDefault="00C60174" w:rsidP="00FD1416">
      <w:pPr>
        <w:pStyle w:val="NormalPFM1"/>
        <w:spacing w:before="0" w:after="120" w:line="240" w:lineRule="auto"/>
        <w:rPr>
          <w:rFonts w:cs="Calibri"/>
          <w:sz w:val="22"/>
          <w:szCs w:val="22"/>
        </w:rPr>
      </w:pPr>
      <w:r w:rsidRPr="00D30847">
        <w:rPr>
          <w:rFonts w:cs="Calibri"/>
          <w:sz w:val="22"/>
          <w:szCs w:val="22"/>
        </w:rPr>
        <w:t xml:space="preserve">Public Financial Management Programme 2024-2027 was published on the Ministry of Finance website </w:t>
      </w:r>
      <w:r w:rsidRPr="00E669F2">
        <w:rPr>
          <w:rFonts w:cs="Calibri"/>
          <w:sz w:val="22"/>
          <w:szCs w:val="22"/>
        </w:rPr>
        <w:t xml:space="preserve">on </w:t>
      </w:r>
      <w:r w:rsidR="00E669F2" w:rsidRPr="00E669F2">
        <w:rPr>
          <w:rFonts w:cs="Calibri"/>
          <w:sz w:val="22"/>
          <w:szCs w:val="22"/>
        </w:rPr>
        <w:t>16.04.</w:t>
      </w:r>
      <w:r w:rsidRPr="00E669F2">
        <w:rPr>
          <w:rFonts w:cs="Calibri"/>
          <w:sz w:val="22"/>
          <w:szCs w:val="22"/>
        </w:rPr>
        <w:t>202</w:t>
      </w:r>
      <w:r w:rsidR="004062ED" w:rsidRPr="00E669F2">
        <w:rPr>
          <w:rFonts w:cs="Calibri"/>
          <w:sz w:val="22"/>
          <w:szCs w:val="22"/>
        </w:rPr>
        <w:t>5</w:t>
      </w:r>
      <w:r w:rsidRPr="00E669F2">
        <w:rPr>
          <w:rFonts w:cs="Calibri"/>
          <w:sz w:val="22"/>
          <w:szCs w:val="22"/>
        </w:rPr>
        <w:t>, in</w:t>
      </w:r>
      <w:r w:rsidRPr="00D30847">
        <w:rPr>
          <w:rFonts w:cs="Calibri"/>
          <w:sz w:val="22"/>
          <w:szCs w:val="22"/>
        </w:rPr>
        <w:t xml:space="preserve"> Macedonian and English.</w:t>
      </w:r>
      <w:r w:rsidR="00FF1EE0" w:rsidRPr="00D30847">
        <w:rPr>
          <w:rFonts w:cs="Calibri"/>
          <w:sz w:val="22"/>
          <w:szCs w:val="22"/>
        </w:rPr>
        <w:t xml:space="preserve"> </w:t>
      </w:r>
      <w:r w:rsidRPr="00D30847">
        <w:rPr>
          <w:rFonts w:cs="Calibri"/>
          <w:sz w:val="22"/>
          <w:szCs w:val="22"/>
        </w:rPr>
        <w:t xml:space="preserve">Public consultation was held in a form of </w:t>
      </w:r>
      <w:r w:rsidR="008D7EFC" w:rsidRPr="00D30847">
        <w:rPr>
          <w:rFonts w:cs="Calibri"/>
          <w:sz w:val="22"/>
          <w:szCs w:val="22"/>
        </w:rPr>
        <w:t>meeting of the SWG for the PFM</w:t>
      </w:r>
      <w:r w:rsidRPr="00D30847">
        <w:rPr>
          <w:rFonts w:cs="Calibri"/>
          <w:sz w:val="22"/>
          <w:szCs w:val="22"/>
        </w:rPr>
        <w:t xml:space="preserve"> on</w:t>
      </w:r>
      <w:r w:rsidR="004062ED" w:rsidRPr="00D30847">
        <w:rPr>
          <w:rFonts w:cs="Calibri"/>
          <w:sz w:val="22"/>
          <w:szCs w:val="22"/>
        </w:rPr>
        <w:t xml:space="preserve"> </w:t>
      </w:r>
      <w:r w:rsidR="004062ED" w:rsidRPr="00D30847">
        <w:rPr>
          <w:rFonts w:cs="Calibri"/>
          <w:sz w:val="22"/>
          <w:szCs w:val="22"/>
          <w:highlight w:val="yellow"/>
        </w:rPr>
        <w:t>---------2025</w:t>
      </w:r>
      <w:r w:rsidRPr="00D30847">
        <w:rPr>
          <w:rFonts w:cs="Calibri"/>
          <w:sz w:val="22"/>
          <w:szCs w:val="22"/>
        </w:rPr>
        <w:t>, with all stakeholders taking part (donor community, civil society organisations, IFIs, local authorities and other stakeholders), in order to actively contribute to the process of determining and implementing the reform priorities.</w:t>
      </w:r>
    </w:p>
    <w:p w14:paraId="31537C33" w14:textId="6AD08D83" w:rsidR="00015129" w:rsidRPr="00D30847" w:rsidRDefault="00015129" w:rsidP="00C60174">
      <w:pPr>
        <w:spacing w:line="240" w:lineRule="auto"/>
        <w:jc w:val="both"/>
        <w:rPr>
          <w:rFonts w:cs="Calibri"/>
          <w:color w:val="2F5496"/>
          <w:lang w:val="en-GB" w:eastAsia="zh-CN"/>
        </w:rPr>
      </w:pPr>
    </w:p>
    <w:p w14:paraId="38ED6929" w14:textId="77777777" w:rsidR="00FD3DDC" w:rsidRPr="00D30847" w:rsidRDefault="00FD3DDC" w:rsidP="00E84CD0">
      <w:pPr>
        <w:pStyle w:val="Heading1"/>
        <w:spacing w:line="240" w:lineRule="auto"/>
        <w:jc w:val="both"/>
        <w:rPr>
          <w:rFonts w:ascii="Calibri" w:eastAsia="MS PGothic" w:hAnsi="Calibri" w:cs="Calibri"/>
          <w:color w:val="2F5496"/>
          <w:lang w:val="en-GB" w:eastAsia="zh-CN"/>
        </w:rPr>
      </w:pPr>
    </w:p>
    <w:p w14:paraId="0FA1D826" w14:textId="77777777" w:rsidR="00FD3DDC" w:rsidRPr="00D30847" w:rsidRDefault="00FD3DDC" w:rsidP="00E84CD0">
      <w:pPr>
        <w:pStyle w:val="Heading1"/>
        <w:spacing w:line="240" w:lineRule="auto"/>
        <w:jc w:val="both"/>
        <w:rPr>
          <w:rFonts w:ascii="Calibri" w:eastAsia="MS PGothic" w:hAnsi="Calibri" w:cs="Calibri"/>
          <w:color w:val="2F5496"/>
          <w:lang w:val="en-GB" w:eastAsia="zh-CN"/>
        </w:rPr>
      </w:pPr>
    </w:p>
    <w:p w14:paraId="177F971F" w14:textId="77777777" w:rsidR="00FD3DDC" w:rsidRPr="00D30847" w:rsidRDefault="00FD3DDC" w:rsidP="00E84CD0">
      <w:pPr>
        <w:pStyle w:val="Heading1"/>
        <w:spacing w:line="240" w:lineRule="auto"/>
        <w:jc w:val="both"/>
        <w:rPr>
          <w:rFonts w:ascii="Calibri" w:eastAsia="MS PGothic" w:hAnsi="Calibri" w:cs="Calibri"/>
          <w:color w:val="2F5496"/>
          <w:lang w:val="en-GB" w:eastAsia="zh-CN"/>
        </w:rPr>
      </w:pPr>
    </w:p>
    <w:p w14:paraId="55A40380" w14:textId="77777777" w:rsidR="00FD3DDC" w:rsidRPr="00D30847" w:rsidRDefault="00FD3DDC" w:rsidP="00E84CD0">
      <w:pPr>
        <w:pStyle w:val="Heading1"/>
        <w:spacing w:line="240" w:lineRule="auto"/>
        <w:jc w:val="both"/>
        <w:rPr>
          <w:rFonts w:ascii="Calibri" w:eastAsia="MS PGothic" w:hAnsi="Calibri" w:cs="Calibri"/>
          <w:color w:val="2F5496"/>
          <w:lang w:val="en-GB" w:eastAsia="zh-CN"/>
        </w:rPr>
      </w:pPr>
    </w:p>
    <w:p w14:paraId="2620E826" w14:textId="5776CB8D" w:rsidR="00FD3DDC" w:rsidRPr="00D30847" w:rsidRDefault="00FD3DDC" w:rsidP="00E84CD0">
      <w:pPr>
        <w:pStyle w:val="Heading1"/>
        <w:spacing w:line="240" w:lineRule="auto"/>
        <w:jc w:val="both"/>
        <w:rPr>
          <w:rFonts w:ascii="Calibri" w:eastAsia="MS PGothic" w:hAnsi="Calibri" w:cs="Calibri"/>
          <w:color w:val="2F5496"/>
          <w:lang w:val="en-GB" w:eastAsia="zh-CN"/>
        </w:rPr>
      </w:pPr>
    </w:p>
    <w:p w14:paraId="036BC096" w14:textId="57C7DE3B" w:rsidR="00FD3DDC" w:rsidRPr="00D30847" w:rsidRDefault="00FD3DDC" w:rsidP="00FD3DDC">
      <w:pPr>
        <w:rPr>
          <w:lang w:val="en-GB" w:eastAsia="zh-CN"/>
        </w:rPr>
      </w:pPr>
    </w:p>
    <w:p w14:paraId="29A56FED" w14:textId="77777777" w:rsidR="00FD3DDC" w:rsidRPr="00D30847" w:rsidRDefault="00FD3DDC" w:rsidP="00FD3DDC">
      <w:pPr>
        <w:rPr>
          <w:lang w:val="en-GB" w:eastAsia="zh-CN"/>
        </w:rPr>
      </w:pPr>
    </w:p>
    <w:p w14:paraId="7484C803" w14:textId="77D0F3AB" w:rsidR="00A42B0B" w:rsidRPr="00D30847" w:rsidRDefault="005B28E4" w:rsidP="00E84CD0">
      <w:pPr>
        <w:pStyle w:val="Heading1"/>
        <w:spacing w:line="240" w:lineRule="auto"/>
        <w:jc w:val="both"/>
        <w:rPr>
          <w:rFonts w:ascii="Calibri" w:eastAsia="MS PGothic" w:hAnsi="Calibri" w:cs="Calibri"/>
          <w:color w:val="2F5496"/>
          <w:lang w:val="en-GB" w:eastAsia="zh-CN"/>
        </w:rPr>
      </w:pPr>
      <w:bookmarkStart w:id="70" w:name="_Toc187841825"/>
      <w:r w:rsidRPr="00D30847">
        <w:rPr>
          <w:rFonts w:ascii="Calibri" w:eastAsia="MS PGothic" w:hAnsi="Calibri" w:cs="Calibri"/>
          <w:color w:val="2F5496"/>
          <w:lang w:val="en-GB" w:eastAsia="zh-CN"/>
        </w:rPr>
        <w:lastRenderedPageBreak/>
        <w:t xml:space="preserve">Chapter IV: </w:t>
      </w:r>
      <w:r w:rsidR="00A42B0B" w:rsidRPr="00D30847">
        <w:rPr>
          <w:rFonts w:ascii="Calibri" w:eastAsia="MS PGothic" w:hAnsi="Calibri" w:cs="Calibri"/>
          <w:color w:val="2F5496"/>
          <w:lang w:val="en-GB" w:eastAsia="zh-CN"/>
        </w:rPr>
        <w:t>Financing of the PFM Reform Programme</w:t>
      </w:r>
      <w:bookmarkEnd w:id="70"/>
    </w:p>
    <w:p w14:paraId="24FA13F3" w14:textId="77777777" w:rsidR="00E57EF2" w:rsidRPr="00D30847" w:rsidRDefault="00E57EF2" w:rsidP="00E84CD0">
      <w:pPr>
        <w:pStyle w:val="NormalPFM1"/>
        <w:spacing w:before="0" w:after="120" w:line="240" w:lineRule="auto"/>
        <w:rPr>
          <w:rFonts w:cs="Calibri"/>
          <w:sz w:val="22"/>
          <w:szCs w:val="22"/>
        </w:rPr>
      </w:pPr>
      <w:bookmarkStart w:id="71" w:name="_Toc126125876"/>
      <w:bookmarkStart w:id="72" w:name="_Toc127251182"/>
    </w:p>
    <w:p w14:paraId="28DC2AAB" w14:textId="77777777" w:rsidR="00E57EF2" w:rsidRPr="00D30847" w:rsidRDefault="00E57EF2" w:rsidP="00FD1416">
      <w:pPr>
        <w:spacing w:line="240" w:lineRule="auto"/>
        <w:jc w:val="both"/>
        <w:rPr>
          <w:rFonts w:cs="Calibri"/>
          <w:lang w:val="en-GB"/>
        </w:rPr>
      </w:pPr>
      <w:r w:rsidRPr="00D30847">
        <w:rPr>
          <w:rFonts w:cs="Calibri"/>
          <w:lang w:val="en-GB"/>
        </w:rPr>
        <w:t>The PFM Reform Programme will be funded through two main sources: state Budget and donors’ fund</w:t>
      </w:r>
      <w:r w:rsidR="0033587C" w:rsidRPr="00D30847">
        <w:rPr>
          <w:rFonts w:cs="Calibri"/>
          <w:lang w:val="en-GB"/>
        </w:rPr>
        <w:t>s</w:t>
      </w:r>
      <w:r w:rsidRPr="00D30847">
        <w:rPr>
          <w:rFonts w:cs="Calibri"/>
          <w:lang w:val="en-GB"/>
        </w:rPr>
        <w:t xml:space="preserve">. </w:t>
      </w:r>
    </w:p>
    <w:p w14:paraId="215DB059" w14:textId="77777777" w:rsidR="00E57EF2" w:rsidRPr="00D30847" w:rsidRDefault="00E57EF2" w:rsidP="00FD1416">
      <w:pPr>
        <w:spacing w:line="240" w:lineRule="auto"/>
        <w:jc w:val="both"/>
        <w:rPr>
          <w:rFonts w:cs="Calibri"/>
          <w:lang w:val="en-GB"/>
        </w:rPr>
      </w:pPr>
      <w:r w:rsidRPr="00D30847">
        <w:rPr>
          <w:rFonts w:cs="Calibri"/>
          <w:lang w:val="en-GB"/>
        </w:rPr>
        <w:t xml:space="preserve">Each priority and measure has developed its estimated costs analysis for the activities. Costs calculation is based on a general assumption that only additional costs will be estimated, in order to ensure full and successful implementation of the planned activities, as well as to present the sources of funds for the additional costs in order to determine the financing gap.  Activities carried out with the existing human resources, i.e. activities for which no additional costs for new employment are envisaged should not be estimated, such as for instance administrative tasks - preparation of draft laws and bylaws (unless need for external expert assistance arises). </w:t>
      </w:r>
    </w:p>
    <w:bookmarkEnd w:id="71"/>
    <w:bookmarkEnd w:id="72"/>
    <w:p w14:paraId="4C3E6650" w14:textId="77777777" w:rsidR="00FA7078" w:rsidRPr="00D30847" w:rsidRDefault="00FA7078" w:rsidP="00FD1416">
      <w:pPr>
        <w:spacing w:line="240" w:lineRule="auto"/>
        <w:jc w:val="both"/>
        <w:rPr>
          <w:rFonts w:cs="Calibri"/>
          <w:lang w:val="en-GB"/>
        </w:rPr>
      </w:pPr>
      <w:r w:rsidRPr="00D30847">
        <w:rPr>
          <w:rFonts w:cs="Calibri"/>
          <w:lang w:val="en-GB"/>
        </w:rPr>
        <w:t>Thereby, basic categorisation of the estimated additional costs has been made in order to ensure better overall estimates on the type of needed resources.</w:t>
      </w:r>
    </w:p>
    <w:p w14:paraId="10E7DDF0" w14:textId="77777777" w:rsidR="00FA7078" w:rsidRPr="00D30847" w:rsidRDefault="00FA7078" w:rsidP="00FD1416">
      <w:pPr>
        <w:spacing w:line="240" w:lineRule="auto"/>
        <w:jc w:val="both"/>
        <w:rPr>
          <w:rFonts w:cs="Calibri"/>
          <w:lang w:val="en-GB"/>
        </w:rPr>
      </w:pPr>
      <w:r w:rsidRPr="00D30847">
        <w:rPr>
          <w:rFonts w:cs="Calibri"/>
          <w:lang w:val="en-GB"/>
        </w:rPr>
        <w:t>Government of the Republic of North Macedonia will strive for securing funds from external sources/donors for closing the determined financing gap, committing to ensure funds from the state Budget for the activities for which such funds will not be provided, all in line with the planned dynamics for implementation of the activities.</w:t>
      </w:r>
    </w:p>
    <w:p w14:paraId="3A929822" w14:textId="26F9B480" w:rsidR="001D2C03" w:rsidRPr="00D30847" w:rsidRDefault="00E57EF2" w:rsidP="00D60E81">
      <w:pPr>
        <w:spacing w:line="240" w:lineRule="auto"/>
        <w:jc w:val="both"/>
        <w:rPr>
          <w:rFonts w:cs="Calibri"/>
          <w:lang w:val="en-GB"/>
        </w:rPr>
      </w:pPr>
      <w:r w:rsidRPr="00D30847">
        <w:rPr>
          <w:rFonts w:cs="Calibri"/>
          <w:lang w:val="en-GB"/>
        </w:rPr>
        <w:t>The Table below summarises the known estimated costs for the Programme at the time of its preparation. Given that the Programme is mainly financed from the state Budget, current costs implications are directly taken into account during the planning process and will be reflected in the annual budgets.</w:t>
      </w:r>
    </w:p>
    <w:tbl>
      <w:tblPr>
        <w:tblW w:w="9004" w:type="dxa"/>
        <w:tblInd w:w="118" w:type="dxa"/>
        <w:tblLook w:val="04A0" w:firstRow="1" w:lastRow="0" w:firstColumn="1" w:lastColumn="0" w:noHBand="0" w:noVBand="1"/>
      </w:tblPr>
      <w:tblGrid>
        <w:gridCol w:w="1107"/>
        <w:gridCol w:w="2680"/>
        <w:gridCol w:w="1403"/>
        <w:gridCol w:w="1357"/>
        <w:gridCol w:w="1261"/>
        <w:gridCol w:w="1196"/>
      </w:tblGrid>
      <w:tr w:rsidR="006A78BE" w:rsidRPr="00D30847" w14:paraId="6B5FDA17" w14:textId="77777777" w:rsidTr="00E32BC1">
        <w:trPr>
          <w:trHeight w:val="300"/>
        </w:trPr>
        <w:tc>
          <w:tcPr>
            <w:tcW w:w="3787" w:type="dxa"/>
            <w:gridSpan w:val="2"/>
            <w:tcBorders>
              <w:top w:val="single" w:sz="8" w:space="0" w:color="auto"/>
              <w:left w:val="single" w:sz="8" w:space="0" w:color="auto"/>
              <w:bottom w:val="nil"/>
              <w:right w:val="nil"/>
            </w:tcBorders>
            <w:shd w:val="clear" w:color="000000" w:fill="FFFF99"/>
            <w:noWrap/>
            <w:vAlign w:val="bottom"/>
            <w:hideMark/>
          </w:tcPr>
          <w:p w14:paraId="48111BC0" w14:textId="692A22DA" w:rsidR="006A78BE" w:rsidRPr="00D30847" w:rsidRDefault="006A78BE" w:rsidP="006A78BE">
            <w:pPr>
              <w:spacing w:after="0" w:line="240" w:lineRule="auto"/>
              <w:jc w:val="center"/>
              <w:rPr>
                <w:rFonts w:eastAsia="Times New Roman"/>
                <w:b/>
                <w:bCs/>
                <w:sz w:val="18"/>
                <w:szCs w:val="18"/>
                <w:lang w:val="en-GB" w:eastAsia="mk-MK"/>
              </w:rPr>
            </w:pPr>
          </w:p>
        </w:tc>
        <w:tc>
          <w:tcPr>
            <w:tcW w:w="1403" w:type="dxa"/>
            <w:vMerge w:val="restart"/>
            <w:tcBorders>
              <w:top w:val="single" w:sz="4" w:space="0" w:color="auto"/>
              <w:left w:val="single" w:sz="4" w:space="0" w:color="auto"/>
              <w:right w:val="single" w:sz="4" w:space="0" w:color="auto"/>
            </w:tcBorders>
            <w:shd w:val="clear" w:color="000000" w:fill="FFF2CC"/>
            <w:vAlign w:val="center"/>
            <w:hideMark/>
          </w:tcPr>
          <w:p w14:paraId="7352C6C8" w14:textId="3E22D344" w:rsidR="006A78BE" w:rsidRPr="00D30847" w:rsidRDefault="006A78BE" w:rsidP="006A78BE">
            <w:pPr>
              <w:spacing w:after="0" w:line="240" w:lineRule="auto"/>
              <w:jc w:val="center"/>
              <w:rPr>
                <w:rFonts w:eastAsia="Times New Roman"/>
                <w:b/>
                <w:bCs/>
                <w:lang w:val="en-GB" w:eastAsia="mk-MK"/>
              </w:rPr>
            </w:pPr>
            <w:r w:rsidRPr="00D30847">
              <w:rPr>
                <w:rFonts w:eastAsia="Times New Roman"/>
                <w:b/>
                <w:bCs/>
                <w:lang w:val="en-GB" w:eastAsia="mk-MK"/>
              </w:rPr>
              <w:t>Costing of the PFMPR</w:t>
            </w:r>
          </w:p>
          <w:p w14:paraId="536272EF" w14:textId="3431FB92" w:rsidR="006A78BE" w:rsidRPr="00D30847" w:rsidRDefault="006A78BE" w:rsidP="006A78BE">
            <w:pPr>
              <w:spacing w:after="0" w:line="240" w:lineRule="auto"/>
              <w:jc w:val="center"/>
              <w:rPr>
                <w:rFonts w:eastAsia="Times New Roman"/>
                <w:b/>
                <w:bCs/>
                <w:lang w:val="en-GB" w:eastAsia="mk-MK"/>
              </w:rPr>
            </w:pPr>
            <w:r w:rsidRPr="00D30847">
              <w:rPr>
                <w:rFonts w:eastAsia="Times New Roman"/>
                <w:b/>
                <w:bCs/>
                <w:lang w:val="en-GB" w:eastAsia="mk-MK"/>
              </w:rPr>
              <w:t>202</w:t>
            </w:r>
            <w:r w:rsidR="00813709" w:rsidRPr="00D30847">
              <w:rPr>
                <w:rFonts w:eastAsia="Times New Roman"/>
                <w:b/>
                <w:bCs/>
                <w:lang w:val="en-GB" w:eastAsia="mk-MK"/>
              </w:rPr>
              <w:t>5</w:t>
            </w:r>
            <w:r w:rsidRPr="00D30847">
              <w:rPr>
                <w:rFonts w:eastAsia="Times New Roman"/>
                <w:b/>
                <w:bCs/>
                <w:lang w:val="en-GB" w:eastAsia="mk-MK"/>
              </w:rPr>
              <w:t>-202</w:t>
            </w:r>
            <w:r w:rsidR="00813709" w:rsidRPr="00D30847">
              <w:rPr>
                <w:rFonts w:eastAsia="Times New Roman"/>
                <w:b/>
                <w:bCs/>
                <w:lang w:val="en-GB" w:eastAsia="mk-MK"/>
              </w:rPr>
              <w:t>8</w:t>
            </w:r>
            <w:r w:rsidR="004626E3" w:rsidRPr="00D30847">
              <w:rPr>
                <w:rFonts w:eastAsia="Times New Roman"/>
                <w:b/>
                <w:bCs/>
                <w:lang w:val="en-GB" w:eastAsia="mk-MK"/>
              </w:rPr>
              <w:t xml:space="preserve"> (in EUR)</w:t>
            </w:r>
          </w:p>
        </w:tc>
        <w:tc>
          <w:tcPr>
            <w:tcW w:w="3814" w:type="dxa"/>
            <w:gridSpan w:val="3"/>
            <w:vMerge w:val="restart"/>
            <w:tcBorders>
              <w:top w:val="single" w:sz="8" w:space="0" w:color="auto"/>
              <w:left w:val="single" w:sz="4" w:space="0" w:color="auto"/>
              <w:bottom w:val="single" w:sz="4" w:space="0" w:color="auto"/>
              <w:right w:val="single" w:sz="8" w:space="0" w:color="000000"/>
            </w:tcBorders>
            <w:shd w:val="clear" w:color="000000" w:fill="FFF2CC"/>
            <w:vAlign w:val="center"/>
            <w:hideMark/>
          </w:tcPr>
          <w:p w14:paraId="02E02108" w14:textId="6FC2271F" w:rsidR="006A78BE" w:rsidRPr="00D30847" w:rsidRDefault="00B03862" w:rsidP="006A78BE">
            <w:pPr>
              <w:spacing w:after="0" w:line="240" w:lineRule="auto"/>
              <w:jc w:val="center"/>
              <w:rPr>
                <w:rFonts w:eastAsia="Times New Roman"/>
                <w:b/>
                <w:bCs/>
                <w:lang w:val="en-GB" w:eastAsia="mk-MK"/>
              </w:rPr>
            </w:pPr>
            <w:r w:rsidRPr="00D30847">
              <w:rPr>
                <w:rFonts w:eastAsia="Times New Roman"/>
                <w:b/>
                <w:bCs/>
                <w:lang w:val="en-GB" w:eastAsia="mk-MK"/>
              </w:rPr>
              <w:t xml:space="preserve">Source of funding 2025-2028 </w:t>
            </w:r>
            <w:r w:rsidR="004626E3" w:rsidRPr="00D30847">
              <w:rPr>
                <w:rFonts w:eastAsia="Times New Roman"/>
                <w:b/>
                <w:bCs/>
                <w:lang w:val="en-GB" w:eastAsia="mk-MK"/>
              </w:rPr>
              <w:t>(in Eur)</w:t>
            </w:r>
          </w:p>
        </w:tc>
      </w:tr>
      <w:tr w:rsidR="006A78BE" w:rsidRPr="00D30847" w14:paraId="22287447" w14:textId="77777777" w:rsidTr="00E32BC1">
        <w:trPr>
          <w:trHeight w:val="300"/>
        </w:trPr>
        <w:tc>
          <w:tcPr>
            <w:tcW w:w="3787" w:type="dxa"/>
            <w:gridSpan w:val="2"/>
            <w:tcBorders>
              <w:top w:val="nil"/>
              <w:left w:val="single" w:sz="8" w:space="0" w:color="auto"/>
              <w:bottom w:val="nil"/>
              <w:right w:val="nil"/>
            </w:tcBorders>
            <w:shd w:val="clear" w:color="000000" w:fill="FFFF99"/>
            <w:noWrap/>
            <w:vAlign w:val="bottom"/>
            <w:hideMark/>
          </w:tcPr>
          <w:p w14:paraId="573E8850" w14:textId="414C1892" w:rsidR="006A78BE" w:rsidRPr="00D30847" w:rsidRDefault="006A78BE" w:rsidP="00FD3DDC">
            <w:pPr>
              <w:spacing w:after="0" w:line="240" w:lineRule="auto"/>
              <w:rPr>
                <w:rFonts w:eastAsia="Times New Roman"/>
                <w:b/>
                <w:bCs/>
                <w:sz w:val="20"/>
                <w:szCs w:val="20"/>
                <w:lang w:val="en-GB" w:eastAsia="mk-MK"/>
              </w:rPr>
            </w:pPr>
            <w:r w:rsidRPr="00D30847">
              <w:rPr>
                <w:rFonts w:eastAsia="Times New Roman"/>
                <w:b/>
                <w:bCs/>
                <w:sz w:val="20"/>
                <w:szCs w:val="20"/>
                <w:lang w:val="en-GB" w:eastAsia="mk-MK"/>
              </w:rPr>
              <w:t>PFMPR 202</w:t>
            </w:r>
            <w:r w:rsidR="00317E52" w:rsidRPr="00D30847">
              <w:rPr>
                <w:rFonts w:eastAsia="Times New Roman"/>
                <w:b/>
                <w:bCs/>
                <w:sz w:val="20"/>
                <w:szCs w:val="20"/>
                <w:lang w:val="en-GB" w:eastAsia="mk-MK"/>
              </w:rPr>
              <w:t>5</w:t>
            </w:r>
            <w:r w:rsidRPr="00D30847">
              <w:rPr>
                <w:rFonts w:eastAsia="Times New Roman"/>
                <w:b/>
                <w:bCs/>
                <w:sz w:val="20"/>
                <w:szCs w:val="20"/>
                <w:lang w:val="en-GB" w:eastAsia="mk-MK"/>
              </w:rPr>
              <w:t>-202</w:t>
            </w:r>
            <w:r w:rsidR="00317E52" w:rsidRPr="00D30847">
              <w:rPr>
                <w:rFonts w:eastAsia="Times New Roman"/>
                <w:b/>
                <w:bCs/>
                <w:sz w:val="20"/>
                <w:szCs w:val="20"/>
                <w:lang w:val="en-GB" w:eastAsia="mk-MK"/>
              </w:rPr>
              <w:t>8</w:t>
            </w:r>
          </w:p>
        </w:tc>
        <w:tc>
          <w:tcPr>
            <w:tcW w:w="1403" w:type="dxa"/>
            <w:vMerge/>
            <w:tcBorders>
              <w:left w:val="single" w:sz="4" w:space="0" w:color="auto"/>
              <w:right w:val="single" w:sz="4" w:space="0" w:color="auto"/>
            </w:tcBorders>
            <w:vAlign w:val="center"/>
            <w:hideMark/>
          </w:tcPr>
          <w:p w14:paraId="15003B75" w14:textId="37D7F806" w:rsidR="006A78BE" w:rsidRPr="00D30847" w:rsidRDefault="006A78BE" w:rsidP="006A78BE">
            <w:pPr>
              <w:spacing w:after="0" w:line="240" w:lineRule="auto"/>
              <w:jc w:val="center"/>
              <w:rPr>
                <w:rFonts w:eastAsia="Times New Roman"/>
                <w:b/>
                <w:bCs/>
                <w:sz w:val="20"/>
                <w:szCs w:val="20"/>
                <w:lang w:val="en-GB" w:eastAsia="mk-MK"/>
              </w:rPr>
            </w:pPr>
          </w:p>
        </w:tc>
        <w:tc>
          <w:tcPr>
            <w:tcW w:w="3814" w:type="dxa"/>
            <w:gridSpan w:val="3"/>
            <w:vMerge/>
            <w:tcBorders>
              <w:top w:val="single" w:sz="8" w:space="0" w:color="auto"/>
              <w:left w:val="single" w:sz="4" w:space="0" w:color="auto"/>
              <w:bottom w:val="single" w:sz="4" w:space="0" w:color="auto"/>
              <w:right w:val="single" w:sz="8" w:space="0" w:color="000000"/>
            </w:tcBorders>
            <w:vAlign w:val="center"/>
            <w:hideMark/>
          </w:tcPr>
          <w:p w14:paraId="44F5BB8A" w14:textId="77777777" w:rsidR="006A78BE" w:rsidRPr="00D30847" w:rsidRDefault="006A78BE" w:rsidP="006A78BE">
            <w:pPr>
              <w:spacing w:after="0" w:line="240" w:lineRule="auto"/>
              <w:jc w:val="center"/>
              <w:rPr>
                <w:rFonts w:eastAsia="Times New Roman"/>
                <w:b/>
                <w:bCs/>
                <w:sz w:val="20"/>
                <w:szCs w:val="20"/>
                <w:lang w:val="en-GB" w:eastAsia="mk-MK"/>
              </w:rPr>
            </w:pPr>
          </w:p>
        </w:tc>
      </w:tr>
      <w:tr w:rsidR="00BF1348" w:rsidRPr="00D30847" w14:paraId="4EE2F100" w14:textId="77777777" w:rsidTr="00E32BC1">
        <w:trPr>
          <w:trHeight w:val="615"/>
        </w:trPr>
        <w:tc>
          <w:tcPr>
            <w:tcW w:w="3787" w:type="dxa"/>
            <w:gridSpan w:val="2"/>
            <w:tcBorders>
              <w:top w:val="nil"/>
              <w:left w:val="single" w:sz="8" w:space="0" w:color="auto"/>
              <w:bottom w:val="nil"/>
              <w:right w:val="nil"/>
            </w:tcBorders>
            <w:shd w:val="clear" w:color="000000" w:fill="FFFF99"/>
            <w:vAlign w:val="center"/>
            <w:hideMark/>
          </w:tcPr>
          <w:p w14:paraId="050184CA" w14:textId="77777777" w:rsidR="006A78BE" w:rsidRPr="00D30847" w:rsidRDefault="006A78BE" w:rsidP="00FD3DDC">
            <w:pPr>
              <w:spacing w:after="0" w:line="240" w:lineRule="auto"/>
              <w:rPr>
                <w:rFonts w:eastAsia="Times New Roman"/>
                <w:b/>
                <w:bCs/>
                <w:sz w:val="20"/>
                <w:szCs w:val="20"/>
                <w:lang w:val="en-GB" w:eastAsia="mk-MK"/>
              </w:rPr>
            </w:pPr>
            <w:r w:rsidRPr="00D30847">
              <w:rPr>
                <w:rFonts w:eastAsia="Times New Roman"/>
                <w:b/>
                <w:bCs/>
                <w:sz w:val="20"/>
                <w:szCs w:val="20"/>
                <w:lang w:val="en-GB" w:eastAsia="mk-MK"/>
              </w:rPr>
              <w:t>budget item</w:t>
            </w:r>
          </w:p>
        </w:tc>
        <w:tc>
          <w:tcPr>
            <w:tcW w:w="1403" w:type="dxa"/>
            <w:vMerge/>
            <w:tcBorders>
              <w:left w:val="single" w:sz="4" w:space="0" w:color="auto"/>
              <w:bottom w:val="single" w:sz="4" w:space="0" w:color="auto"/>
              <w:right w:val="single" w:sz="4" w:space="0" w:color="auto"/>
            </w:tcBorders>
            <w:vAlign w:val="center"/>
            <w:hideMark/>
          </w:tcPr>
          <w:p w14:paraId="264FE751" w14:textId="470D6411" w:rsidR="006A78BE" w:rsidRPr="00D30847" w:rsidRDefault="006A78BE" w:rsidP="006A78BE">
            <w:pPr>
              <w:spacing w:after="0" w:line="240" w:lineRule="auto"/>
              <w:jc w:val="center"/>
              <w:rPr>
                <w:rFonts w:eastAsia="Times New Roman"/>
                <w:b/>
                <w:bCs/>
                <w:sz w:val="20"/>
                <w:szCs w:val="20"/>
                <w:lang w:val="en-GB" w:eastAsia="mk-MK"/>
              </w:rPr>
            </w:pPr>
          </w:p>
        </w:tc>
        <w:tc>
          <w:tcPr>
            <w:tcW w:w="1357" w:type="dxa"/>
            <w:tcBorders>
              <w:top w:val="nil"/>
              <w:left w:val="single" w:sz="4" w:space="0" w:color="auto"/>
              <w:bottom w:val="single" w:sz="4" w:space="0" w:color="auto"/>
              <w:right w:val="single" w:sz="4" w:space="0" w:color="auto"/>
            </w:tcBorders>
            <w:shd w:val="clear" w:color="000000" w:fill="FFF2CC"/>
            <w:vAlign w:val="center"/>
            <w:hideMark/>
          </w:tcPr>
          <w:p w14:paraId="6269CF29" w14:textId="77777777" w:rsidR="006A78BE" w:rsidRPr="00D30847" w:rsidRDefault="006A78BE" w:rsidP="006A78BE">
            <w:pPr>
              <w:spacing w:after="0" w:line="240" w:lineRule="auto"/>
              <w:jc w:val="center"/>
              <w:rPr>
                <w:rFonts w:eastAsia="Times New Roman"/>
                <w:b/>
                <w:bCs/>
                <w:sz w:val="20"/>
                <w:szCs w:val="20"/>
                <w:lang w:val="en-GB" w:eastAsia="mk-MK"/>
              </w:rPr>
            </w:pPr>
            <w:r w:rsidRPr="00D30847">
              <w:rPr>
                <w:rFonts w:eastAsia="Times New Roman"/>
                <w:b/>
                <w:bCs/>
                <w:sz w:val="20"/>
                <w:szCs w:val="20"/>
                <w:lang w:val="en-GB" w:eastAsia="mk-MK"/>
              </w:rPr>
              <w:t>Domestic</w:t>
            </w:r>
            <w:r w:rsidRPr="00D30847">
              <w:rPr>
                <w:rFonts w:eastAsia="Times New Roman"/>
                <w:b/>
                <w:bCs/>
                <w:sz w:val="20"/>
                <w:szCs w:val="20"/>
                <w:lang w:val="en-GB" w:eastAsia="mk-MK"/>
              </w:rPr>
              <w:br/>
              <w:t>Financing</w:t>
            </w:r>
          </w:p>
        </w:tc>
        <w:tc>
          <w:tcPr>
            <w:tcW w:w="1261" w:type="dxa"/>
            <w:tcBorders>
              <w:top w:val="nil"/>
              <w:left w:val="single" w:sz="4" w:space="0" w:color="auto"/>
              <w:bottom w:val="single" w:sz="4" w:space="0" w:color="auto"/>
              <w:right w:val="single" w:sz="4" w:space="0" w:color="auto"/>
            </w:tcBorders>
            <w:shd w:val="clear" w:color="000000" w:fill="FFF2CC"/>
            <w:vAlign w:val="center"/>
            <w:hideMark/>
          </w:tcPr>
          <w:p w14:paraId="103D55B4" w14:textId="77777777" w:rsidR="006A78BE" w:rsidRPr="00D30847" w:rsidRDefault="006A78BE" w:rsidP="006A78BE">
            <w:pPr>
              <w:spacing w:after="0" w:line="240" w:lineRule="auto"/>
              <w:jc w:val="center"/>
              <w:rPr>
                <w:rFonts w:eastAsia="Times New Roman"/>
                <w:b/>
                <w:bCs/>
                <w:sz w:val="20"/>
                <w:szCs w:val="20"/>
                <w:lang w:val="en-GB" w:eastAsia="mk-MK"/>
              </w:rPr>
            </w:pPr>
            <w:r w:rsidRPr="00D30847">
              <w:rPr>
                <w:rFonts w:eastAsia="Times New Roman"/>
                <w:b/>
                <w:bCs/>
                <w:sz w:val="20"/>
                <w:szCs w:val="20"/>
                <w:lang w:val="en-GB" w:eastAsia="mk-MK"/>
              </w:rPr>
              <w:t>External</w:t>
            </w:r>
            <w:r w:rsidRPr="00D30847">
              <w:rPr>
                <w:rFonts w:eastAsia="Times New Roman"/>
                <w:b/>
                <w:bCs/>
                <w:sz w:val="20"/>
                <w:szCs w:val="20"/>
                <w:lang w:val="en-GB" w:eastAsia="mk-MK"/>
              </w:rPr>
              <w:br/>
              <w:t>Financing</w:t>
            </w:r>
          </w:p>
        </w:tc>
        <w:tc>
          <w:tcPr>
            <w:tcW w:w="1196" w:type="dxa"/>
            <w:tcBorders>
              <w:top w:val="nil"/>
              <w:left w:val="single" w:sz="4" w:space="0" w:color="auto"/>
              <w:bottom w:val="single" w:sz="4" w:space="0" w:color="auto"/>
              <w:right w:val="single" w:sz="8" w:space="0" w:color="auto"/>
            </w:tcBorders>
            <w:shd w:val="clear" w:color="000000" w:fill="FFF2CC"/>
            <w:vAlign w:val="center"/>
            <w:hideMark/>
          </w:tcPr>
          <w:p w14:paraId="1C0D8CE5" w14:textId="77777777" w:rsidR="006A78BE" w:rsidRPr="00D30847" w:rsidRDefault="006A78BE" w:rsidP="006A78BE">
            <w:pPr>
              <w:spacing w:after="0" w:line="240" w:lineRule="auto"/>
              <w:jc w:val="center"/>
              <w:rPr>
                <w:rFonts w:eastAsia="Times New Roman"/>
                <w:b/>
                <w:bCs/>
                <w:sz w:val="20"/>
                <w:szCs w:val="20"/>
                <w:lang w:val="en-GB" w:eastAsia="mk-MK"/>
              </w:rPr>
            </w:pPr>
            <w:r w:rsidRPr="00D30847">
              <w:rPr>
                <w:rFonts w:eastAsia="Times New Roman"/>
                <w:b/>
                <w:bCs/>
                <w:sz w:val="20"/>
                <w:szCs w:val="20"/>
                <w:lang w:val="en-GB" w:eastAsia="mk-MK"/>
              </w:rPr>
              <w:t>Financing</w:t>
            </w:r>
            <w:r w:rsidRPr="00D30847">
              <w:rPr>
                <w:rFonts w:eastAsia="Times New Roman"/>
                <w:b/>
                <w:bCs/>
                <w:sz w:val="20"/>
                <w:szCs w:val="20"/>
                <w:lang w:val="en-GB" w:eastAsia="mk-MK"/>
              </w:rPr>
              <w:br/>
              <w:t>gap</w:t>
            </w:r>
          </w:p>
        </w:tc>
      </w:tr>
      <w:tr w:rsidR="00BF1348" w:rsidRPr="00D30847" w14:paraId="703C4068" w14:textId="77777777" w:rsidTr="00E32BC1">
        <w:trPr>
          <w:trHeight w:val="780"/>
        </w:trPr>
        <w:tc>
          <w:tcPr>
            <w:tcW w:w="3787" w:type="dxa"/>
            <w:gridSpan w:val="2"/>
            <w:tcBorders>
              <w:top w:val="single" w:sz="8" w:space="0" w:color="auto"/>
              <w:left w:val="single" w:sz="8" w:space="0" w:color="auto"/>
              <w:bottom w:val="single" w:sz="4" w:space="0" w:color="auto"/>
              <w:right w:val="single" w:sz="4" w:space="0" w:color="auto"/>
            </w:tcBorders>
            <w:shd w:val="clear" w:color="000000" w:fill="00B0F0"/>
            <w:vAlign w:val="bottom"/>
            <w:hideMark/>
          </w:tcPr>
          <w:p w14:paraId="005B790B" w14:textId="1115AD12" w:rsidR="006A78BE" w:rsidRPr="00D30847" w:rsidRDefault="00FF78CB" w:rsidP="00FF78CB">
            <w:pPr>
              <w:spacing w:after="0" w:line="240" w:lineRule="auto"/>
              <w:rPr>
                <w:rFonts w:eastAsia="Times New Roman"/>
                <w:b/>
                <w:bCs/>
                <w:lang w:val="en-GB" w:eastAsia="mk-MK"/>
              </w:rPr>
            </w:pPr>
            <w:r w:rsidRPr="00D30847">
              <w:rPr>
                <w:rFonts w:eastAsia="Times New Roman"/>
                <w:b/>
                <w:bCs/>
                <w:lang w:val="en-GB" w:eastAsia="mk-MK"/>
              </w:rPr>
              <w:t xml:space="preserve">I. </w:t>
            </w:r>
            <w:r w:rsidR="006A78BE" w:rsidRPr="00D30847">
              <w:rPr>
                <w:rFonts w:eastAsia="Times New Roman"/>
                <w:b/>
                <w:bCs/>
                <w:lang w:val="en-GB" w:eastAsia="mk-MK"/>
              </w:rPr>
              <w:t xml:space="preserve">Pillar </w:t>
            </w:r>
            <w:r w:rsidRPr="00D30847">
              <w:rPr>
                <w:rFonts w:eastAsia="Times New Roman"/>
                <w:b/>
                <w:bCs/>
                <w:lang w:val="en-GB" w:eastAsia="mk-MK"/>
              </w:rPr>
              <w:t xml:space="preserve">- </w:t>
            </w:r>
            <w:r w:rsidR="006A78BE" w:rsidRPr="00D30847">
              <w:rPr>
                <w:rFonts w:eastAsia="Times New Roman"/>
                <w:b/>
                <w:bCs/>
                <w:lang w:val="en-GB" w:eastAsia="mk-MK"/>
              </w:rPr>
              <w:t>Economic Analysis,</w:t>
            </w:r>
            <w:r w:rsidR="00AC5AD1" w:rsidRPr="00D30847">
              <w:rPr>
                <w:rFonts w:eastAsia="Times New Roman"/>
                <w:b/>
                <w:bCs/>
                <w:lang w:val="en-GB" w:eastAsia="mk-MK"/>
              </w:rPr>
              <w:t xml:space="preserve"> </w:t>
            </w:r>
            <w:r w:rsidR="006A78BE" w:rsidRPr="00D30847">
              <w:rPr>
                <w:rFonts w:eastAsia="Times New Roman"/>
                <w:b/>
                <w:bCs/>
                <w:lang w:val="en-GB" w:eastAsia="mk-MK"/>
              </w:rPr>
              <w:t>Macroeconomic and Fiscal Framework</w:t>
            </w:r>
          </w:p>
        </w:tc>
        <w:tc>
          <w:tcPr>
            <w:tcW w:w="1403" w:type="dxa"/>
            <w:tcBorders>
              <w:top w:val="single" w:sz="4" w:space="0" w:color="auto"/>
              <w:left w:val="nil"/>
              <w:bottom w:val="single" w:sz="4" w:space="0" w:color="auto"/>
              <w:right w:val="single" w:sz="4" w:space="0" w:color="auto"/>
            </w:tcBorders>
            <w:shd w:val="clear" w:color="000000" w:fill="00B0F0"/>
            <w:noWrap/>
            <w:vAlign w:val="bottom"/>
            <w:hideMark/>
          </w:tcPr>
          <w:p w14:paraId="503F4ACD" w14:textId="1F57732E" w:rsidR="006A78BE" w:rsidRPr="00D30847" w:rsidRDefault="00BD7E36"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947</w:t>
            </w:r>
            <w:r w:rsidR="006A78BE" w:rsidRPr="00D30847">
              <w:rPr>
                <w:rFonts w:eastAsia="Times New Roman"/>
                <w:b/>
                <w:bCs/>
                <w:sz w:val="18"/>
                <w:szCs w:val="18"/>
                <w:lang w:val="en-GB" w:eastAsia="mk-MK"/>
              </w:rPr>
              <w:t>,000</w:t>
            </w:r>
          </w:p>
        </w:tc>
        <w:tc>
          <w:tcPr>
            <w:tcW w:w="1357" w:type="dxa"/>
            <w:tcBorders>
              <w:top w:val="single" w:sz="8" w:space="0" w:color="auto"/>
              <w:left w:val="nil"/>
              <w:bottom w:val="single" w:sz="4" w:space="0" w:color="auto"/>
              <w:right w:val="single" w:sz="4" w:space="0" w:color="auto"/>
            </w:tcBorders>
            <w:shd w:val="clear" w:color="000000" w:fill="00B0F0"/>
            <w:noWrap/>
            <w:vAlign w:val="bottom"/>
            <w:hideMark/>
          </w:tcPr>
          <w:p w14:paraId="27256FF8" w14:textId="78EA72E4" w:rsidR="006A78BE" w:rsidRPr="00D30847" w:rsidRDefault="00BD7E36"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227</w:t>
            </w:r>
            <w:r w:rsidR="006A78BE" w:rsidRPr="00D30847">
              <w:rPr>
                <w:rFonts w:eastAsia="Times New Roman"/>
                <w:b/>
                <w:bCs/>
                <w:sz w:val="18"/>
                <w:szCs w:val="18"/>
                <w:lang w:val="en-GB" w:eastAsia="mk-MK"/>
              </w:rPr>
              <w:t>,000</w:t>
            </w:r>
          </w:p>
        </w:tc>
        <w:tc>
          <w:tcPr>
            <w:tcW w:w="1261" w:type="dxa"/>
            <w:tcBorders>
              <w:top w:val="single" w:sz="8" w:space="0" w:color="auto"/>
              <w:left w:val="nil"/>
              <w:bottom w:val="single" w:sz="4" w:space="0" w:color="auto"/>
              <w:right w:val="single" w:sz="4" w:space="0" w:color="auto"/>
            </w:tcBorders>
            <w:shd w:val="clear" w:color="000000" w:fill="00B0F0"/>
            <w:noWrap/>
            <w:vAlign w:val="bottom"/>
            <w:hideMark/>
          </w:tcPr>
          <w:p w14:paraId="6245489F" w14:textId="55468418"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7</w:t>
            </w:r>
            <w:r w:rsidR="00BD7E36" w:rsidRPr="00D30847">
              <w:rPr>
                <w:rFonts w:eastAsia="Times New Roman"/>
                <w:b/>
                <w:bCs/>
                <w:sz w:val="18"/>
                <w:szCs w:val="18"/>
                <w:lang w:val="en-GB" w:eastAsia="mk-MK"/>
              </w:rPr>
              <w:t>2</w:t>
            </w:r>
            <w:r w:rsidRPr="00D30847">
              <w:rPr>
                <w:rFonts w:eastAsia="Times New Roman"/>
                <w:b/>
                <w:bCs/>
                <w:sz w:val="18"/>
                <w:szCs w:val="18"/>
                <w:lang w:val="en-GB" w:eastAsia="mk-MK"/>
              </w:rPr>
              <w:t>0,000</w:t>
            </w:r>
          </w:p>
        </w:tc>
        <w:tc>
          <w:tcPr>
            <w:tcW w:w="1196" w:type="dxa"/>
            <w:tcBorders>
              <w:top w:val="single" w:sz="8" w:space="0" w:color="auto"/>
              <w:left w:val="nil"/>
              <w:bottom w:val="single" w:sz="4" w:space="0" w:color="auto"/>
              <w:right w:val="single" w:sz="8" w:space="0" w:color="auto"/>
            </w:tcBorders>
            <w:shd w:val="clear" w:color="000000" w:fill="00B0F0"/>
            <w:noWrap/>
            <w:vAlign w:val="bottom"/>
            <w:hideMark/>
          </w:tcPr>
          <w:p w14:paraId="16FFD933"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r>
      <w:tr w:rsidR="00BF1348" w:rsidRPr="00D30847" w14:paraId="0385637B"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00FF00"/>
            <w:noWrap/>
            <w:hideMark/>
          </w:tcPr>
          <w:p w14:paraId="527FCF8A" w14:textId="1087FEA8" w:rsidR="006A78BE" w:rsidRPr="00D30847" w:rsidRDefault="006A78BE" w:rsidP="006A78BE">
            <w:pPr>
              <w:spacing w:after="0" w:line="240" w:lineRule="auto"/>
              <w:jc w:val="center"/>
              <w:rPr>
                <w:rFonts w:eastAsia="Times New Roman"/>
                <w:b/>
                <w:bCs/>
                <w:sz w:val="20"/>
                <w:szCs w:val="20"/>
                <w:lang w:val="en-GB" w:eastAsia="mk-MK"/>
              </w:rPr>
            </w:pPr>
            <w:r w:rsidRPr="00D30847">
              <w:rPr>
                <w:rFonts w:eastAsia="Times New Roman"/>
                <w:b/>
                <w:bCs/>
                <w:sz w:val="20"/>
                <w:szCs w:val="20"/>
                <w:lang w:val="en-GB" w:eastAsia="mk-MK"/>
              </w:rPr>
              <w:t>Priority 1.</w:t>
            </w:r>
          </w:p>
        </w:tc>
        <w:tc>
          <w:tcPr>
            <w:tcW w:w="2680" w:type="dxa"/>
            <w:tcBorders>
              <w:top w:val="nil"/>
              <w:left w:val="nil"/>
              <w:bottom w:val="single" w:sz="4" w:space="0" w:color="auto"/>
              <w:right w:val="single" w:sz="4" w:space="0" w:color="auto"/>
            </w:tcBorders>
            <w:shd w:val="clear" w:color="000000" w:fill="00FF00"/>
            <w:hideMark/>
          </w:tcPr>
          <w:p w14:paraId="0C49C16B" w14:textId="0D4682E2" w:rsidR="006A78BE" w:rsidRPr="00D30847" w:rsidRDefault="00BD7E36" w:rsidP="006A78BE">
            <w:pPr>
              <w:spacing w:after="0" w:line="240" w:lineRule="auto"/>
              <w:jc w:val="both"/>
              <w:rPr>
                <w:rFonts w:eastAsia="Times New Roman"/>
                <w:b/>
                <w:bCs/>
                <w:sz w:val="18"/>
                <w:szCs w:val="18"/>
                <w:lang w:val="en-GB" w:eastAsia="mk-MK"/>
              </w:rPr>
            </w:pPr>
            <w:r w:rsidRPr="00D30847">
              <w:rPr>
                <w:rFonts w:eastAsia="Times New Roman"/>
                <w:b/>
                <w:bCs/>
                <w:sz w:val="18"/>
                <w:szCs w:val="18"/>
                <w:lang w:val="en-GB" w:eastAsia="mk-MK"/>
              </w:rPr>
              <w:t>Tax revenues forecasting and reporting</w:t>
            </w:r>
          </w:p>
        </w:tc>
        <w:tc>
          <w:tcPr>
            <w:tcW w:w="1403" w:type="dxa"/>
            <w:tcBorders>
              <w:top w:val="nil"/>
              <w:left w:val="nil"/>
              <w:bottom w:val="single" w:sz="4" w:space="0" w:color="auto"/>
              <w:right w:val="single" w:sz="4" w:space="0" w:color="auto"/>
            </w:tcBorders>
            <w:shd w:val="clear" w:color="000000" w:fill="00FF00"/>
            <w:noWrap/>
            <w:hideMark/>
          </w:tcPr>
          <w:p w14:paraId="048DE903" w14:textId="6517DCBC"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3</w:t>
            </w:r>
            <w:r w:rsidR="00BD7E36" w:rsidRPr="00D30847">
              <w:rPr>
                <w:rFonts w:eastAsia="Times New Roman"/>
                <w:b/>
                <w:bCs/>
                <w:sz w:val="18"/>
                <w:szCs w:val="18"/>
                <w:lang w:val="en-GB" w:eastAsia="mk-MK"/>
              </w:rPr>
              <w:t>0</w:t>
            </w:r>
            <w:r w:rsidRPr="00D30847">
              <w:rPr>
                <w:rFonts w:eastAsia="Times New Roman"/>
                <w:b/>
                <w:bCs/>
                <w:sz w:val="18"/>
                <w:szCs w:val="18"/>
                <w:lang w:val="en-GB" w:eastAsia="mk-MK"/>
              </w:rPr>
              <w:t>0,000</w:t>
            </w:r>
          </w:p>
        </w:tc>
        <w:tc>
          <w:tcPr>
            <w:tcW w:w="1357" w:type="dxa"/>
            <w:tcBorders>
              <w:top w:val="nil"/>
              <w:left w:val="nil"/>
              <w:bottom w:val="single" w:sz="4" w:space="0" w:color="auto"/>
              <w:right w:val="single" w:sz="4" w:space="0" w:color="auto"/>
            </w:tcBorders>
            <w:shd w:val="clear" w:color="000000" w:fill="00FF00"/>
            <w:noWrap/>
            <w:hideMark/>
          </w:tcPr>
          <w:p w14:paraId="5330C1F9"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261" w:type="dxa"/>
            <w:tcBorders>
              <w:top w:val="nil"/>
              <w:left w:val="nil"/>
              <w:bottom w:val="single" w:sz="4" w:space="0" w:color="auto"/>
              <w:right w:val="single" w:sz="4" w:space="0" w:color="auto"/>
            </w:tcBorders>
            <w:shd w:val="clear" w:color="000000" w:fill="00FF00"/>
            <w:noWrap/>
            <w:hideMark/>
          </w:tcPr>
          <w:p w14:paraId="108E5BE8" w14:textId="51A12A4B" w:rsidR="006A78BE" w:rsidRPr="00D30847" w:rsidRDefault="00BD7E36"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30</w:t>
            </w:r>
            <w:r w:rsidR="006A78BE" w:rsidRPr="00D30847">
              <w:rPr>
                <w:rFonts w:eastAsia="Times New Roman"/>
                <w:b/>
                <w:bCs/>
                <w:sz w:val="18"/>
                <w:szCs w:val="18"/>
                <w:lang w:val="en-GB" w:eastAsia="mk-MK"/>
              </w:rPr>
              <w:t>0,000</w:t>
            </w:r>
          </w:p>
        </w:tc>
        <w:tc>
          <w:tcPr>
            <w:tcW w:w="1196" w:type="dxa"/>
            <w:tcBorders>
              <w:top w:val="nil"/>
              <w:left w:val="nil"/>
              <w:bottom w:val="single" w:sz="4" w:space="0" w:color="auto"/>
              <w:right w:val="single" w:sz="8" w:space="0" w:color="auto"/>
            </w:tcBorders>
            <w:shd w:val="clear" w:color="000000" w:fill="00FF00"/>
            <w:noWrap/>
            <w:hideMark/>
          </w:tcPr>
          <w:p w14:paraId="40687CB8"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r>
      <w:tr w:rsidR="00BF1348" w:rsidRPr="00D30847" w14:paraId="384CEB86" w14:textId="77777777" w:rsidTr="00E32BC1">
        <w:trPr>
          <w:trHeight w:val="48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2F4627D9"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1.</w:t>
            </w:r>
          </w:p>
        </w:tc>
        <w:tc>
          <w:tcPr>
            <w:tcW w:w="2680" w:type="dxa"/>
            <w:tcBorders>
              <w:top w:val="nil"/>
              <w:left w:val="nil"/>
              <w:bottom w:val="single" w:sz="4" w:space="0" w:color="auto"/>
              <w:right w:val="single" w:sz="4" w:space="0" w:color="auto"/>
            </w:tcBorders>
            <w:shd w:val="clear" w:color="000000" w:fill="FFFF00"/>
            <w:hideMark/>
          </w:tcPr>
          <w:p w14:paraId="31737238" w14:textId="14EF93ED" w:rsidR="006A78BE" w:rsidRPr="00D30847" w:rsidRDefault="00B561EC"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Improved reporting on tax expenditures and other tax indicators</w:t>
            </w:r>
          </w:p>
        </w:tc>
        <w:tc>
          <w:tcPr>
            <w:tcW w:w="1403" w:type="dxa"/>
            <w:tcBorders>
              <w:top w:val="nil"/>
              <w:left w:val="nil"/>
              <w:bottom w:val="single" w:sz="4" w:space="0" w:color="auto"/>
              <w:right w:val="single" w:sz="4" w:space="0" w:color="auto"/>
            </w:tcBorders>
            <w:shd w:val="clear" w:color="000000" w:fill="FFFF00"/>
            <w:noWrap/>
            <w:hideMark/>
          </w:tcPr>
          <w:p w14:paraId="34F1A5A3" w14:textId="460AB60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1</w:t>
            </w:r>
            <w:r w:rsidR="00B561EC" w:rsidRPr="00D30847">
              <w:rPr>
                <w:rFonts w:eastAsia="Times New Roman"/>
                <w:color w:val="000000"/>
                <w:sz w:val="18"/>
                <w:szCs w:val="18"/>
                <w:lang w:val="en-GB" w:eastAsia="mk-MK"/>
              </w:rPr>
              <w:t>20</w:t>
            </w:r>
            <w:r w:rsidRPr="00D30847">
              <w:rPr>
                <w:rFonts w:eastAsia="Times New Roman"/>
                <w:color w:val="000000"/>
                <w:sz w:val="18"/>
                <w:szCs w:val="18"/>
                <w:lang w:val="en-GB" w:eastAsia="mk-MK"/>
              </w:rPr>
              <w:t>,000</w:t>
            </w:r>
          </w:p>
        </w:tc>
        <w:tc>
          <w:tcPr>
            <w:tcW w:w="1357" w:type="dxa"/>
            <w:tcBorders>
              <w:top w:val="nil"/>
              <w:left w:val="nil"/>
              <w:bottom w:val="single" w:sz="4" w:space="0" w:color="auto"/>
              <w:right w:val="single" w:sz="4" w:space="0" w:color="auto"/>
            </w:tcBorders>
            <w:shd w:val="clear" w:color="000000" w:fill="FFFF00"/>
            <w:noWrap/>
            <w:hideMark/>
          </w:tcPr>
          <w:p w14:paraId="356C2925"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11733C7F" w14:textId="23F5F699" w:rsidR="006A78BE" w:rsidRPr="00D30847" w:rsidRDefault="00BD7E36"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12</w:t>
            </w:r>
            <w:r w:rsidR="00B561EC" w:rsidRPr="00D30847">
              <w:rPr>
                <w:rFonts w:eastAsia="Times New Roman"/>
                <w:color w:val="000000"/>
                <w:sz w:val="18"/>
                <w:szCs w:val="18"/>
                <w:lang w:val="en-GB" w:eastAsia="mk-MK"/>
              </w:rPr>
              <w:t>0</w:t>
            </w:r>
            <w:r w:rsidR="006A78BE" w:rsidRPr="00D30847">
              <w:rPr>
                <w:rFonts w:eastAsia="Times New Roman"/>
                <w:color w:val="000000"/>
                <w:sz w:val="18"/>
                <w:szCs w:val="18"/>
                <w:lang w:val="en-GB" w:eastAsia="mk-MK"/>
              </w:rPr>
              <w:t>,000</w:t>
            </w:r>
          </w:p>
        </w:tc>
        <w:tc>
          <w:tcPr>
            <w:tcW w:w="1196" w:type="dxa"/>
            <w:tcBorders>
              <w:top w:val="nil"/>
              <w:left w:val="nil"/>
              <w:bottom w:val="single" w:sz="4" w:space="0" w:color="auto"/>
              <w:right w:val="single" w:sz="8" w:space="0" w:color="auto"/>
            </w:tcBorders>
            <w:shd w:val="clear" w:color="000000" w:fill="FFFF00"/>
            <w:noWrap/>
            <w:hideMark/>
          </w:tcPr>
          <w:p w14:paraId="0CE495A1"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33CF0D83"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79F449B2"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2.</w:t>
            </w:r>
          </w:p>
        </w:tc>
        <w:tc>
          <w:tcPr>
            <w:tcW w:w="2680" w:type="dxa"/>
            <w:tcBorders>
              <w:top w:val="nil"/>
              <w:left w:val="nil"/>
              <w:bottom w:val="single" w:sz="4" w:space="0" w:color="auto"/>
              <w:right w:val="single" w:sz="4" w:space="0" w:color="auto"/>
            </w:tcBorders>
            <w:shd w:val="clear" w:color="000000" w:fill="FFFF00"/>
            <w:hideMark/>
          </w:tcPr>
          <w:p w14:paraId="2BBC1F96" w14:textId="2E020D12" w:rsidR="006A78BE" w:rsidRPr="00D30847" w:rsidRDefault="00B561EC"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Enhancing capacity  for application of tax models</w:t>
            </w:r>
          </w:p>
        </w:tc>
        <w:tc>
          <w:tcPr>
            <w:tcW w:w="1403" w:type="dxa"/>
            <w:tcBorders>
              <w:top w:val="nil"/>
              <w:left w:val="nil"/>
              <w:bottom w:val="single" w:sz="4" w:space="0" w:color="auto"/>
              <w:right w:val="single" w:sz="4" w:space="0" w:color="auto"/>
            </w:tcBorders>
            <w:shd w:val="clear" w:color="000000" w:fill="FFFF00"/>
            <w:noWrap/>
            <w:hideMark/>
          </w:tcPr>
          <w:p w14:paraId="6B1482F3" w14:textId="1FBC3BF0"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1</w:t>
            </w:r>
            <w:r w:rsidR="00B561EC" w:rsidRPr="00D30847">
              <w:rPr>
                <w:rFonts w:eastAsia="Times New Roman"/>
                <w:sz w:val="18"/>
                <w:szCs w:val="18"/>
                <w:lang w:val="en-GB" w:eastAsia="mk-MK"/>
              </w:rPr>
              <w:t>80</w:t>
            </w:r>
            <w:r w:rsidRPr="00D30847">
              <w:rPr>
                <w:rFonts w:eastAsia="Times New Roman"/>
                <w:sz w:val="18"/>
                <w:szCs w:val="18"/>
                <w:lang w:val="en-GB" w:eastAsia="mk-MK"/>
              </w:rPr>
              <w:t>,000</w:t>
            </w:r>
          </w:p>
        </w:tc>
        <w:tc>
          <w:tcPr>
            <w:tcW w:w="1357" w:type="dxa"/>
            <w:tcBorders>
              <w:top w:val="nil"/>
              <w:left w:val="nil"/>
              <w:bottom w:val="single" w:sz="4" w:space="0" w:color="auto"/>
              <w:right w:val="single" w:sz="4" w:space="0" w:color="auto"/>
            </w:tcBorders>
            <w:shd w:val="clear" w:color="000000" w:fill="FFFF00"/>
            <w:noWrap/>
            <w:hideMark/>
          </w:tcPr>
          <w:p w14:paraId="0CF08CBB"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03539D81" w14:textId="13543C35" w:rsidR="006A78BE" w:rsidRPr="00D30847" w:rsidRDefault="00BD7E36"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1</w:t>
            </w:r>
            <w:r w:rsidR="00B561EC" w:rsidRPr="00D30847">
              <w:rPr>
                <w:rFonts w:eastAsia="Times New Roman"/>
                <w:sz w:val="18"/>
                <w:szCs w:val="18"/>
                <w:lang w:val="en-GB" w:eastAsia="mk-MK"/>
              </w:rPr>
              <w:t>80</w:t>
            </w:r>
            <w:r w:rsidR="006A78BE" w:rsidRPr="00D30847">
              <w:rPr>
                <w:rFonts w:eastAsia="Times New Roman"/>
                <w:sz w:val="18"/>
                <w:szCs w:val="18"/>
                <w:lang w:val="en-GB" w:eastAsia="mk-MK"/>
              </w:rPr>
              <w:t>,000</w:t>
            </w:r>
          </w:p>
        </w:tc>
        <w:tc>
          <w:tcPr>
            <w:tcW w:w="1196" w:type="dxa"/>
            <w:tcBorders>
              <w:top w:val="nil"/>
              <w:left w:val="nil"/>
              <w:bottom w:val="single" w:sz="4" w:space="0" w:color="auto"/>
              <w:right w:val="single" w:sz="8" w:space="0" w:color="auto"/>
            </w:tcBorders>
            <w:shd w:val="clear" w:color="000000" w:fill="FFFF00"/>
            <w:noWrap/>
            <w:hideMark/>
          </w:tcPr>
          <w:p w14:paraId="39CE20DA"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r>
      <w:tr w:rsidR="00BF1348" w:rsidRPr="00D30847" w14:paraId="6C999CFA" w14:textId="77777777" w:rsidTr="00E32BC1">
        <w:trPr>
          <w:trHeight w:val="375"/>
        </w:trPr>
        <w:tc>
          <w:tcPr>
            <w:tcW w:w="1107" w:type="dxa"/>
            <w:tcBorders>
              <w:top w:val="single" w:sz="4" w:space="0" w:color="auto"/>
              <w:left w:val="single" w:sz="8" w:space="0" w:color="auto"/>
              <w:bottom w:val="single" w:sz="4" w:space="0" w:color="auto"/>
              <w:right w:val="single" w:sz="4" w:space="0" w:color="auto"/>
            </w:tcBorders>
            <w:shd w:val="clear" w:color="000000" w:fill="00FF00"/>
            <w:noWrap/>
            <w:hideMark/>
          </w:tcPr>
          <w:p w14:paraId="29461B8E" w14:textId="7CF5DDCC" w:rsidR="006A78BE" w:rsidRPr="00D30847" w:rsidRDefault="006A78BE" w:rsidP="006A78BE">
            <w:pPr>
              <w:spacing w:after="0" w:line="240" w:lineRule="auto"/>
              <w:jc w:val="center"/>
              <w:rPr>
                <w:rFonts w:eastAsia="Times New Roman"/>
                <w:b/>
                <w:bCs/>
                <w:sz w:val="20"/>
                <w:szCs w:val="20"/>
                <w:lang w:val="en-GB" w:eastAsia="mk-MK"/>
              </w:rPr>
            </w:pPr>
            <w:r w:rsidRPr="00D30847">
              <w:rPr>
                <w:rFonts w:eastAsia="Times New Roman"/>
                <w:b/>
                <w:bCs/>
                <w:sz w:val="20"/>
                <w:szCs w:val="20"/>
                <w:lang w:val="en-GB" w:eastAsia="mk-MK"/>
              </w:rPr>
              <w:t>Priority 2.</w:t>
            </w:r>
          </w:p>
        </w:tc>
        <w:tc>
          <w:tcPr>
            <w:tcW w:w="2680" w:type="dxa"/>
            <w:tcBorders>
              <w:top w:val="nil"/>
              <w:left w:val="nil"/>
              <w:bottom w:val="single" w:sz="4" w:space="0" w:color="auto"/>
              <w:right w:val="single" w:sz="4" w:space="0" w:color="auto"/>
            </w:tcBorders>
            <w:shd w:val="clear" w:color="000000" w:fill="00FF00"/>
            <w:hideMark/>
          </w:tcPr>
          <w:p w14:paraId="019BDC93" w14:textId="0A8FCCDC" w:rsidR="006A78BE" w:rsidRPr="00D30847" w:rsidRDefault="001B27C8" w:rsidP="006A78BE">
            <w:pPr>
              <w:spacing w:after="0" w:line="240" w:lineRule="auto"/>
              <w:jc w:val="both"/>
              <w:rPr>
                <w:rFonts w:eastAsia="Times New Roman"/>
                <w:b/>
                <w:bCs/>
                <w:sz w:val="18"/>
                <w:szCs w:val="18"/>
                <w:lang w:val="en-GB" w:eastAsia="mk-MK"/>
              </w:rPr>
            </w:pPr>
            <w:r w:rsidRPr="00D30847">
              <w:rPr>
                <w:rFonts w:eastAsia="Times New Roman"/>
                <w:b/>
                <w:bCs/>
                <w:sz w:val="18"/>
                <w:szCs w:val="18"/>
                <w:lang w:val="en-GB" w:eastAsia="mk-MK"/>
              </w:rPr>
              <w:t>Economic A</w:t>
            </w:r>
            <w:r w:rsidR="006A78BE" w:rsidRPr="00D30847">
              <w:rPr>
                <w:rFonts w:eastAsia="Times New Roman"/>
                <w:b/>
                <w:bCs/>
                <w:sz w:val="18"/>
                <w:szCs w:val="18"/>
                <w:lang w:val="en-GB" w:eastAsia="mk-MK"/>
              </w:rPr>
              <w:t>nalysis and Macroeconomic forecasting</w:t>
            </w:r>
          </w:p>
        </w:tc>
        <w:tc>
          <w:tcPr>
            <w:tcW w:w="1403" w:type="dxa"/>
            <w:tcBorders>
              <w:top w:val="nil"/>
              <w:left w:val="nil"/>
              <w:bottom w:val="single" w:sz="4" w:space="0" w:color="auto"/>
              <w:right w:val="single" w:sz="4" w:space="0" w:color="auto"/>
            </w:tcBorders>
            <w:shd w:val="clear" w:color="000000" w:fill="00FF00"/>
            <w:noWrap/>
            <w:hideMark/>
          </w:tcPr>
          <w:p w14:paraId="5369998A" w14:textId="219684D0" w:rsidR="006A78BE" w:rsidRPr="00D30847" w:rsidRDefault="0084719B"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4</w:t>
            </w:r>
            <w:r w:rsidR="006A78BE" w:rsidRPr="00D30847">
              <w:rPr>
                <w:rFonts w:eastAsia="Times New Roman"/>
                <w:b/>
                <w:bCs/>
                <w:sz w:val="18"/>
                <w:szCs w:val="18"/>
                <w:lang w:val="en-GB" w:eastAsia="mk-MK"/>
              </w:rPr>
              <w:t>20,000</w:t>
            </w:r>
          </w:p>
        </w:tc>
        <w:tc>
          <w:tcPr>
            <w:tcW w:w="1357" w:type="dxa"/>
            <w:tcBorders>
              <w:top w:val="nil"/>
              <w:left w:val="nil"/>
              <w:bottom w:val="single" w:sz="4" w:space="0" w:color="auto"/>
              <w:right w:val="single" w:sz="4" w:space="0" w:color="auto"/>
            </w:tcBorders>
            <w:shd w:val="clear" w:color="000000" w:fill="00FF00"/>
            <w:noWrap/>
            <w:hideMark/>
          </w:tcPr>
          <w:p w14:paraId="15342E6F" w14:textId="2671E4F3" w:rsidR="006A78BE" w:rsidRPr="00D30847" w:rsidRDefault="0010596C"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261" w:type="dxa"/>
            <w:tcBorders>
              <w:top w:val="nil"/>
              <w:left w:val="nil"/>
              <w:bottom w:val="single" w:sz="4" w:space="0" w:color="auto"/>
              <w:right w:val="single" w:sz="4" w:space="0" w:color="auto"/>
            </w:tcBorders>
            <w:shd w:val="clear" w:color="000000" w:fill="00FF00"/>
            <w:noWrap/>
            <w:hideMark/>
          </w:tcPr>
          <w:p w14:paraId="0DE61B77" w14:textId="7A68F964"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4</w:t>
            </w:r>
            <w:r w:rsidR="0010596C" w:rsidRPr="00D30847">
              <w:rPr>
                <w:rFonts w:eastAsia="Times New Roman"/>
                <w:b/>
                <w:bCs/>
                <w:sz w:val="18"/>
                <w:szCs w:val="18"/>
                <w:lang w:val="en-GB" w:eastAsia="mk-MK"/>
              </w:rPr>
              <w:t>2</w:t>
            </w:r>
            <w:r w:rsidRPr="00D30847">
              <w:rPr>
                <w:rFonts w:eastAsia="Times New Roman"/>
                <w:b/>
                <w:bCs/>
                <w:sz w:val="18"/>
                <w:szCs w:val="18"/>
                <w:lang w:val="en-GB" w:eastAsia="mk-MK"/>
              </w:rPr>
              <w:t>0,000</w:t>
            </w:r>
          </w:p>
        </w:tc>
        <w:tc>
          <w:tcPr>
            <w:tcW w:w="1196" w:type="dxa"/>
            <w:tcBorders>
              <w:top w:val="nil"/>
              <w:left w:val="nil"/>
              <w:bottom w:val="single" w:sz="4" w:space="0" w:color="auto"/>
              <w:right w:val="single" w:sz="8" w:space="0" w:color="auto"/>
            </w:tcBorders>
            <w:shd w:val="clear" w:color="000000" w:fill="00FF00"/>
            <w:noWrap/>
            <w:hideMark/>
          </w:tcPr>
          <w:p w14:paraId="4FB84E1D"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r>
      <w:tr w:rsidR="00BF1348" w:rsidRPr="00D30847" w14:paraId="1DDB020C"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5C2818FB"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1</w:t>
            </w:r>
          </w:p>
        </w:tc>
        <w:tc>
          <w:tcPr>
            <w:tcW w:w="2680" w:type="dxa"/>
            <w:tcBorders>
              <w:top w:val="nil"/>
              <w:left w:val="nil"/>
              <w:bottom w:val="single" w:sz="4" w:space="0" w:color="auto"/>
              <w:right w:val="single" w:sz="4" w:space="0" w:color="auto"/>
            </w:tcBorders>
            <w:shd w:val="clear" w:color="000000" w:fill="FFFF00"/>
            <w:hideMark/>
          </w:tcPr>
          <w:p w14:paraId="09534043" w14:textId="7F4AD457"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Capacity building for economic analysis</w:t>
            </w:r>
          </w:p>
        </w:tc>
        <w:tc>
          <w:tcPr>
            <w:tcW w:w="1403" w:type="dxa"/>
            <w:tcBorders>
              <w:top w:val="nil"/>
              <w:left w:val="nil"/>
              <w:bottom w:val="single" w:sz="4" w:space="0" w:color="auto"/>
              <w:right w:val="single" w:sz="4" w:space="0" w:color="auto"/>
            </w:tcBorders>
            <w:shd w:val="clear" w:color="000000" w:fill="FFFF00"/>
            <w:noWrap/>
            <w:hideMark/>
          </w:tcPr>
          <w:p w14:paraId="59D4ED1B" w14:textId="28347D98"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1</w:t>
            </w:r>
            <w:r w:rsidR="0010596C" w:rsidRPr="00D30847">
              <w:rPr>
                <w:rFonts w:eastAsia="Times New Roman"/>
                <w:color w:val="000000"/>
                <w:sz w:val="18"/>
                <w:szCs w:val="18"/>
                <w:lang w:val="en-GB" w:eastAsia="mk-MK"/>
              </w:rPr>
              <w:t>4</w:t>
            </w:r>
            <w:r w:rsidRPr="00D30847">
              <w:rPr>
                <w:rFonts w:eastAsia="Times New Roman"/>
                <w:color w:val="000000"/>
                <w:sz w:val="18"/>
                <w:szCs w:val="18"/>
                <w:lang w:val="en-GB" w:eastAsia="mk-MK"/>
              </w:rPr>
              <w:t>0,000</w:t>
            </w:r>
          </w:p>
        </w:tc>
        <w:tc>
          <w:tcPr>
            <w:tcW w:w="1357" w:type="dxa"/>
            <w:tcBorders>
              <w:top w:val="nil"/>
              <w:left w:val="nil"/>
              <w:bottom w:val="single" w:sz="4" w:space="0" w:color="auto"/>
              <w:right w:val="single" w:sz="4" w:space="0" w:color="auto"/>
            </w:tcBorders>
            <w:shd w:val="clear" w:color="000000" w:fill="FFFF00"/>
            <w:noWrap/>
            <w:hideMark/>
          </w:tcPr>
          <w:p w14:paraId="58990970"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020BE55C" w14:textId="00C30B43"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1</w:t>
            </w:r>
            <w:r w:rsidR="0010596C" w:rsidRPr="00D30847">
              <w:rPr>
                <w:rFonts w:eastAsia="Times New Roman"/>
                <w:color w:val="000000"/>
                <w:sz w:val="18"/>
                <w:szCs w:val="18"/>
                <w:lang w:val="en-GB" w:eastAsia="mk-MK"/>
              </w:rPr>
              <w:t>4</w:t>
            </w:r>
            <w:r w:rsidRPr="00D30847">
              <w:rPr>
                <w:rFonts w:eastAsia="Times New Roman"/>
                <w:color w:val="000000"/>
                <w:sz w:val="18"/>
                <w:szCs w:val="18"/>
                <w:lang w:val="en-GB" w:eastAsia="mk-MK"/>
              </w:rPr>
              <w:t>0,000</w:t>
            </w:r>
          </w:p>
        </w:tc>
        <w:tc>
          <w:tcPr>
            <w:tcW w:w="1196" w:type="dxa"/>
            <w:tcBorders>
              <w:top w:val="nil"/>
              <w:left w:val="nil"/>
              <w:bottom w:val="single" w:sz="4" w:space="0" w:color="auto"/>
              <w:right w:val="single" w:sz="8" w:space="0" w:color="auto"/>
            </w:tcBorders>
            <w:shd w:val="clear" w:color="000000" w:fill="FFFF00"/>
            <w:noWrap/>
            <w:hideMark/>
          </w:tcPr>
          <w:p w14:paraId="1D6A9B78"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77138689"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75EA3A5B"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2</w:t>
            </w:r>
          </w:p>
        </w:tc>
        <w:tc>
          <w:tcPr>
            <w:tcW w:w="2680" w:type="dxa"/>
            <w:tcBorders>
              <w:top w:val="nil"/>
              <w:left w:val="nil"/>
              <w:bottom w:val="single" w:sz="4" w:space="0" w:color="auto"/>
              <w:right w:val="single" w:sz="4" w:space="0" w:color="auto"/>
            </w:tcBorders>
            <w:shd w:val="clear" w:color="000000" w:fill="FFFF00"/>
            <w:hideMark/>
          </w:tcPr>
          <w:p w14:paraId="35CDB782" w14:textId="74C109E9"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Developing new macroeconomic models</w:t>
            </w:r>
          </w:p>
        </w:tc>
        <w:tc>
          <w:tcPr>
            <w:tcW w:w="1403" w:type="dxa"/>
            <w:tcBorders>
              <w:top w:val="nil"/>
              <w:left w:val="nil"/>
              <w:bottom w:val="single" w:sz="4" w:space="0" w:color="auto"/>
              <w:right w:val="single" w:sz="4" w:space="0" w:color="auto"/>
            </w:tcBorders>
            <w:shd w:val="clear" w:color="000000" w:fill="FFFF00"/>
            <w:noWrap/>
            <w:hideMark/>
          </w:tcPr>
          <w:p w14:paraId="3005D935" w14:textId="5593B10D"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1</w:t>
            </w:r>
            <w:r w:rsidR="0010596C" w:rsidRPr="00D30847">
              <w:rPr>
                <w:rFonts w:eastAsia="Times New Roman"/>
                <w:color w:val="000000"/>
                <w:sz w:val="18"/>
                <w:szCs w:val="18"/>
                <w:lang w:val="en-GB" w:eastAsia="mk-MK"/>
              </w:rPr>
              <w:t>4</w:t>
            </w:r>
            <w:r w:rsidRPr="00D30847">
              <w:rPr>
                <w:rFonts w:eastAsia="Times New Roman"/>
                <w:color w:val="000000"/>
                <w:sz w:val="18"/>
                <w:szCs w:val="18"/>
                <w:lang w:val="en-GB" w:eastAsia="mk-MK"/>
              </w:rPr>
              <w:t>0,000</w:t>
            </w:r>
          </w:p>
        </w:tc>
        <w:tc>
          <w:tcPr>
            <w:tcW w:w="1357" w:type="dxa"/>
            <w:tcBorders>
              <w:top w:val="nil"/>
              <w:left w:val="nil"/>
              <w:bottom w:val="single" w:sz="4" w:space="0" w:color="auto"/>
              <w:right w:val="single" w:sz="4" w:space="0" w:color="auto"/>
            </w:tcBorders>
            <w:shd w:val="clear" w:color="000000" w:fill="FFFF00"/>
            <w:noWrap/>
            <w:hideMark/>
          </w:tcPr>
          <w:p w14:paraId="6B6A9E11"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743EEDE1" w14:textId="1DFC23E8"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1</w:t>
            </w:r>
            <w:r w:rsidR="0010596C" w:rsidRPr="00D30847">
              <w:rPr>
                <w:rFonts w:eastAsia="Times New Roman"/>
                <w:color w:val="000000"/>
                <w:sz w:val="18"/>
                <w:szCs w:val="18"/>
                <w:lang w:val="en-GB" w:eastAsia="mk-MK"/>
              </w:rPr>
              <w:t>4</w:t>
            </w:r>
            <w:r w:rsidRPr="00D30847">
              <w:rPr>
                <w:rFonts w:eastAsia="Times New Roman"/>
                <w:color w:val="000000"/>
                <w:sz w:val="18"/>
                <w:szCs w:val="18"/>
                <w:lang w:val="en-GB" w:eastAsia="mk-MK"/>
              </w:rPr>
              <w:t>0,000</w:t>
            </w:r>
          </w:p>
        </w:tc>
        <w:tc>
          <w:tcPr>
            <w:tcW w:w="1196" w:type="dxa"/>
            <w:tcBorders>
              <w:top w:val="nil"/>
              <w:left w:val="nil"/>
              <w:bottom w:val="single" w:sz="4" w:space="0" w:color="auto"/>
              <w:right w:val="single" w:sz="8" w:space="0" w:color="auto"/>
            </w:tcBorders>
            <w:shd w:val="clear" w:color="000000" w:fill="FFFF00"/>
            <w:noWrap/>
            <w:hideMark/>
          </w:tcPr>
          <w:p w14:paraId="2D38CCBF"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2964720D"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431D3D17"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3</w:t>
            </w:r>
          </w:p>
        </w:tc>
        <w:tc>
          <w:tcPr>
            <w:tcW w:w="2680" w:type="dxa"/>
            <w:tcBorders>
              <w:top w:val="nil"/>
              <w:left w:val="nil"/>
              <w:bottom w:val="single" w:sz="4" w:space="0" w:color="auto"/>
              <w:right w:val="single" w:sz="4" w:space="0" w:color="auto"/>
            </w:tcBorders>
            <w:shd w:val="clear" w:color="000000" w:fill="FFFF00"/>
            <w:hideMark/>
          </w:tcPr>
          <w:p w14:paraId="53BD76FE" w14:textId="5CF2A2DD" w:rsidR="006A78BE" w:rsidRPr="00D30847" w:rsidRDefault="008072E1"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Fiscal R</w:t>
            </w:r>
            <w:r w:rsidR="006A78BE" w:rsidRPr="00D30847">
              <w:rPr>
                <w:rFonts w:eastAsia="Times New Roman"/>
                <w:bCs/>
                <w:sz w:val="18"/>
                <w:szCs w:val="18"/>
                <w:lang w:val="en-GB" w:eastAsia="mk-MK"/>
              </w:rPr>
              <w:t>isks</w:t>
            </w:r>
          </w:p>
        </w:tc>
        <w:tc>
          <w:tcPr>
            <w:tcW w:w="1403" w:type="dxa"/>
            <w:tcBorders>
              <w:top w:val="nil"/>
              <w:left w:val="nil"/>
              <w:bottom w:val="single" w:sz="4" w:space="0" w:color="auto"/>
              <w:right w:val="single" w:sz="4" w:space="0" w:color="auto"/>
            </w:tcBorders>
            <w:shd w:val="clear" w:color="000000" w:fill="FFFF00"/>
            <w:noWrap/>
            <w:hideMark/>
          </w:tcPr>
          <w:p w14:paraId="268ACDBC" w14:textId="6CFA3499" w:rsidR="006A78BE" w:rsidRPr="00D30847" w:rsidRDefault="0010596C"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14</w:t>
            </w:r>
            <w:r w:rsidR="006A78BE" w:rsidRPr="00D30847">
              <w:rPr>
                <w:rFonts w:eastAsia="Times New Roman"/>
                <w:color w:val="000000"/>
                <w:sz w:val="18"/>
                <w:szCs w:val="18"/>
                <w:lang w:val="en-GB" w:eastAsia="mk-MK"/>
              </w:rPr>
              <w:t>0,000</w:t>
            </w:r>
          </w:p>
        </w:tc>
        <w:tc>
          <w:tcPr>
            <w:tcW w:w="1357" w:type="dxa"/>
            <w:tcBorders>
              <w:top w:val="nil"/>
              <w:left w:val="nil"/>
              <w:bottom w:val="single" w:sz="4" w:space="0" w:color="auto"/>
              <w:right w:val="single" w:sz="4" w:space="0" w:color="auto"/>
            </w:tcBorders>
            <w:shd w:val="clear" w:color="000000" w:fill="FFFF00"/>
            <w:noWrap/>
            <w:hideMark/>
          </w:tcPr>
          <w:p w14:paraId="36036882"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3BCD1A72" w14:textId="55C0D00F" w:rsidR="006A78BE" w:rsidRPr="00D30847" w:rsidRDefault="0010596C"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14</w:t>
            </w:r>
            <w:r w:rsidR="006A78BE" w:rsidRPr="00D30847">
              <w:rPr>
                <w:rFonts w:eastAsia="Times New Roman"/>
                <w:color w:val="000000"/>
                <w:sz w:val="18"/>
                <w:szCs w:val="18"/>
                <w:lang w:val="en-GB" w:eastAsia="mk-MK"/>
              </w:rPr>
              <w:t>0,000</w:t>
            </w:r>
          </w:p>
        </w:tc>
        <w:tc>
          <w:tcPr>
            <w:tcW w:w="1196" w:type="dxa"/>
            <w:tcBorders>
              <w:top w:val="nil"/>
              <w:left w:val="nil"/>
              <w:bottom w:val="single" w:sz="4" w:space="0" w:color="auto"/>
              <w:right w:val="single" w:sz="8" w:space="0" w:color="auto"/>
            </w:tcBorders>
            <w:shd w:val="clear" w:color="000000" w:fill="FFFF00"/>
            <w:noWrap/>
            <w:hideMark/>
          </w:tcPr>
          <w:p w14:paraId="467C4B60"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7114AC09"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00FF00"/>
            <w:noWrap/>
            <w:hideMark/>
          </w:tcPr>
          <w:p w14:paraId="11B4987D"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Priority 3.</w:t>
            </w:r>
          </w:p>
        </w:tc>
        <w:tc>
          <w:tcPr>
            <w:tcW w:w="2680" w:type="dxa"/>
            <w:tcBorders>
              <w:top w:val="nil"/>
              <w:left w:val="nil"/>
              <w:bottom w:val="single" w:sz="4" w:space="0" w:color="auto"/>
              <w:right w:val="single" w:sz="4" w:space="0" w:color="auto"/>
            </w:tcBorders>
            <w:shd w:val="clear" w:color="000000" w:fill="00FF00"/>
            <w:hideMark/>
          </w:tcPr>
          <w:p w14:paraId="584AABE8" w14:textId="77777777" w:rsidR="006A78BE" w:rsidRPr="00D30847" w:rsidRDefault="006A78BE" w:rsidP="006A78BE">
            <w:pPr>
              <w:spacing w:after="0" w:line="240" w:lineRule="auto"/>
              <w:jc w:val="both"/>
              <w:rPr>
                <w:rFonts w:eastAsia="Times New Roman"/>
                <w:b/>
                <w:bCs/>
                <w:sz w:val="18"/>
                <w:szCs w:val="18"/>
                <w:lang w:val="en-GB" w:eastAsia="mk-MK"/>
              </w:rPr>
            </w:pPr>
            <w:r w:rsidRPr="00D30847">
              <w:rPr>
                <w:rFonts w:eastAsia="Times New Roman"/>
                <w:b/>
                <w:bCs/>
                <w:sz w:val="18"/>
                <w:szCs w:val="18"/>
                <w:lang w:val="en-GB" w:eastAsia="mk-MK"/>
              </w:rPr>
              <w:t>Strengthening Debt management</w:t>
            </w:r>
          </w:p>
        </w:tc>
        <w:tc>
          <w:tcPr>
            <w:tcW w:w="1403" w:type="dxa"/>
            <w:tcBorders>
              <w:top w:val="nil"/>
              <w:left w:val="nil"/>
              <w:bottom w:val="single" w:sz="4" w:space="0" w:color="auto"/>
              <w:right w:val="single" w:sz="4" w:space="0" w:color="auto"/>
            </w:tcBorders>
            <w:shd w:val="clear" w:color="000000" w:fill="00FF00"/>
            <w:noWrap/>
            <w:hideMark/>
          </w:tcPr>
          <w:p w14:paraId="43B1BB79" w14:textId="60FAC0AA" w:rsidR="006A78BE" w:rsidRPr="00D30847" w:rsidRDefault="00043FC8"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227</w:t>
            </w:r>
            <w:r w:rsidR="006A78BE" w:rsidRPr="00D30847">
              <w:rPr>
                <w:rFonts w:eastAsia="Times New Roman"/>
                <w:b/>
                <w:bCs/>
                <w:sz w:val="18"/>
                <w:szCs w:val="18"/>
                <w:lang w:val="en-GB" w:eastAsia="mk-MK"/>
              </w:rPr>
              <w:t>,000</w:t>
            </w:r>
          </w:p>
        </w:tc>
        <w:tc>
          <w:tcPr>
            <w:tcW w:w="1357" w:type="dxa"/>
            <w:tcBorders>
              <w:top w:val="nil"/>
              <w:left w:val="nil"/>
              <w:bottom w:val="single" w:sz="4" w:space="0" w:color="auto"/>
              <w:right w:val="single" w:sz="4" w:space="0" w:color="auto"/>
            </w:tcBorders>
            <w:shd w:val="clear" w:color="000000" w:fill="00FF00"/>
            <w:noWrap/>
            <w:hideMark/>
          </w:tcPr>
          <w:p w14:paraId="1471E2C8" w14:textId="0EBE2535" w:rsidR="006A78BE" w:rsidRPr="00D30847" w:rsidRDefault="00A73AC4"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2</w:t>
            </w:r>
            <w:r w:rsidR="00043FC8" w:rsidRPr="00D30847">
              <w:rPr>
                <w:rFonts w:eastAsia="Times New Roman"/>
                <w:b/>
                <w:bCs/>
                <w:sz w:val="18"/>
                <w:szCs w:val="18"/>
                <w:lang w:val="en-GB" w:eastAsia="mk-MK"/>
              </w:rPr>
              <w:t>27</w:t>
            </w:r>
            <w:r w:rsidR="006A78BE" w:rsidRPr="00D30847">
              <w:rPr>
                <w:rFonts w:eastAsia="Times New Roman"/>
                <w:b/>
                <w:bCs/>
                <w:sz w:val="18"/>
                <w:szCs w:val="18"/>
                <w:lang w:val="en-GB" w:eastAsia="mk-MK"/>
              </w:rPr>
              <w:t>,000</w:t>
            </w:r>
          </w:p>
        </w:tc>
        <w:tc>
          <w:tcPr>
            <w:tcW w:w="1261" w:type="dxa"/>
            <w:tcBorders>
              <w:top w:val="nil"/>
              <w:left w:val="nil"/>
              <w:bottom w:val="single" w:sz="4" w:space="0" w:color="auto"/>
              <w:right w:val="single" w:sz="4" w:space="0" w:color="auto"/>
            </w:tcBorders>
            <w:shd w:val="clear" w:color="000000" w:fill="00FF00"/>
            <w:noWrap/>
            <w:hideMark/>
          </w:tcPr>
          <w:p w14:paraId="7015D39E"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196" w:type="dxa"/>
            <w:tcBorders>
              <w:top w:val="nil"/>
              <w:left w:val="nil"/>
              <w:bottom w:val="single" w:sz="4" w:space="0" w:color="auto"/>
              <w:right w:val="single" w:sz="8" w:space="0" w:color="auto"/>
            </w:tcBorders>
            <w:shd w:val="clear" w:color="000000" w:fill="00FF00"/>
            <w:noWrap/>
            <w:hideMark/>
          </w:tcPr>
          <w:p w14:paraId="106440BF"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r>
      <w:tr w:rsidR="00BF1348" w:rsidRPr="00D30847" w14:paraId="696A88EA"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4118CE81"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1</w:t>
            </w:r>
          </w:p>
        </w:tc>
        <w:tc>
          <w:tcPr>
            <w:tcW w:w="2680" w:type="dxa"/>
            <w:tcBorders>
              <w:top w:val="nil"/>
              <w:left w:val="nil"/>
              <w:bottom w:val="single" w:sz="4" w:space="0" w:color="auto"/>
              <w:right w:val="single" w:sz="4" w:space="0" w:color="auto"/>
            </w:tcBorders>
            <w:shd w:val="clear" w:color="000000" w:fill="FFFF00"/>
            <w:hideMark/>
          </w:tcPr>
          <w:p w14:paraId="6FB700CE" w14:textId="77777777"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Reducing of operational risks at public debt management</w:t>
            </w:r>
          </w:p>
        </w:tc>
        <w:tc>
          <w:tcPr>
            <w:tcW w:w="1403" w:type="dxa"/>
            <w:tcBorders>
              <w:top w:val="nil"/>
              <w:left w:val="nil"/>
              <w:bottom w:val="single" w:sz="4" w:space="0" w:color="auto"/>
              <w:right w:val="single" w:sz="4" w:space="0" w:color="auto"/>
            </w:tcBorders>
            <w:shd w:val="clear" w:color="000000" w:fill="FFFF00"/>
            <w:noWrap/>
            <w:hideMark/>
          </w:tcPr>
          <w:p w14:paraId="5AA6C5C9" w14:textId="2FA627DD" w:rsidR="006A78BE" w:rsidRPr="00D30847" w:rsidRDefault="00A73AC4"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2</w:t>
            </w:r>
            <w:r w:rsidR="00043FC8" w:rsidRPr="00D30847">
              <w:rPr>
                <w:rFonts w:eastAsia="Times New Roman"/>
                <w:color w:val="000000"/>
                <w:sz w:val="18"/>
                <w:szCs w:val="18"/>
                <w:lang w:val="en-GB" w:eastAsia="mk-MK"/>
              </w:rPr>
              <w:t>27</w:t>
            </w:r>
            <w:r w:rsidR="006A78BE" w:rsidRPr="00D30847">
              <w:rPr>
                <w:rFonts w:eastAsia="Times New Roman"/>
                <w:color w:val="000000"/>
                <w:sz w:val="18"/>
                <w:szCs w:val="18"/>
                <w:lang w:val="en-GB" w:eastAsia="mk-MK"/>
              </w:rPr>
              <w:t>,000</w:t>
            </w:r>
          </w:p>
        </w:tc>
        <w:tc>
          <w:tcPr>
            <w:tcW w:w="1357" w:type="dxa"/>
            <w:tcBorders>
              <w:top w:val="nil"/>
              <w:left w:val="nil"/>
              <w:bottom w:val="single" w:sz="4" w:space="0" w:color="auto"/>
              <w:right w:val="single" w:sz="4" w:space="0" w:color="auto"/>
            </w:tcBorders>
            <w:shd w:val="clear" w:color="000000" w:fill="FFFF00"/>
            <w:noWrap/>
            <w:hideMark/>
          </w:tcPr>
          <w:p w14:paraId="4AFEA009" w14:textId="3162E276" w:rsidR="006A78BE" w:rsidRPr="00D30847" w:rsidRDefault="00A73AC4"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2</w:t>
            </w:r>
            <w:r w:rsidR="00043FC8" w:rsidRPr="00D30847">
              <w:rPr>
                <w:rFonts w:eastAsia="Times New Roman"/>
                <w:color w:val="000000"/>
                <w:sz w:val="18"/>
                <w:szCs w:val="18"/>
                <w:lang w:val="en-GB" w:eastAsia="mk-MK"/>
              </w:rPr>
              <w:t>27</w:t>
            </w:r>
            <w:r w:rsidR="006A78BE" w:rsidRPr="00D30847">
              <w:rPr>
                <w:rFonts w:eastAsia="Times New Roman"/>
                <w:color w:val="000000"/>
                <w:sz w:val="18"/>
                <w:szCs w:val="18"/>
                <w:lang w:val="en-GB" w:eastAsia="mk-MK"/>
              </w:rPr>
              <w:t>,000</w:t>
            </w:r>
          </w:p>
        </w:tc>
        <w:tc>
          <w:tcPr>
            <w:tcW w:w="1261" w:type="dxa"/>
            <w:tcBorders>
              <w:top w:val="nil"/>
              <w:left w:val="nil"/>
              <w:bottom w:val="single" w:sz="4" w:space="0" w:color="auto"/>
              <w:right w:val="single" w:sz="4" w:space="0" w:color="auto"/>
            </w:tcBorders>
            <w:shd w:val="clear" w:color="000000" w:fill="FFFF00"/>
            <w:noWrap/>
            <w:hideMark/>
          </w:tcPr>
          <w:p w14:paraId="254E6851"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hideMark/>
          </w:tcPr>
          <w:p w14:paraId="4C04A63E"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3130EF98" w14:textId="77777777" w:rsidTr="008072E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37136488"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2</w:t>
            </w:r>
          </w:p>
        </w:tc>
        <w:tc>
          <w:tcPr>
            <w:tcW w:w="2680" w:type="dxa"/>
            <w:tcBorders>
              <w:top w:val="single" w:sz="4" w:space="0" w:color="auto"/>
              <w:left w:val="nil"/>
              <w:bottom w:val="single" w:sz="4" w:space="0" w:color="auto"/>
              <w:right w:val="single" w:sz="4" w:space="0" w:color="auto"/>
            </w:tcBorders>
            <w:shd w:val="clear" w:color="000000" w:fill="FFFF00"/>
            <w:hideMark/>
          </w:tcPr>
          <w:p w14:paraId="7E0481FB" w14:textId="77777777"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Increasing public debt transparency</w:t>
            </w:r>
          </w:p>
        </w:tc>
        <w:tc>
          <w:tcPr>
            <w:tcW w:w="1403" w:type="dxa"/>
            <w:tcBorders>
              <w:top w:val="single" w:sz="4" w:space="0" w:color="auto"/>
              <w:left w:val="nil"/>
              <w:bottom w:val="single" w:sz="4" w:space="0" w:color="auto"/>
              <w:right w:val="single" w:sz="4" w:space="0" w:color="auto"/>
            </w:tcBorders>
            <w:shd w:val="clear" w:color="000000" w:fill="FFFF00"/>
            <w:noWrap/>
            <w:hideMark/>
          </w:tcPr>
          <w:p w14:paraId="0DFB6C74"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357" w:type="dxa"/>
            <w:tcBorders>
              <w:top w:val="single" w:sz="4" w:space="0" w:color="auto"/>
              <w:left w:val="nil"/>
              <w:bottom w:val="single" w:sz="4" w:space="0" w:color="auto"/>
              <w:right w:val="single" w:sz="4" w:space="0" w:color="auto"/>
            </w:tcBorders>
            <w:shd w:val="clear" w:color="000000" w:fill="FFFF00"/>
            <w:noWrap/>
            <w:hideMark/>
          </w:tcPr>
          <w:p w14:paraId="017C51C5"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261" w:type="dxa"/>
            <w:tcBorders>
              <w:top w:val="single" w:sz="4" w:space="0" w:color="auto"/>
              <w:left w:val="nil"/>
              <w:bottom w:val="single" w:sz="4" w:space="0" w:color="auto"/>
              <w:right w:val="single" w:sz="4" w:space="0" w:color="auto"/>
            </w:tcBorders>
            <w:shd w:val="clear" w:color="000000" w:fill="FFFF00"/>
            <w:noWrap/>
            <w:hideMark/>
          </w:tcPr>
          <w:p w14:paraId="1959ABD0"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196" w:type="dxa"/>
            <w:tcBorders>
              <w:top w:val="single" w:sz="4" w:space="0" w:color="auto"/>
              <w:left w:val="nil"/>
              <w:bottom w:val="single" w:sz="4" w:space="0" w:color="auto"/>
              <w:right w:val="single" w:sz="4" w:space="0" w:color="auto"/>
            </w:tcBorders>
            <w:shd w:val="clear" w:color="000000" w:fill="FFFF00"/>
            <w:noWrap/>
            <w:hideMark/>
          </w:tcPr>
          <w:p w14:paraId="20211BB7"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6EE64BAA" w14:textId="77777777" w:rsidTr="008072E1">
        <w:trPr>
          <w:trHeight w:val="300"/>
        </w:trPr>
        <w:tc>
          <w:tcPr>
            <w:tcW w:w="1107" w:type="dxa"/>
            <w:tcBorders>
              <w:top w:val="single" w:sz="4" w:space="0" w:color="auto"/>
              <w:left w:val="single" w:sz="4" w:space="0" w:color="auto"/>
              <w:bottom w:val="single" w:sz="4" w:space="0" w:color="auto"/>
              <w:right w:val="single" w:sz="4" w:space="0" w:color="auto"/>
            </w:tcBorders>
            <w:shd w:val="clear" w:color="000000" w:fill="FFFF00"/>
            <w:noWrap/>
            <w:hideMark/>
          </w:tcPr>
          <w:p w14:paraId="3D646D94"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lastRenderedPageBreak/>
              <w:t>Measure 3</w:t>
            </w:r>
          </w:p>
        </w:tc>
        <w:tc>
          <w:tcPr>
            <w:tcW w:w="2680" w:type="dxa"/>
            <w:tcBorders>
              <w:top w:val="single" w:sz="4" w:space="0" w:color="auto"/>
              <w:left w:val="nil"/>
              <w:bottom w:val="single" w:sz="4" w:space="0" w:color="auto"/>
              <w:right w:val="single" w:sz="4" w:space="0" w:color="auto"/>
            </w:tcBorders>
            <w:shd w:val="clear" w:color="000000" w:fill="FFFF00"/>
            <w:hideMark/>
          </w:tcPr>
          <w:p w14:paraId="50CC904F" w14:textId="77777777"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Introducing new debt instruments</w:t>
            </w:r>
          </w:p>
        </w:tc>
        <w:tc>
          <w:tcPr>
            <w:tcW w:w="1403" w:type="dxa"/>
            <w:tcBorders>
              <w:top w:val="single" w:sz="4" w:space="0" w:color="auto"/>
              <w:left w:val="nil"/>
              <w:bottom w:val="single" w:sz="4" w:space="0" w:color="auto"/>
              <w:right w:val="single" w:sz="4" w:space="0" w:color="auto"/>
            </w:tcBorders>
            <w:shd w:val="clear" w:color="000000" w:fill="FFFF00"/>
            <w:noWrap/>
            <w:hideMark/>
          </w:tcPr>
          <w:p w14:paraId="52C8F812"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357" w:type="dxa"/>
            <w:tcBorders>
              <w:top w:val="single" w:sz="4" w:space="0" w:color="auto"/>
              <w:left w:val="nil"/>
              <w:bottom w:val="single" w:sz="4" w:space="0" w:color="auto"/>
              <w:right w:val="single" w:sz="4" w:space="0" w:color="auto"/>
            </w:tcBorders>
            <w:shd w:val="clear" w:color="000000" w:fill="FFFF00"/>
            <w:noWrap/>
            <w:hideMark/>
          </w:tcPr>
          <w:p w14:paraId="02E1AE6C"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261" w:type="dxa"/>
            <w:tcBorders>
              <w:top w:val="single" w:sz="4" w:space="0" w:color="auto"/>
              <w:left w:val="nil"/>
              <w:bottom w:val="single" w:sz="4" w:space="0" w:color="auto"/>
              <w:right w:val="single" w:sz="4" w:space="0" w:color="auto"/>
            </w:tcBorders>
            <w:shd w:val="clear" w:color="000000" w:fill="FFFF00"/>
            <w:noWrap/>
            <w:hideMark/>
          </w:tcPr>
          <w:p w14:paraId="26ED1D95"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196" w:type="dxa"/>
            <w:tcBorders>
              <w:top w:val="single" w:sz="4" w:space="0" w:color="auto"/>
              <w:left w:val="nil"/>
              <w:bottom w:val="single" w:sz="4" w:space="0" w:color="auto"/>
              <w:right w:val="single" w:sz="4" w:space="0" w:color="auto"/>
            </w:tcBorders>
            <w:shd w:val="clear" w:color="000000" w:fill="FFFF00"/>
            <w:noWrap/>
            <w:hideMark/>
          </w:tcPr>
          <w:p w14:paraId="7194A762"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2FC6C170" w14:textId="77777777" w:rsidTr="00E32BC1">
        <w:trPr>
          <w:trHeight w:val="300"/>
        </w:trPr>
        <w:tc>
          <w:tcPr>
            <w:tcW w:w="3787" w:type="dxa"/>
            <w:gridSpan w:val="2"/>
            <w:tcBorders>
              <w:top w:val="single" w:sz="4" w:space="0" w:color="auto"/>
              <w:left w:val="single" w:sz="8" w:space="0" w:color="auto"/>
              <w:bottom w:val="single" w:sz="4" w:space="0" w:color="auto"/>
              <w:right w:val="single" w:sz="4" w:space="0" w:color="auto"/>
            </w:tcBorders>
            <w:shd w:val="clear" w:color="000000" w:fill="00B0F0"/>
            <w:noWrap/>
            <w:vAlign w:val="bottom"/>
            <w:hideMark/>
          </w:tcPr>
          <w:p w14:paraId="13F1BCB6" w14:textId="795BC53C" w:rsidR="006A78BE" w:rsidRPr="00D30847" w:rsidRDefault="006A78BE" w:rsidP="006A78BE">
            <w:pPr>
              <w:spacing w:after="0" w:line="240" w:lineRule="auto"/>
              <w:jc w:val="both"/>
              <w:rPr>
                <w:rFonts w:eastAsia="Times New Roman"/>
                <w:b/>
                <w:bCs/>
                <w:lang w:val="en-GB" w:eastAsia="mk-MK"/>
              </w:rPr>
            </w:pPr>
            <w:proofErr w:type="spellStart"/>
            <w:r w:rsidRPr="00D30847">
              <w:rPr>
                <w:rFonts w:eastAsia="Times New Roman"/>
                <w:b/>
                <w:bCs/>
                <w:lang w:val="en-GB" w:eastAsia="mk-MK"/>
              </w:rPr>
              <w:t>II.Pillar</w:t>
            </w:r>
            <w:proofErr w:type="spellEnd"/>
            <w:r w:rsidRPr="00D30847">
              <w:rPr>
                <w:rFonts w:eastAsia="Times New Roman"/>
                <w:b/>
                <w:bCs/>
                <w:lang w:val="en-GB" w:eastAsia="mk-MK"/>
              </w:rPr>
              <w:t>-Reven</w:t>
            </w:r>
            <w:r w:rsidR="00043FC8" w:rsidRPr="00D30847">
              <w:rPr>
                <w:rFonts w:eastAsia="Times New Roman"/>
                <w:b/>
                <w:bCs/>
                <w:lang w:val="en-GB" w:eastAsia="mk-MK"/>
              </w:rPr>
              <w:t>u</w:t>
            </w:r>
            <w:r w:rsidRPr="00D30847">
              <w:rPr>
                <w:rFonts w:eastAsia="Times New Roman"/>
                <w:b/>
                <w:bCs/>
                <w:lang w:val="en-GB" w:eastAsia="mk-MK"/>
              </w:rPr>
              <w:t>e mobilization</w:t>
            </w:r>
          </w:p>
        </w:tc>
        <w:tc>
          <w:tcPr>
            <w:tcW w:w="1403" w:type="dxa"/>
            <w:tcBorders>
              <w:top w:val="nil"/>
              <w:left w:val="nil"/>
              <w:bottom w:val="single" w:sz="4" w:space="0" w:color="auto"/>
              <w:right w:val="single" w:sz="4" w:space="0" w:color="auto"/>
            </w:tcBorders>
            <w:shd w:val="clear" w:color="000000" w:fill="00B0F0"/>
            <w:noWrap/>
            <w:vAlign w:val="bottom"/>
            <w:hideMark/>
          </w:tcPr>
          <w:p w14:paraId="3BE140A6" w14:textId="490490AB" w:rsidR="006A78BE" w:rsidRPr="00D30847" w:rsidRDefault="00043FC8"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42</w:t>
            </w:r>
            <w:r w:rsidR="006A78BE" w:rsidRPr="00D30847">
              <w:rPr>
                <w:rFonts w:eastAsia="Times New Roman"/>
                <w:b/>
                <w:bCs/>
                <w:sz w:val="18"/>
                <w:szCs w:val="18"/>
                <w:lang w:val="en-GB" w:eastAsia="mk-MK"/>
              </w:rPr>
              <w:t>,</w:t>
            </w:r>
            <w:r w:rsidRPr="00D30847">
              <w:rPr>
                <w:rFonts w:eastAsia="Times New Roman"/>
                <w:b/>
                <w:bCs/>
                <w:sz w:val="18"/>
                <w:szCs w:val="18"/>
                <w:lang w:val="en-GB" w:eastAsia="mk-MK"/>
              </w:rPr>
              <w:t>485</w:t>
            </w:r>
            <w:r w:rsidR="006A78BE" w:rsidRPr="00D30847">
              <w:rPr>
                <w:rFonts w:eastAsia="Times New Roman"/>
                <w:b/>
                <w:bCs/>
                <w:sz w:val="18"/>
                <w:szCs w:val="18"/>
                <w:lang w:val="en-GB" w:eastAsia="mk-MK"/>
              </w:rPr>
              <w:t>,</w:t>
            </w:r>
            <w:r w:rsidRPr="00D30847">
              <w:rPr>
                <w:rFonts w:eastAsia="Times New Roman"/>
                <w:b/>
                <w:bCs/>
                <w:sz w:val="18"/>
                <w:szCs w:val="18"/>
                <w:lang w:val="en-GB" w:eastAsia="mk-MK"/>
              </w:rPr>
              <w:t>876</w:t>
            </w:r>
          </w:p>
        </w:tc>
        <w:tc>
          <w:tcPr>
            <w:tcW w:w="1357" w:type="dxa"/>
            <w:tcBorders>
              <w:top w:val="nil"/>
              <w:left w:val="nil"/>
              <w:bottom w:val="single" w:sz="4" w:space="0" w:color="auto"/>
              <w:right w:val="single" w:sz="4" w:space="0" w:color="auto"/>
            </w:tcBorders>
            <w:shd w:val="clear" w:color="000000" w:fill="00B0F0"/>
            <w:noWrap/>
            <w:vAlign w:val="bottom"/>
            <w:hideMark/>
          </w:tcPr>
          <w:p w14:paraId="4B79F26D" w14:textId="63FAC9D8" w:rsidR="006A78BE" w:rsidRPr="00D30847" w:rsidRDefault="00043FC8"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3</w:t>
            </w:r>
            <w:r w:rsidR="006A78BE" w:rsidRPr="00D30847">
              <w:rPr>
                <w:rFonts w:eastAsia="Times New Roman"/>
                <w:b/>
                <w:bCs/>
                <w:sz w:val="18"/>
                <w:szCs w:val="18"/>
                <w:lang w:val="en-GB" w:eastAsia="mk-MK"/>
              </w:rPr>
              <w:t>3,</w:t>
            </w:r>
            <w:r w:rsidRPr="00D30847">
              <w:rPr>
                <w:rFonts w:eastAsia="Times New Roman"/>
                <w:b/>
                <w:bCs/>
                <w:sz w:val="18"/>
                <w:szCs w:val="18"/>
                <w:lang w:val="en-GB" w:eastAsia="mk-MK"/>
              </w:rPr>
              <w:t>985</w:t>
            </w:r>
            <w:r w:rsidR="006A78BE" w:rsidRPr="00D30847">
              <w:rPr>
                <w:rFonts w:eastAsia="Times New Roman"/>
                <w:b/>
                <w:bCs/>
                <w:sz w:val="18"/>
                <w:szCs w:val="18"/>
                <w:lang w:val="en-GB" w:eastAsia="mk-MK"/>
              </w:rPr>
              <w:t>,</w:t>
            </w:r>
            <w:r w:rsidRPr="00D30847">
              <w:rPr>
                <w:rFonts w:eastAsia="Times New Roman"/>
                <w:b/>
                <w:bCs/>
                <w:sz w:val="18"/>
                <w:szCs w:val="18"/>
                <w:lang w:val="en-GB" w:eastAsia="mk-MK"/>
              </w:rPr>
              <w:t>876</w:t>
            </w:r>
          </w:p>
        </w:tc>
        <w:tc>
          <w:tcPr>
            <w:tcW w:w="1261" w:type="dxa"/>
            <w:tcBorders>
              <w:top w:val="nil"/>
              <w:left w:val="nil"/>
              <w:bottom w:val="single" w:sz="4" w:space="0" w:color="auto"/>
              <w:right w:val="single" w:sz="4" w:space="0" w:color="auto"/>
            </w:tcBorders>
            <w:shd w:val="clear" w:color="000000" w:fill="00B0F0"/>
            <w:noWrap/>
            <w:vAlign w:val="bottom"/>
            <w:hideMark/>
          </w:tcPr>
          <w:p w14:paraId="20561C70" w14:textId="3EE7CFE7" w:rsidR="006A78BE" w:rsidRPr="00D30847" w:rsidRDefault="00B95D4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8</w:t>
            </w:r>
            <w:r w:rsidR="006A78BE" w:rsidRPr="00D30847">
              <w:rPr>
                <w:rFonts w:eastAsia="Times New Roman"/>
                <w:b/>
                <w:bCs/>
                <w:sz w:val="18"/>
                <w:szCs w:val="18"/>
                <w:lang w:val="en-GB" w:eastAsia="mk-MK"/>
              </w:rPr>
              <w:t>,250,000</w:t>
            </w:r>
          </w:p>
        </w:tc>
        <w:tc>
          <w:tcPr>
            <w:tcW w:w="1196" w:type="dxa"/>
            <w:tcBorders>
              <w:top w:val="nil"/>
              <w:left w:val="nil"/>
              <w:bottom w:val="single" w:sz="4" w:space="0" w:color="auto"/>
              <w:right w:val="single" w:sz="8" w:space="0" w:color="auto"/>
            </w:tcBorders>
            <w:shd w:val="clear" w:color="000000" w:fill="00B0F0"/>
            <w:noWrap/>
            <w:vAlign w:val="bottom"/>
            <w:hideMark/>
          </w:tcPr>
          <w:p w14:paraId="228DAA30" w14:textId="5255E101" w:rsidR="006A78BE" w:rsidRPr="00D30847" w:rsidRDefault="00043FC8"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25</w:t>
            </w:r>
            <w:r w:rsidR="006A78BE" w:rsidRPr="00D30847">
              <w:rPr>
                <w:rFonts w:eastAsia="Times New Roman"/>
                <w:b/>
                <w:bCs/>
                <w:sz w:val="18"/>
                <w:szCs w:val="18"/>
                <w:lang w:val="en-GB" w:eastAsia="mk-MK"/>
              </w:rPr>
              <w:t>0,000</w:t>
            </w:r>
          </w:p>
        </w:tc>
      </w:tr>
      <w:tr w:rsidR="00BF1348" w:rsidRPr="00D30847" w14:paraId="540EEA9E"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00FF00"/>
            <w:noWrap/>
            <w:hideMark/>
          </w:tcPr>
          <w:p w14:paraId="76F7C2E5" w14:textId="2CA616AC" w:rsidR="006A78BE" w:rsidRPr="00D30847" w:rsidRDefault="006A78BE" w:rsidP="006A78BE">
            <w:pPr>
              <w:spacing w:after="0" w:line="240" w:lineRule="auto"/>
              <w:jc w:val="center"/>
              <w:rPr>
                <w:rFonts w:eastAsia="Times New Roman"/>
                <w:b/>
                <w:bCs/>
                <w:sz w:val="20"/>
                <w:szCs w:val="20"/>
                <w:lang w:val="en-GB" w:eastAsia="mk-MK"/>
              </w:rPr>
            </w:pPr>
            <w:r w:rsidRPr="00D30847">
              <w:rPr>
                <w:rFonts w:eastAsia="Times New Roman"/>
                <w:b/>
                <w:bCs/>
                <w:sz w:val="20"/>
                <w:szCs w:val="20"/>
                <w:lang w:val="en-GB" w:eastAsia="mk-MK"/>
              </w:rPr>
              <w:t>Priority 1.</w:t>
            </w:r>
          </w:p>
        </w:tc>
        <w:tc>
          <w:tcPr>
            <w:tcW w:w="2680" w:type="dxa"/>
            <w:tcBorders>
              <w:top w:val="nil"/>
              <w:left w:val="nil"/>
              <w:bottom w:val="single" w:sz="4" w:space="0" w:color="auto"/>
              <w:right w:val="single" w:sz="4" w:space="0" w:color="auto"/>
            </w:tcBorders>
            <w:shd w:val="clear" w:color="000000" w:fill="00FF00"/>
            <w:hideMark/>
          </w:tcPr>
          <w:p w14:paraId="19FCC9E6" w14:textId="77777777" w:rsidR="006A78BE" w:rsidRPr="00D30847" w:rsidRDefault="006A78BE" w:rsidP="006A78BE">
            <w:pPr>
              <w:spacing w:after="0" w:line="240" w:lineRule="auto"/>
              <w:jc w:val="both"/>
              <w:rPr>
                <w:rFonts w:eastAsia="Times New Roman"/>
                <w:b/>
                <w:bCs/>
                <w:sz w:val="18"/>
                <w:szCs w:val="18"/>
                <w:lang w:val="en-GB" w:eastAsia="mk-MK"/>
              </w:rPr>
            </w:pPr>
            <w:r w:rsidRPr="00D30847">
              <w:rPr>
                <w:rFonts w:eastAsia="Times New Roman"/>
                <w:b/>
                <w:bCs/>
                <w:sz w:val="18"/>
                <w:szCs w:val="18"/>
                <w:lang w:val="en-GB" w:eastAsia="mk-MK"/>
              </w:rPr>
              <w:t>Tax and customs policy</w:t>
            </w:r>
          </w:p>
        </w:tc>
        <w:tc>
          <w:tcPr>
            <w:tcW w:w="1403" w:type="dxa"/>
            <w:tcBorders>
              <w:top w:val="nil"/>
              <w:left w:val="nil"/>
              <w:bottom w:val="single" w:sz="4" w:space="0" w:color="auto"/>
              <w:right w:val="single" w:sz="4" w:space="0" w:color="auto"/>
            </w:tcBorders>
            <w:shd w:val="clear" w:color="000000" w:fill="00FF00"/>
            <w:noWrap/>
            <w:hideMark/>
          </w:tcPr>
          <w:p w14:paraId="11DA3607" w14:textId="43A5B602"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5</w:t>
            </w:r>
            <w:r w:rsidR="00317E52" w:rsidRPr="00D30847">
              <w:rPr>
                <w:rFonts w:eastAsia="Times New Roman"/>
                <w:b/>
                <w:bCs/>
                <w:sz w:val="18"/>
                <w:szCs w:val="18"/>
                <w:lang w:val="en-GB" w:eastAsia="mk-MK"/>
              </w:rPr>
              <w:t>0</w:t>
            </w:r>
            <w:r w:rsidRPr="00D30847">
              <w:rPr>
                <w:rFonts w:eastAsia="Times New Roman"/>
                <w:b/>
                <w:bCs/>
                <w:sz w:val="18"/>
                <w:szCs w:val="18"/>
                <w:lang w:val="en-GB" w:eastAsia="mk-MK"/>
              </w:rPr>
              <w:t>0,000</w:t>
            </w:r>
          </w:p>
        </w:tc>
        <w:tc>
          <w:tcPr>
            <w:tcW w:w="1357" w:type="dxa"/>
            <w:tcBorders>
              <w:top w:val="nil"/>
              <w:left w:val="nil"/>
              <w:bottom w:val="single" w:sz="4" w:space="0" w:color="auto"/>
              <w:right w:val="single" w:sz="4" w:space="0" w:color="auto"/>
            </w:tcBorders>
            <w:shd w:val="clear" w:color="000000" w:fill="00FF00"/>
            <w:noWrap/>
            <w:hideMark/>
          </w:tcPr>
          <w:p w14:paraId="7B576A3B"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261" w:type="dxa"/>
            <w:tcBorders>
              <w:top w:val="nil"/>
              <w:left w:val="nil"/>
              <w:bottom w:val="single" w:sz="4" w:space="0" w:color="auto"/>
              <w:right w:val="single" w:sz="4" w:space="0" w:color="auto"/>
            </w:tcBorders>
            <w:shd w:val="clear" w:color="000000" w:fill="00FF00"/>
            <w:noWrap/>
            <w:hideMark/>
          </w:tcPr>
          <w:p w14:paraId="63934268"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250,000</w:t>
            </w:r>
          </w:p>
        </w:tc>
        <w:tc>
          <w:tcPr>
            <w:tcW w:w="1196" w:type="dxa"/>
            <w:tcBorders>
              <w:top w:val="nil"/>
              <w:left w:val="nil"/>
              <w:bottom w:val="single" w:sz="4" w:space="0" w:color="auto"/>
              <w:right w:val="single" w:sz="8" w:space="0" w:color="auto"/>
            </w:tcBorders>
            <w:shd w:val="clear" w:color="000000" w:fill="00FF00"/>
            <w:noWrap/>
            <w:hideMark/>
          </w:tcPr>
          <w:p w14:paraId="23677C0E" w14:textId="5DC45217" w:rsidR="006A78BE" w:rsidRPr="00D30847" w:rsidRDefault="00317E52"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250.00</w:t>
            </w:r>
            <w:r w:rsidR="006A78BE" w:rsidRPr="00D30847">
              <w:rPr>
                <w:rFonts w:eastAsia="Times New Roman"/>
                <w:b/>
                <w:bCs/>
                <w:sz w:val="18"/>
                <w:szCs w:val="18"/>
                <w:lang w:val="en-GB" w:eastAsia="mk-MK"/>
              </w:rPr>
              <w:t>0</w:t>
            </w:r>
          </w:p>
        </w:tc>
      </w:tr>
      <w:tr w:rsidR="00BF1348" w:rsidRPr="00D30847" w14:paraId="4750E5C8" w14:textId="77777777" w:rsidTr="00E32BC1">
        <w:trPr>
          <w:trHeight w:val="60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5B4B9ED1"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1.</w:t>
            </w:r>
          </w:p>
        </w:tc>
        <w:tc>
          <w:tcPr>
            <w:tcW w:w="2680" w:type="dxa"/>
            <w:tcBorders>
              <w:top w:val="nil"/>
              <w:left w:val="nil"/>
              <w:bottom w:val="single" w:sz="4" w:space="0" w:color="auto"/>
              <w:right w:val="single" w:sz="4" w:space="0" w:color="auto"/>
            </w:tcBorders>
            <w:shd w:val="clear" w:color="000000" w:fill="FFFF00"/>
            <w:hideMark/>
          </w:tcPr>
          <w:p w14:paraId="7F189595" w14:textId="7AC09507"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Improved revenue legislation framework, harmonized with the EU acquis and best practices</w:t>
            </w:r>
          </w:p>
        </w:tc>
        <w:tc>
          <w:tcPr>
            <w:tcW w:w="1403" w:type="dxa"/>
            <w:tcBorders>
              <w:top w:val="nil"/>
              <w:left w:val="nil"/>
              <w:bottom w:val="single" w:sz="4" w:space="0" w:color="auto"/>
              <w:right w:val="single" w:sz="4" w:space="0" w:color="auto"/>
            </w:tcBorders>
            <w:shd w:val="clear" w:color="000000" w:fill="FFFF00"/>
            <w:noWrap/>
            <w:hideMark/>
          </w:tcPr>
          <w:p w14:paraId="6D2F7747" w14:textId="474451FA"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5</w:t>
            </w:r>
            <w:r w:rsidR="00317E52" w:rsidRPr="00D30847">
              <w:rPr>
                <w:rFonts w:eastAsia="Times New Roman"/>
                <w:b/>
                <w:bCs/>
                <w:sz w:val="18"/>
                <w:szCs w:val="18"/>
                <w:lang w:val="en-GB" w:eastAsia="mk-MK"/>
              </w:rPr>
              <w:t>0</w:t>
            </w:r>
            <w:r w:rsidRPr="00D30847">
              <w:rPr>
                <w:rFonts w:eastAsia="Times New Roman"/>
                <w:b/>
                <w:bCs/>
                <w:sz w:val="18"/>
                <w:szCs w:val="18"/>
                <w:lang w:val="en-GB" w:eastAsia="mk-MK"/>
              </w:rPr>
              <w:t>0,000</w:t>
            </w:r>
          </w:p>
        </w:tc>
        <w:tc>
          <w:tcPr>
            <w:tcW w:w="1357" w:type="dxa"/>
            <w:tcBorders>
              <w:top w:val="nil"/>
              <w:left w:val="nil"/>
              <w:bottom w:val="single" w:sz="4" w:space="0" w:color="auto"/>
              <w:right w:val="single" w:sz="4" w:space="0" w:color="auto"/>
            </w:tcBorders>
            <w:shd w:val="clear" w:color="000000" w:fill="FFFF00"/>
            <w:noWrap/>
            <w:hideMark/>
          </w:tcPr>
          <w:p w14:paraId="50FFCC43"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004C0EB8"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250,000</w:t>
            </w:r>
          </w:p>
        </w:tc>
        <w:tc>
          <w:tcPr>
            <w:tcW w:w="1196" w:type="dxa"/>
            <w:tcBorders>
              <w:top w:val="nil"/>
              <w:left w:val="nil"/>
              <w:bottom w:val="single" w:sz="4" w:space="0" w:color="auto"/>
              <w:right w:val="single" w:sz="8" w:space="0" w:color="auto"/>
            </w:tcBorders>
            <w:shd w:val="clear" w:color="000000" w:fill="FFFF00"/>
            <w:noWrap/>
            <w:hideMark/>
          </w:tcPr>
          <w:p w14:paraId="00DD5D4C" w14:textId="54086719" w:rsidR="006A78BE" w:rsidRPr="00D30847" w:rsidRDefault="00317E52"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250.00</w:t>
            </w:r>
            <w:r w:rsidR="006A78BE" w:rsidRPr="00D30847">
              <w:rPr>
                <w:rFonts w:eastAsia="Times New Roman"/>
                <w:b/>
                <w:bCs/>
                <w:sz w:val="18"/>
                <w:szCs w:val="18"/>
                <w:lang w:val="en-GB" w:eastAsia="mk-MK"/>
              </w:rPr>
              <w:t>0</w:t>
            </w:r>
          </w:p>
        </w:tc>
      </w:tr>
      <w:tr w:rsidR="00BF1348" w:rsidRPr="00D30847" w14:paraId="6FA7A2F3"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00FF00"/>
            <w:noWrap/>
            <w:hideMark/>
          </w:tcPr>
          <w:p w14:paraId="058C0236" w14:textId="77777777" w:rsidR="006A78BE" w:rsidRPr="00D30847" w:rsidRDefault="006A78BE" w:rsidP="006A78BE">
            <w:pPr>
              <w:spacing w:after="0" w:line="240" w:lineRule="auto"/>
              <w:jc w:val="center"/>
              <w:rPr>
                <w:rFonts w:eastAsia="Times New Roman"/>
                <w:b/>
                <w:bCs/>
                <w:sz w:val="20"/>
                <w:szCs w:val="20"/>
                <w:lang w:val="en-GB" w:eastAsia="mk-MK"/>
              </w:rPr>
            </w:pPr>
            <w:r w:rsidRPr="00D30847">
              <w:rPr>
                <w:rFonts w:eastAsia="Times New Roman"/>
                <w:b/>
                <w:bCs/>
                <w:sz w:val="20"/>
                <w:szCs w:val="20"/>
                <w:lang w:val="en-GB" w:eastAsia="mk-MK"/>
              </w:rPr>
              <w:t>Priority 2.</w:t>
            </w:r>
          </w:p>
        </w:tc>
        <w:tc>
          <w:tcPr>
            <w:tcW w:w="2680" w:type="dxa"/>
            <w:tcBorders>
              <w:top w:val="nil"/>
              <w:left w:val="nil"/>
              <w:bottom w:val="single" w:sz="4" w:space="0" w:color="auto"/>
              <w:right w:val="single" w:sz="4" w:space="0" w:color="auto"/>
            </w:tcBorders>
            <w:shd w:val="clear" w:color="000000" w:fill="00FF00"/>
            <w:hideMark/>
          </w:tcPr>
          <w:p w14:paraId="673D9487" w14:textId="2A8F5F19" w:rsidR="006A78BE" w:rsidRPr="00D30847" w:rsidRDefault="008072E1" w:rsidP="006A78BE">
            <w:pPr>
              <w:spacing w:after="0" w:line="240" w:lineRule="auto"/>
              <w:jc w:val="both"/>
              <w:rPr>
                <w:rFonts w:eastAsia="Times New Roman"/>
                <w:b/>
                <w:bCs/>
                <w:sz w:val="18"/>
                <w:szCs w:val="18"/>
                <w:lang w:val="en-GB" w:eastAsia="mk-MK"/>
              </w:rPr>
            </w:pPr>
            <w:r w:rsidRPr="00D30847">
              <w:rPr>
                <w:rFonts w:eastAsia="Times New Roman"/>
                <w:b/>
                <w:bCs/>
                <w:sz w:val="18"/>
                <w:szCs w:val="18"/>
                <w:lang w:val="en-GB" w:eastAsia="mk-MK"/>
              </w:rPr>
              <w:t>Tax A</w:t>
            </w:r>
            <w:r w:rsidR="006A78BE" w:rsidRPr="00D30847">
              <w:rPr>
                <w:rFonts w:eastAsia="Times New Roman"/>
                <w:b/>
                <w:bCs/>
                <w:sz w:val="18"/>
                <w:szCs w:val="18"/>
                <w:lang w:val="en-GB" w:eastAsia="mk-MK"/>
              </w:rPr>
              <w:t>dministration</w:t>
            </w:r>
          </w:p>
        </w:tc>
        <w:tc>
          <w:tcPr>
            <w:tcW w:w="1403" w:type="dxa"/>
            <w:tcBorders>
              <w:top w:val="nil"/>
              <w:left w:val="nil"/>
              <w:bottom w:val="single" w:sz="4" w:space="0" w:color="auto"/>
              <w:right w:val="single" w:sz="4" w:space="0" w:color="auto"/>
            </w:tcBorders>
            <w:shd w:val="clear" w:color="000000" w:fill="00FF00"/>
            <w:noWrap/>
            <w:hideMark/>
          </w:tcPr>
          <w:p w14:paraId="4077E0C0" w14:textId="2309C933" w:rsidR="006A78BE" w:rsidRPr="00D30847" w:rsidRDefault="00C86F24"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16,985,876</w:t>
            </w:r>
          </w:p>
        </w:tc>
        <w:tc>
          <w:tcPr>
            <w:tcW w:w="1357" w:type="dxa"/>
            <w:tcBorders>
              <w:top w:val="nil"/>
              <w:left w:val="nil"/>
              <w:bottom w:val="single" w:sz="4" w:space="0" w:color="auto"/>
              <w:right w:val="single" w:sz="4" w:space="0" w:color="auto"/>
            </w:tcBorders>
            <w:shd w:val="clear" w:color="000000" w:fill="00FF00"/>
            <w:noWrap/>
            <w:hideMark/>
          </w:tcPr>
          <w:p w14:paraId="51F5FA32" w14:textId="4BC87348" w:rsidR="00C86F24" w:rsidRPr="00D30847" w:rsidRDefault="00C86F24"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16,985,876</w:t>
            </w:r>
          </w:p>
        </w:tc>
        <w:tc>
          <w:tcPr>
            <w:tcW w:w="1261" w:type="dxa"/>
            <w:tcBorders>
              <w:top w:val="nil"/>
              <w:left w:val="nil"/>
              <w:bottom w:val="single" w:sz="4" w:space="0" w:color="auto"/>
              <w:right w:val="single" w:sz="4" w:space="0" w:color="auto"/>
            </w:tcBorders>
            <w:shd w:val="clear" w:color="000000" w:fill="00FF00"/>
            <w:noWrap/>
            <w:hideMark/>
          </w:tcPr>
          <w:p w14:paraId="648C1ED6"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196" w:type="dxa"/>
            <w:tcBorders>
              <w:top w:val="nil"/>
              <w:left w:val="nil"/>
              <w:bottom w:val="single" w:sz="4" w:space="0" w:color="auto"/>
              <w:right w:val="single" w:sz="8" w:space="0" w:color="auto"/>
            </w:tcBorders>
            <w:shd w:val="clear" w:color="000000" w:fill="00FF00"/>
            <w:noWrap/>
            <w:hideMark/>
          </w:tcPr>
          <w:p w14:paraId="6E87ED4D"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r>
      <w:tr w:rsidR="00BF1348" w:rsidRPr="00D30847" w14:paraId="70C2AF3B" w14:textId="77777777" w:rsidTr="00E32BC1">
        <w:trPr>
          <w:trHeight w:val="645"/>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0D232769"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1.</w:t>
            </w:r>
          </w:p>
        </w:tc>
        <w:tc>
          <w:tcPr>
            <w:tcW w:w="2680" w:type="dxa"/>
            <w:tcBorders>
              <w:top w:val="nil"/>
              <w:left w:val="nil"/>
              <w:bottom w:val="single" w:sz="4" w:space="0" w:color="auto"/>
              <w:right w:val="single" w:sz="4" w:space="0" w:color="auto"/>
            </w:tcBorders>
            <w:shd w:val="clear" w:color="000000" w:fill="FFFF00"/>
            <w:hideMark/>
          </w:tcPr>
          <w:p w14:paraId="18ABA69D" w14:textId="77777777"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Strengthen administrative capacity for better revenue collection and tax compliance</w:t>
            </w:r>
          </w:p>
        </w:tc>
        <w:tc>
          <w:tcPr>
            <w:tcW w:w="1403" w:type="dxa"/>
            <w:tcBorders>
              <w:top w:val="nil"/>
              <w:left w:val="nil"/>
              <w:bottom w:val="single" w:sz="4" w:space="0" w:color="auto"/>
              <w:right w:val="single" w:sz="4" w:space="0" w:color="auto"/>
            </w:tcBorders>
            <w:shd w:val="clear" w:color="000000" w:fill="FFFF00"/>
            <w:noWrap/>
            <w:hideMark/>
          </w:tcPr>
          <w:p w14:paraId="0C2382BF" w14:textId="2DF2EEBB" w:rsidR="006A78BE" w:rsidRPr="00D30847" w:rsidRDefault="00C86F24"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106</w:t>
            </w:r>
            <w:r w:rsidR="006A78BE" w:rsidRPr="00D30847">
              <w:rPr>
                <w:rFonts w:eastAsia="Times New Roman"/>
                <w:color w:val="000000"/>
                <w:sz w:val="18"/>
                <w:szCs w:val="18"/>
                <w:lang w:val="en-GB" w:eastAsia="mk-MK"/>
              </w:rPr>
              <w:t>,000</w:t>
            </w:r>
          </w:p>
        </w:tc>
        <w:tc>
          <w:tcPr>
            <w:tcW w:w="1357" w:type="dxa"/>
            <w:tcBorders>
              <w:top w:val="nil"/>
              <w:left w:val="nil"/>
              <w:bottom w:val="single" w:sz="4" w:space="0" w:color="auto"/>
              <w:right w:val="single" w:sz="4" w:space="0" w:color="auto"/>
            </w:tcBorders>
            <w:shd w:val="clear" w:color="000000" w:fill="FFFF00"/>
            <w:noWrap/>
            <w:hideMark/>
          </w:tcPr>
          <w:p w14:paraId="495B8538" w14:textId="5BBD3720" w:rsidR="006A78BE" w:rsidRPr="00D30847" w:rsidRDefault="00C86F24"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106</w:t>
            </w:r>
            <w:r w:rsidR="006A78BE" w:rsidRPr="00D30847">
              <w:rPr>
                <w:rFonts w:eastAsia="Times New Roman"/>
                <w:color w:val="000000"/>
                <w:sz w:val="18"/>
                <w:szCs w:val="18"/>
                <w:lang w:val="en-GB" w:eastAsia="mk-MK"/>
              </w:rPr>
              <w:t>,000</w:t>
            </w:r>
          </w:p>
        </w:tc>
        <w:tc>
          <w:tcPr>
            <w:tcW w:w="1261" w:type="dxa"/>
            <w:tcBorders>
              <w:top w:val="nil"/>
              <w:left w:val="nil"/>
              <w:bottom w:val="single" w:sz="4" w:space="0" w:color="auto"/>
              <w:right w:val="single" w:sz="4" w:space="0" w:color="auto"/>
            </w:tcBorders>
            <w:shd w:val="clear" w:color="000000" w:fill="FFFF00"/>
            <w:noWrap/>
            <w:hideMark/>
          </w:tcPr>
          <w:p w14:paraId="57129926"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hideMark/>
          </w:tcPr>
          <w:p w14:paraId="7F8A1E8B"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1EDBDC50" w14:textId="77777777" w:rsidTr="00E32BC1">
        <w:trPr>
          <w:trHeight w:val="917"/>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77C96AA2"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2.</w:t>
            </w:r>
          </w:p>
        </w:tc>
        <w:tc>
          <w:tcPr>
            <w:tcW w:w="2680" w:type="dxa"/>
            <w:tcBorders>
              <w:top w:val="nil"/>
              <w:left w:val="nil"/>
              <w:bottom w:val="single" w:sz="4" w:space="0" w:color="auto"/>
              <w:right w:val="single" w:sz="4" w:space="0" w:color="auto"/>
            </w:tcBorders>
            <w:shd w:val="clear" w:color="000000" w:fill="FFFF00"/>
            <w:hideMark/>
          </w:tcPr>
          <w:p w14:paraId="050CC0F7" w14:textId="77777777" w:rsidR="006A78BE" w:rsidRPr="00D30847" w:rsidRDefault="006A78BE" w:rsidP="006A78BE">
            <w:pPr>
              <w:spacing w:after="240" w:line="240" w:lineRule="auto"/>
              <w:jc w:val="both"/>
              <w:rPr>
                <w:rFonts w:eastAsia="Times New Roman"/>
                <w:bCs/>
                <w:sz w:val="18"/>
                <w:szCs w:val="18"/>
                <w:lang w:val="en-GB" w:eastAsia="mk-MK"/>
              </w:rPr>
            </w:pPr>
            <w:r w:rsidRPr="00D30847">
              <w:rPr>
                <w:rFonts w:eastAsia="Times New Roman"/>
                <w:bCs/>
                <w:sz w:val="18"/>
                <w:szCs w:val="18"/>
                <w:lang w:val="en-GB" w:eastAsia="mk-MK"/>
              </w:rPr>
              <w:t>Digital transformation of the PRO with the establishment of an Integrated Tax Information System (ITIS)</w:t>
            </w:r>
          </w:p>
        </w:tc>
        <w:tc>
          <w:tcPr>
            <w:tcW w:w="1403" w:type="dxa"/>
            <w:tcBorders>
              <w:top w:val="nil"/>
              <w:left w:val="nil"/>
              <w:bottom w:val="single" w:sz="4" w:space="0" w:color="auto"/>
              <w:right w:val="single" w:sz="4" w:space="0" w:color="auto"/>
            </w:tcBorders>
            <w:shd w:val="clear" w:color="000000" w:fill="FFFF00"/>
            <w:noWrap/>
            <w:hideMark/>
          </w:tcPr>
          <w:p w14:paraId="6C45532D" w14:textId="04F8B380" w:rsidR="006A78BE" w:rsidRPr="00D30847" w:rsidRDefault="006A78BE" w:rsidP="006A78BE">
            <w:pPr>
              <w:spacing w:after="0" w:line="240" w:lineRule="auto"/>
              <w:jc w:val="center"/>
              <w:rPr>
                <w:rFonts w:eastAsia="Times New Roman"/>
                <w:sz w:val="18"/>
                <w:szCs w:val="18"/>
                <w:lang w:val="en-GB" w:eastAsia="mk-MK"/>
              </w:rPr>
            </w:pPr>
          </w:p>
          <w:p w14:paraId="55537DCD" w14:textId="279777E6" w:rsidR="00C86F24" w:rsidRPr="00D30847" w:rsidRDefault="00C86F24"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16,879,876</w:t>
            </w:r>
          </w:p>
        </w:tc>
        <w:tc>
          <w:tcPr>
            <w:tcW w:w="1357" w:type="dxa"/>
            <w:tcBorders>
              <w:top w:val="nil"/>
              <w:left w:val="nil"/>
              <w:bottom w:val="single" w:sz="4" w:space="0" w:color="auto"/>
              <w:right w:val="single" w:sz="4" w:space="0" w:color="auto"/>
            </w:tcBorders>
            <w:shd w:val="clear" w:color="000000" w:fill="FFFF00"/>
            <w:noWrap/>
            <w:hideMark/>
          </w:tcPr>
          <w:p w14:paraId="103C6052" w14:textId="540AE60D" w:rsidR="006A78BE" w:rsidRPr="00D30847" w:rsidRDefault="006A78BE" w:rsidP="00F44028">
            <w:pPr>
              <w:spacing w:after="0" w:line="240" w:lineRule="auto"/>
              <w:rPr>
                <w:rFonts w:eastAsia="Times New Roman"/>
                <w:sz w:val="18"/>
                <w:szCs w:val="18"/>
                <w:lang w:val="en-GB" w:eastAsia="mk-MK"/>
              </w:rPr>
            </w:pPr>
          </w:p>
          <w:p w14:paraId="7F0DF28B" w14:textId="122FB9E3" w:rsidR="00F44028" w:rsidRPr="00D30847" w:rsidRDefault="00F44028" w:rsidP="00E32BC1">
            <w:pPr>
              <w:spacing w:after="0" w:line="240" w:lineRule="auto"/>
              <w:rPr>
                <w:rFonts w:eastAsia="Times New Roman"/>
                <w:sz w:val="18"/>
                <w:szCs w:val="18"/>
                <w:lang w:val="en-GB" w:eastAsia="mk-MK"/>
              </w:rPr>
            </w:pPr>
            <w:r w:rsidRPr="00D30847">
              <w:rPr>
                <w:rFonts w:eastAsia="Times New Roman"/>
                <w:sz w:val="18"/>
                <w:szCs w:val="18"/>
                <w:lang w:val="en-GB" w:eastAsia="mk-MK"/>
              </w:rPr>
              <w:t>16,879,876</w:t>
            </w:r>
          </w:p>
        </w:tc>
        <w:tc>
          <w:tcPr>
            <w:tcW w:w="1261" w:type="dxa"/>
            <w:tcBorders>
              <w:top w:val="nil"/>
              <w:left w:val="nil"/>
              <w:bottom w:val="single" w:sz="4" w:space="0" w:color="auto"/>
              <w:right w:val="single" w:sz="4" w:space="0" w:color="auto"/>
            </w:tcBorders>
            <w:shd w:val="clear" w:color="000000" w:fill="FFFF00"/>
            <w:noWrap/>
            <w:hideMark/>
          </w:tcPr>
          <w:p w14:paraId="7D779369" w14:textId="77777777" w:rsidR="00B03862" w:rsidRPr="00D30847" w:rsidRDefault="00B03862" w:rsidP="006A78BE">
            <w:pPr>
              <w:spacing w:after="0" w:line="240" w:lineRule="auto"/>
              <w:jc w:val="center"/>
              <w:rPr>
                <w:rFonts w:eastAsia="Times New Roman"/>
                <w:sz w:val="18"/>
                <w:szCs w:val="18"/>
                <w:lang w:val="en-GB" w:eastAsia="mk-MK"/>
              </w:rPr>
            </w:pPr>
          </w:p>
          <w:p w14:paraId="551EACDD" w14:textId="7AB14381"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hideMark/>
          </w:tcPr>
          <w:p w14:paraId="154C8624" w14:textId="77777777" w:rsidR="00B03862" w:rsidRPr="00D30847" w:rsidRDefault="00B03862" w:rsidP="006A78BE">
            <w:pPr>
              <w:spacing w:after="0" w:line="240" w:lineRule="auto"/>
              <w:jc w:val="center"/>
              <w:rPr>
                <w:rFonts w:eastAsia="Times New Roman"/>
                <w:sz w:val="18"/>
                <w:szCs w:val="18"/>
                <w:lang w:val="en-GB" w:eastAsia="mk-MK"/>
              </w:rPr>
            </w:pPr>
          </w:p>
          <w:p w14:paraId="14DA898E" w14:textId="22B1AD2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r>
      <w:tr w:rsidR="00BF1348" w:rsidRPr="00D30847" w14:paraId="61933577"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00FF00"/>
            <w:noWrap/>
            <w:hideMark/>
          </w:tcPr>
          <w:p w14:paraId="739FA6BA" w14:textId="77777777" w:rsidR="006A78BE" w:rsidRPr="00D30847" w:rsidRDefault="006A78BE" w:rsidP="006A78BE">
            <w:pPr>
              <w:spacing w:after="0" w:line="240" w:lineRule="auto"/>
              <w:jc w:val="center"/>
              <w:rPr>
                <w:rFonts w:eastAsia="Times New Roman"/>
                <w:b/>
                <w:bCs/>
                <w:sz w:val="20"/>
                <w:szCs w:val="20"/>
                <w:lang w:val="en-GB" w:eastAsia="mk-MK"/>
              </w:rPr>
            </w:pPr>
            <w:r w:rsidRPr="00D30847">
              <w:rPr>
                <w:rFonts w:eastAsia="Times New Roman"/>
                <w:b/>
                <w:bCs/>
                <w:sz w:val="20"/>
                <w:szCs w:val="20"/>
                <w:lang w:val="en-GB" w:eastAsia="mk-MK"/>
              </w:rPr>
              <w:t>Priority 3.</w:t>
            </w:r>
          </w:p>
        </w:tc>
        <w:tc>
          <w:tcPr>
            <w:tcW w:w="2680" w:type="dxa"/>
            <w:tcBorders>
              <w:top w:val="nil"/>
              <w:left w:val="nil"/>
              <w:bottom w:val="single" w:sz="4" w:space="0" w:color="auto"/>
              <w:right w:val="single" w:sz="4" w:space="0" w:color="auto"/>
            </w:tcBorders>
            <w:shd w:val="clear" w:color="000000" w:fill="00FF00"/>
            <w:hideMark/>
          </w:tcPr>
          <w:p w14:paraId="4ECC1A37" w14:textId="77777777" w:rsidR="006A78BE" w:rsidRPr="00D30847" w:rsidRDefault="006A78BE" w:rsidP="006A78BE">
            <w:pPr>
              <w:spacing w:after="0" w:line="240" w:lineRule="auto"/>
              <w:jc w:val="both"/>
              <w:rPr>
                <w:rFonts w:eastAsia="Times New Roman"/>
                <w:b/>
                <w:bCs/>
                <w:sz w:val="18"/>
                <w:szCs w:val="18"/>
                <w:lang w:val="en-GB" w:eastAsia="mk-MK"/>
              </w:rPr>
            </w:pPr>
            <w:r w:rsidRPr="00D30847">
              <w:rPr>
                <w:rFonts w:eastAsia="Times New Roman"/>
                <w:b/>
                <w:bCs/>
                <w:sz w:val="18"/>
                <w:szCs w:val="18"/>
                <w:lang w:val="en-GB" w:eastAsia="mk-MK"/>
              </w:rPr>
              <w:t>Customs</w:t>
            </w:r>
          </w:p>
        </w:tc>
        <w:tc>
          <w:tcPr>
            <w:tcW w:w="1403" w:type="dxa"/>
            <w:tcBorders>
              <w:top w:val="nil"/>
              <w:left w:val="nil"/>
              <w:bottom w:val="single" w:sz="4" w:space="0" w:color="auto"/>
              <w:right w:val="single" w:sz="4" w:space="0" w:color="auto"/>
            </w:tcBorders>
            <w:shd w:val="clear" w:color="000000" w:fill="00FF00"/>
            <w:noWrap/>
            <w:hideMark/>
          </w:tcPr>
          <w:p w14:paraId="07169882" w14:textId="4831E96D" w:rsidR="006A78BE" w:rsidRPr="00D30847" w:rsidRDefault="00043FC8"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25</w:t>
            </w:r>
            <w:r w:rsidR="006A78BE" w:rsidRPr="00D30847">
              <w:rPr>
                <w:rFonts w:eastAsia="Times New Roman"/>
                <w:b/>
                <w:bCs/>
                <w:sz w:val="18"/>
                <w:szCs w:val="18"/>
                <w:lang w:val="en-GB" w:eastAsia="mk-MK"/>
              </w:rPr>
              <w:t>,000,000</w:t>
            </w:r>
          </w:p>
        </w:tc>
        <w:tc>
          <w:tcPr>
            <w:tcW w:w="1357" w:type="dxa"/>
            <w:tcBorders>
              <w:top w:val="nil"/>
              <w:left w:val="nil"/>
              <w:bottom w:val="single" w:sz="4" w:space="0" w:color="auto"/>
              <w:right w:val="single" w:sz="4" w:space="0" w:color="auto"/>
            </w:tcBorders>
            <w:shd w:val="clear" w:color="000000" w:fill="00FF00"/>
            <w:noWrap/>
            <w:hideMark/>
          </w:tcPr>
          <w:p w14:paraId="08E5759E" w14:textId="3DD4E093" w:rsidR="006A78BE" w:rsidRPr="00D30847" w:rsidRDefault="00043FC8"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17,000,000</w:t>
            </w:r>
          </w:p>
        </w:tc>
        <w:tc>
          <w:tcPr>
            <w:tcW w:w="1261" w:type="dxa"/>
            <w:tcBorders>
              <w:top w:val="nil"/>
              <w:left w:val="nil"/>
              <w:bottom w:val="single" w:sz="4" w:space="0" w:color="auto"/>
              <w:right w:val="single" w:sz="4" w:space="0" w:color="auto"/>
            </w:tcBorders>
            <w:shd w:val="clear" w:color="000000" w:fill="00FF00"/>
            <w:noWrap/>
            <w:hideMark/>
          </w:tcPr>
          <w:p w14:paraId="65DDDF53" w14:textId="0F662E56" w:rsidR="006A78BE" w:rsidRPr="00D30847" w:rsidRDefault="00B95D4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8</w:t>
            </w:r>
            <w:r w:rsidR="006A78BE" w:rsidRPr="00D30847">
              <w:rPr>
                <w:rFonts w:eastAsia="Times New Roman"/>
                <w:b/>
                <w:bCs/>
                <w:sz w:val="18"/>
                <w:szCs w:val="18"/>
                <w:lang w:val="en-GB" w:eastAsia="mk-MK"/>
              </w:rPr>
              <w:t>,000,000</w:t>
            </w:r>
          </w:p>
        </w:tc>
        <w:tc>
          <w:tcPr>
            <w:tcW w:w="1196" w:type="dxa"/>
            <w:tcBorders>
              <w:top w:val="nil"/>
              <w:left w:val="nil"/>
              <w:bottom w:val="single" w:sz="4" w:space="0" w:color="auto"/>
              <w:right w:val="single" w:sz="8" w:space="0" w:color="auto"/>
            </w:tcBorders>
            <w:shd w:val="clear" w:color="000000" w:fill="00FF00"/>
            <w:noWrap/>
            <w:hideMark/>
          </w:tcPr>
          <w:p w14:paraId="0BCD6473" w14:textId="2AB84969" w:rsidR="006A78BE" w:rsidRPr="00D30847" w:rsidRDefault="00043FC8"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r>
      <w:tr w:rsidR="00BF1348" w:rsidRPr="00D30847" w14:paraId="630176E3" w14:textId="77777777" w:rsidTr="00E32BC1">
        <w:trPr>
          <w:trHeight w:val="48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6776FE14"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1.</w:t>
            </w:r>
          </w:p>
        </w:tc>
        <w:tc>
          <w:tcPr>
            <w:tcW w:w="2680" w:type="dxa"/>
            <w:tcBorders>
              <w:top w:val="nil"/>
              <w:left w:val="nil"/>
              <w:bottom w:val="single" w:sz="4" w:space="0" w:color="auto"/>
              <w:right w:val="single" w:sz="4" w:space="0" w:color="auto"/>
            </w:tcBorders>
            <w:shd w:val="clear" w:color="000000" w:fill="FFFF00"/>
            <w:hideMark/>
          </w:tcPr>
          <w:p w14:paraId="5AFE3C07" w14:textId="77777777"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Strengthening joint control mechanisms and capacities in order to combat illegal trade and organized crime</w:t>
            </w:r>
          </w:p>
        </w:tc>
        <w:tc>
          <w:tcPr>
            <w:tcW w:w="1403" w:type="dxa"/>
            <w:tcBorders>
              <w:top w:val="nil"/>
              <w:left w:val="nil"/>
              <w:bottom w:val="single" w:sz="4" w:space="0" w:color="auto"/>
              <w:right w:val="single" w:sz="4" w:space="0" w:color="auto"/>
            </w:tcBorders>
            <w:shd w:val="clear" w:color="000000" w:fill="FFFF00"/>
            <w:noWrap/>
            <w:hideMark/>
          </w:tcPr>
          <w:p w14:paraId="6651AE8F" w14:textId="6397923C" w:rsidR="006A78BE" w:rsidRPr="00D30847" w:rsidRDefault="00EF14C9"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2</w:t>
            </w:r>
            <w:r w:rsidR="006A78BE" w:rsidRPr="00D30847">
              <w:rPr>
                <w:rFonts w:eastAsia="Times New Roman"/>
                <w:sz w:val="18"/>
                <w:szCs w:val="18"/>
                <w:lang w:val="en-GB" w:eastAsia="mk-MK"/>
              </w:rPr>
              <w:t>,000,000</w:t>
            </w:r>
          </w:p>
        </w:tc>
        <w:tc>
          <w:tcPr>
            <w:tcW w:w="1357" w:type="dxa"/>
            <w:tcBorders>
              <w:top w:val="nil"/>
              <w:left w:val="nil"/>
              <w:bottom w:val="single" w:sz="4" w:space="0" w:color="auto"/>
              <w:right w:val="single" w:sz="4" w:space="0" w:color="auto"/>
            </w:tcBorders>
            <w:shd w:val="clear" w:color="000000" w:fill="FFFF00"/>
            <w:noWrap/>
            <w:hideMark/>
          </w:tcPr>
          <w:p w14:paraId="66A291DE"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05C2DD66" w14:textId="4FF8CA62" w:rsidR="006A78BE" w:rsidRPr="00D30847" w:rsidRDefault="00EB65DB"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2</w:t>
            </w:r>
            <w:r w:rsidR="006A78BE" w:rsidRPr="00D30847">
              <w:rPr>
                <w:rFonts w:eastAsia="Times New Roman"/>
                <w:sz w:val="18"/>
                <w:szCs w:val="18"/>
                <w:lang w:val="en-GB" w:eastAsia="mk-MK"/>
              </w:rPr>
              <w:t>,000,000</w:t>
            </w:r>
          </w:p>
        </w:tc>
        <w:tc>
          <w:tcPr>
            <w:tcW w:w="1196" w:type="dxa"/>
            <w:tcBorders>
              <w:top w:val="nil"/>
              <w:left w:val="nil"/>
              <w:bottom w:val="single" w:sz="4" w:space="0" w:color="auto"/>
              <w:right w:val="single" w:sz="8" w:space="0" w:color="auto"/>
            </w:tcBorders>
            <w:shd w:val="clear" w:color="000000" w:fill="FFFF00"/>
            <w:noWrap/>
            <w:hideMark/>
          </w:tcPr>
          <w:p w14:paraId="1FB44D2D"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r>
      <w:tr w:rsidR="00BF1348" w:rsidRPr="00D30847" w14:paraId="5260CE55"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4A3ABD81"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2.</w:t>
            </w:r>
          </w:p>
        </w:tc>
        <w:tc>
          <w:tcPr>
            <w:tcW w:w="2680" w:type="dxa"/>
            <w:tcBorders>
              <w:top w:val="nil"/>
              <w:left w:val="nil"/>
              <w:bottom w:val="single" w:sz="4" w:space="0" w:color="auto"/>
              <w:right w:val="single" w:sz="4" w:space="0" w:color="auto"/>
            </w:tcBorders>
            <w:shd w:val="clear" w:color="000000" w:fill="FFFF00"/>
            <w:hideMark/>
          </w:tcPr>
          <w:p w14:paraId="4A84CBF0" w14:textId="492237DC"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Modernization of customs services and their digitalization</w:t>
            </w:r>
          </w:p>
        </w:tc>
        <w:tc>
          <w:tcPr>
            <w:tcW w:w="1403" w:type="dxa"/>
            <w:tcBorders>
              <w:top w:val="nil"/>
              <w:left w:val="nil"/>
              <w:bottom w:val="single" w:sz="4" w:space="0" w:color="auto"/>
              <w:right w:val="single" w:sz="4" w:space="0" w:color="auto"/>
            </w:tcBorders>
            <w:shd w:val="clear" w:color="000000" w:fill="FFFF00"/>
            <w:noWrap/>
            <w:hideMark/>
          </w:tcPr>
          <w:p w14:paraId="63909A5D" w14:textId="7AE50B18" w:rsidR="006A78BE" w:rsidRPr="00D30847" w:rsidRDefault="002C73A5"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23</w:t>
            </w:r>
            <w:r w:rsidR="006A78BE" w:rsidRPr="00D30847">
              <w:rPr>
                <w:rFonts w:eastAsia="Times New Roman"/>
                <w:sz w:val="18"/>
                <w:szCs w:val="18"/>
                <w:lang w:val="en-GB" w:eastAsia="mk-MK"/>
              </w:rPr>
              <w:t>,000,000</w:t>
            </w:r>
          </w:p>
        </w:tc>
        <w:tc>
          <w:tcPr>
            <w:tcW w:w="1357" w:type="dxa"/>
            <w:tcBorders>
              <w:top w:val="nil"/>
              <w:left w:val="nil"/>
              <w:bottom w:val="single" w:sz="4" w:space="0" w:color="auto"/>
              <w:right w:val="single" w:sz="4" w:space="0" w:color="auto"/>
            </w:tcBorders>
            <w:shd w:val="clear" w:color="000000" w:fill="FFFF00"/>
            <w:noWrap/>
            <w:hideMark/>
          </w:tcPr>
          <w:p w14:paraId="3D7EDC5E" w14:textId="23C1DBA5" w:rsidR="006A78BE" w:rsidRPr="00D30847" w:rsidRDefault="00043FC8"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17,000,00</w:t>
            </w:r>
            <w:r w:rsidR="006A78BE" w:rsidRPr="00D30847">
              <w:rPr>
                <w:rFonts w:eastAsia="Times New Roman"/>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46D8E248" w14:textId="3FE7A2A3" w:rsidR="006A78BE" w:rsidRPr="00D30847" w:rsidRDefault="00043FC8"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6</w:t>
            </w:r>
            <w:r w:rsidR="006A78BE" w:rsidRPr="00D30847">
              <w:rPr>
                <w:rFonts w:eastAsia="Times New Roman"/>
                <w:sz w:val="18"/>
                <w:szCs w:val="18"/>
                <w:lang w:val="en-GB" w:eastAsia="mk-MK"/>
              </w:rPr>
              <w:t>,000,000</w:t>
            </w:r>
          </w:p>
        </w:tc>
        <w:tc>
          <w:tcPr>
            <w:tcW w:w="1196" w:type="dxa"/>
            <w:tcBorders>
              <w:top w:val="nil"/>
              <w:left w:val="nil"/>
              <w:bottom w:val="single" w:sz="4" w:space="0" w:color="auto"/>
              <w:right w:val="single" w:sz="8" w:space="0" w:color="auto"/>
            </w:tcBorders>
            <w:shd w:val="clear" w:color="000000" w:fill="FFFF00"/>
            <w:noWrap/>
            <w:hideMark/>
          </w:tcPr>
          <w:p w14:paraId="096DBFB9" w14:textId="34571810" w:rsidR="006A78BE" w:rsidRPr="00D30847" w:rsidRDefault="00043FC8"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r>
      <w:tr w:rsidR="00EA4DEC" w:rsidRPr="00D30847" w14:paraId="29254259"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FFFF00"/>
            <w:noWrap/>
          </w:tcPr>
          <w:p w14:paraId="78B6677A" w14:textId="00F623CB" w:rsidR="00EA4DEC" w:rsidRPr="00D30847" w:rsidRDefault="00EA4DEC"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3.</w:t>
            </w:r>
          </w:p>
        </w:tc>
        <w:tc>
          <w:tcPr>
            <w:tcW w:w="2680" w:type="dxa"/>
            <w:tcBorders>
              <w:top w:val="nil"/>
              <w:left w:val="nil"/>
              <w:bottom w:val="single" w:sz="4" w:space="0" w:color="auto"/>
              <w:right w:val="single" w:sz="4" w:space="0" w:color="auto"/>
            </w:tcBorders>
            <w:shd w:val="clear" w:color="000000" w:fill="FFFF00"/>
          </w:tcPr>
          <w:p w14:paraId="08ACA178" w14:textId="78B9A020" w:rsidR="00EA4DEC" w:rsidRPr="00D30847" w:rsidRDefault="00EA4DEC"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Adequate monitoring of excise good sand collection of excise duties</w:t>
            </w:r>
          </w:p>
        </w:tc>
        <w:tc>
          <w:tcPr>
            <w:tcW w:w="1403" w:type="dxa"/>
            <w:tcBorders>
              <w:top w:val="nil"/>
              <w:left w:val="nil"/>
              <w:bottom w:val="single" w:sz="4" w:space="0" w:color="auto"/>
              <w:right w:val="single" w:sz="4" w:space="0" w:color="auto"/>
            </w:tcBorders>
            <w:shd w:val="clear" w:color="000000" w:fill="FFFF00"/>
            <w:noWrap/>
          </w:tcPr>
          <w:p w14:paraId="61BB2CAB" w14:textId="797AE70F" w:rsidR="00EA4DEC" w:rsidRPr="00D30847" w:rsidRDefault="00EA4DEC"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c>
          <w:tcPr>
            <w:tcW w:w="1357" w:type="dxa"/>
            <w:tcBorders>
              <w:top w:val="nil"/>
              <w:left w:val="nil"/>
              <w:bottom w:val="single" w:sz="4" w:space="0" w:color="auto"/>
              <w:right w:val="single" w:sz="4" w:space="0" w:color="auto"/>
            </w:tcBorders>
            <w:shd w:val="clear" w:color="000000" w:fill="FFFF00"/>
            <w:noWrap/>
          </w:tcPr>
          <w:p w14:paraId="64AD7F2D" w14:textId="7AFF2B19" w:rsidR="00EA4DEC" w:rsidRPr="00D30847" w:rsidRDefault="00EA4DEC"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tcPr>
          <w:p w14:paraId="6EF4C021" w14:textId="2A2559A4" w:rsidR="00EA4DEC" w:rsidRPr="00D30847" w:rsidRDefault="00EA4DEC"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tcPr>
          <w:p w14:paraId="3E7BA993" w14:textId="75ECB048" w:rsidR="00EA4DEC" w:rsidRPr="00D30847" w:rsidRDefault="00EA4DEC"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r>
      <w:tr w:rsidR="00BF1348" w:rsidRPr="00D30847" w14:paraId="127AFD8F" w14:textId="77777777" w:rsidTr="00E32BC1">
        <w:trPr>
          <w:trHeight w:val="300"/>
        </w:trPr>
        <w:tc>
          <w:tcPr>
            <w:tcW w:w="3787" w:type="dxa"/>
            <w:gridSpan w:val="2"/>
            <w:tcBorders>
              <w:top w:val="single" w:sz="4" w:space="0" w:color="auto"/>
              <w:left w:val="single" w:sz="8" w:space="0" w:color="auto"/>
              <w:bottom w:val="single" w:sz="4" w:space="0" w:color="auto"/>
              <w:right w:val="single" w:sz="4" w:space="0" w:color="auto"/>
            </w:tcBorders>
            <w:shd w:val="clear" w:color="000000" w:fill="00B0F0"/>
            <w:noWrap/>
            <w:vAlign w:val="bottom"/>
            <w:hideMark/>
          </w:tcPr>
          <w:p w14:paraId="66D88092" w14:textId="77777777" w:rsidR="006A78BE" w:rsidRPr="00D30847" w:rsidRDefault="006A78BE" w:rsidP="006A78BE">
            <w:pPr>
              <w:spacing w:after="0" w:line="240" w:lineRule="auto"/>
              <w:jc w:val="both"/>
              <w:rPr>
                <w:rFonts w:eastAsia="Times New Roman"/>
                <w:b/>
                <w:bCs/>
                <w:lang w:val="en-GB" w:eastAsia="mk-MK"/>
              </w:rPr>
            </w:pPr>
            <w:proofErr w:type="spellStart"/>
            <w:r w:rsidRPr="00D30847">
              <w:rPr>
                <w:rFonts w:eastAsia="Times New Roman"/>
                <w:b/>
                <w:bCs/>
                <w:lang w:val="en-GB" w:eastAsia="mk-MK"/>
              </w:rPr>
              <w:t>III.Pillar</w:t>
            </w:r>
            <w:proofErr w:type="spellEnd"/>
            <w:r w:rsidRPr="00D30847">
              <w:rPr>
                <w:rFonts w:eastAsia="Times New Roman"/>
                <w:b/>
                <w:bCs/>
                <w:lang w:val="en-GB" w:eastAsia="mk-MK"/>
              </w:rPr>
              <w:t>-Planning and budgeting</w:t>
            </w:r>
          </w:p>
        </w:tc>
        <w:tc>
          <w:tcPr>
            <w:tcW w:w="1403" w:type="dxa"/>
            <w:tcBorders>
              <w:top w:val="nil"/>
              <w:left w:val="nil"/>
              <w:bottom w:val="single" w:sz="4" w:space="0" w:color="auto"/>
              <w:right w:val="single" w:sz="4" w:space="0" w:color="auto"/>
            </w:tcBorders>
            <w:shd w:val="clear" w:color="000000" w:fill="00B0F0"/>
            <w:noWrap/>
            <w:vAlign w:val="bottom"/>
            <w:hideMark/>
          </w:tcPr>
          <w:p w14:paraId="1AC95E3F" w14:textId="001533FE" w:rsidR="006A78BE" w:rsidRPr="00D30847" w:rsidRDefault="00293164"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3</w:t>
            </w:r>
            <w:r w:rsidR="006A78BE" w:rsidRPr="00D30847">
              <w:rPr>
                <w:rFonts w:eastAsia="Times New Roman"/>
                <w:b/>
                <w:bCs/>
                <w:sz w:val="18"/>
                <w:szCs w:val="18"/>
                <w:lang w:val="en-GB" w:eastAsia="mk-MK"/>
              </w:rPr>
              <w:t>,</w:t>
            </w:r>
            <w:r w:rsidRPr="00D30847">
              <w:rPr>
                <w:rFonts w:eastAsia="Times New Roman"/>
                <w:b/>
                <w:bCs/>
                <w:sz w:val="18"/>
                <w:szCs w:val="18"/>
                <w:lang w:val="en-GB" w:eastAsia="mk-MK"/>
              </w:rPr>
              <w:t>414</w:t>
            </w:r>
            <w:r w:rsidR="006A78BE" w:rsidRPr="00D30847">
              <w:rPr>
                <w:rFonts w:eastAsia="Times New Roman"/>
                <w:b/>
                <w:bCs/>
                <w:sz w:val="18"/>
                <w:szCs w:val="18"/>
                <w:lang w:val="en-GB" w:eastAsia="mk-MK"/>
              </w:rPr>
              <w:t>,000</w:t>
            </w:r>
          </w:p>
        </w:tc>
        <w:tc>
          <w:tcPr>
            <w:tcW w:w="1357" w:type="dxa"/>
            <w:tcBorders>
              <w:top w:val="nil"/>
              <w:left w:val="nil"/>
              <w:bottom w:val="single" w:sz="4" w:space="0" w:color="auto"/>
              <w:right w:val="single" w:sz="4" w:space="0" w:color="auto"/>
            </w:tcBorders>
            <w:shd w:val="clear" w:color="000000" w:fill="00B0F0"/>
            <w:noWrap/>
            <w:vAlign w:val="bottom"/>
            <w:hideMark/>
          </w:tcPr>
          <w:p w14:paraId="3A315E5E" w14:textId="4878388B"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3</w:t>
            </w:r>
            <w:r w:rsidR="00293164" w:rsidRPr="00D30847">
              <w:rPr>
                <w:rFonts w:eastAsia="Times New Roman"/>
                <w:b/>
                <w:bCs/>
                <w:sz w:val="18"/>
                <w:szCs w:val="18"/>
                <w:lang w:val="en-GB" w:eastAsia="mk-MK"/>
              </w:rPr>
              <w:t>55</w:t>
            </w:r>
            <w:r w:rsidRPr="00D30847">
              <w:rPr>
                <w:rFonts w:eastAsia="Times New Roman"/>
                <w:b/>
                <w:bCs/>
                <w:sz w:val="18"/>
                <w:szCs w:val="18"/>
                <w:lang w:val="en-GB" w:eastAsia="mk-MK"/>
              </w:rPr>
              <w:t>,000</w:t>
            </w:r>
          </w:p>
        </w:tc>
        <w:tc>
          <w:tcPr>
            <w:tcW w:w="1261" w:type="dxa"/>
            <w:tcBorders>
              <w:top w:val="nil"/>
              <w:left w:val="nil"/>
              <w:bottom w:val="single" w:sz="4" w:space="0" w:color="auto"/>
              <w:right w:val="single" w:sz="4" w:space="0" w:color="auto"/>
            </w:tcBorders>
            <w:shd w:val="clear" w:color="000000" w:fill="00B0F0"/>
            <w:noWrap/>
            <w:vAlign w:val="bottom"/>
            <w:hideMark/>
          </w:tcPr>
          <w:p w14:paraId="12FE20EE" w14:textId="63E087D4" w:rsidR="006A78BE" w:rsidRPr="00D30847" w:rsidRDefault="00293164"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3</w:t>
            </w:r>
            <w:r w:rsidR="006A78BE" w:rsidRPr="00D30847">
              <w:rPr>
                <w:rFonts w:eastAsia="Times New Roman"/>
                <w:b/>
                <w:bCs/>
                <w:sz w:val="18"/>
                <w:szCs w:val="18"/>
                <w:lang w:val="en-GB" w:eastAsia="mk-MK"/>
              </w:rPr>
              <w:t>,</w:t>
            </w:r>
            <w:r w:rsidRPr="00D30847">
              <w:rPr>
                <w:rFonts w:eastAsia="Times New Roman"/>
                <w:b/>
                <w:bCs/>
                <w:sz w:val="18"/>
                <w:szCs w:val="18"/>
                <w:lang w:val="en-GB" w:eastAsia="mk-MK"/>
              </w:rPr>
              <w:t>059</w:t>
            </w:r>
            <w:r w:rsidR="006A78BE" w:rsidRPr="00D30847">
              <w:rPr>
                <w:rFonts w:eastAsia="Times New Roman"/>
                <w:b/>
                <w:bCs/>
                <w:sz w:val="18"/>
                <w:szCs w:val="18"/>
                <w:lang w:val="en-GB" w:eastAsia="mk-MK"/>
              </w:rPr>
              <w:t>,000</w:t>
            </w:r>
          </w:p>
        </w:tc>
        <w:tc>
          <w:tcPr>
            <w:tcW w:w="1196" w:type="dxa"/>
            <w:tcBorders>
              <w:top w:val="nil"/>
              <w:left w:val="nil"/>
              <w:bottom w:val="single" w:sz="4" w:space="0" w:color="auto"/>
              <w:right w:val="single" w:sz="8" w:space="0" w:color="auto"/>
            </w:tcBorders>
            <w:shd w:val="clear" w:color="000000" w:fill="00B0F0"/>
            <w:noWrap/>
            <w:vAlign w:val="bottom"/>
            <w:hideMark/>
          </w:tcPr>
          <w:p w14:paraId="3A4209B3"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r>
      <w:tr w:rsidR="00BF1348" w:rsidRPr="00D30847" w14:paraId="0936E6A0"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00FF00"/>
            <w:noWrap/>
            <w:hideMark/>
          </w:tcPr>
          <w:p w14:paraId="135E0F26" w14:textId="40C5D8C0" w:rsidR="006A78BE" w:rsidRPr="00D30847" w:rsidRDefault="006A78BE" w:rsidP="006A78BE">
            <w:pPr>
              <w:spacing w:after="0" w:line="240" w:lineRule="auto"/>
              <w:jc w:val="center"/>
              <w:rPr>
                <w:rFonts w:eastAsia="Times New Roman"/>
                <w:b/>
                <w:bCs/>
                <w:sz w:val="20"/>
                <w:szCs w:val="20"/>
                <w:lang w:val="en-GB" w:eastAsia="mk-MK"/>
              </w:rPr>
            </w:pPr>
            <w:r w:rsidRPr="00D30847">
              <w:rPr>
                <w:rFonts w:eastAsia="Times New Roman"/>
                <w:b/>
                <w:bCs/>
                <w:sz w:val="20"/>
                <w:szCs w:val="20"/>
                <w:lang w:val="en-GB" w:eastAsia="mk-MK"/>
              </w:rPr>
              <w:t>Priority 1.</w:t>
            </w:r>
          </w:p>
        </w:tc>
        <w:tc>
          <w:tcPr>
            <w:tcW w:w="2680" w:type="dxa"/>
            <w:tcBorders>
              <w:top w:val="nil"/>
              <w:left w:val="nil"/>
              <w:bottom w:val="single" w:sz="4" w:space="0" w:color="auto"/>
              <w:right w:val="single" w:sz="4" w:space="0" w:color="auto"/>
            </w:tcBorders>
            <w:shd w:val="clear" w:color="000000" w:fill="00FF00"/>
            <w:hideMark/>
          </w:tcPr>
          <w:p w14:paraId="1A77E120" w14:textId="77777777" w:rsidR="006A78BE" w:rsidRPr="00D30847" w:rsidRDefault="006A78BE" w:rsidP="006A78BE">
            <w:pPr>
              <w:spacing w:after="0" w:line="240" w:lineRule="auto"/>
              <w:jc w:val="both"/>
              <w:rPr>
                <w:rFonts w:eastAsia="Times New Roman"/>
                <w:b/>
                <w:bCs/>
                <w:sz w:val="18"/>
                <w:szCs w:val="18"/>
                <w:lang w:val="en-GB" w:eastAsia="mk-MK"/>
              </w:rPr>
            </w:pPr>
            <w:r w:rsidRPr="00D30847">
              <w:rPr>
                <w:rFonts w:eastAsia="Times New Roman"/>
                <w:b/>
                <w:bCs/>
                <w:sz w:val="18"/>
                <w:szCs w:val="18"/>
                <w:lang w:val="en-GB" w:eastAsia="mk-MK"/>
              </w:rPr>
              <w:t>Budget planning</w:t>
            </w:r>
          </w:p>
        </w:tc>
        <w:tc>
          <w:tcPr>
            <w:tcW w:w="1403" w:type="dxa"/>
            <w:tcBorders>
              <w:top w:val="nil"/>
              <w:left w:val="nil"/>
              <w:bottom w:val="single" w:sz="4" w:space="0" w:color="auto"/>
              <w:right w:val="single" w:sz="4" w:space="0" w:color="auto"/>
            </w:tcBorders>
            <w:shd w:val="clear" w:color="000000" w:fill="00FF00"/>
            <w:noWrap/>
            <w:hideMark/>
          </w:tcPr>
          <w:p w14:paraId="04044492" w14:textId="03FF6EE3" w:rsidR="006A78BE" w:rsidRPr="00D30847" w:rsidRDefault="00293164"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2</w:t>
            </w:r>
            <w:r w:rsidR="006A78BE" w:rsidRPr="00D30847">
              <w:rPr>
                <w:rFonts w:eastAsia="Times New Roman"/>
                <w:b/>
                <w:bCs/>
                <w:sz w:val="18"/>
                <w:szCs w:val="18"/>
                <w:lang w:val="en-GB" w:eastAsia="mk-MK"/>
              </w:rPr>
              <w:t>,</w:t>
            </w:r>
            <w:r w:rsidRPr="00D30847">
              <w:rPr>
                <w:rFonts w:eastAsia="Times New Roman"/>
                <w:b/>
                <w:bCs/>
                <w:sz w:val="18"/>
                <w:szCs w:val="18"/>
                <w:lang w:val="en-GB" w:eastAsia="mk-MK"/>
              </w:rPr>
              <w:t>864</w:t>
            </w:r>
            <w:r w:rsidR="006A78BE" w:rsidRPr="00D30847">
              <w:rPr>
                <w:rFonts w:eastAsia="Times New Roman"/>
                <w:b/>
                <w:bCs/>
                <w:sz w:val="18"/>
                <w:szCs w:val="18"/>
                <w:lang w:val="en-GB" w:eastAsia="mk-MK"/>
              </w:rPr>
              <w:t>,000</w:t>
            </w:r>
          </w:p>
        </w:tc>
        <w:tc>
          <w:tcPr>
            <w:tcW w:w="1357" w:type="dxa"/>
            <w:tcBorders>
              <w:top w:val="nil"/>
              <w:left w:val="nil"/>
              <w:bottom w:val="single" w:sz="4" w:space="0" w:color="auto"/>
              <w:right w:val="single" w:sz="4" w:space="0" w:color="auto"/>
            </w:tcBorders>
            <w:shd w:val="clear" w:color="000000" w:fill="00FF00"/>
            <w:noWrap/>
            <w:hideMark/>
          </w:tcPr>
          <w:p w14:paraId="32C75481"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261" w:type="dxa"/>
            <w:tcBorders>
              <w:top w:val="nil"/>
              <w:left w:val="nil"/>
              <w:bottom w:val="single" w:sz="4" w:space="0" w:color="auto"/>
              <w:right w:val="single" w:sz="4" w:space="0" w:color="auto"/>
            </w:tcBorders>
            <w:shd w:val="clear" w:color="000000" w:fill="00FF00"/>
            <w:noWrap/>
            <w:hideMark/>
          </w:tcPr>
          <w:p w14:paraId="2401ACEF" w14:textId="33B50C9F" w:rsidR="006A78BE" w:rsidRPr="00D30847" w:rsidRDefault="00293164"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2</w:t>
            </w:r>
            <w:r w:rsidR="006A78BE" w:rsidRPr="00D30847">
              <w:rPr>
                <w:rFonts w:eastAsia="Times New Roman"/>
                <w:b/>
                <w:bCs/>
                <w:sz w:val="18"/>
                <w:szCs w:val="18"/>
                <w:lang w:val="en-GB" w:eastAsia="mk-MK"/>
              </w:rPr>
              <w:t>,</w:t>
            </w:r>
            <w:r w:rsidRPr="00D30847">
              <w:rPr>
                <w:rFonts w:eastAsia="Times New Roman"/>
                <w:b/>
                <w:bCs/>
                <w:sz w:val="18"/>
                <w:szCs w:val="18"/>
                <w:lang w:val="en-GB" w:eastAsia="mk-MK"/>
              </w:rPr>
              <w:t>864</w:t>
            </w:r>
            <w:r w:rsidR="006A78BE" w:rsidRPr="00D30847">
              <w:rPr>
                <w:rFonts w:eastAsia="Times New Roman"/>
                <w:b/>
                <w:bCs/>
                <w:sz w:val="18"/>
                <w:szCs w:val="18"/>
                <w:lang w:val="en-GB" w:eastAsia="mk-MK"/>
              </w:rPr>
              <w:t>,000</w:t>
            </w:r>
          </w:p>
        </w:tc>
        <w:tc>
          <w:tcPr>
            <w:tcW w:w="1196" w:type="dxa"/>
            <w:tcBorders>
              <w:top w:val="nil"/>
              <w:left w:val="nil"/>
              <w:bottom w:val="single" w:sz="4" w:space="0" w:color="auto"/>
              <w:right w:val="single" w:sz="8" w:space="0" w:color="auto"/>
            </w:tcBorders>
            <w:shd w:val="clear" w:color="000000" w:fill="00FF00"/>
            <w:noWrap/>
            <w:hideMark/>
          </w:tcPr>
          <w:p w14:paraId="6F541F05"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r>
      <w:tr w:rsidR="00BF1348" w:rsidRPr="00D30847" w14:paraId="44ACF61C"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1A3A3981"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1.</w:t>
            </w:r>
          </w:p>
        </w:tc>
        <w:tc>
          <w:tcPr>
            <w:tcW w:w="2680" w:type="dxa"/>
            <w:tcBorders>
              <w:top w:val="nil"/>
              <w:left w:val="nil"/>
              <w:bottom w:val="single" w:sz="4" w:space="0" w:color="auto"/>
              <w:right w:val="single" w:sz="4" w:space="0" w:color="auto"/>
            </w:tcBorders>
            <w:shd w:val="clear" w:color="000000" w:fill="FFFF00"/>
            <w:hideMark/>
          </w:tcPr>
          <w:p w14:paraId="46BCD83D" w14:textId="77777777"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Improving medium-term planning</w:t>
            </w:r>
          </w:p>
        </w:tc>
        <w:tc>
          <w:tcPr>
            <w:tcW w:w="1403" w:type="dxa"/>
            <w:tcBorders>
              <w:top w:val="nil"/>
              <w:left w:val="nil"/>
              <w:bottom w:val="single" w:sz="4" w:space="0" w:color="auto"/>
              <w:right w:val="single" w:sz="4" w:space="0" w:color="auto"/>
            </w:tcBorders>
            <w:shd w:val="clear" w:color="000000" w:fill="FFFF00"/>
            <w:noWrap/>
            <w:hideMark/>
          </w:tcPr>
          <w:p w14:paraId="55C075D9"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357" w:type="dxa"/>
            <w:tcBorders>
              <w:top w:val="nil"/>
              <w:left w:val="nil"/>
              <w:bottom w:val="single" w:sz="4" w:space="0" w:color="auto"/>
              <w:right w:val="single" w:sz="4" w:space="0" w:color="auto"/>
            </w:tcBorders>
            <w:shd w:val="clear" w:color="000000" w:fill="FFFF00"/>
            <w:noWrap/>
            <w:hideMark/>
          </w:tcPr>
          <w:p w14:paraId="5375EFEE"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6E825F17"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hideMark/>
          </w:tcPr>
          <w:p w14:paraId="1A86E932"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0E121891" w14:textId="77777777" w:rsidTr="00E32BC1">
        <w:trPr>
          <w:trHeight w:val="48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3A6A6CEF"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2.</w:t>
            </w:r>
          </w:p>
        </w:tc>
        <w:tc>
          <w:tcPr>
            <w:tcW w:w="2680" w:type="dxa"/>
            <w:tcBorders>
              <w:top w:val="nil"/>
              <w:left w:val="nil"/>
              <w:bottom w:val="single" w:sz="4" w:space="0" w:color="auto"/>
              <w:right w:val="single" w:sz="4" w:space="0" w:color="auto"/>
            </w:tcBorders>
            <w:shd w:val="clear" w:color="000000" w:fill="FFFF00"/>
            <w:hideMark/>
          </w:tcPr>
          <w:p w14:paraId="1FE1E1B8" w14:textId="77777777"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Improving sectoral approach of budget planning and development by implementation of bylaws</w:t>
            </w:r>
          </w:p>
        </w:tc>
        <w:tc>
          <w:tcPr>
            <w:tcW w:w="1403" w:type="dxa"/>
            <w:tcBorders>
              <w:top w:val="nil"/>
              <w:left w:val="nil"/>
              <w:bottom w:val="single" w:sz="4" w:space="0" w:color="auto"/>
              <w:right w:val="single" w:sz="4" w:space="0" w:color="auto"/>
            </w:tcBorders>
            <w:shd w:val="clear" w:color="000000" w:fill="FFFF00"/>
            <w:noWrap/>
            <w:hideMark/>
          </w:tcPr>
          <w:p w14:paraId="379D21F7" w14:textId="43B1FBD0"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1,</w:t>
            </w:r>
            <w:r w:rsidR="00293164" w:rsidRPr="00D30847">
              <w:rPr>
                <w:rFonts w:eastAsia="Times New Roman"/>
                <w:color w:val="000000"/>
                <w:sz w:val="18"/>
                <w:szCs w:val="18"/>
                <w:lang w:val="en-GB" w:eastAsia="mk-MK"/>
              </w:rPr>
              <w:t>944</w:t>
            </w:r>
            <w:r w:rsidRPr="00D30847">
              <w:rPr>
                <w:rFonts w:eastAsia="Times New Roman"/>
                <w:color w:val="000000"/>
                <w:sz w:val="18"/>
                <w:szCs w:val="18"/>
                <w:lang w:val="en-GB" w:eastAsia="mk-MK"/>
              </w:rPr>
              <w:t>,000</w:t>
            </w:r>
          </w:p>
        </w:tc>
        <w:tc>
          <w:tcPr>
            <w:tcW w:w="1357" w:type="dxa"/>
            <w:tcBorders>
              <w:top w:val="nil"/>
              <w:left w:val="nil"/>
              <w:bottom w:val="single" w:sz="4" w:space="0" w:color="auto"/>
              <w:right w:val="single" w:sz="4" w:space="0" w:color="auto"/>
            </w:tcBorders>
            <w:shd w:val="clear" w:color="000000" w:fill="FFFF00"/>
            <w:noWrap/>
            <w:hideMark/>
          </w:tcPr>
          <w:p w14:paraId="222CDD92"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2E3CDF8A" w14:textId="1E16426A"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1,</w:t>
            </w:r>
            <w:r w:rsidR="00293164" w:rsidRPr="00D30847">
              <w:rPr>
                <w:rFonts w:eastAsia="Times New Roman"/>
                <w:color w:val="000000"/>
                <w:sz w:val="18"/>
                <w:szCs w:val="18"/>
                <w:lang w:val="en-GB" w:eastAsia="mk-MK"/>
              </w:rPr>
              <w:t>944</w:t>
            </w:r>
            <w:r w:rsidRPr="00D30847">
              <w:rPr>
                <w:rFonts w:eastAsia="Times New Roman"/>
                <w:color w:val="000000"/>
                <w:sz w:val="18"/>
                <w:szCs w:val="18"/>
                <w:lang w:val="en-GB" w:eastAsia="mk-MK"/>
              </w:rPr>
              <w:t>,000</w:t>
            </w:r>
          </w:p>
        </w:tc>
        <w:tc>
          <w:tcPr>
            <w:tcW w:w="1196" w:type="dxa"/>
            <w:tcBorders>
              <w:top w:val="nil"/>
              <w:left w:val="nil"/>
              <w:bottom w:val="single" w:sz="4" w:space="0" w:color="auto"/>
              <w:right w:val="single" w:sz="8" w:space="0" w:color="auto"/>
            </w:tcBorders>
            <w:shd w:val="clear" w:color="000000" w:fill="FFFF00"/>
            <w:noWrap/>
            <w:hideMark/>
          </w:tcPr>
          <w:p w14:paraId="70587F21"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39376EF7"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674524A7"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3.</w:t>
            </w:r>
          </w:p>
        </w:tc>
        <w:tc>
          <w:tcPr>
            <w:tcW w:w="2680" w:type="dxa"/>
            <w:tcBorders>
              <w:top w:val="nil"/>
              <w:left w:val="nil"/>
              <w:bottom w:val="single" w:sz="4" w:space="0" w:color="auto"/>
              <w:right w:val="single" w:sz="4" w:space="0" w:color="auto"/>
            </w:tcBorders>
            <w:shd w:val="clear" w:color="000000" w:fill="FFFF00"/>
            <w:hideMark/>
          </w:tcPr>
          <w:p w14:paraId="629BFA6D" w14:textId="33304F88" w:rsidR="006A78BE" w:rsidRPr="00D30847" w:rsidRDefault="00884046"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Improved performance based budget</w:t>
            </w:r>
          </w:p>
        </w:tc>
        <w:tc>
          <w:tcPr>
            <w:tcW w:w="1403" w:type="dxa"/>
            <w:tcBorders>
              <w:top w:val="nil"/>
              <w:left w:val="nil"/>
              <w:bottom w:val="single" w:sz="4" w:space="0" w:color="auto"/>
              <w:right w:val="single" w:sz="4" w:space="0" w:color="auto"/>
            </w:tcBorders>
            <w:shd w:val="clear" w:color="000000" w:fill="FFFF00"/>
            <w:noWrap/>
            <w:hideMark/>
          </w:tcPr>
          <w:p w14:paraId="14E306AF" w14:textId="5F67D9CA" w:rsidR="006A78BE" w:rsidRPr="00D30847" w:rsidRDefault="00293164"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680</w:t>
            </w:r>
            <w:r w:rsidR="006A78BE" w:rsidRPr="00D30847">
              <w:rPr>
                <w:rFonts w:eastAsia="Times New Roman"/>
                <w:color w:val="000000"/>
                <w:sz w:val="18"/>
                <w:szCs w:val="18"/>
                <w:lang w:val="en-GB" w:eastAsia="mk-MK"/>
              </w:rPr>
              <w:t>,000</w:t>
            </w:r>
          </w:p>
        </w:tc>
        <w:tc>
          <w:tcPr>
            <w:tcW w:w="1357" w:type="dxa"/>
            <w:tcBorders>
              <w:top w:val="nil"/>
              <w:left w:val="nil"/>
              <w:bottom w:val="single" w:sz="4" w:space="0" w:color="auto"/>
              <w:right w:val="single" w:sz="4" w:space="0" w:color="auto"/>
            </w:tcBorders>
            <w:shd w:val="clear" w:color="000000" w:fill="FFFF00"/>
            <w:noWrap/>
            <w:hideMark/>
          </w:tcPr>
          <w:p w14:paraId="64842E4E"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3DF15228" w14:textId="2E1B12DE" w:rsidR="006A78BE" w:rsidRPr="00D30847" w:rsidRDefault="00293164"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680</w:t>
            </w:r>
            <w:r w:rsidR="006A78BE" w:rsidRPr="00D30847">
              <w:rPr>
                <w:rFonts w:eastAsia="Times New Roman"/>
                <w:color w:val="000000"/>
                <w:sz w:val="18"/>
                <w:szCs w:val="18"/>
                <w:lang w:val="en-GB" w:eastAsia="mk-MK"/>
              </w:rPr>
              <w:t>,000</w:t>
            </w:r>
          </w:p>
        </w:tc>
        <w:tc>
          <w:tcPr>
            <w:tcW w:w="1196" w:type="dxa"/>
            <w:tcBorders>
              <w:top w:val="nil"/>
              <w:left w:val="nil"/>
              <w:bottom w:val="single" w:sz="4" w:space="0" w:color="auto"/>
              <w:right w:val="single" w:sz="8" w:space="0" w:color="auto"/>
            </w:tcBorders>
            <w:shd w:val="clear" w:color="000000" w:fill="FFFF00"/>
            <w:noWrap/>
            <w:hideMark/>
          </w:tcPr>
          <w:p w14:paraId="6DE9B0FB"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2CD8D4E7"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1EA8D538"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4.</w:t>
            </w:r>
          </w:p>
        </w:tc>
        <w:tc>
          <w:tcPr>
            <w:tcW w:w="2680" w:type="dxa"/>
            <w:tcBorders>
              <w:top w:val="nil"/>
              <w:left w:val="nil"/>
              <w:bottom w:val="single" w:sz="4" w:space="0" w:color="auto"/>
              <w:right w:val="single" w:sz="4" w:space="0" w:color="auto"/>
            </w:tcBorders>
            <w:shd w:val="clear" w:color="000000" w:fill="FFFF00"/>
            <w:hideMark/>
          </w:tcPr>
          <w:p w14:paraId="4E0896DD" w14:textId="77777777"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Spending review</w:t>
            </w:r>
          </w:p>
        </w:tc>
        <w:tc>
          <w:tcPr>
            <w:tcW w:w="1403" w:type="dxa"/>
            <w:tcBorders>
              <w:top w:val="nil"/>
              <w:left w:val="nil"/>
              <w:bottom w:val="single" w:sz="4" w:space="0" w:color="auto"/>
              <w:right w:val="single" w:sz="4" w:space="0" w:color="auto"/>
            </w:tcBorders>
            <w:shd w:val="clear" w:color="000000" w:fill="FFFF00"/>
            <w:noWrap/>
            <w:hideMark/>
          </w:tcPr>
          <w:p w14:paraId="3A908E1A" w14:textId="411365E5" w:rsidR="006A78BE" w:rsidRPr="00D30847" w:rsidRDefault="00293164"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240,00</w:t>
            </w:r>
            <w:r w:rsidR="006A78BE" w:rsidRPr="00D30847">
              <w:rPr>
                <w:rFonts w:eastAsia="Times New Roman"/>
                <w:color w:val="000000"/>
                <w:sz w:val="18"/>
                <w:szCs w:val="18"/>
                <w:lang w:val="en-GB" w:eastAsia="mk-MK"/>
              </w:rPr>
              <w:t>0</w:t>
            </w:r>
          </w:p>
        </w:tc>
        <w:tc>
          <w:tcPr>
            <w:tcW w:w="1357" w:type="dxa"/>
            <w:tcBorders>
              <w:top w:val="nil"/>
              <w:left w:val="nil"/>
              <w:bottom w:val="single" w:sz="4" w:space="0" w:color="auto"/>
              <w:right w:val="single" w:sz="4" w:space="0" w:color="auto"/>
            </w:tcBorders>
            <w:shd w:val="clear" w:color="000000" w:fill="FFFF00"/>
            <w:noWrap/>
            <w:hideMark/>
          </w:tcPr>
          <w:p w14:paraId="56A851E9"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125B4904" w14:textId="15FA435C" w:rsidR="006A78BE" w:rsidRPr="00D30847" w:rsidRDefault="00293164"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240,00</w:t>
            </w:r>
            <w:r w:rsidR="006A78BE" w:rsidRPr="00D30847">
              <w:rPr>
                <w:rFonts w:eastAsia="Times New Roman"/>
                <w:color w:val="000000"/>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hideMark/>
          </w:tcPr>
          <w:p w14:paraId="530CCB1C"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1EF3EB81"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00FF00"/>
            <w:noWrap/>
            <w:hideMark/>
          </w:tcPr>
          <w:p w14:paraId="156C72B2" w14:textId="011911D3" w:rsidR="006A78BE" w:rsidRPr="00D30847" w:rsidRDefault="006A78BE" w:rsidP="006A78BE">
            <w:pPr>
              <w:spacing w:after="0" w:line="240" w:lineRule="auto"/>
              <w:jc w:val="center"/>
              <w:rPr>
                <w:rFonts w:eastAsia="Times New Roman"/>
                <w:b/>
                <w:bCs/>
                <w:sz w:val="20"/>
                <w:szCs w:val="20"/>
                <w:lang w:val="en-GB" w:eastAsia="mk-MK"/>
              </w:rPr>
            </w:pPr>
            <w:r w:rsidRPr="00D30847">
              <w:rPr>
                <w:rFonts w:eastAsia="Times New Roman"/>
                <w:b/>
                <w:bCs/>
                <w:sz w:val="20"/>
                <w:szCs w:val="20"/>
                <w:lang w:val="en-GB" w:eastAsia="mk-MK"/>
              </w:rPr>
              <w:t>Priority 2.</w:t>
            </w:r>
          </w:p>
        </w:tc>
        <w:tc>
          <w:tcPr>
            <w:tcW w:w="2680" w:type="dxa"/>
            <w:tcBorders>
              <w:top w:val="nil"/>
              <w:left w:val="nil"/>
              <w:bottom w:val="single" w:sz="4" w:space="0" w:color="auto"/>
              <w:right w:val="single" w:sz="4" w:space="0" w:color="auto"/>
            </w:tcBorders>
            <w:shd w:val="clear" w:color="000000" w:fill="00FF00"/>
            <w:hideMark/>
          </w:tcPr>
          <w:p w14:paraId="7C78C2CB" w14:textId="7A5B5B9D" w:rsidR="006A78BE" w:rsidRPr="00D30847" w:rsidRDefault="00DB2C0A" w:rsidP="006A78BE">
            <w:pPr>
              <w:spacing w:after="0" w:line="240" w:lineRule="auto"/>
              <w:jc w:val="both"/>
              <w:rPr>
                <w:rFonts w:eastAsia="Times New Roman"/>
                <w:b/>
                <w:bCs/>
                <w:sz w:val="18"/>
                <w:szCs w:val="18"/>
                <w:lang w:val="en-GB" w:eastAsia="mk-MK"/>
              </w:rPr>
            </w:pPr>
            <w:r w:rsidRPr="00D30847">
              <w:rPr>
                <w:rFonts w:eastAsia="Times New Roman"/>
                <w:b/>
                <w:bCs/>
                <w:sz w:val="18"/>
                <w:szCs w:val="18"/>
                <w:lang w:val="en-GB" w:eastAsia="mk-MK"/>
              </w:rPr>
              <w:t>Strengthened Public I</w:t>
            </w:r>
            <w:r w:rsidR="006A78BE" w:rsidRPr="00D30847">
              <w:rPr>
                <w:rFonts w:eastAsia="Times New Roman"/>
                <w:b/>
                <w:bCs/>
                <w:sz w:val="18"/>
                <w:szCs w:val="18"/>
                <w:lang w:val="en-GB" w:eastAsia="mk-MK"/>
              </w:rPr>
              <w:t>nvestm</w:t>
            </w:r>
            <w:r w:rsidRPr="00D30847">
              <w:rPr>
                <w:rFonts w:eastAsia="Times New Roman"/>
                <w:b/>
                <w:bCs/>
                <w:sz w:val="18"/>
                <w:szCs w:val="18"/>
                <w:lang w:val="en-GB" w:eastAsia="mk-MK"/>
              </w:rPr>
              <w:t>ent M</w:t>
            </w:r>
            <w:r w:rsidR="006A78BE" w:rsidRPr="00D30847">
              <w:rPr>
                <w:rFonts w:eastAsia="Times New Roman"/>
                <w:b/>
                <w:bCs/>
                <w:sz w:val="18"/>
                <w:szCs w:val="18"/>
                <w:lang w:val="en-GB" w:eastAsia="mk-MK"/>
              </w:rPr>
              <w:t>anagement</w:t>
            </w:r>
          </w:p>
        </w:tc>
        <w:tc>
          <w:tcPr>
            <w:tcW w:w="1403" w:type="dxa"/>
            <w:tcBorders>
              <w:top w:val="nil"/>
              <w:left w:val="nil"/>
              <w:bottom w:val="single" w:sz="4" w:space="0" w:color="auto"/>
              <w:right w:val="single" w:sz="4" w:space="0" w:color="auto"/>
            </w:tcBorders>
            <w:shd w:val="clear" w:color="000000" w:fill="00FF00"/>
            <w:noWrap/>
            <w:hideMark/>
          </w:tcPr>
          <w:p w14:paraId="3FD5E56D" w14:textId="5FAFAB7C" w:rsidR="006A78BE" w:rsidRPr="00D30847" w:rsidRDefault="00813709"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5</w:t>
            </w:r>
            <w:r w:rsidR="00994DDC" w:rsidRPr="00D30847">
              <w:rPr>
                <w:rFonts w:eastAsia="Times New Roman"/>
                <w:b/>
                <w:bCs/>
                <w:sz w:val="18"/>
                <w:szCs w:val="18"/>
                <w:lang w:val="en-GB" w:eastAsia="mk-MK"/>
              </w:rPr>
              <w:t>50</w:t>
            </w:r>
            <w:r w:rsidR="006A78BE" w:rsidRPr="00D30847">
              <w:rPr>
                <w:rFonts w:eastAsia="Times New Roman"/>
                <w:b/>
                <w:bCs/>
                <w:sz w:val="18"/>
                <w:szCs w:val="18"/>
                <w:lang w:val="en-GB" w:eastAsia="mk-MK"/>
              </w:rPr>
              <w:t>,000</w:t>
            </w:r>
          </w:p>
        </w:tc>
        <w:tc>
          <w:tcPr>
            <w:tcW w:w="1357" w:type="dxa"/>
            <w:tcBorders>
              <w:top w:val="nil"/>
              <w:left w:val="nil"/>
              <w:bottom w:val="single" w:sz="4" w:space="0" w:color="auto"/>
              <w:right w:val="single" w:sz="4" w:space="0" w:color="auto"/>
            </w:tcBorders>
            <w:shd w:val="clear" w:color="000000" w:fill="00FF00"/>
            <w:noWrap/>
            <w:hideMark/>
          </w:tcPr>
          <w:p w14:paraId="0BCF4DDC" w14:textId="0767ABA6" w:rsidR="006A78BE" w:rsidRPr="00D30847" w:rsidRDefault="00813709"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3</w:t>
            </w:r>
            <w:r w:rsidR="00994DDC" w:rsidRPr="00D30847">
              <w:rPr>
                <w:rFonts w:eastAsia="Times New Roman"/>
                <w:b/>
                <w:bCs/>
                <w:sz w:val="18"/>
                <w:szCs w:val="18"/>
                <w:lang w:val="en-GB" w:eastAsia="mk-MK"/>
              </w:rPr>
              <w:t>55</w:t>
            </w:r>
            <w:r w:rsidR="006A78BE" w:rsidRPr="00D30847">
              <w:rPr>
                <w:rFonts w:eastAsia="Times New Roman"/>
                <w:b/>
                <w:bCs/>
                <w:sz w:val="18"/>
                <w:szCs w:val="18"/>
                <w:lang w:val="en-GB" w:eastAsia="mk-MK"/>
              </w:rPr>
              <w:t>,</w:t>
            </w:r>
            <w:r w:rsidR="00994DDC" w:rsidRPr="00D30847">
              <w:rPr>
                <w:rFonts w:eastAsia="Times New Roman"/>
                <w:b/>
                <w:bCs/>
                <w:sz w:val="18"/>
                <w:szCs w:val="18"/>
                <w:lang w:val="en-GB" w:eastAsia="mk-MK"/>
              </w:rPr>
              <w:t>000</w:t>
            </w:r>
          </w:p>
        </w:tc>
        <w:tc>
          <w:tcPr>
            <w:tcW w:w="1261" w:type="dxa"/>
            <w:tcBorders>
              <w:top w:val="nil"/>
              <w:left w:val="nil"/>
              <w:bottom w:val="single" w:sz="4" w:space="0" w:color="auto"/>
              <w:right w:val="single" w:sz="4" w:space="0" w:color="auto"/>
            </w:tcBorders>
            <w:shd w:val="clear" w:color="000000" w:fill="00FF00"/>
            <w:noWrap/>
            <w:hideMark/>
          </w:tcPr>
          <w:p w14:paraId="2AEA9A6F" w14:textId="2F30B63A" w:rsidR="006A78BE" w:rsidRPr="00D30847" w:rsidRDefault="00813709"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1</w:t>
            </w:r>
            <w:r w:rsidR="006A78BE" w:rsidRPr="00D30847">
              <w:rPr>
                <w:rFonts w:eastAsia="Times New Roman"/>
                <w:b/>
                <w:bCs/>
                <w:sz w:val="18"/>
                <w:szCs w:val="18"/>
                <w:lang w:val="en-GB" w:eastAsia="mk-MK"/>
              </w:rPr>
              <w:t>95,000</w:t>
            </w:r>
          </w:p>
        </w:tc>
        <w:tc>
          <w:tcPr>
            <w:tcW w:w="1196" w:type="dxa"/>
            <w:tcBorders>
              <w:top w:val="nil"/>
              <w:left w:val="nil"/>
              <w:bottom w:val="single" w:sz="4" w:space="0" w:color="auto"/>
              <w:right w:val="single" w:sz="8" w:space="0" w:color="auto"/>
            </w:tcBorders>
            <w:shd w:val="clear" w:color="000000" w:fill="00FF00"/>
            <w:noWrap/>
            <w:hideMark/>
          </w:tcPr>
          <w:p w14:paraId="05335FEE"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r>
      <w:tr w:rsidR="00BF1348" w:rsidRPr="00D30847" w14:paraId="5790A958" w14:textId="77777777" w:rsidTr="00E32BC1">
        <w:trPr>
          <w:trHeight w:val="48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0E9E76A1"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1.</w:t>
            </w:r>
          </w:p>
        </w:tc>
        <w:tc>
          <w:tcPr>
            <w:tcW w:w="2680" w:type="dxa"/>
            <w:tcBorders>
              <w:top w:val="nil"/>
              <w:left w:val="nil"/>
              <w:bottom w:val="single" w:sz="4" w:space="0" w:color="auto"/>
              <w:right w:val="single" w:sz="4" w:space="0" w:color="auto"/>
            </w:tcBorders>
            <w:shd w:val="clear" w:color="000000" w:fill="FFFF00"/>
            <w:hideMark/>
          </w:tcPr>
          <w:p w14:paraId="7039ABE4" w14:textId="77777777"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Efficient coordination and development of public investment management processes</w:t>
            </w:r>
          </w:p>
        </w:tc>
        <w:tc>
          <w:tcPr>
            <w:tcW w:w="1403" w:type="dxa"/>
            <w:tcBorders>
              <w:top w:val="nil"/>
              <w:left w:val="nil"/>
              <w:bottom w:val="single" w:sz="4" w:space="0" w:color="auto"/>
              <w:right w:val="single" w:sz="4" w:space="0" w:color="auto"/>
            </w:tcBorders>
            <w:shd w:val="clear" w:color="000000" w:fill="FFFF00"/>
            <w:noWrap/>
            <w:hideMark/>
          </w:tcPr>
          <w:p w14:paraId="6F844CE0" w14:textId="205B62E9" w:rsidR="006A78BE" w:rsidRPr="00D30847" w:rsidRDefault="00047C1F"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365,000</w:t>
            </w:r>
          </w:p>
        </w:tc>
        <w:tc>
          <w:tcPr>
            <w:tcW w:w="1357" w:type="dxa"/>
            <w:tcBorders>
              <w:top w:val="nil"/>
              <w:left w:val="nil"/>
              <w:bottom w:val="single" w:sz="4" w:space="0" w:color="auto"/>
              <w:right w:val="single" w:sz="4" w:space="0" w:color="auto"/>
            </w:tcBorders>
            <w:shd w:val="clear" w:color="000000" w:fill="FFFF00"/>
            <w:noWrap/>
            <w:hideMark/>
          </w:tcPr>
          <w:p w14:paraId="418621BD" w14:textId="32DE8997" w:rsidR="006A78BE" w:rsidRPr="00D30847" w:rsidRDefault="00047C1F"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330,000</w:t>
            </w:r>
          </w:p>
        </w:tc>
        <w:tc>
          <w:tcPr>
            <w:tcW w:w="1261" w:type="dxa"/>
            <w:tcBorders>
              <w:top w:val="nil"/>
              <w:left w:val="nil"/>
              <w:bottom w:val="single" w:sz="4" w:space="0" w:color="auto"/>
              <w:right w:val="single" w:sz="4" w:space="0" w:color="auto"/>
            </w:tcBorders>
            <w:shd w:val="clear" w:color="000000" w:fill="FFFF00"/>
            <w:noWrap/>
            <w:hideMark/>
          </w:tcPr>
          <w:p w14:paraId="51C92CF2" w14:textId="1E512CF7" w:rsidR="006A78BE" w:rsidRPr="00D30847" w:rsidRDefault="00813709"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35</w:t>
            </w:r>
            <w:r w:rsidR="006A78BE" w:rsidRPr="00D30847">
              <w:rPr>
                <w:rFonts w:eastAsia="Times New Roman"/>
                <w:color w:val="000000"/>
                <w:sz w:val="18"/>
                <w:szCs w:val="18"/>
                <w:lang w:val="en-GB" w:eastAsia="mk-MK"/>
              </w:rPr>
              <w:t>,000</w:t>
            </w:r>
          </w:p>
        </w:tc>
        <w:tc>
          <w:tcPr>
            <w:tcW w:w="1196" w:type="dxa"/>
            <w:tcBorders>
              <w:top w:val="nil"/>
              <w:left w:val="nil"/>
              <w:bottom w:val="single" w:sz="4" w:space="0" w:color="auto"/>
              <w:right w:val="single" w:sz="8" w:space="0" w:color="auto"/>
            </w:tcBorders>
            <w:shd w:val="clear" w:color="000000" w:fill="FFFF00"/>
            <w:noWrap/>
            <w:hideMark/>
          </w:tcPr>
          <w:p w14:paraId="2DCE1F39"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67FA560B" w14:textId="77777777" w:rsidTr="00E32BC1">
        <w:trPr>
          <w:trHeight w:val="48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63BD746D"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2.</w:t>
            </w:r>
          </w:p>
        </w:tc>
        <w:tc>
          <w:tcPr>
            <w:tcW w:w="2680" w:type="dxa"/>
            <w:tcBorders>
              <w:top w:val="nil"/>
              <w:left w:val="nil"/>
              <w:bottom w:val="single" w:sz="4" w:space="0" w:color="auto"/>
              <w:right w:val="single" w:sz="4" w:space="0" w:color="auto"/>
            </w:tcBorders>
            <w:shd w:val="clear" w:color="000000" w:fill="FFFF00"/>
            <w:hideMark/>
          </w:tcPr>
          <w:p w14:paraId="7628632B" w14:textId="77777777"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Established single pipeline of appraised capital public investment projects</w:t>
            </w:r>
          </w:p>
        </w:tc>
        <w:tc>
          <w:tcPr>
            <w:tcW w:w="1403" w:type="dxa"/>
            <w:tcBorders>
              <w:top w:val="nil"/>
              <w:left w:val="nil"/>
              <w:bottom w:val="single" w:sz="4" w:space="0" w:color="auto"/>
              <w:right w:val="single" w:sz="4" w:space="0" w:color="auto"/>
            </w:tcBorders>
            <w:shd w:val="clear" w:color="000000" w:fill="FFFF00"/>
            <w:noWrap/>
            <w:hideMark/>
          </w:tcPr>
          <w:p w14:paraId="06716634" w14:textId="2B36C1AB"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1</w:t>
            </w:r>
            <w:r w:rsidR="00813709" w:rsidRPr="00D30847">
              <w:rPr>
                <w:rFonts w:eastAsia="Times New Roman"/>
                <w:color w:val="000000"/>
                <w:sz w:val="18"/>
                <w:szCs w:val="18"/>
                <w:lang w:val="en-GB" w:eastAsia="mk-MK"/>
              </w:rPr>
              <w:t>00</w:t>
            </w:r>
            <w:r w:rsidRPr="00D30847">
              <w:rPr>
                <w:rFonts w:eastAsia="Times New Roman"/>
                <w:color w:val="000000"/>
                <w:sz w:val="18"/>
                <w:szCs w:val="18"/>
                <w:lang w:val="en-GB" w:eastAsia="mk-MK"/>
              </w:rPr>
              <w:t>,000</w:t>
            </w:r>
          </w:p>
        </w:tc>
        <w:tc>
          <w:tcPr>
            <w:tcW w:w="1357" w:type="dxa"/>
            <w:tcBorders>
              <w:top w:val="nil"/>
              <w:left w:val="nil"/>
              <w:bottom w:val="single" w:sz="4" w:space="0" w:color="auto"/>
              <w:right w:val="single" w:sz="4" w:space="0" w:color="auto"/>
            </w:tcBorders>
            <w:shd w:val="clear" w:color="000000" w:fill="FFFF00"/>
            <w:noWrap/>
            <w:hideMark/>
          </w:tcPr>
          <w:p w14:paraId="476A9CDA" w14:textId="6EB090F7" w:rsidR="006A78BE" w:rsidRPr="00D30847" w:rsidRDefault="00813709"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25</w:t>
            </w:r>
            <w:r w:rsidR="006A78BE" w:rsidRPr="00D30847">
              <w:rPr>
                <w:rFonts w:eastAsia="Times New Roman"/>
                <w:color w:val="000000"/>
                <w:sz w:val="18"/>
                <w:szCs w:val="18"/>
                <w:lang w:val="en-GB" w:eastAsia="mk-MK"/>
              </w:rPr>
              <w:t>,000</w:t>
            </w:r>
          </w:p>
        </w:tc>
        <w:tc>
          <w:tcPr>
            <w:tcW w:w="1261" w:type="dxa"/>
            <w:tcBorders>
              <w:top w:val="nil"/>
              <w:left w:val="nil"/>
              <w:bottom w:val="single" w:sz="4" w:space="0" w:color="auto"/>
              <w:right w:val="single" w:sz="4" w:space="0" w:color="auto"/>
            </w:tcBorders>
            <w:shd w:val="clear" w:color="000000" w:fill="FFFF00"/>
            <w:noWrap/>
            <w:hideMark/>
          </w:tcPr>
          <w:p w14:paraId="6010275E" w14:textId="06B63764" w:rsidR="006A78BE" w:rsidRPr="00D30847" w:rsidRDefault="00813709"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75</w:t>
            </w:r>
            <w:r w:rsidR="006A78BE" w:rsidRPr="00D30847">
              <w:rPr>
                <w:rFonts w:eastAsia="Times New Roman"/>
                <w:color w:val="000000"/>
                <w:sz w:val="18"/>
                <w:szCs w:val="18"/>
                <w:lang w:val="en-GB" w:eastAsia="mk-MK"/>
              </w:rPr>
              <w:t>,000</w:t>
            </w:r>
          </w:p>
        </w:tc>
        <w:tc>
          <w:tcPr>
            <w:tcW w:w="1196" w:type="dxa"/>
            <w:tcBorders>
              <w:top w:val="nil"/>
              <w:left w:val="nil"/>
              <w:bottom w:val="single" w:sz="4" w:space="0" w:color="auto"/>
              <w:right w:val="single" w:sz="8" w:space="0" w:color="auto"/>
            </w:tcBorders>
            <w:shd w:val="clear" w:color="000000" w:fill="FFFF00"/>
            <w:noWrap/>
            <w:hideMark/>
          </w:tcPr>
          <w:p w14:paraId="66C3289F"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048494BF" w14:textId="77777777" w:rsidTr="00DC69CA">
        <w:trPr>
          <w:trHeight w:val="569"/>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09C3CE9F"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3.</w:t>
            </w:r>
          </w:p>
        </w:tc>
        <w:tc>
          <w:tcPr>
            <w:tcW w:w="2680" w:type="dxa"/>
            <w:tcBorders>
              <w:top w:val="nil"/>
              <w:left w:val="nil"/>
              <w:bottom w:val="single" w:sz="4" w:space="0" w:color="auto"/>
              <w:right w:val="single" w:sz="4" w:space="0" w:color="auto"/>
            </w:tcBorders>
            <w:shd w:val="clear" w:color="000000" w:fill="FFFF00"/>
            <w:hideMark/>
          </w:tcPr>
          <w:p w14:paraId="37DA6F72" w14:textId="77777777"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Efficient and effective monitoring of capital investments</w:t>
            </w:r>
          </w:p>
        </w:tc>
        <w:tc>
          <w:tcPr>
            <w:tcW w:w="1403" w:type="dxa"/>
            <w:tcBorders>
              <w:top w:val="nil"/>
              <w:left w:val="nil"/>
              <w:bottom w:val="single" w:sz="4" w:space="0" w:color="auto"/>
              <w:right w:val="single" w:sz="4" w:space="0" w:color="auto"/>
            </w:tcBorders>
            <w:shd w:val="clear" w:color="000000" w:fill="FFFF00"/>
            <w:noWrap/>
            <w:hideMark/>
          </w:tcPr>
          <w:p w14:paraId="51F23F68" w14:textId="17779AEC" w:rsidR="006A78BE" w:rsidRPr="00D30847" w:rsidRDefault="00813709"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8</w:t>
            </w:r>
            <w:r w:rsidR="006A78BE" w:rsidRPr="00D30847">
              <w:rPr>
                <w:rFonts w:eastAsia="Times New Roman"/>
                <w:color w:val="000000"/>
                <w:sz w:val="18"/>
                <w:szCs w:val="18"/>
                <w:lang w:val="en-GB" w:eastAsia="mk-MK"/>
              </w:rPr>
              <w:t>5,000</w:t>
            </w:r>
          </w:p>
        </w:tc>
        <w:tc>
          <w:tcPr>
            <w:tcW w:w="1357" w:type="dxa"/>
            <w:tcBorders>
              <w:top w:val="nil"/>
              <w:left w:val="nil"/>
              <w:bottom w:val="single" w:sz="4" w:space="0" w:color="auto"/>
              <w:right w:val="single" w:sz="4" w:space="0" w:color="auto"/>
            </w:tcBorders>
            <w:shd w:val="clear" w:color="000000" w:fill="FFFF00"/>
            <w:noWrap/>
            <w:hideMark/>
          </w:tcPr>
          <w:p w14:paraId="55774E33"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5CFFD710" w14:textId="627F0DEC" w:rsidR="006A78BE" w:rsidRPr="00D30847" w:rsidRDefault="00813709"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85</w:t>
            </w:r>
            <w:r w:rsidR="006A78BE" w:rsidRPr="00D30847">
              <w:rPr>
                <w:rFonts w:eastAsia="Times New Roman"/>
                <w:color w:val="000000"/>
                <w:sz w:val="18"/>
                <w:szCs w:val="18"/>
                <w:lang w:val="en-GB" w:eastAsia="mk-MK"/>
              </w:rPr>
              <w:t>,000</w:t>
            </w:r>
          </w:p>
        </w:tc>
        <w:tc>
          <w:tcPr>
            <w:tcW w:w="1196" w:type="dxa"/>
            <w:tcBorders>
              <w:top w:val="nil"/>
              <w:left w:val="nil"/>
              <w:bottom w:val="single" w:sz="4" w:space="0" w:color="auto"/>
              <w:right w:val="single" w:sz="8" w:space="0" w:color="auto"/>
            </w:tcBorders>
            <w:shd w:val="clear" w:color="000000" w:fill="FFFF00"/>
            <w:noWrap/>
            <w:hideMark/>
          </w:tcPr>
          <w:p w14:paraId="5DEA672A"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6680BF42"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00FF00"/>
            <w:noWrap/>
            <w:hideMark/>
          </w:tcPr>
          <w:p w14:paraId="6D4B18BC" w14:textId="39CD777C" w:rsidR="006A78BE" w:rsidRPr="00D30847" w:rsidRDefault="006A78BE" w:rsidP="006A78BE">
            <w:pPr>
              <w:spacing w:after="0" w:line="240" w:lineRule="auto"/>
              <w:jc w:val="center"/>
              <w:rPr>
                <w:rFonts w:eastAsia="Times New Roman"/>
                <w:b/>
                <w:bCs/>
                <w:sz w:val="20"/>
                <w:szCs w:val="20"/>
                <w:lang w:val="en-GB" w:eastAsia="mk-MK"/>
              </w:rPr>
            </w:pPr>
            <w:r w:rsidRPr="00D30847">
              <w:rPr>
                <w:rFonts w:eastAsia="Times New Roman"/>
                <w:b/>
                <w:bCs/>
                <w:sz w:val="20"/>
                <w:szCs w:val="20"/>
                <w:lang w:val="en-GB" w:eastAsia="mk-MK"/>
              </w:rPr>
              <w:t>Priority 3.</w:t>
            </w:r>
          </w:p>
        </w:tc>
        <w:tc>
          <w:tcPr>
            <w:tcW w:w="2680" w:type="dxa"/>
            <w:tcBorders>
              <w:top w:val="nil"/>
              <w:left w:val="nil"/>
              <w:bottom w:val="single" w:sz="4" w:space="0" w:color="auto"/>
              <w:right w:val="single" w:sz="4" w:space="0" w:color="auto"/>
            </w:tcBorders>
            <w:shd w:val="clear" w:color="000000" w:fill="00FF00"/>
            <w:hideMark/>
          </w:tcPr>
          <w:p w14:paraId="7500CAB9" w14:textId="77777777" w:rsidR="006A78BE" w:rsidRPr="00D30847" w:rsidRDefault="006A78BE" w:rsidP="006A78BE">
            <w:pPr>
              <w:spacing w:after="0" w:line="240" w:lineRule="auto"/>
              <w:jc w:val="both"/>
              <w:rPr>
                <w:rFonts w:eastAsia="Times New Roman"/>
                <w:b/>
                <w:bCs/>
                <w:sz w:val="18"/>
                <w:szCs w:val="18"/>
                <w:lang w:val="en-GB" w:eastAsia="mk-MK"/>
              </w:rPr>
            </w:pPr>
            <w:r w:rsidRPr="00D30847">
              <w:rPr>
                <w:rFonts w:eastAsia="Times New Roman"/>
                <w:b/>
                <w:bCs/>
                <w:sz w:val="18"/>
                <w:szCs w:val="18"/>
                <w:lang w:val="en-GB" w:eastAsia="mk-MK"/>
              </w:rPr>
              <w:t>Strengthen the accounting of budgets and budget users</w:t>
            </w:r>
          </w:p>
        </w:tc>
        <w:tc>
          <w:tcPr>
            <w:tcW w:w="1403" w:type="dxa"/>
            <w:tcBorders>
              <w:top w:val="nil"/>
              <w:left w:val="nil"/>
              <w:bottom w:val="single" w:sz="4" w:space="0" w:color="auto"/>
              <w:right w:val="single" w:sz="4" w:space="0" w:color="auto"/>
            </w:tcBorders>
            <w:shd w:val="clear" w:color="000000" w:fill="00FF00"/>
            <w:noWrap/>
            <w:hideMark/>
          </w:tcPr>
          <w:p w14:paraId="3A6E00BC" w14:textId="3F460DCC" w:rsidR="006A78BE" w:rsidRPr="00D30847" w:rsidRDefault="00293164"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357" w:type="dxa"/>
            <w:tcBorders>
              <w:top w:val="nil"/>
              <w:left w:val="nil"/>
              <w:bottom w:val="single" w:sz="4" w:space="0" w:color="auto"/>
              <w:right w:val="single" w:sz="4" w:space="0" w:color="auto"/>
            </w:tcBorders>
            <w:shd w:val="clear" w:color="000000" w:fill="00FF00"/>
            <w:noWrap/>
            <w:hideMark/>
          </w:tcPr>
          <w:p w14:paraId="291F0AEF"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261" w:type="dxa"/>
            <w:tcBorders>
              <w:top w:val="nil"/>
              <w:left w:val="nil"/>
              <w:bottom w:val="single" w:sz="4" w:space="0" w:color="auto"/>
              <w:right w:val="single" w:sz="4" w:space="0" w:color="auto"/>
            </w:tcBorders>
            <w:shd w:val="clear" w:color="000000" w:fill="00FF00"/>
            <w:noWrap/>
            <w:hideMark/>
          </w:tcPr>
          <w:p w14:paraId="26F3361D" w14:textId="43F4A478" w:rsidR="006A78BE" w:rsidRPr="00D30847" w:rsidRDefault="00DC69CA"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196" w:type="dxa"/>
            <w:tcBorders>
              <w:top w:val="nil"/>
              <w:left w:val="nil"/>
              <w:bottom w:val="single" w:sz="4" w:space="0" w:color="auto"/>
              <w:right w:val="single" w:sz="8" w:space="0" w:color="auto"/>
            </w:tcBorders>
            <w:shd w:val="clear" w:color="000000" w:fill="00FF00"/>
            <w:noWrap/>
            <w:hideMark/>
          </w:tcPr>
          <w:p w14:paraId="5B6FAE5B"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r>
      <w:tr w:rsidR="00BF1348" w:rsidRPr="00D30847" w14:paraId="310FF753" w14:textId="77777777" w:rsidTr="00E32BC1">
        <w:trPr>
          <w:trHeight w:val="48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74363DE3"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1.</w:t>
            </w:r>
          </w:p>
        </w:tc>
        <w:tc>
          <w:tcPr>
            <w:tcW w:w="2680" w:type="dxa"/>
            <w:tcBorders>
              <w:top w:val="nil"/>
              <w:left w:val="nil"/>
              <w:bottom w:val="single" w:sz="4" w:space="0" w:color="auto"/>
              <w:right w:val="single" w:sz="4" w:space="0" w:color="auto"/>
            </w:tcBorders>
            <w:shd w:val="clear" w:color="000000" w:fill="FFFF00"/>
            <w:hideMark/>
          </w:tcPr>
          <w:p w14:paraId="5FF1116B" w14:textId="32BDAECB" w:rsidR="006A78BE" w:rsidRPr="00D30847" w:rsidRDefault="00DB2C0A"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Harmonization of the legal framework for accounting of budgets and budget users with the new  Budgets Law</w:t>
            </w:r>
          </w:p>
        </w:tc>
        <w:tc>
          <w:tcPr>
            <w:tcW w:w="1403" w:type="dxa"/>
            <w:tcBorders>
              <w:top w:val="nil"/>
              <w:left w:val="nil"/>
              <w:bottom w:val="single" w:sz="4" w:space="0" w:color="auto"/>
              <w:right w:val="single" w:sz="4" w:space="0" w:color="auto"/>
            </w:tcBorders>
            <w:shd w:val="clear" w:color="000000" w:fill="FFFF00"/>
            <w:noWrap/>
            <w:hideMark/>
          </w:tcPr>
          <w:p w14:paraId="3E361BB3" w14:textId="5CB5D574" w:rsidR="006A78BE" w:rsidRPr="00D30847" w:rsidRDefault="00DC69CA"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357" w:type="dxa"/>
            <w:tcBorders>
              <w:top w:val="nil"/>
              <w:left w:val="nil"/>
              <w:bottom w:val="single" w:sz="4" w:space="0" w:color="auto"/>
              <w:right w:val="single" w:sz="4" w:space="0" w:color="auto"/>
            </w:tcBorders>
            <w:shd w:val="clear" w:color="000000" w:fill="FFFF00"/>
            <w:noWrap/>
            <w:hideMark/>
          </w:tcPr>
          <w:p w14:paraId="3CD17619" w14:textId="08EB3B46" w:rsidR="006A78BE" w:rsidRPr="00D30847" w:rsidRDefault="00DC69CA"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4AAC6F47" w14:textId="1C175944" w:rsidR="006A78BE" w:rsidRPr="00D30847" w:rsidRDefault="00DC69CA"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hideMark/>
          </w:tcPr>
          <w:p w14:paraId="5435DA99"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C167BB" w:rsidRPr="00D30847" w14:paraId="1B1F6E00" w14:textId="77777777" w:rsidTr="00E32BC1">
        <w:trPr>
          <w:trHeight w:val="480"/>
        </w:trPr>
        <w:tc>
          <w:tcPr>
            <w:tcW w:w="1107" w:type="dxa"/>
            <w:tcBorders>
              <w:top w:val="single" w:sz="4" w:space="0" w:color="auto"/>
              <w:left w:val="single" w:sz="8" w:space="0" w:color="auto"/>
              <w:bottom w:val="single" w:sz="4" w:space="0" w:color="auto"/>
              <w:right w:val="single" w:sz="4" w:space="0" w:color="auto"/>
            </w:tcBorders>
            <w:shd w:val="clear" w:color="000000" w:fill="FFFF00"/>
            <w:noWrap/>
          </w:tcPr>
          <w:p w14:paraId="0B34E03B" w14:textId="5FE3338A" w:rsidR="00C167BB" w:rsidRPr="00D30847" w:rsidRDefault="00C167BB"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2.</w:t>
            </w:r>
          </w:p>
        </w:tc>
        <w:tc>
          <w:tcPr>
            <w:tcW w:w="2680" w:type="dxa"/>
            <w:tcBorders>
              <w:top w:val="nil"/>
              <w:left w:val="nil"/>
              <w:bottom w:val="single" w:sz="4" w:space="0" w:color="auto"/>
              <w:right w:val="single" w:sz="4" w:space="0" w:color="auto"/>
            </w:tcBorders>
            <w:shd w:val="clear" w:color="000000" w:fill="FFFF00"/>
          </w:tcPr>
          <w:p w14:paraId="068AE046" w14:textId="743EDF4A" w:rsidR="00C167BB" w:rsidRPr="00D30847" w:rsidRDefault="00DB2C0A"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Strengthening the accounting system of budgets and budget users by building of capacities of accountants employed in the public sector</w:t>
            </w:r>
          </w:p>
        </w:tc>
        <w:tc>
          <w:tcPr>
            <w:tcW w:w="1403" w:type="dxa"/>
            <w:tcBorders>
              <w:top w:val="nil"/>
              <w:left w:val="nil"/>
              <w:bottom w:val="single" w:sz="4" w:space="0" w:color="auto"/>
              <w:right w:val="single" w:sz="4" w:space="0" w:color="auto"/>
            </w:tcBorders>
            <w:shd w:val="clear" w:color="000000" w:fill="FFFF00"/>
            <w:noWrap/>
          </w:tcPr>
          <w:p w14:paraId="18CA90AF" w14:textId="70BC8DBC" w:rsidR="00C167BB" w:rsidRPr="00D30847" w:rsidRDefault="00DC69CA"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357" w:type="dxa"/>
            <w:tcBorders>
              <w:top w:val="nil"/>
              <w:left w:val="nil"/>
              <w:bottom w:val="single" w:sz="4" w:space="0" w:color="auto"/>
              <w:right w:val="single" w:sz="4" w:space="0" w:color="auto"/>
            </w:tcBorders>
            <w:shd w:val="clear" w:color="000000" w:fill="FFFF00"/>
            <w:noWrap/>
          </w:tcPr>
          <w:p w14:paraId="2E1D4658" w14:textId="6731354C" w:rsidR="00C167BB" w:rsidRPr="00D30847" w:rsidRDefault="00DC69CA"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tcPr>
          <w:p w14:paraId="34205D5C" w14:textId="6BA89630" w:rsidR="00C167BB" w:rsidRPr="00D30847" w:rsidRDefault="00DC69CA" w:rsidP="00DC69CA">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tcPr>
          <w:p w14:paraId="58AA5F86" w14:textId="0ED20079" w:rsidR="00C167BB" w:rsidRPr="00D30847" w:rsidRDefault="00293164"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1D2A62" w:rsidRPr="00D30847" w14:paraId="091B8CF9" w14:textId="77777777" w:rsidTr="00E32BC1">
        <w:trPr>
          <w:trHeight w:val="480"/>
        </w:trPr>
        <w:tc>
          <w:tcPr>
            <w:tcW w:w="1107" w:type="dxa"/>
            <w:tcBorders>
              <w:top w:val="single" w:sz="4" w:space="0" w:color="auto"/>
              <w:left w:val="single" w:sz="8" w:space="0" w:color="auto"/>
              <w:bottom w:val="single" w:sz="4" w:space="0" w:color="auto"/>
              <w:right w:val="single" w:sz="4" w:space="0" w:color="auto"/>
            </w:tcBorders>
            <w:shd w:val="clear" w:color="000000" w:fill="00FF00"/>
            <w:noWrap/>
          </w:tcPr>
          <w:p w14:paraId="30EC0372" w14:textId="558B79D2" w:rsidR="001D2A62" w:rsidRPr="00D30847" w:rsidRDefault="001D2A62" w:rsidP="001D2A62">
            <w:pPr>
              <w:spacing w:after="0" w:line="240" w:lineRule="auto"/>
              <w:jc w:val="center"/>
              <w:rPr>
                <w:rFonts w:eastAsia="Times New Roman"/>
                <w:bCs/>
                <w:sz w:val="18"/>
                <w:szCs w:val="18"/>
                <w:lang w:val="en-GB" w:eastAsia="mk-MK"/>
              </w:rPr>
            </w:pPr>
            <w:r w:rsidRPr="00D30847">
              <w:rPr>
                <w:rFonts w:eastAsia="Times New Roman"/>
                <w:b/>
                <w:bCs/>
                <w:sz w:val="20"/>
                <w:szCs w:val="20"/>
                <w:lang w:val="en-GB" w:eastAsia="mk-MK"/>
              </w:rPr>
              <w:lastRenderedPageBreak/>
              <w:t>Priority 4.</w:t>
            </w:r>
          </w:p>
        </w:tc>
        <w:tc>
          <w:tcPr>
            <w:tcW w:w="2680" w:type="dxa"/>
            <w:tcBorders>
              <w:top w:val="nil"/>
              <w:left w:val="nil"/>
              <w:bottom w:val="single" w:sz="4" w:space="0" w:color="auto"/>
              <w:right w:val="single" w:sz="4" w:space="0" w:color="auto"/>
            </w:tcBorders>
            <w:shd w:val="clear" w:color="000000" w:fill="00FF00"/>
          </w:tcPr>
          <w:p w14:paraId="694CFCCF" w14:textId="62CD59DC" w:rsidR="001D2A62" w:rsidRPr="00D30847" w:rsidRDefault="001D2A62" w:rsidP="001D2A62">
            <w:pPr>
              <w:spacing w:after="0" w:line="240" w:lineRule="auto"/>
              <w:jc w:val="both"/>
              <w:rPr>
                <w:rFonts w:eastAsia="Times New Roman"/>
                <w:bCs/>
                <w:sz w:val="18"/>
                <w:szCs w:val="18"/>
                <w:lang w:val="en-GB" w:eastAsia="mk-MK"/>
              </w:rPr>
            </w:pPr>
            <w:r w:rsidRPr="00D30847">
              <w:rPr>
                <w:rFonts w:eastAsia="Times New Roman"/>
                <w:b/>
                <w:bCs/>
                <w:sz w:val="18"/>
                <w:szCs w:val="18"/>
                <w:lang w:val="en-GB" w:eastAsia="mk-MK"/>
              </w:rPr>
              <w:t>Priority 4: Public finance management at local level</w:t>
            </w:r>
          </w:p>
        </w:tc>
        <w:tc>
          <w:tcPr>
            <w:tcW w:w="1403" w:type="dxa"/>
            <w:tcBorders>
              <w:top w:val="nil"/>
              <w:left w:val="nil"/>
              <w:bottom w:val="single" w:sz="4" w:space="0" w:color="auto"/>
              <w:right w:val="single" w:sz="4" w:space="0" w:color="auto"/>
            </w:tcBorders>
            <w:shd w:val="clear" w:color="000000" w:fill="00FF00"/>
            <w:noWrap/>
          </w:tcPr>
          <w:p w14:paraId="498B8D94" w14:textId="4594CE8D" w:rsidR="001D2A62" w:rsidRPr="00D30847" w:rsidRDefault="00800970" w:rsidP="001D2A62">
            <w:pPr>
              <w:spacing w:after="0" w:line="240" w:lineRule="auto"/>
              <w:jc w:val="center"/>
              <w:rPr>
                <w:rFonts w:eastAsia="Times New Roman"/>
                <w:color w:val="000000"/>
                <w:sz w:val="18"/>
                <w:szCs w:val="18"/>
                <w:lang w:val="en-GB" w:eastAsia="mk-MK"/>
              </w:rPr>
            </w:pPr>
            <w:r w:rsidRPr="00D30847">
              <w:rPr>
                <w:rFonts w:eastAsia="Times New Roman"/>
                <w:b/>
                <w:bCs/>
                <w:sz w:val="18"/>
                <w:szCs w:val="18"/>
                <w:lang w:val="en-GB" w:eastAsia="mk-MK"/>
              </w:rPr>
              <w:t>27</w:t>
            </w:r>
            <w:r w:rsidR="001D2A62" w:rsidRPr="00D30847">
              <w:rPr>
                <w:rFonts w:eastAsia="Times New Roman"/>
                <w:b/>
                <w:bCs/>
                <w:sz w:val="18"/>
                <w:szCs w:val="18"/>
                <w:lang w:val="en-GB" w:eastAsia="mk-MK"/>
              </w:rPr>
              <w:t>,000</w:t>
            </w:r>
          </w:p>
        </w:tc>
        <w:tc>
          <w:tcPr>
            <w:tcW w:w="1357" w:type="dxa"/>
            <w:tcBorders>
              <w:top w:val="nil"/>
              <w:left w:val="nil"/>
              <w:bottom w:val="single" w:sz="4" w:space="0" w:color="auto"/>
              <w:right w:val="single" w:sz="4" w:space="0" w:color="auto"/>
            </w:tcBorders>
            <w:shd w:val="clear" w:color="000000" w:fill="00FF00"/>
            <w:noWrap/>
          </w:tcPr>
          <w:p w14:paraId="09C354B0" w14:textId="793B3CA0" w:rsidR="001D2A62" w:rsidRPr="00D30847" w:rsidRDefault="00DD3484" w:rsidP="001D2A62">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2.000</w:t>
            </w:r>
          </w:p>
        </w:tc>
        <w:tc>
          <w:tcPr>
            <w:tcW w:w="1261" w:type="dxa"/>
            <w:tcBorders>
              <w:top w:val="nil"/>
              <w:left w:val="nil"/>
              <w:bottom w:val="single" w:sz="4" w:space="0" w:color="auto"/>
              <w:right w:val="single" w:sz="4" w:space="0" w:color="auto"/>
            </w:tcBorders>
            <w:shd w:val="clear" w:color="000000" w:fill="00FF00"/>
            <w:noWrap/>
          </w:tcPr>
          <w:p w14:paraId="2594A953" w14:textId="3978BC1E" w:rsidR="001D2A62" w:rsidRPr="00D30847" w:rsidRDefault="00DD3484" w:rsidP="001D2A62">
            <w:pPr>
              <w:spacing w:after="0" w:line="240" w:lineRule="auto"/>
              <w:jc w:val="center"/>
              <w:rPr>
                <w:rFonts w:eastAsia="Times New Roman"/>
                <w:color w:val="000000"/>
                <w:sz w:val="18"/>
                <w:szCs w:val="18"/>
                <w:lang w:val="en-GB" w:eastAsia="mk-MK"/>
              </w:rPr>
            </w:pPr>
            <w:r w:rsidRPr="00D30847">
              <w:rPr>
                <w:rFonts w:eastAsia="Times New Roman"/>
                <w:b/>
                <w:bCs/>
                <w:sz w:val="18"/>
                <w:szCs w:val="18"/>
                <w:lang w:val="en-GB" w:eastAsia="mk-MK"/>
              </w:rPr>
              <w:t>25</w:t>
            </w:r>
            <w:r w:rsidR="001D2A62" w:rsidRPr="00D30847">
              <w:rPr>
                <w:rFonts w:eastAsia="Times New Roman"/>
                <w:b/>
                <w:bCs/>
                <w:sz w:val="18"/>
                <w:szCs w:val="18"/>
                <w:lang w:val="en-GB" w:eastAsia="mk-MK"/>
              </w:rPr>
              <w:t>,000</w:t>
            </w:r>
          </w:p>
        </w:tc>
        <w:tc>
          <w:tcPr>
            <w:tcW w:w="1196" w:type="dxa"/>
            <w:tcBorders>
              <w:top w:val="nil"/>
              <w:left w:val="nil"/>
              <w:bottom w:val="single" w:sz="4" w:space="0" w:color="auto"/>
              <w:right w:val="single" w:sz="8" w:space="0" w:color="auto"/>
            </w:tcBorders>
            <w:shd w:val="clear" w:color="000000" w:fill="00FF00"/>
            <w:noWrap/>
          </w:tcPr>
          <w:p w14:paraId="53309045" w14:textId="673ED9C2" w:rsidR="001D2A62" w:rsidRPr="00D30847" w:rsidRDefault="001D2A62" w:rsidP="001D2A62">
            <w:pPr>
              <w:spacing w:after="0" w:line="240" w:lineRule="auto"/>
              <w:jc w:val="center"/>
              <w:rPr>
                <w:rFonts w:eastAsia="Times New Roman"/>
                <w:color w:val="000000"/>
                <w:sz w:val="18"/>
                <w:szCs w:val="18"/>
                <w:lang w:val="en-GB" w:eastAsia="mk-MK"/>
              </w:rPr>
            </w:pPr>
            <w:r w:rsidRPr="00D30847">
              <w:rPr>
                <w:rFonts w:eastAsia="Times New Roman"/>
                <w:b/>
                <w:bCs/>
                <w:sz w:val="18"/>
                <w:szCs w:val="18"/>
                <w:lang w:val="en-GB" w:eastAsia="mk-MK"/>
              </w:rPr>
              <w:t>0</w:t>
            </w:r>
          </w:p>
        </w:tc>
      </w:tr>
      <w:tr w:rsidR="001D2A62" w:rsidRPr="00D30847" w14:paraId="3B06CE6F" w14:textId="77777777" w:rsidTr="00E32BC1">
        <w:trPr>
          <w:trHeight w:val="480"/>
        </w:trPr>
        <w:tc>
          <w:tcPr>
            <w:tcW w:w="1107" w:type="dxa"/>
            <w:tcBorders>
              <w:top w:val="single" w:sz="4" w:space="0" w:color="auto"/>
              <w:left w:val="single" w:sz="8" w:space="0" w:color="auto"/>
              <w:bottom w:val="single" w:sz="4" w:space="0" w:color="auto"/>
              <w:right w:val="single" w:sz="4" w:space="0" w:color="auto"/>
            </w:tcBorders>
            <w:shd w:val="clear" w:color="000000" w:fill="FFFF00"/>
            <w:noWrap/>
          </w:tcPr>
          <w:p w14:paraId="5F710814" w14:textId="7134CB0E" w:rsidR="001D2A62" w:rsidRPr="00D30847" w:rsidRDefault="001D2A62" w:rsidP="001D2A62">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1.</w:t>
            </w:r>
          </w:p>
        </w:tc>
        <w:tc>
          <w:tcPr>
            <w:tcW w:w="2680" w:type="dxa"/>
            <w:tcBorders>
              <w:top w:val="nil"/>
              <w:left w:val="nil"/>
              <w:bottom w:val="single" w:sz="4" w:space="0" w:color="auto"/>
              <w:right w:val="single" w:sz="4" w:space="0" w:color="auto"/>
            </w:tcBorders>
            <w:shd w:val="clear" w:color="000000" w:fill="FFFF00"/>
          </w:tcPr>
          <w:p w14:paraId="0E4FD33E" w14:textId="115EC14A" w:rsidR="001D2A62" w:rsidRPr="00D30847" w:rsidRDefault="001D2A62" w:rsidP="001D2A62">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Improving budget planning of local self-government units</w:t>
            </w:r>
          </w:p>
        </w:tc>
        <w:tc>
          <w:tcPr>
            <w:tcW w:w="1403" w:type="dxa"/>
            <w:tcBorders>
              <w:top w:val="nil"/>
              <w:left w:val="nil"/>
              <w:bottom w:val="single" w:sz="4" w:space="0" w:color="auto"/>
              <w:right w:val="single" w:sz="4" w:space="0" w:color="auto"/>
            </w:tcBorders>
            <w:shd w:val="clear" w:color="000000" w:fill="FFFF00"/>
            <w:noWrap/>
          </w:tcPr>
          <w:p w14:paraId="27679B2F" w14:textId="6DB7E076" w:rsidR="001D2A62" w:rsidRPr="00D30847" w:rsidRDefault="00DD3484" w:rsidP="001D2A62">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27.00</w:t>
            </w:r>
            <w:r w:rsidR="001D2A62" w:rsidRPr="00D30847">
              <w:rPr>
                <w:rFonts w:eastAsia="Times New Roman"/>
                <w:color w:val="000000"/>
                <w:sz w:val="18"/>
                <w:szCs w:val="18"/>
                <w:lang w:val="en-GB" w:eastAsia="mk-MK"/>
              </w:rPr>
              <w:t>0</w:t>
            </w:r>
          </w:p>
        </w:tc>
        <w:tc>
          <w:tcPr>
            <w:tcW w:w="1357" w:type="dxa"/>
            <w:tcBorders>
              <w:top w:val="nil"/>
              <w:left w:val="nil"/>
              <w:bottom w:val="single" w:sz="4" w:space="0" w:color="auto"/>
              <w:right w:val="single" w:sz="4" w:space="0" w:color="auto"/>
            </w:tcBorders>
            <w:shd w:val="clear" w:color="000000" w:fill="FFFF00"/>
            <w:noWrap/>
          </w:tcPr>
          <w:p w14:paraId="4CB9339D" w14:textId="3A585643" w:rsidR="001D2A62" w:rsidRPr="00D30847" w:rsidRDefault="00DD3484" w:rsidP="001D2A62">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2.00</w:t>
            </w:r>
            <w:r w:rsidR="001D2A62" w:rsidRPr="00D30847">
              <w:rPr>
                <w:rFonts w:eastAsia="Times New Roman"/>
                <w:color w:val="000000"/>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tcPr>
          <w:p w14:paraId="0E7B16F3" w14:textId="66A5B469" w:rsidR="001D2A62" w:rsidRPr="00D30847" w:rsidRDefault="00DD3484" w:rsidP="001D2A62">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25.000</w:t>
            </w:r>
          </w:p>
          <w:p w14:paraId="77FDEA32" w14:textId="77777777" w:rsidR="001D2A62" w:rsidRPr="00D30847" w:rsidRDefault="001D2A62" w:rsidP="001D2A62">
            <w:pPr>
              <w:spacing w:after="0" w:line="240" w:lineRule="auto"/>
              <w:jc w:val="center"/>
              <w:rPr>
                <w:rFonts w:eastAsia="Times New Roman"/>
                <w:color w:val="000000"/>
                <w:sz w:val="18"/>
                <w:szCs w:val="18"/>
                <w:lang w:val="en-GB" w:eastAsia="mk-MK"/>
              </w:rPr>
            </w:pPr>
          </w:p>
        </w:tc>
        <w:tc>
          <w:tcPr>
            <w:tcW w:w="1196" w:type="dxa"/>
            <w:tcBorders>
              <w:top w:val="nil"/>
              <w:left w:val="nil"/>
              <w:bottom w:val="single" w:sz="4" w:space="0" w:color="auto"/>
              <w:right w:val="single" w:sz="8" w:space="0" w:color="auto"/>
            </w:tcBorders>
            <w:shd w:val="clear" w:color="000000" w:fill="FFFF00"/>
            <w:noWrap/>
          </w:tcPr>
          <w:p w14:paraId="630E6A09" w14:textId="232C2293" w:rsidR="001D2A62" w:rsidRPr="00D30847" w:rsidRDefault="001D2A62" w:rsidP="001D2A62">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1D2A62" w:rsidRPr="00D30847" w14:paraId="141F967E" w14:textId="77777777" w:rsidTr="00E32BC1">
        <w:trPr>
          <w:trHeight w:val="480"/>
        </w:trPr>
        <w:tc>
          <w:tcPr>
            <w:tcW w:w="1107" w:type="dxa"/>
            <w:tcBorders>
              <w:top w:val="single" w:sz="4" w:space="0" w:color="auto"/>
              <w:left w:val="single" w:sz="8" w:space="0" w:color="auto"/>
              <w:bottom w:val="single" w:sz="4" w:space="0" w:color="auto"/>
              <w:right w:val="single" w:sz="4" w:space="0" w:color="auto"/>
            </w:tcBorders>
            <w:shd w:val="clear" w:color="000000" w:fill="FFFF00"/>
            <w:noWrap/>
          </w:tcPr>
          <w:p w14:paraId="3C641178" w14:textId="6F372104" w:rsidR="001D2A62" w:rsidRPr="00D30847" w:rsidRDefault="001D2A62" w:rsidP="001D2A62">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2.</w:t>
            </w:r>
          </w:p>
        </w:tc>
        <w:tc>
          <w:tcPr>
            <w:tcW w:w="2680" w:type="dxa"/>
            <w:tcBorders>
              <w:top w:val="nil"/>
              <w:left w:val="nil"/>
              <w:bottom w:val="single" w:sz="4" w:space="0" w:color="auto"/>
              <w:right w:val="single" w:sz="4" w:space="0" w:color="auto"/>
            </w:tcBorders>
            <w:shd w:val="clear" w:color="000000" w:fill="FFFF00"/>
          </w:tcPr>
          <w:p w14:paraId="65FEF11F" w14:textId="6406BFD9" w:rsidR="001D2A62" w:rsidRPr="00D30847" w:rsidRDefault="00DB2C0A" w:rsidP="001D2A62">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Financial discipline, better transparency and accountability of local government</w:t>
            </w:r>
          </w:p>
        </w:tc>
        <w:tc>
          <w:tcPr>
            <w:tcW w:w="1403" w:type="dxa"/>
            <w:tcBorders>
              <w:top w:val="nil"/>
              <w:left w:val="nil"/>
              <w:bottom w:val="single" w:sz="4" w:space="0" w:color="auto"/>
              <w:right w:val="single" w:sz="4" w:space="0" w:color="auto"/>
            </w:tcBorders>
            <w:shd w:val="clear" w:color="000000" w:fill="FFFF00"/>
            <w:noWrap/>
          </w:tcPr>
          <w:p w14:paraId="00752BE0" w14:textId="422B1058" w:rsidR="001D2A62" w:rsidRPr="00D30847" w:rsidRDefault="00DD3484" w:rsidP="001D2A62">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357" w:type="dxa"/>
            <w:tcBorders>
              <w:top w:val="nil"/>
              <w:left w:val="nil"/>
              <w:bottom w:val="single" w:sz="4" w:space="0" w:color="auto"/>
              <w:right w:val="single" w:sz="4" w:space="0" w:color="auto"/>
            </w:tcBorders>
            <w:shd w:val="clear" w:color="000000" w:fill="FFFF00"/>
            <w:noWrap/>
          </w:tcPr>
          <w:p w14:paraId="2A20DC49" w14:textId="091ED504" w:rsidR="001D2A62" w:rsidRPr="00D30847" w:rsidRDefault="00DD3484" w:rsidP="001D2A62">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tcPr>
          <w:p w14:paraId="49AFA0EE" w14:textId="7EDEB425" w:rsidR="001D2A62" w:rsidRPr="00D30847" w:rsidRDefault="00DD3484" w:rsidP="001D2A62">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tcPr>
          <w:p w14:paraId="71BDA994" w14:textId="40B1EA66" w:rsidR="001D2A62" w:rsidRPr="00D30847" w:rsidRDefault="00DD3484" w:rsidP="001D2A62">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1F094462" w14:textId="77777777" w:rsidTr="00E32BC1">
        <w:trPr>
          <w:trHeight w:val="300"/>
        </w:trPr>
        <w:tc>
          <w:tcPr>
            <w:tcW w:w="3787" w:type="dxa"/>
            <w:gridSpan w:val="2"/>
            <w:tcBorders>
              <w:top w:val="single" w:sz="4" w:space="0" w:color="auto"/>
              <w:left w:val="single" w:sz="8" w:space="0" w:color="auto"/>
              <w:bottom w:val="single" w:sz="4" w:space="0" w:color="auto"/>
              <w:right w:val="single" w:sz="4" w:space="0" w:color="auto"/>
            </w:tcBorders>
            <w:shd w:val="clear" w:color="000000" w:fill="00B0F0"/>
            <w:noWrap/>
            <w:vAlign w:val="bottom"/>
            <w:hideMark/>
          </w:tcPr>
          <w:p w14:paraId="63EC9F01" w14:textId="77777777" w:rsidR="006A78BE" w:rsidRPr="00D30847" w:rsidRDefault="006A78BE" w:rsidP="006A78BE">
            <w:pPr>
              <w:spacing w:after="0" w:line="240" w:lineRule="auto"/>
              <w:jc w:val="both"/>
              <w:rPr>
                <w:rFonts w:eastAsia="Times New Roman"/>
                <w:b/>
                <w:bCs/>
                <w:lang w:val="en-GB" w:eastAsia="mk-MK"/>
              </w:rPr>
            </w:pPr>
            <w:proofErr w:type="spellStart"/>
            <w:r w:rsidRPr="00D30847">
              <w:rPr>
                <w:rFonts w:eastAsia="Times New Roman"/>
                <w:b/>
                <w:bCs/>
                <w:lang w:val="en-GB" w:eastAsia="mk-MK"/>
              </w:rPr>
              <w:t>IV.Pillar</w:t>
            </w:r>
            <w:proofErr w:type="spellEnd"/>
            <w:r w:rsidRPr="00D30847">
              <w:rPr>
                <w:rFonts w:eastAsia="Times New Roman"/>
                <w:b/>
                <w:bCs/>
                <w:lang w:val="en-GB" w:eastAsia="mk-MK"/>
              </w:rPr>
              <w:t>-Public Procurement</w:t>
            </w:r>
          </w:p>
        </w:tc>
        <w:tc>
          <w:tcPr>
            <w:tcW w:w="1403" w:type="dxa"/>
            <w:tcBorders>
              <w:top w:val="nil"/>
              <w:left w:val="nil"/>
              <w:bottom w:val="single" w:sz="4" w:space="0" w:color="auto"/>
              <w:right w:val="single" w:sz="4" w:space="0" w:color="auto"/>
            </w:tcBorders>
            <w:shd w:val="clear" w:color="000000" w:fill="00B0F0"/>
            <w:noWrap/>
            <w:vAlign w:val="bottom"/>
            <w:hideMark/>
          </w:tcPr>
          <w:p w14:paraId="079CE11A" w14:textId="633D1CF5" w:rsidR="006A78BE" w:rsidRPr="00D30847" w:rsidRDefault="00655FB4"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357" w:type="dxa"/>
            <w:tcBorders>
              <w:top w:val="nil"/>
              <w:left w:val="nil"/>
              <w:bottom w:val="single" w:sz="4" w:space="0" w:color="auto"/>
              <w:right w:val="single" w:sz="4" w:space="0" w:color="auto"/>
            </w:tcBorders>
            <w:shd w:val="clear" w:color="000000" w:fill="00B0F0"/>
            <w:noWrap/>
            <w:vAlign w:val="bottom"/>
            <w:hideMark/>
          </w:tcPr>
          <w:p w14:paraId="28745FF7" w14:textId="69E8F59F" w:rsidR="006A78BE" w:rsidRPr="00D30847" w:rsidRDefault="00292E89"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261" w:type="dxa"/>
            <w:tcBorders>
              <w:top w:val="nil"/>
              <w:left w:val="nil"/>
              <w:bottom w:val="single" w:sz="4" w:space="0" w:color="auto"/>
              <w:right w:val="single" w:sz="4" w:space="0" w:color="auto"/>
            </w:tcBorders>
            <w:shd w:val="clear" w:color="000000" w:fill="00B0F0"/>
            <w:noWrap/>
            <w:vAlign w:val="bottom"/>
            <w:hideMark/>
          </w:tcPr>
          <w:p w14:paraId="13923F14"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196" w:type="dxa"/>
            <w:tcBorders>
              <w:top w:val="nil"/>
              <w:left w:val="nil"/>
              <w:bottom w:val="single" w:sz="4" w:space="0" w:color="auto"/>
              <w:right w:val="single" w:sz="8" w:space="0" w:color="auto"/>
            </w:tcBorders>
            <w:shd w:val="clear" w:color="000000" w:fill="00B0F0"/>
            <w:noWrap/>
            <w:vAlign w:val="bottom"/>
            <w:hideMark/>
          </w:tcPr>
          <w:p w14:paraId="6C8AAC84" w14:textId="7EE19BAE" w:rsidR="006A78BE" w:rsidRPr="00D30847" w:rsidRDefault="00655FB4"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r>
      <w:tr w:rsidR="00BF1348" w:rsidRPr="00D30847" w14:paraId="185FF3F9"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00FF00"/>
            <w:noWrap/>
            <w:hideMark/>
          </w:tcPr>
          <w:p w14:paraId="419123F7" w14:textId="1A6DB3DB" w:rsidR="006A78BE" w:rsidRPr="00D30847" w:rsidRDefault="006A78BE" w:rsidP="006A78BE">
            <w:pPr>
              <w:spacing w:after="0" w:line="240" w:lineRule="auto"/>
              <w:jc w:val="center"/>
              <w:rPr>
                <w:rFonts w:eastAsia="Times New Roman"/>
                <w:b/>
                <w:bCs/>
                <w:sz w:val="20"/>
                <w:szCs w:val="20"/>
                <w:lang w:val="en-GB" w:eastAsia="mk-MK"/>
              </w:rPr>
            </w:pPr>
            <w:r w:rsidRPr="00D30847">
              <w:rPr>
                <w:rFonts w:eastAsia="Times New Roman"/>
                <w:b/>
                <w:bCs/>
                <w:sz w:val="20"/>
                <w:szCs w:val="20"/>
                <w:lang w:val="en-GB" w:eastAsia="mk-MK"/>
              </w:rPr>
              <w:t>Priority 1.</w:t>
            </w:r>
          </w:p>
        </w:tc>
        <w:tc>
          <w:tcPr>
            <w:tcW w:w="2680" w:type="dxa"/>
            <w:tcBorders>
              <w:top w:val="nil"/>
              <w:left w:val="nil"/>
              <w:bottom w:val="single" w:sz="4" w:space="0" w:color="auto"/>
              <w:right w:val="single" w:sz="4" w:space="0" w:color="auto"/>
            </w:tcBorders>
            <w:shd w:val="clear" w:color="000000" w:fill="00FF00"/>
            <w:hideMark/>
          </w:tcPr>
          <w:p w14:paraId="781D95B1" w14:textId="77777777" w:rsidR="006A78BE" w:rsidRPr="00D30847" w:rsidRDefault="006A78BE" w:rsidP="006A78BE">
            <w:pPr>
              <w:spacing w:after="0" w:line="240" w:lineRule="auto"/>
              <w:jc w:val="both"/>
              <w:rPr>
                <w:rFonts w:eastAsia="Times New Roman"/>
                <w:b/>
                <w:bCs/>
                <w:sz w:val="18"/>
                <w:szCs w:val="18"/>
                <w:lang w:val="en-GB" w:eastAsia="mk-MK"/>
              </w:rPr>
            </w:pPr>
            <w:r w:rsidRPr="00D30847">
              <w:rPr>
                <w:rFonts w:eastAsia="Times New Roman"/>
                <w:b/>
                <w:bCs/>
                <w:sz w:val="18"/>
                <w:szCs w:val="18"/>
                <w:lang w:val="en-GB" w:eastAsia="mk-MK"/>
              </w:rPr>
              <w:t>PUBLIC PROCUREMENT POLICY</w:t>
            </w:r>
          </w:p>
        </w:tc>
        <w:tc>
          <w:tcPr>
            <w:tcW w:w="1403" w:type="dxa"/>
            <w:tcBorders>
              <w:top w:val="nil"/>
              <w:left w:val="nil"/>
              <w:bottom w:val="single" w:sz="4" w:space="0" w:color="auto"/>
              <w:right w:val="single" w:sz="4" w:space="0" w:color="auto"/>
            </w:tcBorders>
            <w:shd w:val="clear" w:color="000000" w:fill="00FF00"/>
            <w:noWrap/>
            <w:hideMark/>
          </w:tcPr>
          <w:p w14:paraId="220494C6" w14:textId="5A85622F" w:rsidR="006A78BE" w:rsidRPr="00D30847" w:rsidRDefault="006A78BE" w:rsidP="006A78BE">
            <w:pPr>
              <w:spacing w:after="0" w:line="240" w:lineRule="auto"/>
              <w:jc w:val="center"/>
              <w:rPr>
                <w:rFonts w:eastAsia="Times New Roman"/>
                <w:b/>
                <w:bCs/>
                <w:sz w:val="18"/>
                <w:szCs w:val="18"/>
                <w:lang w:val="en-GB" w:eastAsia="mk-MK"/>
              </w:rPr>
            </w:pPr>
          </w:p>
        </w:tc>
        <w:tc>
          <w:tcPr>
            <w:tcW w:w="1357" w:type="dxa"/>
            <w:tcBorders>
              <w:top w:val="nil"/>
              <w:left w:val="nil"/>
              <w:bottom w:val="single" w:sz="4" w:space="0" w:color="auto"/>
              <w:right w:val="single" w:sz="4" w:space="0" w:color="auto"/>
            </w:tcBorders>
            <w:shd w:val="clear" w:color="000000" w:fill="00FF00"/>
            <w:noWrap/>
            <w:hideMark/>
          </w:tcPr>
          <w:p w14:paraId="24CC31F2" w14:textId="39F9056F" w:rsidR="006A78BE" w:rsidRPr="00D30847" w:rsidRDefault="006A78BE" w:rsidP="006A78BE">
            <w:pPr>
              <w:spacing w:after="0" w:line="240" w:lineRule="auto"/>
              <w:jc w:val="center"/>
              <w:rPr>
                <w:rFonts w:eastAsia="Times New Roman"/>
                <w:b/>
                <w:bCs/>
                <w:sz w:val="18"/>
                <w:szCs w:val="18"/>
                <w:lang w:val="en-GB" w:eastAsia="mk-MK"/>
              </w:rPr>
            </w:pPr>
          </w:p>
        </w:tc>
        <w:tc>
          <w:tcPr>
            <w:tcW w:w="1261" w:type="dxa"/>
            <w:tcBorders>
              <w:top w:val="nil"/>
              <w:left w:val="nil"/>
              <w:bottom w:val="single" w:sz="4" w:space="0" w:color="auto"/>
              <w:right w:val="single" w:sz="4" w:space="0" w:color="auto"/>
            </w:tcBorders>
            <w:shd w:val="clear" w:color="000000" w:fill="00FF00"/>
            <w:noWrap/>
            <w:hideMark/>
          </w:tcPr>
          <w:p w14:paraId="48A4C55D"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196" w:type="dxa"/>
            <w:tcBorders>
              <w:top w:val="nil"/>
              <w:left w:val="nil"/>
              <w:bottom w:val="single" w:sz="4" w:space="0" w:color="auto"/>
              <w:right w:val="single" w:sz="8" w:space="0" w:color="auto"/>
            </w:tcBorders>
            <w:shd w:val="clear" w:color="000000" w:fill="00FF00"/>
            <w:noWrap/>
            <w:hideMark/>
          </w:tcPr>
          <w:p w14:paraId="74346051"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r>
      <w:tr w:rsidR="00BF1348" w:rsidRPr="00D30847" w14:paraId="42CC7BFE" w14:textId="77777777" w:rsidTr="00E32BC1">
        <w:trPr>
          <w:trHeight w:val="60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341F4457"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1.</w:t>
            </w:r>
          </w:p>
        </w:tc>
        <w:tc>
          <w:tcPr>
            <w:tcW w:w="2680" w:type="dxa"/>
            <w:tcBorders>
              <w:top w:val="nil"/>
              <w:left w:val="nil"/>
              <w:bottom w:val="single" w:sz="4" w:space="0" w:color="auto"/>
              <w:right w:val="single" w:sz="4" w:space="0" w:color="auto"/>
            </w:tcBorders>
            <w:shd w:val="clear" w:color="000000" w:fill="FFFF00"/>
            <w:hideMark/>
          </w:tcPr>
          <w:p w14:paraId="2E8D8FE1" w14:textId="3D123DC7" w:rsidR="006A78BE" w:rsidRPr="00D30847" w:rsidRDefault="00A30E6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Improving the cooperation among the key institutions in the public procurement system</w:t>
            </w:r>
          </w:p>
        </w:tc>
        <w:tc>
          <w:tcPr>
            <w:tcW w:w="1403" w:type="dxa"/>
            <w:tcBorders>
              <w:top w:val="nil"/>
              <w:left w:val="nil"/>
              <w:bottom w:val="single" w:sz="4" w:space="0" w:color="auto"/>
              <w:right w:val="single" w:sz="4" w:space="0" w:color="auto"/>
            </w:tcBorders>
            <w:shd w:val="clear" w:color="000000" w:fill="FFFF00"/>
            <w:noWrap/>
            <w:hideMark/>
          </w:tcPr>
          <w:p w14:paraId="07D56F27" w14:textId="01917985" w:rsidR="006A78BE" w:rsidRPr="00D30847" w:rsidRDefault="00C04C60"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357" w:type="dxa"/>
            <w:tcBorders>
              <w:top w:val="nil"/>
              <w:left w:val="nil"/>
              <w:bottom w:val="single" w:sz="4" w:space="0" w:color="auto"/>
              <w:right w:val="single" w:sz="4" w:space="0" w:color="auto"/>
            </w:tcBorders>
            <w:shd w:val="clear" w:color="000000" w:fill="FFFF00"/>
            <w:noWrap/>
            <w:hideMark/>
          </w:tcPr>
          <w:p w14:paraId="2215D86D" w14:textId="1CD352D9" w:rsidR="006A78BE" w:rsidRPr="00D30847" w:rsidRDefault="00C04C60"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3B1C9C59"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hideMark/>
          </w:tcPr>
          <w:p w14:paraId="53A6D880"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A30E6E" w:rsidRPr="00D30847" w14:paraId="10451745"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auto" w:fill="FFFF00"/>
            <w:noWrap/>
          </w:tcPr>
          <w:p w14:paraId="60495321" w14:textId="09CBD0FF" w:rsidR="00A30E6E" w:rsidRPr="00D30847" w:rsidRDefault="00A30E6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2.</w:t>
            </w:r>
          </w:p>
        </w:tc>
        <w:tc>
          <w:tcPr>
            <w:tcW w:w="2680" w:type="dxa"/>
            <w:tcBorders>
              <w:top w:val="single" w:sz="4" w:space="0" w:color="auto"/>
              <w:left w:val="nil"/>
              <w:bottom w:val="single" w:sz="4" w:space="0" w:color="auto"/>
              <w:right w:val="single" w:sz="4" w:space="0" w:color="auto"/>
            </w:tcBorders>
            <w:shd w:val="clear" w:color="auto" w:fill="FFFF00"/>
          </w:tcPr>
          <w:p w14:paraId="7806FB97" w14:textId="1905E8FC" w:rsidR="00A30E6E" w:rsidRPr="00D30847" w:rsidRDefault="00292E89"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Improved implementation of the Law on Public Procurement</w:t>
            </w:r>
          </w:p>
        </w:tc>
        <w:tc>
          <w:tcPr>
            <w:tcW w:w="1403" w:type="dxa"/>
            <w:tcBorders>
              <w:top w:val="single" w:sz="4" w:space="0" w:color="auto"/>
              <w:left w:val="nil"/>
              <w:bottom w:val="single" w:sz="4" w:space="0" w:color="auto"/>
              <w:right w:val="single" w:sz="4" w:space="0" w:color="auto"/>
            </w:tcBorders>
            <w:shd w:val="clear" w:color="auto" w:fill="FFFF00"/>
            <w:noWrap/>
          </w:tcPr>
          <w:p w14:paraId="3EEED18F" w14:textId="0D415B5F" w:rsidR="00A30E6E" w:rsidRPr="00D30847" w:rsidRDefault="00C04C60"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357" w:type="dxa"/>
            <w:tcBorders>
              <w:top w:val="single" w:sz="4" w:space="0" w:color="auto"/>
              <w:left w:val="nil"/>
              <w:bottom w:val="single" w:sz="4" w:space="0" w:color="auto"/>
              <w:right w:val="single" w:sz="4" w:space="0" w:color="auto"/>
            </w:tcBorders>
            <w:shd w:val="clear" w:color="auto" w:fill="FFFF00"/>
            <w:noWrap/>
          </w:tcPr>
          <w:p w14:paraId="6AEA1E9B" w14:textId="2B498709" w:rsidR="00A30E6E" w:rsidRPr="00D30847" w:rsidRDefault="00C04C60"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261" w:type="dxa"/>
            <w:tcBorders>
              <w:top w:val="single" w:sz="4" w:space="0" w:color="auto"/>
              <w:left w:val="nil"/>
              <w:bottom w:val="single" w:sz="4" w:space="0" w:color="auto"/>
              <w:right w:val="single" w:sz="4" w:space="0" w:color="auto"/>
            </w:tcBorders>
            <w:shd w:val="clear" w:color="auto" w:fill="FFFF00"/>
            <w:noWrap/>
          </w:tcPr>
          <w:p w14:paraId="32A52156" w14:textId="3DBCD08F" w:rsidR="00A30E6E" w:rsidRPr="00D30847" w:rsidRDefault="00C04C60"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196" w:type="dxa"/>
            <w:tcBorders>
              <w:top w:val="single" w:sz="4" w:space="0" w:color="auto"/>
              <w:left w:val="nil"/>
              <w:bottom w:val="single" w:sz="4" w:space="0" w:color="auto"/>
              <w:right w:val="single" w:sz="4" w:space="0" w:color="auto"/>
            </w:tcBorders>
            <w:shd w:val="clear" w:color="auto" w:fill="FFFF00"/>
            <w:noWrap/>
          </w:tcPr>
          <w:p w14:paraId="03FCB1FE" w14:textId="49EBC05F" w:rsidR="00A30E6E" w:rsidRPr="00D30847" w:rsidRDefault="00C04C60"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r>
      <w:tr w:rsidR="00A30E6E" w:rsidRPr="00D30847" w14:paraId="42FC401D"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auto" w:fill="FFFF00"/>
            <w:noWrap/>
          </w:tcPr>
          <w:p w14:paraId="7DCE5D70" w14:textId="5D084FFD" w:rsidR="00A30E6E" w:rsidRPr="00D30847" w:rsidRDefault="00A30E6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3.</w:t>
            </w:r>
          </w:p>
        </w:tc>
        <w:tc>
          <w:tcPr>
            <w:tcW w:w="2680" w:type="dxa"/>
            <w:tcBorders>
              <w:top w:val="nil"/>
              <w:left w:val="nil"/>
              <w:bottom w:val="single" w:sz="4" w:space="0" w:color="auto"/>
              <w:right w:val="single" w:sz="4" w:space="0" w:color="auto"/>
            </w:tcBorders>
            <w:shd w:val="clear" w:color="auto" w:fill="FFFF00"/>
          </w:tcPr>
          <w:p w14:paraId="70E3824D" w14:textId="63184F69" w:rsidR="00A30E6E" w:rsidRPr="00D30847" w:rsidRDefault="00A30E6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Introducing new system for education within PPB</w:t>
            </w:r>
          </w:p>
        </w:tc>
        <w:tc>
          <w:tcPr>
            <w:tcW w:w="1403" w:type="dxa"/>
            <w:tcBorders>
              <w:top w:val="nil"/>
              <w:left w:val="nil"/>
              <w:bottom w:val="single" w:sz="4" w:space="0" w:color="auto"/>
              <w:right w:val="single" w:sz="4" w:space="0" w:color="auto"/>
            </w:tcBorders>
            <w:shd w:val="clear" w:color="auto" w:fill="FFFF00"/>
            <w:noWrap/>
          </w:tcPr>
          <w:p w14:paraId="630AC479" w14:textId="3190D951" w:rsidR="00A30E6E" w:rsidRPr="00D30847" w:rsidRDefault="00C04C60"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357" w:type="dxa"/>
            <w:tcBorders>
              <w:top w:val="nil"/>
              <w:left w:val="nil"/>
              <w:bottom w:val="single" w:sz="4" w:space="0" w:color="auto"/>
              <w:right w:val="single" w:sz="4" w:space="0" w:color="auto"/>
            </w:tcBorders>
            <w:shd w:val="clear" w:color="auto" w:fill="FFFF00"/>
            <w:noWrap/>
          </w:tcPr>
          <w:p w14:paraId="2F204394" w14:textId="789BC637" w:rsidR="00A30E6E" w:rsidRPr="00D30847" w:rsidRDefault="00C04C60"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261" w:type="dxa"/>
            <w:tcBorders>
              <w:top w:val="nil"/>
              <w:left w:val="nil"/>
              <w:bottom w:val="single" w:sz="4" w:space="0" w:color="auto"/>
              <w:right w:val="single" w:sz="4" w:space="0" w:color="auto"/>
            </w:tcBorders>
            <w:shd w:val="clear" w:color="auto" w:fill="FFFF00"/>
            <w:noWrap/>
          </w:tcPr>
          <w:p w14:paraId="03CD54A5" w14:textId="4D037DA8" w:rsidR="00A30E6E" w:rsidRPr="00D30847" w:rsidRDefault="00C04C60"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196" w:type="dxa"/>
            <w:tcBorders>
              <w:top w:val="nil"/>
              <w:left w:val="nil"/>
              <w:bottom w:val="single" w:sz="4" w:space="0" w:color="auto"/>
              <w:right w:val="single" w:sz="8" w:space="0" w:color="auto"/>
            </w:tcBorders>
            <w:shd w:val="clear" w:color="auto" w:fill="FFFF00"/>
            <w:noWrap/>
          </w:tcPr>
          <w:p w14:paraId="7734E32D" w14:textId="30591085" w:rsidR="00A30E6E" w:rsidRPr="00D30847" w:rsidRDefault="00C04C60"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r>
      <w:tr w:rsidR="00BF1348" w:rsidRPr="00D30847" w14:paraId="09446002"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00FF00"/>
            <w:noWrap/>
            <w:hideMark/>
          </w:tcPr>
          <w:p w14:paraId="39BDA2C7" w14:textId="080556C8" w:rsidR="006A78BE" w:rsidRPr="00D30847" w:rsidRDefault="006A78BE" w:rsidP="006A78BE">
            <w:pPr>
              <w:spacing w:after="0" w:line="240" w:lineRule="auto"/>
              <w:jc w:val="center"/>
              <w:rPr>
                <w:rFonts w:eastAsia="Times New Roman"/>
                <w:b/>
                <w:bCs/>
                <w:sz w:val="20"/>
                <w:szCs w:val="20"/>
                <w:lang w:val="en-GB" w:eastAsia="mk-MK"/>
              </w:rPr>
            </w:pPr>
            <w:r w:rsidRPr="00D30847">
              <w:rPr>
                <w:rFonts w:eastAsia="Times New Roman"/>
                <w:b/>
                <w:bCs/>
                <w:sz w:val="20"/>
                <w:szCs w:val="20"/>
                <w:lang w:val="en-GB" w:eastAsia="mk-MK"/>
              </w:rPr>
              <w:t>Priority 2.</w:t>
            </w:r>
          </w:p>
        </w:tc>
        <w:tc>
          <w:tcPr>
            <w:tcW w:w="2680" w:type="dxa"/>
            <w:tcBorders>
              <w:top w:val="nil"/>
              <w:left w:val="nil"/>
              <w:bottom w:val="single" w:sz="4" w:space="0" w:color="auto"/>
              <w:right w:val="single" w:sz="4" w:space="0" w:color="auto"/>
            </w:tcBorders>
            <w:shd w:val="clear" w:color="000000" w:fill="00FF00"/>
            <w:hideMark/>
          </w:tcPr>
          <w:p w14:paraId="3B1A8E86" w14:textId="136BEC08" w:rsidR="006A78BE" w:rsidRPr="00D30847" w:rsidRDefault="006A78BE" w:rsidP="006A78BE">
            <w:pPr>
              <w:spacing w:after="0" w:line="240" w:lineRule="auto"/>
              <w:jc w:val="both"/>
              <w:rPr>
                <w:rFonts w:eastAsia="Times New Roman"/>
                <w:b/>
                <w:bCs/>
                <w:sz w:val="18"/>
                <w:szCs w:val="18"/>
                <w:lang w:val="en-GB" w:eastAsia="mk-MK"/>
              </w:rPr>
            </w:pPr>
            <w:r w:rsidRPr="00D30847">
              <w:rPr>
                <w:rFonts w:eastAsia="Times New Roman"/>
                <w:b/>
                <w:bCs/>
                <w:sz w:val="18"/>
                <w:szCs w:val="18"/>
                <w:lang w:val="en-GB" w:eastAsia="mk-MK"/>
              </w:rPr>
              <w:t xml:space="preserve">Public private partnership </w:t>
            </w:r>
            <w:r w:rsidR="00483296" w:rsidRPr="00D30847">
              <w:rPr>
                <w:rFonts w:eastAsia="Times New Roman"/>
                <w:b/>
                <w:bCs/>
                <w:sz w:val="18"/>
                <w:szCs w:val="18"/>
                <w:lang w:val="en-GB" w:eastAsia="mk-MK"/>
              </w:rPr>
              <w:t>(PPPs) and Concession on goods of general interest</w:t>
            </w:r>
          </w:p>
        </w:tc>
        <w:tc>
          <w:tcPr>
            <w:tcW w:w="1403" w:type="dxa"/>
            <w:tcBorders>
              <w:top w:val="nil"/>
              <w:left w:val="nil"/>
              <w:bottom w:val="single" w:sz="4" w:space="0" w:color="auto"/>
              <w:right w:val="single" w:sz="4" w:space="0" w:color="auto"/>
            </w:tcBorders>
            <w:shd w:val="clear" w:color="000000" w:fill="00FF00"/>
            <w:noWrap/>
            <w:hideMark/>
          </w:tcPr>
          <w:p w14:paraId="04DA898B" w14:textId="0226E0CA" w:rsidR="006A78BE" w:rsidRPr="00D30847" w:rsidRDefault="003C041A" w:rsidP="006A78BE">
            <w:pPr>
              <w:spacing w:after="0" w:line="240" w:lineRule="auto"/>
              <w:jc w:val="center"/>
              <w:rPr>
                <w:rFonts w:eastAsia="Times New Roman"/>
                <w:b/>
                <w:bCs/>
                <w:sz w:val="18"/>
                <w:szCs w:val="18"/>
                <w:lang w:val="en-GB" w:eastAsia="mk-MK"/>
              </w:rPr>
            </w:pPr>
            <w:r>
              <w:rPr>
                <w:rFonts w:eastAsia="Times New Roman"/>
                <w:b/>
                <w:bCs/>
                <w:sz w:val="18"/>
                <w:szCs w:val="18"/>
                <w:lang w:val="en-GB" w:eastAsia="mk-MK"/>
              </w:rPr>
              <w:t>1,406,00</w:t>
            </w:r>
            <w:r w:rsidR="00655FB4" w:rsidRPr="00D30847">
              <w:rPr>
                <w:rFonts w:eastAsia="Times New Roman"/>
                <w:b/>
                <w:bCs/>
                <w:sz w:val="18"/>
                <w:szCs w:val="18"/>
                <w:lang w:val="en-GB" w:eastAsia="mk-MK"/>
              </w:rPr>
              <w:t>0</w:t>
            </w:r>
          </w:p>
        </w:tc>
        <w:tc>
          <w:tcPr>
            <w:tcW w:w="1357" w:type="dxa"/>
            <w:tcBorders>
              <w:top w:val="nil"/>
              <w:left w:val="nil"/>
              <w:bottom w:val="single" w:sz="4" w:space="0" w:color="auto"/>
              <w:right w:val="single" w:sz="4" w:space="0" w:color="auto"/>
            </w:tcBorders>
            <w:shd w:val="clear" w:color="000000" w:fill="00FF00"/>
            <w:noWrap/>
            <w:hideMark/>
          </w:tcPr>
          <w:p w14:paraId="4EDB4B53" w14:textId="0800B168" w:rsidR="006A78BE" w:rsidRPr="00D30847" w:rsidRDefault="003C041A" w:rsidP="006A78BE">
            <w:pPr>
              <w:spacing w:after="0" w:line="240" w:lineRule="auto"/>
              <w:jc w:val="center"/>
              <w:rPr>
                <w:rFonts w:eastAsia="Times New Roman"/>
                <w:b/>
                <w:bCs/>
                <w:sz w:val="18"/>
                <w:szCs w:val="18"/>
                <w:lang w:val="en-GB" w:eastAsia="mk-MK"/>
              </w:rPr>
            </w:pPr>
            <w:r>
              <w:rPr>
                <w:rFonts w:eastAsia="Times New Roman"/>
                <w:b/>
                <w:bCs/>
                <w:sz w:val="18"/>
                <w:szCs w:val="18"/>
                <w:lang w:val="en-GB" w:eastAsia="mk-MK"/>
              </w:rPr>
              <w:t>384,00</w:t>
            </w:r>
            <w:r w:rsidR="006A78BE" w:rsidRPr="00D30847">
              <w:rPr>
                <w:rFonts w:eastAsia="Times New Roman"/>
                <w:b/>
                <w:bCs/>
                <w:sz w:val="18"/>
                <w:szCs w:val="18"/>
                <w:lang w:val="en-GB" w:eastAsia="mk-MK"/>
              </w:rPr>
              <w:t>0</w:t>
            </w:r>
          </w:p>
        </w:tc>
        <w:tc>
          <w:tcPr>
            <w:tcW w:w="1261" w:type="dxa"/>
            <w:tcBorders>
              <w:top w:val="nil"/>
              <w:left w:val="nil"/>
              <w:bottom w:val="single" w:sz="4" w:space="0" w:color="auto"/>
              <w:right w:val="single" w:sz="4" w:space="0" w:color="auto"/>
            </w:tcBorders>
            <w:shd w:val="clear" w:color="000000" w:fill="00FF00"/>
            <w:noWrap/>
            <w:hideMark/>
          </w:tcPr>
          <w:p w14:paraId="4DE580F9" w14:textId="6EAC9F60" w:rsidR="006A78BE" w:rsidRPr="00D30847" w:rsidRDefault="00636EC7" w:rsidP="006A78BE">
            <w:pPr>
              <w:spacing w:after="0" w:line="240" w:lineRule="auto"/>
              <w:jc w:val="center"/>
              <w:rPr>
                <w:rFonts w:eastAsia="Times New Roman"/>
                <w:b/>
                <w:bCs/>
                <w:sz w:val="18"/>
                <w:szCs w:val="18"/>
                <w:lang w:val="en-GB" w:eastAsia="mk-MK"/>
              </w:rPr>
            </w:pPr>
            <w:r>
              <w:rPr>
                <w:rFonts w:eastAsia="Times New Roman"/>
                <w:b/>
                <w:bCs/>
                <w:sz w:val="18"/>
                <w:szCs w:val="18"/>
                <w:lang w:val="en-GB" w:eastAsia="mk-MK"/>
              </w:rPr>
              <w:t>0</w:t>
            </w:r>
          </w:p>
        </w:tc>
        <w:tc>
          <w:tcPr>
            <w:tcW w:w="1196" w:type="dxa"/>
            <w:tcBorders>
              <w:top w:val="nil"/>
              <w:left w:val="nil"/>
              <w:bottom w:val="single" w:sz="4" w:space="0" w:color="auto"/>
              <w:right w:val="single" w:sz="8" w:space="0" w:color="auto"/>
            </w:tcBorders>
            <w:shd w:val="clear" w:color="000000" w:fill="00FF00"/>
            <w:noWrap/>
            <w:hideMark/>
          </w:tcPr>
          <w:p w14:paraId="7891B7C8" w14:textId="0FA60223" w:rsidR="006A78BE" w:rsidRPr="00D30847" w:rsidRDefault="00636EC7" w:rsidP="006A78BE">
            <w:pPr>
              <w:spacing w:after="0" w:line="240" w:lineRule="auto"/>
              <w:jc w:val="center"/>
              <w:rPr>
                <w:rFonts w:eastAsia="Times New Roman"/>
                <w:b/>
                <w:bCs/>
                <w:sz w:val="18"/>
                <w:szCs w:val="18"/>
                <w:lang w:val="en-GB" w:eastAsia="mk-MK"/>
              </w:rPr>
            </w:pPr>
            <w:r w:rsidRPr="00636EC7">
              <w:rPr>
                <w:rFonts w:eastAsia="Times New Roman"/>
                <w:b/>
                <w:bCs/>
                <w:sz w:val="18"/>
                <w:szCs w:val="18"/>
                <w:lang w:val="en-GB" w:eastAsia="mk-MK"/>
              </w:rPr>
              <w:t>1,022,000</w:t>
            </w:r>
          </w:p>
        </w:tc>
      </w:tr>
      <w:tr w:rsidR="00BF1348" w:rsidRPr="00D30847" w14:paraId="2940F216" w14:textId="77777777" w:rsidTr="00E32BC1">
        <w:trPr>
          <w:trHeight w:val="48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1F23D304"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1.</w:t>
            </w:r>
          </w:p>
        </w:tc>
        <w:tc>
          <w:tcPr>
            <w:tcW w:w="2680" w:type="dxa"/>
            <w:tcBorders>
              <w:top w:val="nil"/>
              <w:left w:val="nil"/>
              <w:bottom w:val="single" w:sz="4" w:space="0" w:color="auto"/>
              <w:right w:val="single" w:sz="4" w:space="0" w:color="auto"/>
            </w:tcBorders>
            <w:shd w:val="clear" w:color="000000" w:fill="FFFF00"/>
            <w:hideMark/>
          </w:tcPr>
          <w:p w14:paraId="3C631353" w14:textId="77777777"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Establishment of the Unique Electronic Public Private Partnership System (UEPPP)</w:t>
            </w:r>
          </w:p>
        </w:tc>
        <w:tc>
          <w:tcPr>
            <w:tcW w:w="1403" w:type="dxa"/>
            <w:tcBorders>
              <w:top w:val="nil"/>
              <w:left w:val="nil"/>
              <w:bottom w:val="single" w:sz="4" w:space="0" w:color="auto"/>
              <w:right w:val="single" w:sz="4" w:space="0" w:color="auto"/>
            </w:tcBorders>
            <w:shd w:val="clear" w:color="000000" w:fill="FFFF00"/>
            <w:noWrap/>
            <w:hideMark/>
          </w:tcPr>
          <w:p w14:paraId="3FE92CF2" w14:textId="799F4C8C" w:rsidR="006A78BE" w:rsidRPr="00D30847" w:rsidRDefault="003C041A" w:rsidP="006A78BE">
            <w:pPr>
              <w:spacing w:after="0" w:line="240" w:lineRule="auto"/>
              <w:jc w:val="center"/>
              <w:rPr>
                <w:rFonts w:eastAsia="Times New Roman"/>
                <w:sz w:val="18"/>
                <w:szCs w:val="18"/>
                <w:lang w:val="en-GB" w:eastAsia="mk-MK"/>
              </w:rPr>
            </w:pPr>
            <w:r>
              <w:rPr>
                <w:rFonts w:eastAsia="Times New Roman"/>
                <w:sz w:val="18"/>
                <w:szCs w:val="18"/>
                <w:lang w:val="en-GB" w:eastAsia="mk-MK"/>
              </w:rPr>
              <w:t>1,000,00</w:t>
            </w:r>
            <w:r w:rsidR="00655FB4" w:rsidRPr="00D30847">
              <w:rPr>
                <w:rFonts w:eastAsia="Times New Roman"/>
                <w:sz w:val="18"/>
                <w:szCs w:val="18"/>
                <w:lang w:val="en-GB" w:eastAsia="mk-MK"/>
              </w:rPr>
              <w:t>0</w:t>
            </w:r>
          </w:p>
        </w:tc>
        <w:tc>
          <w:tcPr>
            <w:tcW w:w="1357" w:type="dxa"/>
            <w:tcBorders>
              <w:top w:val="nil"/>
              <w:left w:val="nil"/>
              <w:bottom w:val="single" w:sz="4" w:space="0" w:color="auto"/>
              <w:right w:val="single" w:sz="4" w:space="0" w:color="auto"/>
            </w:tcBorders>
            <w:shd w:val="clear" w:color="000000" w:fill="FFFF00"/>
            <w:noWrap/>
            <w:hideMark/>
          </w:tcPr>
          <w:p w14:paraId="6F6E18ED"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6DBF3435" w14:textId="6C59857E" w:rsidR="006A78BE" w:rsidRPr="00D30847" w:rsidRDefault="00636EC7" w:rsidP="006A78BE">
            <w:pPr>
              <w:spacing w:after="0" w:line="240" w:lineRule="auto"/>
              <w:jc w:val="center"/>
              <w:rPr>
                <w:rFonts w:eastAsia="Times New Roman"/>
                <w:sz w:val="18"/>
                <w:szCs w:val="18"/>
                <w:lang w:val="en-GB" w:eastAsia="mk-MK"/>
              </w:rPr>
            </w:pPr>
            <w:r>
              <w:rPr>
                <w:rFonts w:eastAsia="Times New Roman"/>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hideMark/>
          </w:tcPr>
          <w:p w14:paraId="5B42B5AF" w14:textId="6792231A" w:rsidR="006A78BE" w:rsidRPr="00D30847" w:rsidRDefault="00636EC7" w:rsidP="006A78BE">
            <w:pPr>
              <w:spacing w:after="0" w:line="240" w:lineRule="auto"/>
              <w:jc w:val="center"/>
              <w:rPr>
                <w:rFonts w:eastAsia="Times New Roman"/>
                <w:sz w:val="18"/>
                <w:szCs w:val="18"/>
                <w:lang w:val="en-GB" w:eastAsia="mk-MK"/>
              </w:rPr>
            </w:pPr>
            <w:r w:rsidRPr="00636EC7">
              <w:rPr>
                <w:rFonts w:eastAsia="Times New Roman"/>
                <w:sz w:val="18"/>
                <w:szCs w:val="18"/>
                <w:lang w:val="en-GB" w:eastAsia="mk-MK"/>
              </w:rPr>
              <w:t>1,000,000</w:t>
            </w:r>
          </w:p>
        </w:tc>
      </w:tr>
      <w:tr w:rsidR="00BF1348" w:rsidRPr="00D30847" w14:paraId="775437B0" w14:textId="77777777" w:rsidTr="00E32BC1">
        <w:trPr>
          <w:trHeight w:val="48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3B9404F8"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2.</w:t>
            </w:r>
          </w:p>
        </w:tc>
        <w:tc>
          <w:tcPr>
            <w:tcW w:w="2680" w:type="dxa"/>
            <w:tcBorders>
              <w:top w:val="nil"/>
              <w:left w:val="nil"/>
              <w:bottom w:val="single" w:sz="4" w:space="0" w:color="auto"/>
              <w:right w:val="single" w:sz="4" w:space="0" w:color="auto"/>
            </w:tcBorders>
            <w:shd w:val="clear" w:color="000000" w:fill="FFFF00"/>
            <w:hideMark/>
          </w:tcPr>
          <w:p w14:paraId="388F62CE" w14:textId="6DCFD8B1" w:rsidR="006A78BE" w:rsidRPr="00D30847" w:rsidRDefault="00863EBC" w:rsidP="006A78BE">
            <w:pPr>
              <w:spacing w:after="0" w:line="240" w:lineRule="auto"/>
              <w:jc w:val="both"/>
              <w:rPr>
                <w:rFonts w:eastAsia="Times New Roman"/>
                <w:bCs/>
                <w:sz w:val="18"/>
                <w:szCs w:val="18"/>
                <w:lang w:val="en-GB" w:eastAsia="mk-MK"/>
              </w:rPr>
            </w:pPr>
            <w:r w:rsidRPr="00863EBC">
              <w:rPr>
                <w:rFonts w:eastAsia="Times New Roman"/>
                <w:bCs/>
                <w:sz w:val="18"/>
                <w:szCs w:val="18"/>
                <w:lang w:val="en-GB" w:eastAsia="mk-MK"/>
              </w:rPr>
              <w:t>Completing the legal and regulatory framework in the field of public-</w:t>
            </w:r>
            <w:r w:rsidRPr="000911D0">
              <w:rPr>
                <w:rFonts w:eastAsia="Times New Roman"/>
                <w:bCs/>
                <w:sz w:val="18"/>
                <w:szCs w:val="18"/>
                <w:lang w:val="en-GB" w:eastAsia="mk-MK"/>
              </w:rPr>
              <w:t>private partnership</w:t>
            </w:r>
            <w:r w:rsidR="000911D0" w:rsidRPr="000911D0">
              <w:rPr>
                <w:rFonts w:cs="Calibri"/>
                <w:bCs/>
                <w:sz w:val="18"/>
                <w:szCs w:val="18"/>
                <w:lang w:val="en-GB"/>
              </w:rPr>
              <w:t xml:space="preserve"> and Concession on goods of general interest</w:t>
            </w:r>
          </w:p>
        </w:tc>
        <w:tc>
          <w:tcPr>
            <w:tcW w:w="1403" w:type="dxa"/>
            <w:tcBorders>
              <w:top w:val="nil"/>
              <w:left w:val="nil"/>
              <w:bottom w:val="single" w:sz="4" w:space="0" w:color="auto"/>
              <w:right w:val="single" w:sz="4" w:space="0" w:color="auto"/>
            </w:tcBorders>
            <w:shd w:val="clear" w:color="000000" w:fill="FFFF00"/>
            <w:noWrap/>
            <w:hideMark/>
          </w:tcPr>
          <w:p w14:paraId="6FCE41F7" w14:textId="4907C0F9" w:rsidR="006A78BE" w:rsidRPr="00D30847" w:rsidRDefault="003C041A" w:rsidP="006A78BE">
            <w:pPr>
              <w:spacing w:after="0" w:line="240" w:lineRule="auto"/>
              <w:jc w:val="center"/>
              <w:rPr>
                <w:rFonts w:eastAsia="Times New Roman"/>
                <w:sz w:val="18"/>
                <w:szCs w:val="18"/>
                <w:lang w:val="en-GB" w:eastAsia="mk-MK"/>
              </w:rPr>
            </w:pPr>
            <w:r>
              <w:rPr>
                <w:rFonts w:eastAsia="Times New Roman"/>
                <w:sz w:val="18"/>
                <w:szCs w:val="18"/>
                <w:lang w:val="en-GB" w:eastAsia="mk-MK"/>
              </w:rPr>
              <w:t>22,00</w:t>
            </w:r>
            <w:r w:rsidR="00655FB4" w:rsidRPr="00D30847">
              <w:rPr>
                <w:rFonts w:eastAsia="Times New Roman"/>
                <w:sz w:val="18"/>
                <w:szCs w:val="18"/>
                <w:lang w:val="en-GB" w:eastAsia="mk-MK"/>
              </w:rPr>
              <w:t>0</w:t>
            </w:r>
          </w:p>
        </w:tc>
        <w:tc>
          <w:tcPr>
            <w:tcW w:w="1357" w:type="dxa"/>
            <w:tcBorders>
              <w:top w:val="nil"/>
              <w:left w:val="nil"/>
              <w:bottom w:val="single" w:sz="4" w:space="0" w:color="auto"/>
              <w:right w:val="single" w:sz="4" w:space="0" w:color="auto"/>
            </w:tcBorders>
            <w:shd w:val="clear" w:color="000000" w:fill="FFFF00"/>
            <w:noWrap/>
            <w:hideMark/>
          </w:tcPr>
          <w:p w14:paraId="56C5855C"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7299F229" w14:textId="21907A57" w:rsidR="006A78BE" w:rsidRPr="00D30847" w:rsidRDefault="00636EC7" w:rsidP="006A78BE">
            <w:pPr>
              <w:spacing w:after="0" w:line="240" w:lineRule="auto"/>
              <w:jc w:val="center"/>
              <w:rPr>
                <w:rFonts w:eastAsia="Times New Roman"/>
                <w:sz w:val="18"/>
                <w:szCs w:val="18"/>
                <w:lang w:val="en-GB" w:eastAsia="mk-MK"/>
              </w:rPr>
            </w:pPr>
            <w:r>
              <w:rPr>
                <w:rFonts w:eastAsia="Times New Roman"/>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hideMark/>
          </w:tcPr>
          <w:p w14:paraId="16EC03A3" w14:textId="362AC33B" w:rsidR="006A78BE" w:rsidRPr="00D30847" w:rsidRDefault="00636EC7" w:rsidP="006A78BE">
            <w:pPr>
              <w:spacing w:after="0" w:line="240" w:lineRule="auto"/>
              <w:jc w:val="center"/>
              <w:rPr>
                <w:rFonts w:eastAsia="Times New Roman"/>
                <w:sz w:val="18"/>
                <w:szCs w:val="18"/>
                <w:lang w:val="en-GB" w:eastAsia="mk-MK"/>
              </w:rPr>
            </w:pPr>
            <w:r w:rsidRPr="00636EC7">
              <w:rPr>
                <w:rFonts w:eastAsia="Times New Roman"/>
                <w:sz w:val="18"/>
                <w:szCs w:val="18"/>
                <w:lang w:val="en-GB" w:eastAsia="mk-MK"/>
              </w:rPr>
              <w:t>22,000</w:t>
            </w:r>
          </w:p>
        </w:tc>
      </w:tr>
      <w:tr w:rsidR="00BF1348" w:rsidRPr="00D30847" w14:paraId="69F5BB1B" w14:textId="77777777" w:rsidTr="00E32BC1">
        <w:trPr>
          <w:trHeight w:val="48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74E952F8"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3.</w:t>
            </w:r>
          </w:p>
        </w:tc>
        <w:tc>
          <w:tcPr>
            <w:tcW w:w="2680" w:type="dxa"/>
            <w:tcBorders>
              <w:top w:val="nil"/>
              <w:left w:val="nil"/>
              <w:bottom w:val="single" w:sz="4" w:space="0" w:color="auto"/>
              <w:right w:val="single" w:sz="4" w:space="0" w:color="auto"/>
            </w:tcBorders>
            <w:shd w:val="clear" w:color="000000" w:fill="FFFF00"/>
            <w:hideMark/>
          </w:tcPr>
          <w:p w14:paraId="3620F3FF" w14:textId="7DF7730E" w:rsidR="006A78BE" w:rsidRPr="00D30847" w:rsidRDefault="00863EBC" w:rsidP="006A78BE">
            <w:pPr>
              <w:spacing w:after="0" w:line="240" w:lineRule="auto"/>
              <w:jc w:val="both"/>
              <w:rPr>
                <w:rFonts w:eastAsia="Times New Roman"/>
                <w:bCs/>
                <w:sz w:val="18"/>
                <w:szCs w:val="18"/>
                <w:lang w:val="en-GB" w:eastAsia="mk-MK"/>
              </w:rPr>
            </w:pPr>
            <w:r w:rsidRPr="00863EBC">
              <w:rPr>
                <w:rFonts w:eastAsia="Times New Roman"/>
                <w:bCs/>
                <w:sz w:val="18"/>
                <w:szCs w:val="18"/>
                <w:lang w:val="en-GB" w:eastAsia="mk-MK"/>
              </w:rPr>
              <w:t>Strengthening and developing the capacities of the Ministry of Energy, Mining and Mineral Resources in the area of public-private partnership.</w:t>
            </w:r>
          </w:p>
        </w:tc>
        <w:tc>
          <w:tcPr>
            <w:tcW w:w="1403" w:type="dxa"/>
            <w:tcBorders>
              <w:top w:val="nil"/>
              <w:left w:val="nil"/>
              <w:bottom w:val="single" w:sz="4" w:space="0" w:color="auto"/>
              <w:right w:val="single" w:sz="4" w:space="0" w:color="auto"/>
            </w:tcBorders>
            <w:shd w:val="clear" w:color="000000" w:fill="FFFF00"/>
            <w:noWrap/>
            <w:hideMark/>
          </w:tcPr>
          <w:p w14:paraId="293D59E0" w14:textId="7BC5E51C" w:rsidR="006A78BE" w:rsidRPr="00D30847" w:rsidRDefault="003C041A" w:rsidP="006A78BE">
            <w:pPr>
              <w:spacing w:after="0" w:line="240" w:lineRule="auto"/>
              <w:jc w:val="center"/>
              <w:rPr>
                <w:rFonts w:eastAsia="Times New Roman"/>
                <w:sz w:val="18"/>
                <w:szCs w:val="18"/>
                <w:lang w:val="en-GB" w:eastAsia="mk-MK"/>
              </w:rPr>
            </w:pPr>
            <w:r>
              <w:rPr>
                <w:rFonts w:eastAsia="Times New Roman"/>
                <w:sz w:val="18"/>
                <w:szCs w:val="18"/>
                <w:lang w:val="en-GB" w:eastAsia="mk-MK"/>
              </w:rPr>
              <w:t>384,00</w:t>
            </w:r>
            <w:r w:rsidR="00655FB4" w:rsidRPr="00D30847">
              <w:rPr>
                <w:rFonts w:eastAsia="Times New Roman"/>
                <w:sz w:val="18"/>
                <w:szCs w:val="18"/>
                <w:lang w:val="en-GB" w:eastAsia="mk-MK"/>
              </w:rPr>
              <w:t>0</w:t>
            </w:r>
          </w:p>
        </w:tc>
        <w:tc>
          <w:tcPr>
            <w:tcW w:w="1357" w:type="dxa"/>
            <w:tcBorders>
              <w:top w:val="nil"/>
              <w:left w:val="nil"/>
              <w:bottom w:val="single" w:sz="4" w:space="0" w:color="auto"/>
              <w:right w:val="single" w:sz="4" w:space="0" w:color="auto"/>
            </w:tcBorders>
            <w:shd w:val="clear" w:color="000000" w:fill="FFFF00"/>
            <w:noWrap/>
            <w:hideMark/>
          </w:tcPr>
          <w:p w14:paraId="31ADB0DB" w14:textId="7A9EF77B" w:rsidR="006A78BE" w:rsidRPr="00D30847" w:rsidRDefault="003C041A" w:rsidP="006A78BE">
            <w:pPr>
              <w:spacing w:after="0" w:line="240" w:lineRule="auto"/>
              <w:jc w:val="center"/>
              <w:rPr>
                <w:rFonts w:eastAsia="Times New Roman"/>
                <w:sz w:val="18"/>
                <w:szCs w:val="18"/>
                <w:lang w:val="en-GB" w:eastAsia="mk-MK"/>
              </w:rPr>
            </w:pPr>
            <w:r>
              <w:rPr>
                <w:rFonts w:eastAsia="Times New Roman"/>
                <w:sz w:val="18"/>
                <w:szCs w:val="18"/>
                <w:lang w:val="en-GB" w:eastAsia="mk-MK"/>
              </w:rPr>
              <w:t>384,00</w:t>
            </w:r>
            <w:r w:rsidR="006A78BE" w:rsidRPr="00D30847">
              <w:rPr>
                <w:rFonts w:eastAsia="Times New Roman"/>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6F668A29"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hideMark/>
          </w:tcPr>
          <w:p w14:paraId="4BCF4779" w14:textId="6F8718BF" w:rsidR="006A78BE" w:rsidRPr="00D30847" w:rsidRDefault="00655FB4"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r>
      <w:tr w:rsidR="00BF1348" w:rsidRPr="00D30847" w14:paraId="0DB01A13" w14:textId="77777777" w:rsidTr="00E32BC1">
        <w:trPr>
          <w:trHeight w:val="300"/>
        </w:trPr>
        <w:tc>
          <w:tcPr>
            <w:tcW w:w="3787" w:type="dxa"/>
            <w:gridSpan w:val="2"/>
            <w:tcBorders>
              <w:top w:val="single" w:sz="4" w:space="0" w:color="auto"/>
              <w:left w:val="single" w:sz="8" w:space="0" w:color="auto"/>
              <w:bottom w:val="single" w:sz="4" w:space="0" w:color="auto"/>
              <w:right w:val="single" w:sz="4" w:space="0" w:color="auto"/>
            </w:tcBorders>
            <w:shd w:val="clear" w:color="000000" w:fill="00B0F0"/>
            <w:noWrap/>
            <w:vAlign w:val="bottom"/>
            <w:hideMark/>
          </w:tcPr>
          <w:p w14:paraId="1317E5F6" w14:textId="36F72EE1" w:rsidR="006A78BE" w:rsidRPr="00D30847" w:rsidRDefault="006A78BE" w:rsidP="006A78BE">
            <w:pPr>
              <w:spacing w:after="0" w:line="240" w:lineRule="auto"/>
              <w:jc w:val="both"/>
              <w:rPr>
                <w:rFonts w:eastAsia="Times New Roman"/>
                <w:b/>
                <w:bCs/>
                <w:lang w:val="en-GB" w:eastAsia="mk-MK"/>
              </w:rPr>
            </w:pPr>
            <w:r w:rsidRPr="00D30847">
              <w:rPr>
                <w:rFonts w:eastAsia="Times New Roman"/>
                <w:b/>
                <w:bCs/>
                <w:lang w:val="en-GB" w:eastAsia="mk-MK"/>
              </w:rPr>
              <w:t>V.</w:t>
            </w:r>
            <w:r w:rsidR="00432D15" w:rsidRPr="00D30847">
              <w:rPr>
                <w:rFonts w:eastAsia="Times New Roman"/>
                <w:b/>
                <w:bCs/>
                <w:lang w:val="en-GB" w:eastAsia="mk-MK"/>
              </w:rPr>
              <w:t xml:space="preserve"> Pillar </w:t>
            </w:r>
            <w:r w:rsidR="00A11215" w:rsidRPr="00D30847">
              <w:rPr>
                <w:rFonts w:eastAsia="Times New Roman"/>
                <w:b/>
                <w:bCs/>
                <w:lang w:val="en-GB" w:eastAsia="mk-MK"/>
              </w:rPr>
              <w:t>– Public finance digitalisation and </w:t>
            </w:r>
            <w:proofErr w:type="spellStart"/>
            <w:r w:rsidR="001111E8" w:rsidRPr="00D30847">
              <w:rPr>
                <w:rFonts w:eastAsia="Times New Roman"/>
                <w:b/>
                <w:bCs/>
                <w:lang w:val="en-GB" w:eastAsia="mk-MK"/>
              </w:rPr>
              <w:t>continuоus</w:t>
            </w:r>
            <w:proofErr w:type="spellEnd"/>
            <w:r w:rsidR="00A11215" w:rsidRPr="00D30847">
              <w:rPr>
                <w:rFonts w:eastAsia="Times New Roman"/>
                <w:b/>
                <w:bCs/>
                <w:lang w:val="en-GB" w:eastAsia="mk-MK"/>
              </w:rPr>
              <w:t> learning</w:t>
            </w:r>
          </w:p>
        </w:tc>
        <w:tc>
          <w:tcPr>
            <w:tcW w:w="1403" w:type="dxa"/>
            <w:tcBorders>
              <w:top w:val="nil"/>
              <w:left w:val="nil"/>
              <w:bottom w:val="single" w:sz="4" w:space="0" w:color="auto"/>
              <w:right w:val="single" w:sz="4" w:space="0" w:color="auto"/>
            </w:tcBorders>
            <w:shd w:val="clear" w:color="000000" w:fill="00B0F0"/>
            <w:noWrap/>
            <w:vAlign w:val="bottom"/>
            <w:hideMark/>
          </w:tcPr>
          <w:p w14:paraId="16DDB81B" w14:textId="5EC20F80" w:rsidR="006A78BE" w:rsidRPr="00D30847" w:rsidRDefault="00BF13B4"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104</w:t>
            </w:r>
            <w:r w:rsidR="006A78BE" w:rsidRPr="00D30847">
              <w:rPr>
                <w:rFonts w:eastAsia="Times New Roman"/>
                <w:b/>
                <w:bCs/>
                <w:sz w:val="18"/>
                <w:szCs w:val="18"/>
                <w:lang w:val="en-GB" w:eastAsia="mk-MK"/>
              </w:rPr>
              <w:t>,000</w:t>
            </w:r>
          </w:p>
        </w:tc>
        <w:tc>
          <w:tcPr>
            <w:tcW w:w="1357" w:type="dxa"/>
            <w:tcBorders>
              <w:top w:val="nil"/>
              <w:left w:val="nil"/>
              <w:bottom w:val="single" w:sz="4" w:space="0" w:color="auto"/>
              <w:right w:val="single" w:sz="4" w:space="0" w:color="auto"/>
            </w:tcBorders>
            <w:shd w:val="clear" w:color="000000" w:fill="00B0F0"/>
            <w:noWrap/>
            <w:vAlign w:val="bottom"/>
            <w:hideMark/>
          </w:tcPr>
          <w:p w14:paraId="52EC9DF4" w14:textId="567B3444" w:rsidR="006A78BE" w:rsidRPr="00D30847" w:rsidRDefault="00655FB4"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25</w:t>
            </w:r>
            <w:r w:rsidR="00BF13B4" w:rsidRPr="00D30847">
              <w:rPr>
                <w:rFonts w:eastAsia="Times New Roman"/>
                <w:b/>
                <w:bCs/>
                <w:sz w:val="18"/>
                <w:szCs w:val="18"/>
                <w:lang w:val="en-GB" w:eastAsia="mk-MK"/>
              </w:rPr>
              <w:t>,00</w:t>
            </w:r>
            <w:r w:rsidR="006A78BE" w:rsidRPr="00D30847">
              <w:rPr>
                <w:rFonts w:eastAsia="Times New Roman"/>
                <w:b/>
                <w:bCs/>
                <w:sz w:val="18"/>
                <w:szCs w:val="18"/>
                <w:lang w:val="en-GB" w:eastAsia="mk-MK"/>
              </w:rPr>
              <w:t>0</w:t>
            </w:r>
          </w:p>
        </w:tc>
        <w:tc>
          <w:tcPr>
            <w:tcW w:w="1261" w:type="dxa"/>
            <w:tcBorders>
              <w:top w:val="nil"/>
              <w:left w:val="nil"/>
              <w:bottom w:val="single" w:sz="4" w:space="0" w:color="auto"/>
              <w:right w:val="single" w:sz="4" w:space="0" w:color="auto"/>
            </w:tcBorders>
            <w:shd w:val="clear" w:color="000000" w:fill="00B0F0"/>
            <w:noWrap/>
            <w:vAlign w:val="bottom"/>
            <w:hideMark/>
          </w:tcPr>
          <w:p w14:paraId="5A7471AE" w14:textId="15FC548C" w:rsidR="006A78BE" w:rsidRPr="00D30847" w:rsidRDefault="00655FB4"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196" w:type="dxa"/>
            <w:tcBorders>
              <w:top w:val="nil"/>
              <w:left w:val="nil"/>
              <w:bottom w:val="single" w:sz="4" w:space="0" w:color="auto"/>
              <w:right w:val="single" w:sz="8" w:space="0" w:color="auto"/>
            </w:tcBorders>
            <w:shd w:val="clear" w:color="000000" w:fill="00B0F0"/>
            <w:noWrap/>
            <w:vAlign w:val="bottom"/>
            <w:hideMark/>
          </w:tcPr>
          <w:p w14:paraId="403A0A76" w14:textId="318B61D6" w:rsidR="006A78BE" w:rsidRPr="00D30847" w:rsidRDefault="00655FB4"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79,000</w:t>
            </w:r>
          </w:p>
        </w:tc>
      </w:tr>
      <w:tr w:rsidR="00BF1348" w:rsidRPr="00D30847" w14:paraId="16799454" w14:textId="77777777" w:rsidTr="00E32BC1">
        <w:trPr>
          <w:trHeight w:val="480"/>
        </w:trPr>
        <w:tc>
          <w:tcPr>
            <w:tcW w:w="1107" w:type="dxa"/>
            <w:tcBorders>
              <w:top w:val="single" w:sz="4" w:space="0" w:color="auto"/>
              <w:left w:val="single" w:sz="8" w:space="0" w:color="auto"/>
              <w:bottom w:val="single" w:sz="4" w:space="0" w:color="auto"/>
              <w:right w:val="single" w:sz="4" w:space="0" w:color="auto"/>
            </w:tcBorders>
            <w:shd w:val="clear" w:color="000000" w:fill="00FF00"/>
            <w:noWrap/>
            <w:hideMark/>
          </w:tcPr>
          <w:p w14:paraId="37E51023" w14:textId="4FDED959" w:rsidR="006A78BE" w:rsidRPr="00D30847" w:rsidRDefault="006A78BE" w:rsidP="006A78BE">
            <w:pPr>
              <w:spacing w:after="0" w:line="240" w:lineRule="auto"/>
              <w:jc w:val="center"/>
              <w:rPr>
                <w:rFonts w:eastAsia="Times New Roman"/>
                <w:b/>
                <w:bCs/>
                <w:sz w:val="20"/>
                <w:szCs w:val="20"/>
                <w:lang w:val="en-GB" w:eastAsia="mk-MK"/>
              </w:rPr>
            </w:pPr>
            <w:r w:rsidRPr="00D30847">
              <w:rPr>
                <w:rFonts w:eastAsia="Times New Roman"/>
                <w:b/>
                <w:bCs/>
                <w:sz w:val="20"/>
                <w:szCs w:val="20"/>
                <w:lang w:val="en-GB" w:eastAsia="mk-MK"/>
              </w:rPr>
              <w:t>Priority 1.</w:t>
            </w:r>
          </w:p>
        </w:tc>
        <w:tc>
          <w:tcPr>
            <w:tcW w:w="2680" w:type="dxa"/>
            <w:tcBorders>
              <w:top w:val="nil"/>
              <w:left w:val="nil"/>
              <w:bottom w:val="single" w:sz="4" w:space="0" w:color="auto"/>
              <w:right w:val="single" w:sz="4" w:space="0" w:color="auto"/>
            </w:tcBorders>
            <w:shd w:val="clear" w:color="000000" w:fill="00FF00"/>
            <w:hideMark/>
          </w:tcPr>
          <w:p w14:paraId="69A8E242" w14:textId="334508FE" w:rsidR="006A78BE" w:rsidRPr="00D30847" w:rsidRDefault="006A78BE" w:rsidP="006A78BE">
            <w:pPr>
              <w:spacing w:after="0" w:line="240" w:lineRule="auto"/>
              <w:jc w:val="both"/>
              <w:rPr>
                <w:rFonts w:eastAsia="Times New Roman"/>
                <w:b/>
                <w:bCs/>
                <w:sz w:val="18"/>
                <w:szCs w:val="18"/>
                <w:lang w:val="en-GB" w:eastAsia="mk-MK"/>
              </w:rPr>
            </w:pPr>
            <w:r w:rsidRPr="00D30847">
              <w:rPr>
                <w:rFonts w:eastAsia="Times New Roman"/>
                <w:b/>
                <w:bCs/>
                <w:sz w:val="18"/>
                <w:szCs w:val="18"/>
                <w:lang w:val="en-GB" w:eastAsia="mk-MK"/>
              </w:rPr>
              <w:t>Implementation of an Integrated Financial Management Information System (IFMIS)</w:t>
            </w:r>
          </w:p>
        </w:tc>
        <w:tc>
          <w:tcPr>
            <w:tcW w:w="1403" w:type="dxa"/>
            <w:tcBorders>
              <w:top w:val="nil"/>
              <w:left w:val="nil"/>
              <w:bottom w:val="single" w:sz="4" w:space="0" w:color="auto"/>
              <w:right w:val="single" w:sz="4" w:space="0" w:color="auto"/>
            </w:tcBorders>
            <w:shd w:val="clear" w:color="000000" w:fill="00FF00"/>
            <w:noWrap/>
            <w:hideMark/>
          </w:tcPr>
          <w:p w14:paraId="0EFCEC20"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357" w:type="dxa"/>
            <w:tcBorders>
              <w:top w:val="nil"/>
              <w:left w:val="nil"/>
              <w:bottom w:val="single" w:sz="4" w:space="0" w:color="auto"/>
              <w:right w:val="single" w:sz="4" w:space="0" w:color="auto"/>
            </w:tcBorders>
            <w:shd w:val="clear" w:color="000000" w:fill="00FF00"/>
            <w:noWrap/>
            <w:hideMark/>
          </w:tcPr>
          <w:p w14:paraId="17FB3B8E"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261" w:type="dxa"/>
            <w:tcBorders>
              <w:top w:val="nil"/>
              <w:left w:val="nil"/>
              <w:bottom w:val="single" w:sz="4" w:space="0" w:color="auto"/>
              <w:right w:val="single" w:sz="4" w:space="0" w:color="auto"/>
            </w:tcBorders>
            <w:shd w:val="clear" w:color="000000" w:fill="00FF00"/>
            <w:noWrap/>
            <w:hideMark/>
          </w:tcPr>
          <w:p w14:paraId="1C286558"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196" w:type="dxa"/>
            <w:tcBorders>
              <w:top w:val="nil"/>
              <w:left w:val="nil"/>
              <w:bottom w:val="single" w:sz="4" w:space="0" w:color="auto"/>
              <w:right w:val="single" w:sz="8" w:space="0" w:color="auto"/>
            </w:tcBorders>
            <w:shd w:val="clear" w:color="000000" w:fill="00FF00"/>
            <w:noWrap/>
            <w:hideMark/>
          </w:tcPr>
          <w:p w14:paraId="54C4A1A2"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r>
      <w:tr w:rsidR="00BF1348" w:rsidRPr="00D30847" w14:paraId="20F92052" w14:textId="77777777" w:rsidTr="00E32BC1">
        <w:trPr>
          <w:trHeight w:val="615"/>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513C1123"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1</w:t>
            </w:r>
          </w:p>
        </w:tc>
        <w:tc>
          <w:tcPr>
            <w:tcW w:w="2680" w:type="dxa"/>
            <w:tcBorders>
              <w:top w:val="nil"/>
              <w:left w:val="nil"/>
              <w:bottom w:val="single" w:sz="4" w:space="0" w:color="auto"/>
              <w:right w:val="single" w:sz="4" w:space="0" w:color="auto"/>
            </w:tcBorders>
            <w:shd w:val="clear" w:color="000000" w:fill="FFFF00"/>
            <w:hideMark/>
          </w:tcPr>
          <w:p w14:paraId="086A5584" w14:textId="476C7D56"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Development of IFMIS as an integrated centralized web-based system</w:t>
            </w:r>
          </w:p>
        </w:tc>
        <w:tc>
          <w:tcPr>
            <w:tcW w:w="1403" w:type="dxa"/>
            <w:tcBorders>
              <w:top w:val="nil"/>
              <w:left w:val="nil"/>
              <w:bottom w:val="single" w:sz="4" w:space="0" w:color="auto"/>
              <w:right w:val="single" w:sz="4" w:space="0" w:color="auto"/>
            </w:tcBorders>
            <w:shd w:val="clear" w:color="000000" w:fill="FFFF00"/>
            <w:noWrap/>
            <w:hideMark/>
          </w:tcPr>
          <w:p w14:paraId="725F6EB5"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357" w:type="dxa"/>
            <w:tcBorders>
              <w:top w:val="nil"/>
              <w:left w:val="nil"/>
              <w:bottom w:val="single" w:sz="4" w:space="0" w:color="auto"/>
              <w:right w:val="single" w:sz="4" w:space="0" w:color="auto"/>
            </w:tcBorders>
            <w:shd w:val="clear" w:color="000000" w:fill="FFFF00"/>
            <w:noWrap/>
            <w:hideMark/>
          </w:tcPr>
          <w:p w14:paraId="52271A14"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412042B7"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hideMark/>
          </w:tcPr>
          <w:p w14:paraId="0DAC2AF8"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08BA939E" w14:textId="77777777" w:rsidTr="00E32BC1">
        <w:trPr>
          <w:trHeight w:val="555"/>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1059B46C"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2</w:t>
            </w:r>
          </w:p>
        </w:tc>
        <w:tc>
          <w:tcPr>
            <w:tcW w:w="2680" w:type="dxa"/>
            <w:tcBorders>
              <w:top w:val="nil"/>
              <w:left w:val="nil"/>
              <w:bottom w:val="single" w:sz="4" w:space="0" w:color="auto"/>
              <w:right w:val="single" w:sz="4" w:space="0" w:color="auto"/>
            </w:tcBorders>
            <w:shd w:val="clear" w:color="000000" w:fill="FFFF00"/>
            <w:hideMark/>
          </w:tcPr>
          <w:p w14:paraId="5C6B4369" w14:textId="77777777"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Expansion of MoF ICT infrastructure (in line with whole-of-government approach) to host new IFMIS</w:t>
            </w:r>
          </w:p>
        </w:tc>
        <w:tc>
          <w:tcPr>
            <w:tcW w:w="1403" w:type="dxa"/>
            <w:tcBorders>
              <w:top w:val="nil"/>
              <w:left w:val="nil"/>
              <w:bottom w:val="single" w:sz="4" w:space="0" w:color="auto"/>
              <w:right w:val="single" w:sz="4" w:space="0" w:color="auto"/>
            </w:tcBorders>
            <w:shd w:val="clear" w:color="000000" w:fill="FFFF00"/>
            <w:noWrap/>
            <w:hideMark/>
          </w:tcPr>
          <w:p w14:paraId="1A060B7B"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357" w:type="dxa"/>
            <w:tcBorders>
              <w:top w:val="nil"/>
              <w:left w:val="nil"/>
              <w:bottom w:val="single" w:sz="4" w:space="0" w:color="auto"/>
              <w:right w:val="single" w:sz="4" w:space="0" w:color="auto"/>
            </w:tcBorders>
            <w:shd w:val="clear" w:color="000000" w:fill="FFFF00"/>
            <w:noWrap/>
            <w:hideMark/>
          </w:tcPr>
          <w:p w14:paraId="74F33C95"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3268043C"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hideMark/>
          </w:tcPr>
          <w:p w14:paraId="5B773F0C"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29549BEF" w14:textId="77777777" w:rsidTr="00E32BC1">
        <w:trPr>
          <w:trHeight w:val="705"/>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78BDC938"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3</w:t>
            </w:r>
          </w:p>
        </w:tc>
        <w:tc>
          <w:tcPr>
            <w:tcW w:w="2680" w:type="dxa"/>
            <w:tcBorders>
              <w:top w:val="nil"/>
              <w:left w:val="nil"/>
              <w:bottom w:val="single" w:sz="4" w:space="0" w:color="auto"/>
              <w:right w:val="single" w:sz="4" w:space="0" w:color="auto"/>
            </w:tcBorders>
            <w:shd w:val="clear" w:color="000000" w:fill="FFFF00"/>
            <w:hideMark/>
          </w:tcPr>
          <w:p w14:paraId="23DD6BB9" w14:textId="19A0FBC8"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Capacity strengthening training and change management to support OBL reforms and IFMIS operations</w:t>
            </w:r>
          </w:p>
        </w:tc>
        <w:tc>
          <w:tcPr>
            <w:tcW w:w="1403" w:type="dxa"/>
            <w:tcBorders>
              <w:top w:val="nil"/>
              <w:left w:val="nil"/>
              <w:bottom w:val="single" w:sz="4" w:space="0" w:color="auto"/>
              <w:right w:val="single" w:sz="4" w:space="0" w:color="auto"/>
            </w:tcBorders>
            <w:shd w:val="clear" w:color="000000" w:fill="FFFF00"/>
            <w:noWrap/>
            <w:hideMark/>
          </w:tcPr>
          <w:p w14:paraId="007A4DC9"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357" w:type="dxa"/>
            <w:tcBorders>
              <w:top w:val="nil"/>
              <w:left w:val="nil"/>
              <w:bottom w:val="single" w:sz="4" w:space="0" w:color="auto"/>
              <w:right w:val="single" w:sz="4" w:space="0" w:color="auto"/>
            </w:tcBorders>
            <w:shd w:val="clear" w:color="000000" w:fill="FFFF00"/>
            <w:noWrap/>
            <w:hideMark/>
          </w:tcPr>
          <w:p w14:paraId="6F06C69F"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71FEC137"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hideMark/>
          </w:tcPr>
          <w:p w14:paraId="55473F4F"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0D4944DC"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00FF00"/>
            <w:noWrap/>
            <w:hideMark/>
          </w:tcPr>
          <w:p w14:paraId="2DEED852" w14:textId="7A76D40F" w:rsidR="006A78BE" w:rsidRPr="00D30847" w:rsidRDefault="006A78BE" w:rsidP="006A78BE">
            <w:pPr>
              <w:spacing w:after="0" w:line="240" w:lineRule="auto"/>
              <w:jc w:val="center"/>
              <w:rPr>
                <w:rFonts w:eastAsia="Times New Roman"/>
                <w:b/>
                <w:bCs/>
                <w:sz w:val="20"/>
                <w:szCs w:val="20"/>
                <w:lang w:val="en-GB" w:eastAsia="mk-MK"/>
              </w:rPr>
            </w:pPr>
            <w:r w:rsidRPr="00D30847">
              <w:rPr>
                <w:rFonts w:eastAsia="Times New Roman"/>
                <w:b/>
                <w:bCs/>
                <w:sz w:val="20"/>
                <w:szCs w:val="20"/>
                <w:lang w:val="en-GB" w:eastAsia="mk-MK"/>
              </w:rPr>
              <w:t>Priority 2.</w:t>
            </w:r>
          </w:p>
        </w:tc>
        <w:tc>
          <w:tcPr>
            <w:tcW w:w="2680" w:type="dxa"/>
            <w:tcBorders>
              <w:top w:val="nil"/>
              <w:left w:val="nil"/>
              <w:bottom w:val="single" w:sz="4" w:space="0" w:color="auto"/>
              <w:right w:val="single" w:sz="4" w:space="0" w:color="auto"/>
            </w:tcBorders>
            <w:shd w:val="clear" w:color="000000" w:fill="00FF00"/>
            <w:hideMark/>
          </w:tcPr>
          <w:p w14:paraId="3EED99FB" w14:textId="6F9D285A" w:rsidR="006A78BE" w:rsidRPr="00D30847" w:rsidRDefault="006A78BE" w:rsidP="00DB2C0A">
            <w:pPr>
              <w:spacing w:after="0" w:line="240" w:lineRule="auto"/>
              <w:jc w:val="both"/>
              <w:rPr>
                <w:rFonts w:eastAsia="Times New Roman"/>
                <w:b/>
                <w:bCs/>
                <w:sz w:val="18"/>
                <w:szCs w:val="18"/>
                <w:lang w:val="en-GB" w:eastAsia="mk-MK"/>
              </w:rPr>
            </w:pPr>
            <w:r w:rsidRPr="00D30847">
              <w:rPr>
                <w:rFonts w:eastAsia="Times New Roman"/>
                <w:b/>
                <w:bCs/>
                <w:sz w:val="18"/>
                <w:szCs w:val="18"/>
                <w:lang w:val="en-GB" w:eastAsia="mk-MK"/>
              </w:rPr>
              <w:t xml:space="preserve">Public </w:t>
            </w:r>
            <w:r w:rsidR="00DB2C0A" w:rsidRPr="00D30847">
              <w:rPr>
                <w:rFonts w:eastAsia="Times New Roman"/>
                <w:b/>
                <w:bCs/>
                <w:sz w:val="18"/>
                <w:szCs w:val="18"/>
                <w:lang w:val="en-GB" w:eastAsia="mk-MK"/>
              </w:rPr>
              <w:t>Finance A</w:t>
            </w:r>
            <w:r w:rsidRPr="00D30847">
              <w:rPr>
                <w:rFonts w:eastAsia="Times New Roman"/>
                <w:b/>
                <w:bCs/>
                <w:sz w:val="18"/>
                <w:szCs w:val="18"/>
                <w:lang w:val="en-GB" w:eastAsia="mk-MK"/>
              </w:rPr>
              <w:t>cademy</w:t>
            </w:r>
            <w:r w:rsidR="00483296" w:rsidRPr="00D30847">
              <w:rPr>
                <w:rFonts w:eastAsia="Times New Roman"/>
                <w:b/>
                <w:bCs/>
                <w:sz w:val="18"/>
                <w:szCs w:val="18"/>
                <w:lang w:val="en-GB" w:eastAsia="mk-MK"/>
              </w:rPr>
              <w:t xml:space="preserve"> (Learning organisation)</w:t>
            </w:r>
          </w:p>
        </w:tc>
        <w:tc>
          <w:tcPr>
            <w:tcW w:w="1403" w:type="dxa"/>
            <w:tcBorders>
              <w:top w:val="nil"/>
              <w:left w:val="nil"/>
              <w:bottom w:val="single" w:sz="4" w:space="0" w:color="auto"/>
              <w:right w:val="single" w:sz="4" w:space="0" w:color="auto"/>
            </w:tcBorders>
            <w:shd w:val="clear" w:color="000000" w:fill="00FF00"/>
            <w:noWrap/>
            <w:hideMark/>
          </w:tcPr>
          <w:p w14:paraId="3C390401" w14:textId="135D8A48" w:rsidR="006A78BE" w:rsidRPr="00D30847" w:rsidRDefault="00BF13B4"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104</w:t>
            </w:r>
            <w:r w:rsidR="006A78BE" w:rsidRPr="00D30847">
              <w:rPr>
                <w:rFonts w:eastAsia="Times New Roman"/>
                <w:b/>
                <w:bCs/>
                <w:sz w:val="18"/>
                <w:szCs w:val="18"/>
                <w:lang w:val="en-GB" w:eastAsia="mk-MK"/>
              </w:rPr>
              <w:t>,000</w:t>
            </w:r>
          </w:p>
        </w:tc>
        <w:tc>
          <w:tcPr>
            <w:tcW w:w="1357" w:type="dxa"/>
            <w:tcBorders>
              <w:top w:val="nil"/>
              <w:left w:val="nil"/>
              <w:bottom w:val="single" w:sz="4" w:space="0" w:color="auto"/>
              <w:right w:val="single" w:sz="4" w:space="0" w:color="auto"/>
            </w:tcBorders>
            <w:shd w:val="clear" w:color="000000" w:fill="00FF00"/>
            <w:noWrap/>
            <w:hideMark/>
          </w:tcPr>
          <w:p w14:paraId="725B81B0" w14:textId="31CB9D8D" w:rsidR="006A78BE" w:rsidRPr="00D30847" w:rsidRDefault="00BF13B4"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2</w:t>
            </w:r>
            <w:r w:rsidR="00AF2127" w:rsidRPr="00D30847">
              <w:rPr>
                <w:rFonts w:eastAsia="Times New Roman"/>
                <w:b/>
                <w:bCs/>
                <w:sz w:val="18"/>
                <w:szCs w:val="18"/>
                <w:lang w:val="en-GB" w:eastAsia="mk-MK"/>
              </w:rPr>
              <w:t>5</w:t>
            </w:r>
            <w:r w:rsidRPr="00D30847">
              <w:rPr>
                <w:rFonts w:eastAsia="Times New Roman"/>
                <w:b/>
                <w:bCs/>
                <w:sz w:val="18"/>
                <w:szCs w:val="18"/>
                <w:lang w:val="en-GB" w:eastAsia="mk-MK"/>
              </w:rPr>
              <w:t>,00</w:t>
            </w:r>
            <w:r w:rsidR="006A78BE" w:rsidRPr="00D30847">
              <w:rPr>
                <w:rFonts w:eastAsia="Times New Roman"/>
                <w:b/>
                <w:bCs/>
                <w:sz w:val="18"/>
                <w:szCs w:val="18"/>
                <w:lang w:val="en-GB" w:eastAsia="mk-MK"/>
              </w:rPr>
              <w:t>0</w:t>
            </w:r>
          </w:p>
        </w:tc>
        <w:tc>
          <w:tcPr>
            <w:tcW w:w="1261" w:type="dxa"/>
            <w:tcBorders>
              <w:top w:val="nil"/>
              <w:left w:val="nil"/>
              <w:bottom w:val="single" w:sz="4" w:space="0" w:color="auto"/>
              <w:right w:val="single" w:sz="4" w:space="0" w:color="auto"/>
            </w:tcBorders>
            <w:shd w:val="clear" w:color="000000" w:fill="00FF00"/>
            <w:noWrap/>
            <w:hideMark/>
          </w:tcPr>
          <w:p w14:paraId="3B8B2949" w14:textId="4E6EC102" w:rsidR="006A78BE" w:rsidRPr="00D30847" w:rsidRDefault="00415C44"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196" w:type="dxa"/>
            <w:tcBorders>
              <w:top w:val="nil"/>
              <w:left w:val="nil"/>
              <w:bottom w:val="single" w:sz="4" w:space="0" w:color="auto"/>
              <w:right w:val="single" w:sz="8" w:space="0" w:color="auto"/>
            </w:tcBorders>
            <w:shd w:val="clear" w:color="000000" w:fill="00FF00"/>
            <w:noWrap/>
            <w:hideMark/>
          </w:tcPr>
          <w:p w14:paraId="64BBA22B" w14:textId="56A775FC" w:rsidR="006A78BE" w:rsidRPr="00D30847" w:rsidRDefault="00415C44"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79,000</w:t>
            </w:r>
          </w:p>
        </w:tc>
      </w:tr>
      <w:tr w:rsidR="00BF1348" w:rsidRPr="00D30847" w14:paraId="2FCECC1D"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4EE35B5A"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1.</w:t>
            </w:r>
          </w:p>
        </w:tc>
        <w:tc>
          <w:tcPr>
            <w:tcW w:w="2680" w:type="dxa"/>
            <w:tcBorders>
              <w:top w:val="nil"/>
              <w:left w:val="nil"/>
              <w:bottom w:val="single" w:sz="4" w:space="0" w:color="auto"/>
              <w:right w:val="single" w:sz="4" w:space="0" w:color="auto"/>
            </w:tcBorders>
            <w:shd w:val="clear" w:color="000000" w:fill="FFFF00"/>
            <w:hideMark/>
          </w:tcPr>
          <w:p w14:paraId="033464B7" w14:textId="287D9C4D" w:rsidR="006A78BE" w:rsidRPr="00D30847" w:rsidRDefault="00BF13B4"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Digital presence of the Public Finance Academy</w:t>
            </w:r>
          </w:p>
        </w:tc>
        <w:tc>
          <w:tcPr>
            <w:tcW w:w="1403" w:type="dxa"/>
            <w:tcBorders>
              <w:top w:val="nil"/>
              <w:left w:val="nil"/>
              <w:bottom w:val="single" w:sz="4" w:space="0" w:color="auto"/>
              <w:right w:val="single" w:sz="4" w:space="0" w:color="auto"/>
            </w:tcBorders>
            <w:shd w:val="clear" w:color="000000" w:fill="FFFF00"/>
            <w:noWrap/>
            <w:hideMark/>
          </w:tcPr>
          <w:p w14:paraId="0C086BDE" w14:textId="3687D1E2"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5</w:t>
            </w:r>
            <w:r w:rsidR="00BF13B4" w:rsidRPr="00D30847">
              <w:rPr>
                <w:rFonts w:eastAsia="Times New Roman"/>
                <w:sz w:val="18"/>
                <w:szCs w:val="18"/>
                <w:lang w:val="en-GB" w:eastAsia="mk-MK"/>
              </w:rPr>
              <w:t>0</w:t>
            </w:r>
            <w:r w:rsidRPr="00D30847">
              <w:rPr>
                <w:rFonts w:eastAsia="Times New Roman"/>
                <w:sz w:val="18"/>
                <w:szCs w:val="18"/>
                <w:lang w:val="en-GB" w:eastAsia="mk-MK"/>
              </w:rPr>
              <w:t>,000</w:t>
            </w:r>
          </w:p>
        </w:tc>
        <w:tc>
          <w:tcPr>
            <w:tcW w:w="1357" w:type="dxa"/>
            <w:tcBorders>
              <w:top w:val="nil"/>
              <w:left w:val="nil"/>
              <w:bottom w:val="single" w:sz="4" w:space="0" w:color="auto"/>
              <w:right w:val="single" w:sz="4" w:space="0" w:color="auto"/>
            </w:tcBorders>
            <w:shd w:val="clear" w:color="000000" w:fill="FFFF00"/>
            <w:noWrap/>
            <w:hideMark/>
          </w:tcPr>
          <w:p w14:paraId="3A1EDDA5" w14:textId="7C236451" w:rsidR="006A78BE" w:rsidRPr="00D30847" w:rsidRDefault="00D833B3"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3</w:t>
            </w:r>
            <w:r w:rsidR="00BF13B4" w:rsidRPr="00D30847">
              <w:rPr>
                <w:rFonts w:eastAsia="Times New Roman"/>
                <w:sz w:val="18"/>
                <w:szCs w:val="18"/>
                <w:lang w:val="en-GB" w:eastAsia="mk-MK"/>
              </w:rPr>
              <w:t>,00</w:t>
            </w:r>
            <w:r w:rsidR="006A78BE" w:rsidRPr="00D30847">
              <w:rPr>
                <w:rFonts w:eastAsia="Times New Roman"/>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4D29E40A" w14:textId="7639D54C" w:rsidR="006A78BE" w:rsidRPr="00D30847" w:rsidRDefault="00D833B3"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hideMark/>
          </w:tcPr>
          <w:p w14:paraId="5B1E2DC5" w14:textId="210BB8BE" w:rsidR="006A78BE" w:rsidRPr="00D30847" w:rsidRDefault="00D833B3"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47,000</w:t>
            </w:r>
          </w:p>
        </w:tc>
      </w:tr>
      <w:tr w:rsidR="00BF1348" w:rsidRPr="00D30847" w14:paraId="09E80CB8"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2B793D71"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2.</w:t>
            </w:r>
          </w:p>
        </w:tc>
        <w:tc>
          <w:tcPr>
            <w:tcW w:w="2680" w:type="dxa"/>
            <w:tcBorders>
              <w:top w:val="nil"/>
              <w:left w:val="nil"/>
              <w:bottom w:val="single" w:sz="4" w:space="0" w:color="auto"/>
              <w:right w:val="single" w:sz="4" w:space="0" w:color="auto"/>
            </w:tcBorders>
            <w:shd w:val="clear" w:color="000000" w:fill="FFFF00"/>
            <w:hideMark/>
          </w:tcPr>
          <w:p w14:paraId="6536E7C6" w14:textId="7A69088B" w:rsidR="006A78BE" w:rsidRPr="00D30847" w:rsidRDefault="00BF13B4"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Development of a program for head servants</w:t>
            </w:r>
          </w:p>
        </w:tc>
        <w:tc>
          <w:tcPr>
            <w:tcW w:w="1403" w:type="dxa"/>
            <w:tcBorders>
              <w:top w:val="nil"/>
              <w:left w:val="nil"/>
              <w:bottom w:val="single" w:sz="4" w:space="0" w:color="auto"/>
              <w:right w:val="single" w:sz="4" w:space="0" w:color="auto"/>
            </w:tcBorders>
            <w:shd w:val="clear" w:color="000000" w:fill="FFFF00"/>
            <w:noWrap/>
            <w:hideMark/>
          </w:tcPr>
          <w:p w14:paraId="06667AF6" w14:textId="2A79C3E5" w:rsidR="006A78BE" w:rsidRPr="00D30847" w:rsidRDefault="00BF13B4"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1</w:t>
            </w:r>
            <w:r w:rsidR="006A78BE" w:rsidRPr="00D30847">
              <w:rPr>
                <w:rFonts w:eastAsia="Times New Roman"/>
                <w:sz w:val="18"/>
                <w:szCs w:val="18"/>
                <w:lang w:val="en-GB" w:eastAsia="mk-MK"/>
              </w:rPr>
              <w:t>0,000</w:t>
            </w:r>
          </w:p>
        </w:tc>
        <w:tc>
          <w:tcPr>
            <w:tcW w:w="1357" w:type="dxa"/>
            <w:tcBorders>
              <w:top w:val="nil"/>
              <w:left w:val="nil"/>
              <w:bottom w:val="single" w:sz="4" w:space="0" w:color="auto"/>
              <w:right w:val="single" w:sz="4" w:space="0" w:color="auto"/>
            </w:tcBorders>
            <w:shd w:val="clear" w:color="000000" w:fill="FFFF00"/>
            <w:noWrap/>
            <w:hideMark/>
          </w:tcPr>
          <w:p w14:paraId="2487F5A7" w14:textId="09B47C4C" w:rsidR="006A78BE" w:rsidRPr="00D30847" w:rsidRDefault="00BF13B4"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2,00</w:t>
            </w:r>
            <w:r w:rsidR="006A78BE" w:rsidRPr="00D30847">
              <w:rPr>
                <w:rFonts w:eastAsia="Times New Roman"/>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0EE7C9AF" w14:textId="784DEAD7" w:rsidR="006A78BE" w:rsidRPr="00D30847" w:rsidRDefault="00E06BA5"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hideMark/>
          </w:tcPr>
          <w:p w14:paraId="6D30F306" w14:textId="1DF93307" w:rsidR="006A78BE" w:rsidRPr="00D30847" w:rsidRDefault="00E06BA5"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8,000</w:t>
            </w:r>
          </w:p>
        </w:tc>
      </w:tr>
      <w:tr w:rsidR="00BF1348" w:rsidRPr="00D30847" w14:paraId="5AABB267"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263C92BC"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3.</w:t>
            </w:r>
          </w:p>
        </w:tc>
        <w:tc>
          <w:tcPr>
            <w:tcW w:w="2680" w:type="dxa"/>
            <w:tcBorders>
              <w:top w:val="nil"/>
              <w:left w:val="nil"/>
              <w:bottom w:val="single" w:sz="4" w:space="0" w:color="auto"/>
              <w:right w:val="single" w:sz="4" w:space="0" w:color="auto"/>
            </w:tcBorders>
            <w:shd w:val="clear" w:color="000000" w:fill="FFFF00"/>
            <w:hideMark/>
          </w:tcPr>
          <w:p w14:paraId="7CD6105B" w14:textId="5C674073" w:rsidR="006A78BE" w:rsidRPr="00D30847" w:rsidRDefault="00BF13B4"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Involvement of stakeholders and the public</w:t>
            </w:r>
          </w:p>
        </w:tc>
        <w:tc>
          <w:tcPr>
            <w:tcW w:w="1403" w:type="dxa"/>
            <w:tcBorders>
              <w:top w:val="nil"/>
              <w:left w:val="nil"/>
              <w:bottom w:val="single" w:sz="4" w:space="0" w:color="auto"/>
              <w:right w:val="single" w:sz="4" w:space="0" w:color="auto"/>
            </w:tcBorders>
            <w:shd w:val="clear" w:color="000000" w:fill="FFFF00"/>
            <w:noWrap/>
            <w:hideMark/>
          </w:tcPr>
          <w:p w14:paraId="3B3E8000" w14:textId="00207577" w:rsidR="006A78BE" w:rsidRPr="00D30847" w:rsidRDefault="00BF13B4"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16</w:t>
            </w:r>
            <w:r w:rsidR="006A78BE" w:rsidRPr="00D30847">
              <w:rPr>
                <w:rFonts w:eastAsia="Times New Roman"/>
                <w:sz w:val="18"/>
                <w:szCs w:val="18"/>
                <w:lang w:val="en-GB" w:eastAsia="mk-MK"/>
              </w:rPr>
              <w:t>,000</w:t>
            </w:r>
          </w:p>
        </w:tc>
        <w:tc>
          <w:tcPr>
            <w:tcW w:w="1357" w:type="dxa"/>
            <w:tcBorders>
              <w:top w:val="nil"/>
              <w:left w:val="nil"/>
              <w:bottom w:val="single" w:sz="4" w:space="0" w:color="auto"/>
              <w:right w:val="single" w:sz="4" w:space="0" w:color="auto"/>
            </w:tcBorders>
            <w:shd w:val="clear" w:color="000000" w:fill="FFFF00"/>
            <w:noWrap/>
            <w:hideMark/>
          </w:tcPr>
          <w:p w14:paraId="67C14D19" w14:textId="3539C860" w:rsidR="006A78BE" w:rsidRPr="00D30847" w:rsidRDefault="00BF13B4"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8,00</w:t>
            </w:r>
            <w:r w:rsidR="006A78BE" w:rsidRPr="00D30847">
              <w:rPr>
                <w:rFonts w:eastAsia="Times New Roman"/>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7DB7B4C2" w14:textId="2017DA32" w:rsidR="006A78BE" w:rsidRPr="00D30847" w:rsidRDefault="00687F0F"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hideMark/>
          </w:tcPr>
          <w:p w14:paraId="0B9E8046" w14:textId="6C50B9BC" w:rsidR="006A78BE" w:rsidRPr="00D30847" w:rsidRDefault="00687F0F"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8,000</w:t>
            </w:r>
          </w:p>
        </w:tc>
      </w:tr>
      <w:tr w:rsidR="00BF13B4" w:rsidRPr="00D30847" w14:paraId="519FD001" w14:textId="77777777" w:rsidTr="00676DC5">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FFFF00"/>
            <w:noWrap/>
          </w:tcPr>
          <w:p w14:paraId="3F4ACCA4" w14:textId="563D6E1B" w:rsidR="00BF13B4" w:rsidRPr="00D30847" w:rsidRDefault="00BF13B4"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4.</w:t>
            </w:r>
          </w:p>
        </w:tc>
        <w:tc>
          <w:tcPr>
            <w:tcW w:w="2680" w:type="dxa"/>
            <w:tcBorders>
              <w:top w:val="nil"/>
              <w:left w:val="nil"/>
              <w:bottom w:val="single" w:sz="4" w:space="0" w:color="auto"/>
              <w:right w:val="single" w:sz="4" w:space="0" w:color="auto"/>
            </w:tcBorders>
            <w:shd w:val="clear" w:color="000000" w:fill="FFFF00"/>
          </w:tcPr>
          <w:p w14:paraId="33997E41" w14:textId="50F7F50A" w:rsidR="00BF13B4" w:rsidRPr="00D30847" w:rsidRDefault="00BF13B4"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Sustainable finance in the public sector</w:t>
            </w:r>
          </w:p>
        </w:tc>
        <w:tc>
          <w:tcPr>
            <w:tcW w:w="1403" w:type="dxa"/>
            <w:tcBorders>
              <w:top w:val="nil"/>
              <w:left w:val="nil"/>
              <w:bottom w:val="single" w:sz="4" w:space="0" w:color="auto"/>
              <w:right w:val="single" w:sz="4" w:space="0" w:color="auto"/>
            </w:tcBorders>
            <w:shd w:val="clear" w:color="000000" w:fill="FFFF00"/>
            <w:noWrap/>
          </w:tcPr>
          <w:p w14:paraId="228D52D1" w14:textId="5024C762" w:rsidR="00BF13B4" w:rsidRPr="00D30847" w:rsidRDefault="00BF13B4"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28,000</w:t>
            </w:r>
          </w:p>
        </w:tc>
        <w:tc>
          <w:tcPr>
            <w:tcW w:w="1357" w:type="dxa"/>
            <w:tcBorders>
              <w:top w:val="nil"/>
              <w:left w:val="nil"/>
              <w:bottom w:val="single" w:sz="4" w:space="0" w:color="auto"/>
              <w:right w:val="single" w:sz="4" w:space="0" w:color="auto"/>
            </w:tcBorders>
            <w:shd w:val="clear" w:color="000000" w:fill="FFFF00"/>
            <w:noWrap/>
          </w:tcPr>
          <w:p w14:paraId="22AECF2E" w14:textId="5AB77384" w:rsidR="00BF13B4" w:rsidRPr="00D30847" w:rsidRDefault="00BF13B4"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12,000</w:t>
            </w:r>
          </w:p>
        </w:tc>
        <w:tc>
          <w:tcPr>
            <w:tcW w:w="1261" w:type="dxa"/>
            <w:tcBorders>
              <w:top w:val="nil"/>
              <w:left w:val="nil"/>
              <w:bottom w:val="single" w:sz="4" w:space="0" w:color="auto"/>
              <w:right w:val="single" w:sz="4" w:space="0" w:color="auto"/>
            </w:tcBorders>
            <w:shd w:val="clear" w:color="000000" w:fill="FFFF00"/>
            <w:noWrap/>
          </w:tcPr>
          <w:p w14:paraId="274ED47B" w14:textId="678E3554" w:rsidR="00BF13B4" w:rsidRPr="00D30847" w:rsidRDefault="00B6498D"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tcPr>
          <w:p w14:paraId="163A3213" w14:textId="018A2C73" w:rsidR="00BF13B4" w:rsidRPr="00D30847" w:rsidRDefault="00B6498D"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16,000</w:t>
            </w:r>
          </w:p>
        </w:tc>
      </w:tr>
      <w:tr w:rsidR="00BF1348" w:rsidRPr="00D30847" w14:paraId="6C7AD1FD" w14:textId="77777777" w:rsidTr="00E32BC1">
        <w:trPr>
          <w:trHeight w:val="300"/>
        </w:trPr>
        <w:tc>
          <w:tcPr>
            <w:tcW w:w="3787" w:type="dxa"/>
            <w:gridSpan w:val="2"/>
            <w:tcBorders>
              <w:top w:val="single" w:sz="4" w:space="0" w:color="auto"/>
              <w:left w:val="single" w:sz="8" w:space="0" w:color="auto"/>
              <w:bottom w:val="single" w:sz="4" w:space="0" w:color="auto"/>
              <w:right w:val="single" w:sz="4" w:space="0" w:color="auto"/>
            </w:tcBorders>
            <w:shd w:val="clear" w:color="000000" w:fill="00B0F0"/>
            <w:noWrap/>
            <w:vAlign w:val="bottom"/>
            <w:hideMark/>
          </w:tcPr>
          <w:p w14:paraId="07E8035F" w14:textId="77777777" w:rsidR="006A78BE" w:rsidRPr="00D30847" w:rsidRDefault="006A78BE" w:rsidP="006A78BE">
            <w:pPr>
              <w:spacing w:after="0" w:line="240" w:lineRule="auto"/>
              <w:jc w:val="both"/>
              <w:rPr>
                <w:rFonts w:eastAsia="Times New Roman"/>
                <w:b/>
                <w:bCs/>
                <w:lang w:val="en-GB" w:eastAsia="mk-MK"/>
              </w:rPr>
            </w:pPr>
            <w:proofErr w:type="spellStart"/>
            <w:r w:rsidRPr="00D30847">
              <w:rPr>
                <w:rFonts w:eastAsia="Times New Roman"/>
                <w:b/>
                <w:bCs/>
                <w:lang w:val="en-GB" w:eastAsia="mk-MK"/>
              </w:rPr>
              <w:t>VI.Pillar</w:t>
            </w:r>
            <w:proofErr w:type="spellEnd"/>
            <w:r w:rsidRPr="00D30847">
              <w:rPr>
                <w:rFonts w:eastAsia="Times New Roman"/>
                <w:b/>
                <w:bCs/>
                <w:lang w:val="en-GB" w:eastAsia="mk-MK"/>
              </w:rPr>
              <w:t>- Public Internal Financial Control</w:t>
            </w:r>
          </w:p>
        </w:tc>
        <w:tc>
          <w:tcPr>
            <w:tcW w:w="1403" w:type="dxa"/>
            <w:tcBorders>
              <w:top w:val="nil"/>
              <w:left w:val="nil"/>
              <w:bottom w:val="single" w:sz="4" w:space="0" w:color="auto"/>
              <w:right w:val="single" w:sz="4" w:space="0" w:color="auto"/>
            </w:tcBorders>
            <w:shd w:val="clear" w:color="000000" w:fill="00B0F0"/>
            <w:noWrap/>
            <w:vAlign w:val="bottom"/>
            <w:hideMark/>
          </w:tcPr>
          <w:p w14:paraId="6AD600D7" w14:textId="58353776"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2</w:t>
            </w:r>
            <w:r w:rsidR="00BF13B4" w:rsidRPr="00D30847">
              <w:rPr>
                <w:rFonts w:eastAsia="Times New Roman"/>
                <w:b/>
                <w:bCs/>
                <w:sz w:val="18"/>
                <w:szCs w:val="18"/>
                <w:lang w:val="en-GB" w:eastAsia="mk-MK"/>
              </w:rPr>
              <w:t>2</w:t>
            </w:r>
            <w:r w:rsidRPr="00D30847">
              <w:rPr>
                <w:rFonts w:eastAsia="Times New Roman"/>
                <w:b/>
                <w:bCs/>
                <w:sz w:val="18"/>
                <w:szCs w:val="18"/>
                <w:lang w:val="en-GB" w:eastAsia="mk-MK"/>
              </w:rPr>
              <w:t>7,000</w:t>
            </w:r>
          </w:p>
        </w:tc>
        <w:tc>
          <w:tcPr>
            <w:tcW w:w="1357" w:type="dxa"/>
            <w:tcBorders>
              <w:top w:val="nil"/>
              <w:left w:val="nil"/>
              <w:bottom w:val="single" w:sz="4" w:space="0" w:color="auto"/>
              <w:right w:val="single" w:sz="4" w:space="0" w:color="auto"/>
            </w:tcBorders>
            <w:shd w:val="clear" w:color="000000" w:fill="00B0F0"/>
            <w:noWrap/>
            <w:vAlign w:val="bottom"/>
            <w:hideMark/>
          </w:tcPr>
          <w:p w14:paraId="2EEB3430"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207,000</w:t>
            </w:r>
          </w:p>
        </w:tc>
        <w:tc>
          <w:tcPr>
            <w:tcW w:w="1261" w:type="dxa"/>
            <w:tcBorders>
              <w:top w:val="nil"/>
              <w:left w:val="nil"/>
              <w:bottom w:val="single" w:sz="4" w:space="0" w:color="auto"/>
              <w:right w:val="single" w:sz="4" w:space="0" w:color="auto"/>
            </w:tcBorders>
            <w:shd w:val="clear" w:color="000000" w:fill="00B0F0"/>
            <w:noWrap/>
            <w:vAlign w:val="bottom"/>
            <w:hideMark/>
          </w:tcPr>
          <w:p w14:paraId="103DE77D" w14:textId="0C9D8C40" w:rsidR="006A78BE" w:rsidRPr="00D30847" w:rsidRDefault="007F5630"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2</w:t>
            </w:r>
            <w:r w:rsidR="006A78BE" w:rsidRPr="00D30847">
              <w:rPr>
                <w:rFonts w:eastAsia="Times New Roman"/>
                <w:b/>
                <w:bCs/>
                <w:sz w:val="18"/>
                <w:szCs w:val="18"/>
                <w:lang w:val="en-GB" w:eastAsia="mk-MK"/>
              </w:rPr>
              <w:t>0,000</w:t>
            </w:r>
          </w:p>
        </w:tc>
        <w:tc>
          <w:tcPr>
            <w:tcW w:w="1196" w:type="dxa"/>
            <w:tcBorders>
              <w:top w:val="nil"/>
              <w:left w:val="nil"/>
              <w:bottom w:val="single" w:sz="4" w:space="0" w:color="auto"/>
              <w:right w:val="single" w:sz="8" w:space="0" w:color="auto"/>
            </w:tcBorders>
            <w:shd w:val="clear" w:color="000000" w:fill="00B0F0"/>
            <w:noWrap/>
            <w:vAlign w:val="bottom"/>
            <w:hideMark/>
          </w:tcPr>
          <w:p w14:paraId="31E655EA"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r>
      <w:tr w:rsidR="00BF1348" w:rsidRPr="00D30847" w14:paraId="5D7040E6" w14:textId="77777777" w:rsidTr="00DB2C0A">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00FF00"/>
            <w:noWrap/>
            <w:hideMark/>
          </w:tcPr>
          <w:p w14:paraId="3ED6CAE6" w14:textId="77777777" w:rsidR="006A78BE" w:rsidRPr="00D30847" w:rsidRDefault="006A78BE" w:rsidP="006A78BE">
            <w:pPr>
              <w:spacing w:after="0" w:line="240" w:lineRule="auto"/>
              <w:jc w:val="center"/>
              <w:rPr>
                <w:rFonts w:eastAsia="Times New Roman"/>
                <w:b/>
                <w:bCs/>
                <w:sz w:val="20"/>
                <w:szCs w:val="20"/>
                <w:lang w:val="en-GB" w:eastAsia="mk-MK"/>
              </w:rPr>
            </w:pPr>
            <w:r w:rsidRPr="00D30847">
              <w:rPr>
                <w:rFonts w:eastAsia="Times New Roman"/>
                <w:b/>
                <w:bCs/>
                <w:sz w:val="20"/>
                <w:szCs w:val="20"/>
                <w:lang w:val="en-GB" w:eastAsia="mk-MK"/>
              </w:rPr>
              <w:lastRenderedPageBreak/>
              <w:t>Priority 1.</w:t>
            </w:r>
          </w:p>
        </w:tc>
        <w:tc>
          <w:tcPr>
            <w:tcW w:w="2680" w:type="dxa"/>
            <w:tcBorders>
              <w:top w:val="nil"/>
              <w:left w:val="nil"/>
              <w:bottom w:val="single" w:sz="4" w:space="0" w:color="auto"/>
              <w:right w:val="single" w:sz="4" w:space="0" w:color="auto"/>
            </w:tcBorders>
            <w:shd w:val="clear" w:color="000000" w:fill="00FF00"/>
            <w:hideMark/>
          </w:tcPr>
          <w:p w14:paraId="5132BA49" w14:textId="730C78DB" w:rsidR="006A78BE" w:rsidRPr="00D30847" w:rsidRDefault="00DB2C0A" w:rsidP="006A78BE">
            <w:pPr>
              <w:spacing w:after="0" w:line="240" w:lineRule="auto"/>
              <w:jc w:val="both"/>
              <w:rPr>
                <w:rFonts w:eastAsia="Times New Roman"/>
                <w:b/>
                <w:bCs/>
                <w:sz w:val="18"/>
                <w:szCs w:val="18"/>
                <w:lang w:val="en-GB" w:eastAsia="mk-MK"/>
              </w:rPr>
            </w:pPr>
            <w:r w:rsidRPr="00D30847">
              <w:rPr>
                <w:rFonts w:eastAsia="Times New Roman"/>
                <w:b/>
                <w:bCs/>
                <w:sz w:val="18"/>
                <w:szCs w:val="18"/>
                <w:lang w:val="en-GB" w:eastAsia="mk-MK"/>
              </w:rPr>
              <w:t>Financial Management and C</w:t>
            </w:r>
            <w:r w:rsidR="006A78BE" w:rsidRPr="00D30847">
              <w:rPr>
                <w:rFonts w:eastAsia="Times New Roman"/>
                <w:b/>
                <w:bCs/>
                <w:sz w:val="18"/>
                <w:szCs w:val="18"/>
                <w:lang w:val="en-GB" w:eastAsia="mk-MK"/>
              </w:rPr>
              <w:t>ontrol</w:t>
            </w:r>
          </w:p>
        </w:tc>
        <w:tc>
          <w:tcPr>
            <w:tcW w:w="1403" w:type="dxa"/>
            <w:tcBorders>
              <w:top w:val="nil"/>
              <w:left w:val="nil"/>
              <w:bottom w:val="single" w:sz="4" w:space="0" w:color="auto"/>
              <w:right w:val="single" w:sz="4" w:space="0" w:color="auto"/>
            </w:tcBorders>
            <w:shd w:val="clear" w:color="000000" w:fill="00FF00"/>
            <w:noWrap/>
            <w:hideMark/>
          </w:tcPr>
          <w:p w14:paraId="22216F78"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86,000</w:t>
            </w:r>
          </w:p>
        </w:tc>
        <w:tc>
          <w:tcPr>
            <w:tcW w:w="1357" w:type="dxa"/>
            <w:tcBorders>
              <w:top w:val="nil"/>
              <w:left w:val="nil"/>
              <w:bottom w:val="single" w:sz="4" w:space="0" w:color="auto"/>
              <w:right w:val="single" w:sz="4" w:space="0" w:color="auto"/>
            </w:tcBorders>
            <w:shd w:val="clear" w:color="000000" w:fill="00FF00"/>
            <w:noWrap/>
            <w:hideMark/>
          </w:tcPr>
          <w:p w14:paraId="77BE061D"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86,000</w:t>
            </w:r>
          </w:p>
        </w:tc>
        <w:tc>
          <w:tcPr>
            <w:tcW w:w="1261" w:type="dxa"/>
            <w:tcBorders>
              <w:top w:val="nil"/>
              <w:left w:val="nil"/>
              <w:bottom w:val="single" w:sz="4" w:space="0" w:color="auto"/>
              <w:right w:val="single" w:sz="4" w:space="0" w:color="auto"/>
            </w:tcBorders>
            <w:shd w:val="clear" w:color="000000" w:fill="00FF00"/>
            <w:noWrap/>
            <w:hideMark/>
          </w:tcPr>
          <w:p w14:paraId="4FFD773A"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196" w:type="dxa"/>
            <w:tcBorders>
              <w:top w:val="nil"/>
              <w:left w:val="nil"/>
              <w:bottom w:val="single" w:sz="4" w:space="0" w:color="auto"/>
              <w:right w:val="single" w:sz="8" w:space="0" w:color="auto"/>
            </w:tcBorders>
            <w:shd w:val="clear" w:color="000000" w:fill="00FF00"/>
            <w:noWrap/>
            <w:hideMark/>
          </w:tcPr>
          <w:p w14:paraId="49D3CD1A"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r>
      <w:tr w:rsidR="00BF1348" w:rsidRPr="00D30847" w14:paraId="52467EC4" w14:textId="77777777" w:rsidTr="00DB2C0A">
        <w:trPr>
          <w:trHeight w:val="585"/>
        </w:trPr>
        <w:tc>
          <w:tcPr>
            <w:tcW w:w="1107" w:type="dxa"/>
            <w:tcBorders>
              <w:top w:val="single" w:sz="4" w:space="0" w:color="auto"/>
              <w:left w:val="single" w:sz="4" w:space="0" w:color="auto"/>
              <w:bottom w:val="single" w:sz="4" w:space="0" w:color="auto"/>
              <w:right w:val="single" w:sz="4" w:space="0" w:color="auto"/>
            </w:tcBorders>
            <w:shd w:val="clear" w:color="000000" w:fill="FFFF00"/>
            <w:noWrap/>
            <w:hideMark/>
          </w:tcPr>
          <w:p w14:paraId="3676AB52"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1.</w:t>
            </w:r>
          </w:p>
        </w:tc>
        <w:tc>
          <w:tcPr>
            <w:tcW w:w="2680" w:type="dxa"/>
            <w:tcBorders>
              <w:top w:val="single" w:sz="4" w:space="0" w:color="auto"/>
              <w:left w:val="nil"/>
              <w:bottom w:val="single" w:sz="4" w:space="0" w:color="auto"/>
              <w:right w:val="single" w:sz="4" w:space="0" w:color="auto"/>
            </w:tcBorders>
            <w:shd w:val="clear" w:color="000000" w:fill="FFFF00"/>
            <w:hideMark/>
          </w:tcPr>
          <w:p w14:paraId="0197349F" w14:textId="77777777"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Creating the conditions for improvement of a system of financial management based on risk management</w:t>
            </w:r>
          </w:p>
        </w:tc>
        <w:tc>
          <w:tcPr>
            <w:tcW w:w="1403" w:type="dxa"/>
            <w:tcBorders>
              <w:top w:val="single" w:sz="4" w:space="0" w:color="auto"/>
              <w:left w:val="nil"/>
              <w:bottom w:val="single" w:sz="4" w:space="0" w:color="auto"/>
              <w:right w:val="single" w:sz="4" w:space="0" w:color="auto"/>
            </w:tcBorders>
            <w:shd w:val="clear" w:color="000000" w:fill="FFFF00"/>
            <w:noWrap/>
            <w:hideMark/>
          </w:tcPr>
          <w:p w14:paraId="20CA6459"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86,000</w:t>
            </w:r>
          </w:p>
        </w:tc>
        <w:tc>
          <w:tcPr>
            <w:tcW w:w="1357" w:type="dxa"/>
            <w:tcBorders>
              <w:top w:val="single" w:sz="4" w:space="0" w:color="auto"/>
              <w:left w:val="nil"/>
              <w:bottom w:val="single" w:sz="4" w:space="0" w:color="auto"/>
              <w:right w:val="single" w:sz="4" w:space="0" w:color="auto"/>
            </w:tcBorders>
            <w:shd w:val="clear" w:color="000000" w:fill="FFFF00"/>
            <w:noWrap/>
            <w:hideMark/>
          </w:tcPr>
          <w:p w14:paraId="0F7860BC"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86,000</w:t>
            </w:r>
          </w:p>
        </w:tc>
        <w:tc>
          <w:tcPr>
            <w:tcW w:w="1261" w:type="dxa"/>
            <w:tcBorders>
              <w:top w:val="single" w:sz="4" w:space="0" w:color="auto"/>
              <w:left w:val="nil"/>
              <w:bottom w:val="single" w:sz="4" w:space="0" w:color="auto"/>
              <w:right w:val="single" w:sz="4" w:space="0" w:color="auto"/>
            </w:tcBorders>
            <w:shd w:val="clear" w:color="000000" w:fill="FFFF00"/>
            <w:noWrap/>
            <w:hideMark/>
          </w:tcPr>
          <w:p w14:paraId="1823C655"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196" w:type="dxa"/>
            <w:tcBorders>
              <w:top w:val="single" w:sz="4" w:space="0" w:color="auto"/>
              <w:left w:val="nil"/>
              <w:bottom w:val="single" w:sz="4" w:space="0" w:color="auto"/>
              <w:right w:val="single" w:sz="4" w:space="0" w:color="auto"/>
            </w:tcBorders>
            <w:shd w:val="clear" w:color="000000" w:fill="FFFF00"/>
            <w:noWrap/>
            <w:hideMark/>
          </w:tcPr>
          <w:p w14:paraId="2F7C6549"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4421793D"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00FF00"/>
            <w:noWrap/>
            <w:hideMark/>
          </w:tcPr>
          <w:p w14:paraId="757A1435" w14:textId="77777777" w:rsidR="006A78BE" w:rsidRPr="00D30847" w:rsidRDefault="006A78BE" w:rsidP="006A78BE">
            <w:pPr>
              <w:spacing w:after="0" w:line="240" w:lineRule="auto"/>
              <w:jc w:val="center"/>
              <w:rPr>
                <w:rFonts w:eastAsia="Times New Roman"/>
                <w:b/>
                <w:bCs/>
                <w:sz w:val="20"/>
                <w:szCs w:val="20"/>
                <w:lang w:val="en-GB" w:eastAsia="mk-MK"/>
              </w:rPr>
            </w:pPr>
            <w:r w:rsidRPr="00D30847">
              <w:rPr>
                <w:rFonts w:eastAsia="Times New Roman"/>
                <w:b/>
                <w:bCs/>
                <w:sz w:val="20"/>
                <w:szCs w:val="20"/>
                <w:lang w:val="en-GB" w:eastAsia="mk-MK"/>
              </w:rPr>
              <w:t>Priority 2.</w:t>
            </w:r>
          </w:p>
        </w:tc>
        <w:tc>
          <w:tcPr>
            <w:tcW w:w="2680" w:type="dxa"/>
            <w:tcBorders>
              <w:top w:val="nil"/>
              <w:left w:val="nil"/>
              <w:bottom w:val="single" w:sz="4" w:space="0" w:color="auto"/>
              <w:right w:val="single" w:sz="4" w:space="0" w:color="auto"/>
            </w:tcBorders>
            <w:shd w:val="clear" w:color="000000" w:fill="00FF00"/>
            <w:hideMark/>
          </w:tcPr>
          <w:p w14:paraId="67662618" w14:textId="737B2065" w:rsidR="006A78BE" w:rsidRPr="00D30847" w:rsidRDefault="00DB2C0A" w:rsidP="006A78BE">
            <w:pPr>
              <w:spacing w:after="0" w:line="240" w:lineRule="auto"/>
              <w:jc w:val="both"/>
              <w:rPr>
                <w:rFonts w:eastAsia="Times New Roman"/>
                <w:b/>
                <w:bCs/>
                <w:sz w:val="18"/>
                <w:szCs w:val="18"/>
                <w:lang w:val="en-GB" w:eastAsia="mk-MK"/>
              </w:rPr>
            </w:pPr>
            <w:r w:rsidRPr="00D30847">
              <w:rPr>
                <w:rFonts w:eastAsia="Times New Roman"/>
                <w:b/>
                <w:bCs/>
                <w:sz w:val="18"/>
                <w:szCs w:val="18"/>
                <w:lang w:val="en-GB" w:eastAsia="mk-MK"/>
              </w:rPr>
              <w:t>Internal A</w:t>
            </w:r>
            <w:r w:rsidR="006A78BE" w:rsidRPr="00D30847">
              <w:rPr>
                <w:rFonts w:eastAsia="Times New Roman"/>
                <w:b/>
                <w:bCs/>
                <w:sz w:val="18"/>
                <w:szCs w:val="18"/>
                <w:lang w:val="en-GB" w:eastAsia="mk-MK"/>
              </w:rPr>
              <w:t>udit</w:t>
            </w:r>
          </w:p>
        </w:tc>
        <w:tc>
          <w:tcPr>
            <w:tcW w:w="1403" w:type="dxa"/>
            <w:tcBorders>
              <w:top w:val="nil"/>
              <w:left w:val="nil"/>
              <w:bottom w:val="single" w:sz="4" w:space="0" w:color="auto"/>
              <w:right w:val="single" w:sz="4" w:space="0" w:color="auto"/>
            </w:tcBorders>
            <w:shd w:val="clear" w:color="000000" w:fill="00FF00"/>
            <w:noWrap/>
            <w:hideMark/>
          </w:tcPr>
          <w:p w14:paraId="54D055D6" w14:textId="131A39B0"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1</w:t>
            </w:r>
            <w:r w:rsidR="001D3B81" w:rsidRPr="00D30847">
              <w:rPr>
                <w:rFonts w:eastAsia="Times New Roman"/>
                <w:b/>
                <w:bCs/>
                <w:sz w:val="18"/>
                <w:szCs w:val="18"/>
                <w:lang w:val="en-GB" w:eastAsia="mk-MK"/>
              </w:rPr>
              <w:t>4</w:t>
            </w:r>
            <w:r w:rsidRPr="00D30847">
              <w:rPr>
                <w:rFonts w:eastAsia="Times New Roman"/>
                <w:b/>
                <w:bCs/>
                <w:sz w:val="18"/>
                <w:szCs w:val="18"/>
                <w:lang w:val="en-GB" w:eastAsia="mk-MK"/>
              </w:rPr>
              <w:t>1,000</w:t>
            </w:r>
          </w:p>
        </w:tc>
        <w:tc>
          <w:tcPr>
            <w:tcW w:w="1357" w:type="dxa"/>
            <w:tcBorders>
              <w:top w:val="nil"/>
              <w:left w:val="nil"/>
              <w:bottom w:val="single" w:sz="4" w:space="0" w:color="auto"/>
              <w:right w:val="single" w:sz="4" w:space="0" w:color="auto"/>
            </w:tcBorders>
            <w:shd w:val="clear" w:color="000000" w:fill="00FF00"/>
            <w:noWrap/>
            <w:hideMark/>
          </w:tcPr>
          <w:p w14:paraId="5779DAE4"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121,000</w:t>
            </w:r>
          </w:p>
        </w:tc>
        <w:tc>
          <w:tcPr>
            <w:tcW w:w="1261" w:type="dxa"/>
            <w:tcBorders>
              <w:top w:val="nil"/>
              <w:left w:val="nil"/>
              <w:bottom w:val="single" w:sz="4" w:space="0" w:color="auto"/>
              <w:right w:val="single" w:sz="4" w:space="0" w:color="auto"/>
            </w:tcBorders>
            <w:shd w:val="clear" w:color="000000" w:fill="00FF00"/>
            <w:noWrap/>
            <w:hideMark/>
          </w:tcPr>
          <w:p w14:paraId="78CF4919" w14:textId="7023BE85" w:rsidR="006A78BE" w:rsidRPr="00D30847" w:rsidRDefault="001D3B81"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2</w:t>
            </w:r>
            <w:r w:rsidR="006A78BE" w:rsidRPr="00D30847">
              <w:rPr>
                <w:rFonts w:eastAsia="Times New Roman"/>
                <w:b/>
                <w:bCs/>
                <w:sz w:val="18"/>
                <w:szCs w:val="18"/>
                <w:lang w:val="en-GB" w:eastAsia="mk-MK"/>
              </w:rPr>
              <w:t>0,000</w:t>
            </w:r>
          </w:p>
        </w:tc>
        <w:tc>
          <w:tcPr>
            <w:tcW w:w="1196" w:type="dxa"/>
            <w:tcBorders>
              <w:top w:val="nil"/>
              <w:left w:val="nil"/>
              <w:bottom w:val="single" w:sz="4" w:space="0" w:color="auto"/>
              <w:right w:val="single" w:sz="8" w:space="0" w:color="auto"/>
            </w:tcBorders>
            <w:shd w:val="clear" w:color="000000" w:fill="00FF00"/>
            <w:noWrap/>
            <w:hideMark/>
          </w:tcPr>
          <w:p w14:paraId="43342FFB"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r>
      <w:tr w:rsidR="00BF1348" w:rsidRPr="00D30847" w14:paraId="15910B20" w14:textId="77777777" w:rsidTr="00E32BC1">
        <w:trPr>
          <w:trHeight w:val="48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5334F6D2"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1.</w:t>
            </w:r>
          </w:p>
        </w:tc>
        <w:tc>
          <w:tcPr>
            <w:tcW w:w="2680" w:type="dxa"/>
            <w:tcBorders>
              <w:top w:val="nil"/>
              <w:left w:val="nil"/>
              <w:bottom w:val="single" w:sz="4" w:space="0" w:color="auto"/>
              <w:right w:val="single" w:sz="4" w:space="0" w:color="auto"/>
            </w:tcBorders>
            <w:shd w:val="clear" w:color="000000" w:fill="FFFF00"/>
            <w:hideMark/>
          </w:tcPr>
          <w:p w14:paraId="31EDB214" w14:textId="77777777"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Strengthening the quality of work of the internal audit units in the ministries</w:t>
            </w:r>
          </w:p>
        </w:tc>
        <w:tc>
          <w:tcPr>
            <w:tcW w:w="1403" w:type="dxa"/>
            <w:tcBorders>
              <w:top w:val="nil"/>
              <w:left w:val="nil"/>
              <w:bottom w:val="single" w:sz="4" w:space="0" w:color="auto"/>
              <w:right w:val="single" w:sz="4" w:space="0" w:color="auto"/>
            </w:tcBorders>
            <w:shd w:val="clear" w:color="000000" w:fill="FFFF00"/>
            <w:noWrap/>
            <w:hideMark/>
          </w:tcPr>
          <w:p w14:paraId="06D5704D" w14:textId="6F7D5AA5" w:rsidR="006A78BE" w:rsidRPr="00D30847" w:rsidRDefault="00BF13B4"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116</w:t>
            </w:r>
            <w:r w:rsidR="006A78BE" w:rsidRPr="00D30847">
              <w:rPr>
                <w:rFonts w:eastAsia="Times New Roman"/>
                <w:color w:val="000000"/>
                <w:sz w:val="18"/>
                <w:szCs w:val="18"/>
                <w:lang w:val="en-GB" w:eastAsia="mk-MK"/>
              </w:rPr>
              <w:t>,000</w:t>
            </w:r>
          </w:p>
        </w:tc>
        <w:tc>
          <w:tcPr>
            <w:tcW w:w="1357" w:type="dxa"/>
            <w:tcBorders>
              <w:top w:val="nil"/>
              <w:left w:val="nil"/>
              <w:bottom w:val="single" w:sz="4" w:space="0" w:color="auto"/>
              <w:right w:val="single" w:sz="4" w:space="0" w:color="auto"/>
            </w:tcBorders>
            <w:shd w:val="clear" w:color="000000" w:fill="FFFF00"/>
            <w:noWrap/>
            <w:hideMark/>
          </w:tcPr>
          <w:p w14:paraId="4541F4F1" w14:textId="370B5A50" w:rsidR="006A78BE" w:rsidRPr="00D30847" w:rsidRDefault="00BF13B4"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116</w:t>
            </w:r>
            <w:r w:rsidR="006A78BE" w:rsidRPr="00D30847">
              <w:rPr>
                <w:rFonts w:eastAsia="Times New Roman"/>
                <w:color w:val="000000"/>
                <w:sz w:val="18"/>
                <w:szCs w:val="18"/>
                <w:lang w:val="en-GB" w:eastAsia="mk-MK"/>
              </w:rPr>
              <w:t>,000</w:t>
            </w:r>
          </w:p>
        </w:tc>
        <w:tc>
          <w:tcPr>
            <w:tcW w:w="1261" w:type="dxa"/>
            <w:tcBorders>
              <w:top w:val="nil"/>
              <w:left w:val="nil"/>
              <w:bottom w:val="single" w:sz="4" w:space="0" w:color="auto"/>
              <w:right w:val="single" w:sz="4" w:space="0" w:color="auto"/>
            </w:tcBorders>
            <w:shd w:val="clear" w:color="000000" w:fill="FFFF00"/>
            <w:noWrap/>
            <w:hideMark/>
          </w:tcPr>
          <w:p w14:paraId="0E5E9985" w14:textId="499477F8" w:rsidR="006A78BE" w:rsidRPr="00D30847" w:rsidRDefault="00BF13B4"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c>
          <w:tcPr>
            <w:tcW w:w="1196" w:type="dxa"/>
            <w:tcBorders>
              <w:top w:val="nil"/>
              <w:left w:val="nil"/>
              <w:bottom w:val="single" w:sz="4" w:space="0" w:color="auto"/>
              <w:right w:val="single" w:sz="8" w:space="0" w:color="auto"/>
            </w:tcBorders>
            <w:shd w:val="clear" w:color="000000" w:fill="FFFF00"/>
            <w:noWrap/>
            <w:hideMark/>
          </w:tcPr>
          <w:p w14:paraId="5E34403B"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67AA4B5B" w14:textId="77777777" w:rsidTr="00E32BC1">
        <w:trPr>
          <w:trHeight w:val="48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78648F7B"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2.</w:t>
            </w:r>
          </w:p>
        </w:tc>
        <w:tc>
          <w:tcPr>
            <w:tcW w:w="2680" w:type="dxa"/>
            <w:tcBorders>
              <w:top w:val="nil"/>
              <w:left w:val="nil"/>
              <w:bottom w:val="single" w:sz="4" w:space="0" w:color="auto"/>
              <w:right w:val="single" w:sz="4" w:space="0" w:color="auto"/>
            </w:tcBorders>
            <w:shd w:val="clear" w:color="000000" w:fill="FFFF00"/>
            <w:hideMark/>
          </w:tcPr>
          <w:p w14:paraId="44E15F1D" w14:textId="77777777"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Improving the abilities to carry out performance and IT internal audits in the public sector institutions</w:t>
            </w:r>
          </w:p>
        </w:tc>
        <w:tc>
          <w:tcPr>
            <w:tcW w:w="1403" w:type="dxa"/>
            <w:tcBorders>
              <w:top w:val="nil"/>
              <w:left w:val="nil"/>
              <w:bottom w:val="single" w:sz="4" w:space="0" w:color="auto"/>
              <w:right w:val="single" w:sz="4" w:space="0" w:color="auto"/>
            </w:tcBorders>
            <w:shd w:val="clear" w:color="000000" w:fill="FFFF00"/>
            <w:noWrap/>
            <w:hideMark/>
          </w:tcPr>
          <w:p w14:paraId="150AB813"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25,000</w:t>
            </w:r>
          </w:p>
        </w:tc>
        <w:tc>
          <w:tcPr>
            <w:tcW w:w="1357" w:type="dxa"/>
            <w:tcBorders>
              <w:top w:val="nil"/>
              <w:left w:val="nil"/>
              <w:bottom w:val="single" w:sz="4" w:space="0" w:color="auto"/>
              <w:right w:val="single" w:sz="4" w:space="0" w:color="auto"/>
            </w:tcBorders>
            <w:shd w:val="clear" w:color="000000" w:fill="FFFF00"/>
            <w:noWrap/>
            <w:hideMark/>
          </w:tcPr>
          <w:p w14:paraId="574470E4"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5,000</w:t>
            </w:r>
          </w:p>
        </w:tc>
        <w:tc>
          <w:tcPr>
            <w:tcW w:w="1261" w:type="dxa"/>
            <w:tcBorders>
              <w:top w:val="nil"/>
              <w:left w:val="nil"/>
              <w:bottom w:val="single" w:sz="4" w:space="0" w:color="auto"/>
              <w:right w:val="single" w:sz="4" w:space="0" w:color="auto"/>
            </w:tcBorders>
            <w:shd w:val="clear" w:color="000000" w:fill="FFFF00"/>
            <w:noWrap/>
            <w:hideMark/>
          </w:tcPr>
          <w:p w14:paraId="77ABB94F"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20,000</w:t>
            </w:r>
          </w:p>
        </w:tc>
        <w:tc>
          <w:tcPr>
            <w:tcW w:w="1196" w:type="dxa"/>
            <w:tcBorders>
              <w:top w:val="nil"/>
              <w:left w:val="nil"/>
              <w:bottom w:val="single" w:sz="4" w:space="0" w:color="auto"/>
              <w:right w:val="single" w:sz="8" w:space="0" w:color="auto"/>
            </w:tcBorders>
            <w:shd w:val="clear" w:color="000000" w:fill="FFFF00"/>
            <w:noWrap/>
            <w:hideMark/>
          </w:tcPr>
          <w:p w14:paraId="11F10DC7" w14:textId="77777777" w:rsidR="006A78BE" w:rsidRPr="00D30847" w:rsidRDefault="006A78BE"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0</w:t>
            </w:r>
          </w:p>
        </w:tc>
      </w:tr>
      <w:tr w:rsidR="00BF1348" w:rsidRPr="00D30847" w14:paraId="7C6D334D" w14:textId="77777777" w:rsidTr="00E32BC1">
        <w:trPr>
          <w:trHeight w:val="465"/>
        </w:trPr>
        <w:tc>
          <w:tcPr>
            <w:tcW w:w="3787" w:type="dxa"/>
            <w:gridSpan w:val="2"/>
            <w:tcBorders>
              <w:top w:val="single" w:sz="4" w:space="0" w:color="auto"/>
              <w:left w:val="single" w:sz="8" w:space="0" w:color="auto"/>
              <w:bottom w:val="single" w:sz="4" w:space="0" w:color="auto"/>
              <w:right w:val="single" w:sz="4" w:space="0" w:color="auto"/>
            </w:tcBorders>
            <w:shd w:val="clear" w:color="000000" w:fill="00B0F0"/>
            <w:vAlign w:val="bottom"/>
            <w:hideMark/>
          </w:tcPr>
          <w:p w14:paraId="0B19C784" w14:textId="29FCFEF8" w:rsidR="006A78BE" w:rsidRPr="00D30847" w:rsidRDefault="006A78BE" w:rsidP="006A78BE">
            <w:pPr>
              <w:spacing w:after="0" w:line="240" w:lineRule="auto"/>
              <w:jc w:val="both"/>
              <w:rPr>
                <w:rFonts w:eastAsia="Times New Roman"/>
                <w:b/>
                <w:bCs/>
                <w:lang w:val="en-GB" w:eastAsia="mk-MK"/>
              </w:rPr>
            </w:pPr>
            <w:r w:rsidRPr="00D30847">
              <w:rPr>
                <w:rFonts w:eastAsia="Times New Roman"/>
                <w:b/>
                <w:bCs/>
                <w:lang w:val="en-GB" w:eastAsia="mk-MK"/>
              </w:rPr>
              <w:t>VII.</w:t>
            </w:r>
            <w:r w:rsidR="00DB2C0A" w:rsidRPr="00D30847">
              <w:rPr>
                <w:rFonts w:eastAsia="Times New Roman"/>
                <w:b/>
                <w:bCs/>
                <w:lang w:val="en-GB" w:eastAsia="mk-MK"/>
              </w:rPr>
              <w:t xml:space="preserve"> </w:t>
            </w:r>
            <w:r w:rsidRPr="00D30847">
              <w:rPr>
                <w:rFonts w:eastAsia="Times New Roman"/>
                <w:b/>
                <w:bCs/>
                <w:lang w:val="en-GB" w:eastAsia="mk-MK"/>
              </w:rPr>
              <w:t>Pillar</w:t>
            </w:r>
            <w:r w:rsidR="0002594F" w:rsidRPr="00D30847">
              <w:rPr>
                <w:rFonts w:eastAsia="Times New Roman"/>
                <w:b/>
                <w:bCs/>
                <w:lang w:val="en-GB" w:eastAsia="mk-MK"/>
              </w:rPr>
              <w:t xml:space="preserve"> </w:t>
            </w:r>
            <w:r w:rsidRPr="00D30847">
              <w:rPr>
                <w:rFonts w:eastAsia="Times New Roman"/>
                <w:b/>
                <w:bCs/>
                <w:lang w:val="en-GB" w:eastAsia="mk-MK"/>
              </w:rPr>
              <w:t>-</w:t>
            </w:r>
            <w:r w:rsidR="00574D26" w:rsidRPr="00D30847">
              <w:rPr>
                <w:rFonts w:eastAsia="Times New Roman"/>
                <w:b/>
                <w:bCs/>
                <w:lang w:val="en-GB" w:eastAsia="mk-MK"/>
              </w:rPr>
              <w:t xml:space="preserve"> </w:t>
            </w:r>
            <w:r w:rsidRPr="00D30847">
              <w:rPr>
                <w:rFonts w:eastAsia="Times New Roman"/>
                <w:b/>
                <w:bCs/>
                <w:lang w:val="en-GB" w:eastAsia="mk-MK"/>
              </w:rPr>
              <w:t xml:space="preserve">External </w:t>
            </w:r>
            <w:r w:rsidR="0002594F" w:rsidRPr="00D30847">
              <w:rPr>
                <w:rFonts w:eastAsia="Times New Roman"/>
                <w:b/>
                <w:bCs/>
                <w:lang w:val="en-GB" w:eastAsia="mk-MK"/>
              </w:rPr>
              <w:t>audit</w:t>
            </w:r>
            <w:r w:rsidRPr="00D30847">
              <w:rPr>
                <w:rFonts w:eastAsia="Times New Roman"/>
                <w:b/>
                <w:bCs/>
                <w:lang w:val="en-GB" w:eastAsia="mk-MK"/>
              </w:rPr>
              <w:t xml:space="preserve"> and parliamentary oversight</w:t>
            </w:r>
          </w:p>
        </w:tc>
        <w:tc>
          <w:tcPr>
            <w:tcW w:w="1403" w:type="dxa"/>
            <w:tcBorders>
              <w:top w:val="nil"/>
              <w:left w:val="nil"/>
              <w:bottom w:val="single" w:sz="4" w:space="0" w:color="auto"/>
              <w:right w:val="single" w:sz="4" w:space="0" w:color="auto"/>
            </w:tcBorders>
            <w:shd w:val="clear" w:color="000000" w:fill="00B0F0"/>
            <w:noWrap/>
            <w:vAlign w:val="bottom"/>
            <w:hideMark/>
          </w:tcPr>
          <w:p w14:paraId="7707C42E" w14:textId="11B619F5" w:rsidR="006A78BE" w:rsidRPr="00D30847" w:rsidRDefault="003D0DF5"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7</w:t>
            </w:r>
            <w:r w:rsidR="006A78BE" w:rsidRPr="00D30847">
              <w:rPr>
                <w:rFonts w:eastAsia="Times New Roman"/>
                <w:b/>
                <w:bCs/>
                <w:sz w:val="18"/>
                <w:szCs w:val="18"/>
                <w:lang w:val="en-GB" w:eastAsia="mk-MK"/>
              </w:rPr>
              <w:t>,</w:t>
            </w:r>
            <w:r w:rsidRPr="00D30847">
              <w:rPr>
                <w:rFonts w:eastAsia="Times New Roman"/>
                <w:b/>
                <w:bCs/>
                <w:sz w:val="18"/>
                <w:szCs w:val="18"/>
                <w:lang w:val="en-GB" w:eastAsia="mk-MK"/>
              </w:rPr>
              <w:t>420</w:t>
            </w:r>
            <w:r w:rsidR="006A78BE" w:rsidRPr="00D30847">
              <w:rPr>
                <w:rFonts w:eastAsia="Times New Roman"/>
                <w:b/>
                <w:bCs/>
                <w:sz w:val="18"/>
                <w:szCs w:val="18"/>
                <w:lang w:val="en-GB" w:eastAsia="mk-MK"/>
              </w:rPr>
              <w:t>,000</w:t>
            </w:r>
          </w:p>
        </w:tc>
        <w:tc>
          <w:tcPr>
            <w:tcW w:w="1357" w:type="dxa"/>
            <w:tcBorders>
              <w:top w:val="nil"/>
              <w:left w:val="nil"/>
              <w:bottom w:val="single" w:sz="4" w:space="0" w:color="auto"/>
              <w:right w:val="single" w:sz="4" w:space="0" w:color="auto"/>
            </w:tcBorders>
            <w:shd w:val="clear" w:color="000000" w:fill="00B0F0"/>
            <w:noWrap/>
            <w:vAlign w:val="bottom"/>
            <w:hideMark/>
          </w:tcPr>
          <w:p w14:paraId="7FFDFF82"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261" w:type="dxa"/>
            <w:tcBorders>
              <w:top w:val="nil"/>
              <w:left w:val="nil"/>
              <w:bottom w:val="single" w:sz="4" w:space="0" w:color="auto"/>
              <w:right w:val="single" w:sz="4" w:space="0" w:color="auto"/>
            </w:tcBorders>
            <w:shd w:val="clear" w:color="000000" w:fill="00B0F0"/>
            <w:noWrap/>
            <w:vAlign w:val="bottom"/>
            <w:hideMark/>
          </w:tcPr>
          <w:p w14:paraId="4E402685"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5,470,000</w:t>
            </w:r>
          </w:p>
        </w:tc>
        <w:tc>
          <w:tcPr>
            <w:tcW w:w="1196" w:type="dxa"/>
            <w:tcBorders>
              <w:top w:val="nil"/>
              <w:left w:val="nil"/>
              <w:bottom w:val="single" w:sz="4" w:space="0" w:color="auto"/>
              <w:right w:val="single" w:sz="8" w:space="0" w:color="auto"/>
            </w:tcBorders>
            <w:shd w:val="clear" w:color="000000" w:fill="00B0F0"/>
            <w:noWrap/>
            <w:vAlign w:val="bottom"/>
            <w:hideMark/>
          </w:tcPr>
          <w:p w14:paraId="0E12A5BE" w14:textId="540EE2E5" w:rsidR="006A78BE" w:rsidRPr="00D30847" w:rsidRDefault="003D0DF5"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1</w:t>
            </w:r>
            <w:r w:rsidR="006A78BE" w:rsidRPr="00D30847">
              <w:rPr>
                <w:rFonts w:eastAsia="Times New Roman"/>
                <w:b/>
                <w:bCs/>
                <w:sz w:val="18"/>
                <w:szCs w:val="18"/>
                <w:lang w:val="en-GB" w:eastAsia="mk-MK"/>
              </w:rPr>
              <w:t>,</w:t>
            </w:r>
            <w:r w:rsidRPr="00D30847">
              <w:rPr>
                <w:rFonts w:eastAsia="Times New Roman"/>
                <w:b/>
                <w:bCs/>
                <w:sz w:val="18"/>
                <w:szCs w:val="18"/>
                <w:lang w:val="en-GB" w:eastAsia="mk-MK"/>
              </w:rPr>
              <w:t>950</w:t>
            </w:r>
            <w:r w:rsidR="006A78BE" w:rsidRPr="00D30847">
              <w:rPr>
                <w:rFonts w:eastAsia="Times New Roman"/>
                <w:b/>
                <w:bCs/>
                <w:sz w:val="18"/>
                <w:szCs w:val="18"/>
                <w:lang w:val="en-GB" w:eastAsia="mk-MK"/>
              </w:rPr>
              <w:t>,000</w:t>
            </w:r>
          </w:p>
        </w:tc>
      </w:tr>
      <w:tr w:rsidR="00BF1348" w:rsidRPr="00D30847" w14:paraId="1635EC70"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00FF00"/>
            <w:noWrap/>
            <w:hideMark/>
          </w:tcPr>
          <w:p w14:paraId="0456038B" w14:textId="3E08AFCD" w:rsidR="006A78BE" w:rsidRPr="00D30847" w:rsidRDefault="006A78BE" w:rsidP="006A78BE">
            <w:pPr>
              <w:spacing w:after="0" w:line="240" w:lineRule="auto"/>
              <w:jc w:val="center"/>
              <w:rPr>
                <w:rFonts w:eastAsia="Times New Roman"/>
                <w:b/>
                <w:bCs/>
                <w:sz w:val="20"/>
                <w:szCs w:val="20"/>
                <w:lang w:val="en-GB" w:eastAsia="mk-MK"/>
              </w:rPr>
            </w:pPr>
            <w:r w:rsidRPr="00D30847">
              <w:rPr>
                <w:rFonts w:eastAsia="Times New Roman"/>
                <w:b/>
                <w:bCs/>
                <w:sz w:val="20"/>
                <w:szCs w:val="20"/>
                <w:lang w:val="en-GB" w:eastAsia="mk-MK"/>
              </w:rPr>
              <w:t>Priority 1.</w:t>
            </w:r>
          </w:p>
        </w:tc>
        <w:tc>
          <w:tcPr>
            <w:tcW w:w="2680" w:type="dxa"/>
            <w:tcBorders>
              <w:top w:val="single" w:sz="4" w:space="0" w:color="auto"/>
              <w:left w:val="nil"/>
              <w:bottom w:val="single" w:sz="4" w:space="0" w:color="auto"/>
              <w:right w:val="single" w:sz="4" w:space="0" w:color="auto"/>
            </w:tcBorders>
            <w:shd w:val="clear" w:color="000000" w:fill="00FF00"/>
            <w:hideMark/>
          </w:tcPr>
          <w:p w14:paraId="72D294A1" w14:textId="77777777" w:rsidR="006A78BE" w:rsidRPr="00D30847" w:rsidRDefault="006A78BE" w:rsidP="006A78BE">
            <w:pPr>
              <w:spacing w:after="0" w:line="240" w:lineRule="auto"/>
              <w:jc w:val="both"/>
              <w:rPr>
                <w:rFonts w:eastAsia="Times New Roman"/>
                <w:b/>
                <w:bCs/>
                <w:sz w:val="18"/>
                <w:szCs w:val="18"/>
                <w:lang w:val="en-GB" w:eastAsia="mk-MK"/>
              </w:rPr>
            </w:pPr>
            <w:r w:rsidRPr="00D30847">
              <w:rPr>
                <w:rFonts w:eastAsia="Times New Roman"/>
                <w:b/>
                <w:bCs/>
                <w:sz w:val="18"/>
                <w:szCs w:val="18"/>
                <w:lang w:val="en-GB" w:eastAsia="mk-MK"/>
              </w:rPr>
              <w:t>External audit</w:t>
            </w:r>
          </w:p>
        </w:tc>
        <w:tc>
          <w:tcPr>
            <w:tcW w:w="1403" w:type="dxa"/>
            <w:tcBorders>
              <w:top w:val="single" w:sz="4" w:space="0" w:color="auto"/>
              <w:left w:val="nil"/>
              <w:bottom w:val="single" w:sz="4" w:space="0" w:color="auto"/>
              <w:right w:val="single" w:sz="4" w:space="0" w:color="auto"/>
            </w:tcBorders>
            <w:shd w:val="clear" w:color="000000" w:fill="00FF00"/>
            <w:noWrap/>
            <w:hideMark/>
          </w:tcPr>
          <w:p w14:paraId="139CD9FB" w14:textId="5A234601" w:rsidR="006A78BE" w:rsidRPr="00D30847" w:rsidRDefault="00073C3C"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7.003.</w:t>
            </w:r>
            <w:r w:rsidR="00530141" w:rsidRPr="00D30847">
              <w:rPr>
                <w:rFonts w:eastAsia="Times New Roman"/>
                <w:b/>
                <w:bCs/>
                <w:sz w:val="18"/>
                <w:szCs w:val="18"/>
                <w:lang w:val="en-GB" w:eastAsia="mk-MK"/>
              </w:rPr>
              <w:t>000</w:t>
            </w:r>
          </w:p>
        </w:tc>
        <w:tc>
          <w:tcPr>
            <w:tcW w:w="1357" w:type="dxa"/>
            <w:tcBorders>
              <w:top w:val="single" w:sz="4" w:space="0" w:color="auto"/>
              <w:left w:val="nil"/>
              <w:bottom w:val="single" w:sz="4" w:space="0" w:color="auto"/>
              <w:right w:val="single" w:sz="4" w:space="0" w:color="auto"/>
            </w:tcBorders>
            <w:shd w:val="clear" w:color="000000" w:fill="00FF00"/>
            <w:noWrap/>
            <w:hideMark/>
          </w:tcPr>
          <w:p w14:paraId="03631E78" w14:textId="164173E6" w:rsidR="006A78BE" w:rsidRPr="00D30847" w:rsidRDefault="003D0DF5"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261" w:type="dxa"/>
            <w:tcBorders>
              <w:top w:val="single" w:sz="4" w:space="0" w:color="auto"/>
              <w:left w:val="nil"/>
              <w:bottom w:val="single" w:sz="4" w:space="0" w:color="auto"/>
              <w:right w:val="single" w:sz="4" w:space="0" w:color="auto"/>
            </w:tcBorders>
            <w:shd w:val="clear" w:color="000000" w:fill="00FF00"/>
            <w:noWrap/>
            <w:hideMark/>
          </w:tcPr>
          <w:p w14:paraId="0C94A27C"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5,053,000</w:t>
            </w:r>
          </w:p>
        </w:tc>
        <w:tc>
          <w:tcPr>
            <w:tcW w:w="1196" w:type="dxa"/>
            <w:tcBorders>
              <w:top w:val="single" w:sz="4" w:space="0" w:color="auto"/>
              <w:left w:val="nil"/>
              <w:bottom w:val="single" w:sz="4" w:space="0" w:color="auto"/>
              <w:right w:val="single" w:sz="4" w:space="0" w:color="auto"/>
            </w:tcBorders>
            <w:shd w:val="clear" w:color="000000" w:fill="00FF00"/>
            <w:noWrap/>
            <w:hideMark/>
          </w:tcPr>
          <w:p w14:paraId="3D2A2E10" w14:textId="1743E765" w:rsidR="006A78BE" w:rsidRPr="00D30847" w:rsidRDefault="00530141"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1</w:t>
            </w:r>
            <w:r w:rsidR="006A78BE" w:rsidRPr="00D30847">
              <w:rPr>
                <w:rFonts w:eastAsia="Times New Roman"/>
                <w:b/>
                <w:bCs/>
                <w:sz w:val="18"/>
                <w:szCs w:val="18"/>
                <w:lang w:val="en-GB" w:eastAsia="mk-MK"/>
              </w:rPr>
              <w:t>,</w:t>
            </w:r>
            <w:r w:rsidRPr="00D30847">
              <w:rPr>
                <w:rFonts w:eastAsia="Times New Roman"/>
                <w:b/>
                <w:bCs/>
                <w:sz w:val="18"/>
                <w:szCs w:val="18"/>
                <w:lang w:val="en-GB" w:eastAsia="mk-MK"/>
              </w:rPr>
              <w:t>950</w:t>
            </w:r>
            <w:r w:rsidR="006A78BE" w:rsidRPr="00D30847">
              <w:rPr>
                <w:rFonts w:eastAsia="Times New Roman"/>
                <w:b/>
                <w:bCs/>
                <w:sz w:val="18"/>
                <w:szCs w:val="18"/>
                <w:lang w:val="en-GB" w:eastAsia="mk-MK"/>
              </w:rPr>
              <w:t>,</w:t>
            </w:r>
            <w:r w:rsidRPr="00D30847">
              <w:rPr>
                <w:rFonts w:eastAsia="Times New Roman"/>
                <w:b/>
                <w:bCs/>
                <w:sz w:val="18"/>
                <w:szCs w:val="18"/>
                <w:lang w:val="en-GB" w:eastAsia="mk-MK"/>
              </w:rPr>
              <w:t>0</w:t>
            </w:r>
            <w:r w:rsidR="006A78BE" w:rsidRPr="00D30847">
              <w:rPr>
                <w:rFonts w:eastAsia="Times New Roman"/>
                <w:b/>
                <w:bCs/>
                <w:sz w:val="18"/>
                <w:szCs w:val="18"/>
                <w:lang w:val="en-GB" w:eastAsia="mk-MK"/>
              </w:rPr>
              <w:t>000</w:t>
            </w:r>
          </w:p>
        </w:tc>
      </w:tr>
      <w:tr w:rsidR="00BF1348" w:rsidRPr="00D30847" w14:paraId="5526A76F"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2DBC4940"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1.</w:t>
            </w:r>
          </w:p>
        </w:tc>
        <w:tc>
          <w:tcPr>
            <w:tcW w:w="2680" w:type="dxa"/>
            <w:tcBorders>
              <w:top w:val="nil"/>
              <w:left w:val="nil"/>
              <w:bottom w:val="single" w:sz="4" w:space="0" w:color="auto"/>
              <w:right w:val="single" w:sz="4" w:space="0" w:color="auto"/>
            </w:tcBorders>
            <w:shd w:val="clear" w:color="000000" w:fill="FFFF00"/>
            <w:hideMark/>
          </w:tcPr>
          <w:p w14:paraId="2B52D772" w14:textId="4FB50973" w:rsidR="006A78BE" w:rsidRPr="00D30847" w:rsidRDefault="00D73439" w:rsidP="006A78BE">
            <w:pPr>
              <w:spacing w:after="0" w:line="240" w:lineRule="auto"/>
              <w:jc w:val="both"/>
              <w:rPr>
                <w:rFonts w:eastAsia="Times New Roman"/>
                <w:sz w:val="18"/>
                <w:szCs w:val="18"/>
                <w:lang w:val="en-GB" w:eastAsia="mk-MK"/>
              </w:rPr>
            </w:pPr>
            <w:r w:rsidRPr="00D30847">
              <w:rPr>
                <w:rFonts w:eastAsia="Times New Roman" w:cs="Calibri"/>
                <w:sz w:val="18"/>
                <w:szCs w:val="18"/>
                <w:lang w:val="en-GB"/>
              </w:rPr>
              <w:t xml:space="preserve">Strengthen the  legal framework </w:t>
            </w:r>
            <w:r w:rsidR="006A78BE" w:rsidRPr="00D30847">
              <w:rPr>
                <w:rFonts w:eastAsia="Times New Roman"/>
                <w:sz w:val="18"/>
                <w:szCs w:val="18"/>
                <w:lang w:val="en-GB" w:eastAsia="mk-MK"/>
              </w:rPr>
              <w:t>for external audit</w:t>
            </w:r>
          </w:p>
        </w:tc>
        <w:tc>
          <w:tcPr>
            <w:tcW w:w="1403" w:type="dxa"/>
            <w:tcBorders>
              <w:top w:val="nil"/>
              <w:left w:val="nil"/>
              <w:bottom w:val="single" w:sz="4" w:space="0" w:color="auto"/>
              <w:right w:val="single" w:sz="4" w:space="0" w:color="auto"/>
            </w:tcBorders>
            <w:shd w:val="clear" w:color="000000" w:fill="FFFF00"/>
            <w:noWrap/>
            <w:hideMark/>
          </w:tcPr>
          <w:p w14:paraId="241FF6EC"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21,000</w:t>
            </w:r>
          </w:p>
        </w:tc>
        <w:tc>
          <w:tcPr>
            <w:tcW w:w="1357" w:type="dxa"/>
            <w:tcBorders>
              <w:top w:val="nil"/>
              <w:left w:val="nil"/>
              <w:bottom w:val="single" w:sz="4" w:space="0" w:color="auto"/>
              <w:right w:val="single" w:sz="4" w:space="0" w:color="auto"/>
            </w:tcBorders>
            <w:shd w:val="clear" w:color="000000" w:fill="FFFF00"/>
            <w:noWrap/>
            <w:hideMark/>
          </w:tcPr>
          <w:p w14:paraId="795092A6"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2316DF1F"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21,000</w:t>
            </w:r>
          </w:p>
        </w:tc>
        <w:tc>
          <w:tcPr>
            <w:tcW w:w="1196" w:type="dxa"/>
            <w:tcBorders>
              <w:top w:val="nil"/>
              <w:left w:val="nil"/>
              <w:bottom w:val="single" w:sz="4" w:space="0" w:color="auto"/>
              <w:right w:val="single" w:sz="8" w:space="0" w:color="auto"/>
            </w:tcBorders>
            <w:shd w:val="clear" w:color="000000" w:fill="FFFF00"/>
            <w:noWrap/>
            <w:hideMark/>
          </w:tcPr>
          <w:p w14:paraId="3F7A62A2"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r>
      <w:tr w:rsidR="00BF1348" w:rsidRPr="00D30847" w14:paraId="207D83B1" w14:textId="77777777" w:rsidTr="00E32BC1">
        <w:trPr>
          <w:trHeight w:val="48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46F22B36"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2.</w:t>
            </w:r>
          </w:p>
        </w:tc>
        <w:tc>
          <w:tcPr>
            <w:tcW w:w="2680" w:type="dxa"/>
            <w:tcBorders>
              <w:top w:val="nil"/>
              <w:left w:val="nil"/>
              <w:bottom w:val="single" w:sz="4" w:space="0" w:color="auto"/>
              <w:right w:val="single" w:sz="4" w:space="0" w:color="auto"/>
            </w:tcBorders>
            <w:shd w:val="clear" w:color="000000" w:fill="FFFF00"/>
            <w:hideMark/>
          </w:tcPr>
          <w:p w14:paraId="537080F2" w14:textId="2310D207" w:rsidR="006A78BE" w:rsidRPr="00D30847" w:rsidRDefault="003D0DF5"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Strengthening the institutional capacity and human resource capacities of the SAO</w:t>
            </w:r>
          </w:p>
        </w:tc>
        <w:tc>
          <w:tcPr>
            <w:tcW w:w="1403" w:type="dxa"/>
            <w:tcBorders>
              <w:top w:val="nil"/>
              <w:left w:val="nil"/>
              <w:bottom w:val="single" w:sz="4" w:space="0" w:color="auto"/>
              <w:right w:val="single" w:sz="4" w:space="0" w:color="auto"/>
            </w:tcBorders>
            <w:shd w:val="clear" w:color="000000" w:fill="FFFF00"/>
            <w:noWrap/>
            <w:hideMark/>
          </w:tcPr>
          <w:p w14:paraId="1E0FA4F3" w14:textId="1E91080A" w:rsidR="006A78BE" w:rsidRPr="00D30847" w:rsidRDefault="00530141"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6</w:t>
            </w:r>
            <w:r w:rsidR="006A78BE" w:rsidRPr="00D30847">
              <w:rPr>
                <w:rFonts w:eastAsia="Times New Roman"/>
                <w:sz w:val="18"/>
                <w:szCs w:val="18"/>
                <w:lang w:val="en-GB" w:eastAsia="mk-MK"/>
              </w:rPr>
              <w:t>,</w:t>
            </w:r>
            <w:r w:rsidRPr="00D30847">
              <w:rPr>
                <w:rFonts w:eastAsia="Times New Roman"/>
                <w:sz w:val="18"/>
                <w:szCs w:val="18"/>
                <w:lang w:val="en-GB" w:eastAsia="mk-MK"/>
              </w:rPr>
              <w:t>928</w:t>
            </w:r>
            <w:r w:rsidR="006A78BE" w:rsidRPr="00D30847">
              <w:rPr>
                <w:rFonts w:eastAsia="Times New Roman"/>
                <w:sz w:val="18"/>
                <w:szCs w:val="18"/>
                <w:lang w:val="en-GB" w:eastAsia="mk-MK"/>
              </w:rPr>
              <w:t>,000</w:t>
            </w:r>
          </w:p>
        </w:tc>
        <w:tc>
          <w:tcPr>
            <w:tcW w:w="1357" w:type="dxa"/>
            <w:tcBorders>
              <w:top w:val="nil"/>
              <w:left w:val="nil"/>
              <w:bottom w:val="single" w:sz="4" w:space="0" w:color="auto"/>
              <w:right w:val="single" w:sz="4" w:space="0" w:color="auto"/>
            </w:tcBorders>
            <w:shd w:val="clear" w:color="000000" w:fill="FFFF00"/>
            <w:noWrap/>
            <w:hideMark/>
          </w:tcPr>
          <w:p w14:paraId="5937BA5E" w14:textId="3CEE1710" w:rsidR="006A78BE" w:rsidRPr="00D30847" w:rsidRDefault="003D0DF5"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49F59BEA"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5,032,000</w:t>
            </w:r>
          </w:p>
        </w:tc>
        <w:tc>
          <w:tcPr>
            <w:tcW w:w="1196" w:type="dxa"/>
            <w:tcBorders>
              <w:top w:val="nil"/>
              <w:left w:val="nil"/>
              <w:bottom w:val="single" w:sz="4" w:space="0" w:color="auto"/>
              <w:right w:val="single" w:sz="8" w:space="0" w:color="auto"/>
            </w:tcBorders>
            <w:shd w:val="clear" w:color="000000" w:fill="FFFF00"/>
            <w:noWrap/>
            <w:hideMark/>
          </w:tcPr>
          <w:p w14:paraId="6E6B2BD5" w14:textId="79D52BC2" w:rsidR="006A78BE" w:rsidRPr="00D30847" w:rsidRDefault="003D0DF5"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1</w:t>
            </w:r>
            <w:r w:rsidR="006A78BE" w:rsidRPr="00D30847">
              <w:rPr>
                <w:rFonts w:eastAsia="Times New Roman"/>
                <w:sz w:val="18"/>
                <w:szCs w:val="18"/>
                <w:lang w:val="en-GB" w:eastAsia="mk-MK"/>
              </w:rPr>
              <w:t>,</w:t>
            </w:r>
            <w:r w:rsidRPr="00D30847">
              <w:rPr>
                <w:rFonts w:eastAsia="Times New Roman"/>
                <w:sz w:val="18"/>
                <w:szCs w:val="18"/>
                <w:lang w:val="en-GB" w:eastAsia="mk-MK"/>
              </w:rPr>
              <w:t>950</w:t>
            </w:r>
            <w:r w:rsidR="006A78BE" w:rsidRPr="00D30847">
              <w:rPr>
                <w:rFonts w:eastAsia="Times New Roman"/>
                <w:sz w:val="18"/>
                <w:szCs w:val="18"/>
                <w:lang w:val="en-GB" w:eastAsia="mk-MK"/>
              </w:rPr>
              <w:t>,000</w:t>
            </w:r>
          </w:p>
        </w:tc>
      </w:tr>
      <w:tr w:rsidR="00BF1348" w:rsidRPr="00D30847" w14:paraId="6CAAEE11" w14:textId="77777777" w:rsidTr="00E32BC1">
        <w:trPr>
          <w:trHeight w:val="300"/>
        </w:trPr>
        <w:tc>
          <w:tcPr>
            <w:tcW w:w="1107" w:type="dxa"/>
            <w:tcBorders>
              <w:top w:val="single" w:sz="4" w:space="0" w:color="auto"/>
              <w:left w:val="single" w:sz="8" w:space="0" w:color="auto"/>
              <w:bottom w:val="single" w:sz="4" w:space="0" w:color="auto"/>
              <w:right w:val="single" w:sz="4" w:space="0" w:color="auto"/>
            </w:tcBorders>
            <w:shd w:val="clear" w:color="000000" w:fill="00FF00"/>
            <w:noWrap/>
            <w:hideMark/>
          </w:tcPr>
          <w:p w14:paraId="0A31D3C7" w14:textId="77777777" w:rsidR="006A78BE" w:rsidRPr="00D30847" w:rsidRDefault="006A78BE" w:rsidP="006A78BE">
            <w:pPr>
              <w:spacing w:after="0" w:line="240" w:lineRule="auto"/>
              <w:jc w:val="center"/>
              <w:rPr>
                <w:rFonts w:eastAsia="Times New Roman"/>
                <w:b/>
                <w:bCs/>
                <w:sz w:val="20"/>
                <w:szCs w:val="20"/>
                <w:lang w:val="en-GB" w:eastAsia="mk-MK"/>
              </w:rPr>
            </w:pPr>
            <w:r w:rsidRPr="00D30847">
              <w:rPr>
                <w:rFonts w:eastAsia="Times New Roman"/>
                <w:b/>
                <w:bCs/>
                <w:sz w:val="20"/>
                <w:szCs w:val="20"/>
                <w:lang w:val="en-GB" w:eastAsia="mk-MK"/>
              </w:rPr>
              <w:t>Priority 2.</w:t>
            </w:r>
          </w:p>
        </w:tc>
        <w:tc>
          <w:tcPr>
            <w:tcW w:w="2680" w:type="dxa"/>
            <w:tcBorders>
              <w:top w:val="nil"/>
              <w:left w:val="nil"/>
              <w:bottom w:val="single" w:sz="4" w:space="0" w:color="auto"/>
              <w:right w:val="single" w:sz="4" w:space="0" w:color="auto"/>
            </w:tcBorders>
            <w:shd w:val="clear" w:color="000000" w:fill="00FF00"/>
            <w:hideMark/>
          </w:tcPr>
          <w:p w14:paraId="34962ECB" w14:textId="205562F8" w:rsidR="006A78BE" w:rsidRPr="00D30847" w:rsidRDefault="006A78BE" w:rsidP="006A78BE">
            <w:pPr>
              <w:spacing w:after="0" w:line="240" w:lineRule="auto"/>
              <w:jc w:val="both"/>
              <w:rPr>
                <w:rFonts w:eastAsia="Times New Roman"/>
                <w:b/>
                <w:bCs/>
                <w:sz w:val="18"/>
                <w:szCs w:val="18"/>
                <w:lang w:val="en-GB" w:eastAsia="mk-MK"/>
              </w:rPr>
            </w:pPr>
            <w:r w:rsidRPr="00D30847">
              <w:rPr>
                <w:rFonts w:eastAsia="Times New Roman"/>
                <w:b/>
                <w:bCs/>
                <w:sz w:val="18"/>
                <w:szCs w:val="18"/>
                <w:lang w:val="en-GB" w:eastAsia="mk-MK"/>
              </w:rPr>
              <w:t>Parliamentary Oversight</w:t>
            </w:r>
          </w:p>
        </w:tc>
        <w:tc>
          <w:tcPr>
            <w:tcW w:w="1403" w:type="dxa"/>
            <w:tcBorders>
              <w:top w:val="nil"/>
              <w:left w:val="nil"/>
              <w:bottom w:val="single" w:sz="4" w:space="0" w:color="auto"/>
              <w:right w:val="single" w:sz="4" w:space="0" w:color="auto"/>
            </w:tcBorders>
            <w:shd w:val="clear" w:color="000000" w:fill="00FF00"/>
            <w:noWrap/>
            <w:hideMark/>
          </w:tcPr>
          <w:p w14:paraId="008DEFC0"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417,000</w:t>
            </w:r>
          </w:p>
        </w:tc>
        <w:tc>
          <w:tcPr>
            <w:tcW w:w="1357" w:type="dxa"/>
            <w:tcBorders>
              <w:top w:val="nil"/>
              <w:left w:val="nil"/>
              <w:bottom w:val="single" w:sz="4" w:space="0" w:color="auto"/>
              <w:right w:val="single" w:sz="4" w:space="0" w:color="auto"/>
            </w:tcBorders>
            <w:shd w:val="clear" w:color="000000" w:fill="00FF00"/>
            <w:noWrap/>
            <w:hideMark/>
          </w:tcPr>
          <w:p w14:paraId="60334F99"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c>
          <w:tcPr>
            <w:tcW w:w="1261" w:type="dxa"/>
            <w:tcBorders>
              <w:top w:val="nil"/>
              <w:left w:val="nil"/>
              <w:bottom w:val="single" w:sz="4" w:space="0" w:color="auto"/>
              <w:right w:val="single" w:sz="4" w:space="0" w:color="auto"/>
            </w:tcBorders>
            <w:shd w:val="clear" w:color="000000" w:fill="00FF00"/>
            <w:noWrap/>
            <w:hideMark/>
          </w:tcPr>
          <w:p w14:paraId="2B8178ED"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417,000</w:t>
            </w:r>
          </w:p>
        </w:tc>
        <w:tc>
          <w:tcPr>
            <w:tcW w:w="1196" w:type="dxa"/>
            <w:tcBorders>
              <w:top w:val="nil"/>
              <w:left w:val="nil"/>
              <w:bottom w:val="single" w:sz="4" w:space="0" w:color="auto"/>
              <w:right w:val="single" w:sz="8" w:space="0" w:color="auto"/>
            </w:tcBorders>
            <w:shd w:val="clear" w:color="000000" w:fill="00FF00"/>
            <w:noWrap/>
            <w:hideMark/>
          </w:tcPr>
          <w:p w14:paraId="2108E0F5" w14:textId="77777777" w:rsidR="006A78BE" w:rsidRPr="00D30847" w:rsidRDefault="006A78BE" w:rsidP="006A78BE">
            <w:pPr>
              <w:spacing w:after="0" w:line="240" w:lineRule="auto"/>
              <w:jc w:val="center"/>
              <w:rPr>
                <w:rFonts w:eastAsia="Times New Roman"/>
                <w:b/>
                <w:bCs/>
                <w:sz w:val="18"/>
                <w:szCs w:val="18"/>
                <w:lang w:val="en-GB" w:eastAsia="mk-MK"/>
              </w:rPr>
            </w:pPr>
            <w:r w:rsidRPr="00D30847">
              <w:rPr>
                <w:rFonts w:eastAsia="Times New Roman"/>
                <w:b/>
                <w:bCs/>
                <w:sz w:val="18"/>
                <w:szCs w:val="18"/>
                <w:lang w:val="en-GB" w:eastAsia="mk-MK"/>
              </w:rPr>
              <w:t>0</w:t>
            </w:r>
          </w:p>
        </w:tc>
      </w:tr>
      <w:tr w:rsidR="00BF1348" w:rsidRPr="00D30847" w14:paraId="7E0BB33E" w14:textId="77777777" w:rsidTr="00E32BC1">
        <w:trPr>
          <w:trHeight w:val="81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747C04EC"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1.</w:t>
            </w:r>
          </w:p>
        </w:tc>
        <w:tc>
          <w:tcPr>
            <w:tcW w:w="2680" w:type="dxa"/>
            <w:tcBorders>
              <w:top w:val="nil"/>
              <w:left w:val="nil"/>
              <w:bottom w:val="single" w:sz="4" w:space="0" w:color="auto"/>
              <w:right w:val="single" w:sz="4" w:space="0" w:color="auto"/>
            </w:tcBorders>
            <w:shd w:val="clear" w:color="000000" w:fill="FFFF00"/>
            <w:hideMark/>
          </w:tcPr>
          <w:p w14:paraId="54D5D096" w14:textId="77777777"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Establishing a mechanism for reviewing the audit reports and the measures taken following the recommendations given in the audit reports in the RNM Assembly</w:t>
            </w:r>
          </w:p>
        </w:tc>
        <w:tc>
          <w:tcPr>
            <w:tcW w:w="1403" w:type="dxa"/>
            <w:tcBorders>
              <w:top w:val="nil"/>
              <w:left w:val="nil"/>
              <w:bottom w:val="single" w:sz="4" w:space="0" w:color="auto"/>
              <w:right w:val="single" w:sz="4" w:space="0" w:color="auto"/>
            </w:tcBorders>
            <w:shd w:val="clear" w:color="000000" w:fill="FFFF00"/>
            <w:noWrap/>
            <w:hideMark/>
          </w:tcPr>
          <w:p w14:paraId="29AFF844"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146,000</w:t>
            </w:r>
          </w:p>
        </w:tc>
        <w:tc>
          <w:tcPr>
            <w:tcW w:w="1357" w:type="dxa"/>
            <w:tcBorders>
              <w:top w:val="nil"/>
              <w:left w:val="nil"/>
              <w:bottom w:val="single" w:sz="4" w:space="0" w:color="auto"/>
              <w:right w:val="single" w:sz="4" w:space="0" w:color="auto"/>
            </w:tcBorders>
            <w:shd w:val="clear" w:color="000000" w:fill="FFFF00"/>
            <w:noWrap/>
            <w:hideMark/>
          </w:tcPr>
          <w:p w14:paraId="5ED40026"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06169B88"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146,000</w:t>
            </w:r>
          </w:p>
        </w:tc>
        <w:tc>
          <w:tcPr>
            <w:tcW w:w="1196" w:type="dxa"/>
            <w:tcBorders>
              <w:top w:val="nil"/>
              <w:left w:val="nil"/>
              <w:bottom w:val="single" w:sz="4" w:space="0" w:color="auto"/>
              <w:right w:val="single" w:sz="8" w:space="0" w:color="auto"/>
            </w:tcBorders>
            <w:shd w:val="clear" w:color="000000" w:fill="FFFF00"/>
            <w:noWrap/>
            <w:hideMark/>
          </w:tcPr>
          <w:p w14:paraId="2C596F33"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r>
      <w:tr w:rsidR="00BF1348" w:rsidRPr="00D30847" w14:paraId="34E6D108" w14:textId="77777777" w:rsidTr="00E32BC1">
        <w:trPr>
          <w:trHeight w:val="480"/>
        </w:trPr>
        <w:tc>
          <w:tcPr>
            <w:tcW w:w="1107" w:type="dxa"/>
            <w:tcBorders>
              <w:top w:val="single" w:sz="4" w:space="0" w:color="auto"/>
              <w:left w:val="single" w:sz="8" w:space="0" w:color="auto"/>
              <w:bottom w:val="single" w:sz="4" w:space="0" w:color="auto"/>
              <w:right w:val="single" w:sz="4" w:space="0" w:color="auto"/>
            </w:tcBorders>
            <w:shd w:val="clear" w:color="000000" w:fill="FFFF00"/>
            <w:noWrap/>
            <w:hideMark/>
          </w:tcPr>
          <w:p w14:paraId="21E848D0" w14:textId="77777777" w:rsidR="006A78BE" w:rsidRPr="00D30847" w:rsidRDefault="006A78BE" w:rsidP="006A78BE">
            <w:pPr>
              <w:spacing w:after="0" w:line="240" w:lineRule="auto"/>
              <w:jc w:val="center"/>
              <w:rPr>
                <w:rFonts w:eastAsia="Times New Roman"/>
                <w:bCs/>
                <w:sz w:val="18"/>
                <w:szCs w:val="18"/>
                <w:lang w:val="en-GB" w:eastAsia="mk-MK"/>
              </w:rPr>
            </w:pPr>
            <w:r w:rsidRPr="00D30847">
              <w:rPr>
                <w:rFonts w:eastAsia="Times New Roman"/>
                <w:bCs/>
                <w:sz w:val="18"/>
                <w:szCs w:val="18"/>
                <w:lang w:val="en-GB" w:eastAsia="mk-MK"/>
              </w:rPr>
              <w:t>Measure 2.</w:t>
            </w:r>
          </w:p>
        </w:tc>
        <w:tc>
          <w:tcPr>
            <w:tcW w:w="2680" w:type="dxa"/>
            <w:tcBorders>
              <w:top w:val="nil"/>
              <w:left w:val="nil"/>
              <w:bottom w:val="single" w:sz="4" w:space="0" w:color="auto"/>
              <w:right w:val="single" w:sz="4" w:space="0" w:color="auto"/>
            </w:tcBorders>
            <w:shd w:val="clear" w:color="000000" w:fill="FFFF00"/>
            <w:hideMark/>
          </w:tcPr>
          <w:p w14:paraId="673E0DA1" w14:textId="707025A5" w:rsidR="006A78BE" w:rsidRPr="00D30847" w:rsidRDefault="006A78BE" w:rsidP="006A78BE">
            <w:pPr>
              <w:spacing w:after="0" w:line="240" w:lineRule="auto"/>
              <w:jc w:val="both"/>
              <w:rPr>
                <w:rFonts w:eastAsia="Times New Roman"/>
                <w:bCs/>
                <w:sz w:val="18"/>
                <w:szCs w:val="18"/>
                <w:lang w:val="en-GB" w:eastAsia="mk-MK"/>
              </w:rPr>
            </w:pPr>
            <w:r w:rsidRPr="00D30847">
              <w:rPr>
                <w:rFonts w:eastAsia="Times New Roman"/>
                <w:bCs/>
                <w:sz w:val="18"/>
                <w:szCs w:val="18"/>
                <w:lang w:val="en-GB" w:eastAsia="mk-MK"/>
              </w:rPr>
              <w:t>Strengthening the institutional capacities for reviewing audit</w:t>
            </w:r>
            <w:r w:rsidR="00E254B7" w:rsidRPr="00D30847">
              <w:rPr>
                <w:rFonts w:eastAsia="Times New Roman"/>
                <w:bCs/>
                <w:sz w:val="18"/>
                <w:szCs w:val="18"/>
                <w:lang w:val="en-GB" w:eastAsia="mk-MK"/>
              </w:rPr>
              <w:t xml:space="preserve"> reports in the Assembly of RNM</w:t>
            </w:r>
          </w:p>
        </w:tc>
        <w:tc>
          <w:tcPr>
            <w:tcW w:w="1403" w:type="dxa"/>
            <w:tcBorders>
              <w:top w:val="nil"/>
              <w:left w:val="nil"/>
              <w:bottom w:val="single" w:sz="4" w:space="0" w:color="auto"/>
              <w:right w:val="single" w:sz="4" w:space="0" w:color="auto"/>
            </w:tcBorders>
            <w:shd w:val="clear" w:color="000000" w:fill="FFFF00"/>
            <w:noWrap/>
            <w:hideMark/>
          </w:tcPr>
          <w:p w14:paraId="529DD0EC"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271,000</w:t>
            </w:r>
          </w:p>
        </w:tc>
        <w:tc>
          <w:tcPr>
            <w:tcW w:w="1357" w:type="dxa"/>
            <w:tcBorders>
              <w:top w:val="nil"/>
              <w:left w:val="nil"/>
              <w:bottom w:val="single" w:sz="4" w:space="0" w:color="auto"/>
              <w:right w:val="single" w:sz="4" w:space="0" w:color="auto"/>
            </w:tcBorders>
            <w:shd w:val="clear" w:color="000000" w:fill="FFFF00"/>
            <w:noWrap/>
            <w:hideMark/>
          </w:tcPr>
          <w:p w14:paraId="0B64DC1B"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c>
          <w:tcPr>
            <w:tcW w:w="1261" w:type="dxa"/>
            <w:tcBorders>
              <w:top w:val="nil"/>
              <w:left w:val="nil"/>
              <w:bottom w:val="single" w:sz="4" w:space="0" w:color="auto"/>
              <w:right w:val="single" w:sz="4" w:space="0" w:color="auto"/>
            </w:tcBorders>
            <w:shd w:val="clear" w:color="000000" w:fill="FFFF00"/>
            <w:noWrap/>
            <w:hideMark/>
          </w:tcPr>
          <w:p w14:paraId="375CC0A4"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271,000</w:t>
            </w:r>
          </w:p>
        </w:tc>
        <w:tc>
          <w:tcPr>
            <w:tcW w:w="1196" w:type="dxa"/>
            <w:tcBorders>
              <w:top w:val="nil"/>
              <w:left w:val="nil"/>
              <w:bottom w:val="single" w:sz="4" w:space="0" w:color="auto"/>
              <w:right w:val="single" w:sz="8" w:space="0" w:color="auto"/>
            </w:tcBorders>
            <w:shd w:val="clear" w:color="000000" w:fill="FFFF00"/>
            <w:noWrap/>
            <w:hideMark/>
          </w:tcPr>
          <w:p w14:paraId="7C571C55" w14:textId="77777777" w:rsidR="006A78BE" w:rsidRPr="00D30847" w:rsidRDefault="006A78BE" w:rsidP="006A78BE">
            <w:pPr>
              <w:spacing w:after="0" w:line="240" w:lineRule="auto"/>
              <w:jc w:val="center"/>
              <w:rPr>
                <w:rFonts w:eastAsia="Times New Roman"/>
                <w:sz w:val="18"/>
                <w:szCs w:val="18"/>
                <w:lang w:val="en-GB" w:eastAsia="mk-MK"/>
              </w:rPr>
            </w:pPr>
            <w:r w:rsidRPr="00D30847">
              <w:rPr>
                <w:rFonts w:eastAsia="Times New Roman"/>
                <w:sz w:val="18"/>
                <w:szCs w:val="18"/>
                <w:lang w:val="en-GB" w:eastAsia="mk-MK"/>
              </w:rPr>
              <w:t>0</w:t>
            </w:r>
          </w:p>
        </w:tc>
      </w:tr>
      <w:tr w:rsidR="00BF1348" w:rsidRPr="00D30847" w14:paraId="4257BF3C" w14:textId="77777777" w:rsidTr="00E32BC1">
        <w:trPr>
          <w:trHeight w:val="243"/>
        </w:trPr>
        <w:tc>
          <w:tcPr>
            <w:tcW w:w="3787" w:type="dxa"/>
            <w:gridSpan w:val="2"/>
            <w:tcBorders>
              <w:top w:val="nil"/>
              <w:left w:val="single" w:sz="8" w:space="0" w:color="auto"/>
              <w:bottom w:val="single" w:sz="8" w:space="0" w:color="auto"/>
              <w:right w:val="nil"/>
            </w:tcBorders>
            <w:shd w:val="clear" w:color="000000" w:fill="5B9BD5"/>
            <w:noWrap/>
            <w:vAlign w:val="bottom"/>
            <w:hideMark/>
          </w:tcPr>
          <w:p w14:paraId="05445986" w14:textId="77777777" w:rsidR="006A78BE" w:rsidRPr="00D30847" w:rsidRDefault="006A78BE" w:rsidP="00FD3DDC">
            <w:pPr>
              <w:spacing w:after="0" w:line="240" w:lineRule="auto"/>
              <w:rPr>
                <w:rFonts w:eastAsia="Times New Roman"/>
                <w:b/>
                <w:bCs/>
                <w:sz w:val="18"/>
                <w:szCs w:val="18"/>
                <w:lang w:val="en-GB" w:eastAsia="mk-MK"/>
              </w:rPr>
            </w:pPr>
            <w:r w:rsidRPr="00D30847">
              <w:rPr>
                <w:rFonts w:eastAsia="Times New Roman"/>
                <w:b/>
                <w:bCs/>
                <w:sz w:val="18"/>
                <w:szCs w:val="18"/>
                <w:lang w:val="en-GB" w:eastAsia="mk-MK"/>
              </w:rPr>
              <w:t>TOTAL:</w:t>
            </w:r>
          </w:p>
        </w:tc>
        <w:tc>
          <w:tcPr>
            <w:tcW w:w="1403" w:type="dxa"/>
            <w:tcBorders>
              <w:top w:val="nil"/>
              <w:left w:val="nil"/>
              <w:bottom w:val="single" w:sz="8" w:space="0" w:color="auto"/>
              <w:right w:val="nil"/>
            </w:tcBorders>
            <w:shd w:val="clear" w:color="000000" w:fill="5B9BD5"/>
            <w:noWrap/>
            <w:vAlign w:val="bottom"/>
            <w:hideMark/>
          </w:tcPr>
          <w:p w14:paraId="2A2B0DCD" w14:textId="23C2920E" w:rsidR="006A78BE" w:rsidRPr="00D30847" w:rsidRDefault="00B03862" w:rsidP="00D9587C">
            <w:pPr>
              <w:spacing w:after="0" w:line="240" w:lineRule="auto"/>
              <w:jc w:val="center"/>
              <w:rPr>
                <w:rFonts w:ascii="Arial" w:hAnsi="Arial" w:cs="Arial"/>
                <w:sz w:val="20"/>
                <w:szCs w:val="20"/>
                <w:lang w:val="en-GB"/>
              </w:rPr>
            </w:pPr>
            <w:r w:rsidRPr="00D30847">
              <w:rPr>
                <w:rFonts w:eastAsia="Times New Roman"/>
                <w:color w:val="000000"/>
                <w:sz w:val="18"/>
                <w:szCs w:val="18"/>
                <w:lang w:val="en-GB" w:eastAsia="mk-MK"/>
              </w:rPr>
              <w:t>5</w:t>
            </w:r>
            <w:r w:rsidR="00636EC7">
              <w:rPr>
                <w:rFonts w:eastAsia="Times New Roman"/>
                <w:color w:val="000000"/>
                <w:sz w:val="18"/>
                <w:szCs w:val="18"/>
                <w:lang w:val="en-GB" w:eastAsia="mk-MK"/>
              </w:rPr>
              <w:t>6</w:t>
            </w:r>
            <w:r w:rsidRPr="00D30847">
              <w:rPr>
                <w:rFonts w:eastAsia="Times New Roman"/>
                <w:color w:val="000000"/>
                <w:sz w:val="18"/>
                <w:szCs w:val="18"/>
                <w:lang w:val="en-GB" w:eastAsia="mk-MK"/>
              </w:rPr>
              <w:t>,</w:t>
            </w:r>
            <w:r w:rsidR="00636EC7">
              <w:rPr>
                <w:rFonts w:eastAsia="Times New Roman"/>
                <w:color w:val="000000"/>
                <w:sz w:val="18"/>
                <w:szCs w:val="18"/>
                <w:lang w:val="en-GB" w:eastAsia="mk-MK"/>
              </w:rPr>
              <w:t>003</w:t>
            </w:r>
            <w:r w:rsidR="00D9587C" w:rsidRPr="00D30847">
              <w:rPr>
                <w:rFonts w:eastAsia="Times New Roman"/>
                <w:color w:val="000000"/>
                <w:sz w:val="18"/>
                <w:szCs w:val="18"/>
                <w:lang w:val="en-GB" w:eastAsia="mk-MK"/>
              </w:rPr>
              <w:t>,876</w:t>
            </w:r>
          </w:p>
        </w:tc>
        <w:tc>
          <w:tcPr>
            <w:tcW w:w="1357" w:type="dxa"/>
            <w:tcBorders>
              <w:top w:val="nil"/>
              <w:left w:val="nil"/>
              <w:bottom w:val="single" w:sz="8" w:space="0" w:color="auto"/>
              <w:right w:val="nil"/>
            </w:tcBorders>
            <w:shd w:val="clear" w:color="000000" w:fill="5B9BD5"/>
            <w:noWrap/>
            <w:vAlign w:val="bottom"/>
            <w:hideMark/>
          </w:tcPr>
          <w:p w14:paraId="50BD2AB5" w14:textId="77A9670C" w:rsidR="006A78BE" w:rsidRPr="00D30847" w:rsidRDefault="00104C07"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3</w:t>
            </w:r>
            <w:r w:rsidR="00636EC7">
              <w:rPr>
                <w:rFonts w:eastAsia="Times New Roman"/>
                <w:color w:val="000000"/>
                <w:sz w:val="18"/>
                <w:szCs w:val="18"/>
                <w:lang w:val="en-GB" w:eastAsia="mk-MK"/>
              </w:rPr>
              <w:t>5</w:t>
            </w:r>
            <w:r w:rsidRPr="00D30847">
              <w:rPr>
                <w:rFonts w:eastAsia="Times New Roman"/>
                <w:color w:val="000000"/>
                <w:sz w:val="18"/>
                <w:szCs w:val="18"/>
                <w:lang w:val="en-GB" w:eastAsia="mk-MK"/>
              </w:rPr>
              <w:t>,</w:t>
            </w:r>
            <w:r w:rsidR="00636EC7">
              <w:rPr>
                <w:rFonts w:eastAsia="Times New Roman"/>
                <w:color w:val="000000"/>
                <w:sz w:val="18"/>
                <w:szCs w:val="18"/>
                <w:lang w:val="en-GB" w:eastAsia="mk-MK"/>
              </w:rPr>
              <w:t>183</w:t>
            </w:r>
            <w:r w:rsidR="00582EAD" w:rsidRPr="00D30847">
              <w:rPr>
                <w:rFonts w:eastAsia="Times New Roman"/>
                <w:color w:val="000000"/>
                <w:sz w:val="18"/>
                <w:szCs w:val="18"/>
                <w:lang w:val="en-GB" w:eastAsia="mk-MK"/>
              </w:rPr>
              <w:t>,876</w:t>
            </w:r>
          </w:p>
        </w:tc>
        <w:tc>
          <w:tcPr>
            <w:tcW w:w="1261" w:type="dxa"/>
            <w:tcBorders>
              <w:top w:val="nil"/>
              <w:left w:val="nil"/>
              <w:bottom w:val="single" w:sz="8" w:space="0" w:color="auto"/>
              <w:right w:val="nil"/>
            </w:tcBorders>
            <w:shd w:val="clear" w:color="000000" w:fill="5B9BD5"/>
            <w:noWrap/>
            <w:vAlign w:val="bottom"/>
            <w:hideMark/>
          </w:tcPr>
          <w:p w14:paraId="041C4A05" w14:textId="096B8C11" w:rsidR="006A78BE" w:rsidRPr="00D30847" w:rsidRDefault="00B03862" w:rsidP="006A78BE">
            <w:pPr>
              <w:spacing w:after="0" w:line="240" w:lineRule="auto"/>
              <w:jc w:val="center"/>
              <w:rPr>
                <w:rFonts w:eastAsia="Times New Roman"/>
                <w:color w:val="000000"/>
                <w:sz w:val="18"/>
                <w:szCs w:val="18"/>
                <w:lang w:val="en-GB" w:eastAsia="mk-MK"/>
              </w:rPr>
            </w:pPr>
            <w:r w:rsidRPr="00D30847">
              <w:rPr>
                <w:rFonts w:eastAsia="Times New Roman"/>
                <w:color w:val="000000"/>
                <w:sz w:val="18"/>
                <w:szCs w:val="18"/>
                <w:lang w:val="en-GB" w:eastAsia="mk-MK"/>
              </w:rPr>
              <w:t>17,51</w:t>
            </w:r>
            <w:r w:rsidR="00582EAD" w:rsidRPr="00D30847">
              <w:rPr>
                <w:rFonts w:eastAsia="Times New Roman"/>
                <w:color w:val="000000"/>
                <w:sz w:val="18"/>
                <w:szCs w:val="18"/>
                <w:lang w:val="en-GB" w:eastAsia="mk-MK"/>
              </w:rPr>
              <w:t>9,000</w:t>
            </w:r>
          </w:p>
        </w:tc>
        <w:tc>
          <w:tcPr>
            <w:tcW w:w="1196" w:type="dxa"/>
            <w:tcBorders>
              <w:top w:val="nil"/>
              <w:left w:val="nil"/>
              <w:bottom w:val="single" w:sz="8" w:space="0" w:color="auto"/>
              <w:right w:val="single" w:sz="8" w:space="0" w:color="auto"/>
            </w:tcBorders>
            <w:shd w:val="clear" w:color="000000" w:fill="5B9BD5"/>
            <w:noWrap/>
            <w:vAlign w:val="bottom"/>
            <w:hideMark/>
          </w:tcPr>
          <w:p w14:paraId="4C505EF5" w14:textId="02751012" w:rsidR="006A78BE" w:rsidRPr="00D30847" w:rsidRDefault="00636EC7" w:rsidP="006A78BE">
            <w:pPr>
              <w:spacing w:after="0" w:line="240" w:lineRule="auto"/>
              <w:jc w:val="center"/>
              <w:rPr>
                <w:rFonts w:eastAsia="Times New Roman"/>
                <w:color w:val="000000"/>
                <w:sz w:val="18"/>
                <w:szCs w:val="18"/>
                <w:lang w:val="en-GB" w:eastAsia="mk-MK"/>
              </w:rPr>
            </w:pPr>
            <w:r>
              <w:rPr>
                <w:rFonts w:eastAsia="Times New Roman"/>
                <w:color w:val="000000"/>
                <w:sz w:val="18"/>
                <w:szCs w:val="18"/>
                <w:lang w:val="en-GB" w:eastAsia="mk-MK"/>
              </w:rPr>
              <w:t>3</w:t>
            </w:r>
            <w:r w:rsidR="00B03862" w:rsidRPr="00D30847">
              <w:rPr>
                <w:rFonts w:eastAsia="Times New Roman"/>
                <w:color w:val="000000"/>
                <w:sz w:val="18"/>
                <w:szCs w:val="18"/>
                <w:lang w:val="en-GB" w:eastAsia="mk-MK"/>
              </w:rPr>
              <w:t>,</w:t>
            </w:r>
            <w:r>
              <w:rPr>
                <w:rFonts w:eastAsia="Times New Roman"/>
                <w:color w:val="000000"/>
                <w:sz w:val="18"/>
                <w:szCs w:val="18"/>
                <w:lang w:val="en-GB" w:eastAsia="mk-MK"/>
              </w:rPr>
              <w:t>301</w:t>
            </w:r>
            <w:r w:rsidR="00582EAD" w:rsidRPr="00D30847">
              <w:rPr>
                <w:rFonts w:eastAsia="Times New Roman"/>
                <w:color w:val="000000"/>
                <w:sz w:val="18"/>
                <w:szCs w:val="18"/>
                <w:lang w:val="en-GB" w:eastAsia="mk-MK"/>
              </w:rPr>
              <w:t>,000</w:t>
            </w:r>
          </w:p>
        </w:tc>
      </w:tr>
    </w:tbl>
    <w:p w14:paraId="6D25EDDD" w14:textId="77777777" w:rsidR="006A78BE" w:rsidRPr="00D30847" w:rsidRDefault="006A78BE" w:rsidP="006A78BE">
      <w:pPr>
        <w:spacing w:line="240" w:lineRule="auto"/>
        <w:jc w:val="center"/>
        <w:rPr>
          <w:rFonts w:cs="Calibri"/>
          <w:lang w:val="en-GB"/>
        </w:rPr>
      </w:pPr>
    </w:p>
    <w:p w14:paraId="4F7C0810" w14:textId="773DBA23" w:rsidR="006A78BE" w:rsidRPr="00D30847" w:rsidRDefault="006A78BE" w:rsidP="006A78BE">
      <w:pPr>
        <w:spacing w:line="240" w:lineRule="auto"/>
        <w:jc w:val="center"/>
        <w:rPr>
          <w:rFonts w:cs="Calibri"/>
          <w:lang w:val="en-GB"/>
        </w:rPr>
      </w:pPr>
    </w:p>
    <w:p w14:paraId="3EFF774A" w14:textId="42130160" w:rsidR="003C20E4" w:rsidRPr="00D30847" w:rsidRDefault="003C20E4" w:rsidP="006A78BE">
      <w:pPr>
        <w:spacing w:before="360" w:line="240" w:lineRule="auto"/>
        <w:jc w:val="center"/>
        <w:rPr>
          <w:rFonts w:cs="Calibri"/>
          <w:b/>
          <w:color w:val="0070C0"/>
          <w:sz w:val="28"/>
          <w:szCs w:val="28"/>
          <w:lang w:val="en-GB"/>
        </w:rPr>
      </w:pPr>
    </w:p>
    <w:p w14:paraId="6E288721" w14:textId="7F154B65" w:rsidR="00BF1348" w:rsidRPr="00D30847" w:rsidRDefault="00BF1348" w:rsidP="006A78BE">
      <w:pPr>
        <w:spacing w:before="360" w:line="240" w:lineRule="auto"/>
        <w:jc w:val="center"/>
        <w:rPr>
          <w:rFonts w:cs="Calibri"/>
          <w:b/>
          <w:color w:val="0070C0"/>
          <w:sz w:val="28"/>
          <w:szCs w:val="28"/>
          <w:lang w:val="en-GB"/>
        </w:rPr>
      </w:pPr>
    </w:p>
    <w:p w14:paraId="6EFA4F4F" w14:textId="74A75A0A" w:rsidR="00BF1348" w:rsidRPr="00D30847" w:rsidRDefault="00BF1348" w:rsidP="006A78BE">
      <w:pPr>
        <w:spacing w:before="360" w:line="240" w:lineRule="auto"/>
        <w:jc w:val="center"/>
        <w:rPr>
          <w:rFonts w:cs="Calibri"/>
          <w:b/>
          <w:color w:val="0070C0"/>
          <w:sz w:val="28"/>
          <w:szCs w:val="28"/>
          <w:lang w:val="en-GB"/>
        </w:rPr>
      </w:pPr>
    </w:p>
    <w:p w14:paraId="533616DC" w14:textId="1AEB09D4" w:rsidR="00BF1348" w:rsidRPr="00D30847" w:rsidRDefault="00BF1348" w:rsidP="006A78BE">
      <w:pPr>
        <w:spacing w:before="360" w:line="240" w:lineRule="auto"/>
        <w:jc w:val="center"/>
        <w:rPr>
          <w:rFonts w:cs="Calibri"/>
          <w:b/>
          <w:color w:val="0070C0"/>
          <w:sz w:val="28"/>
          <w:szCs w:val="28"/>
          <w:lang w:val="en-GB"/>
        </w:rPr>
      </w:pPr>
    </w:p>
    <w:p w14:paraId="45E4D552" w14:textId="3E16EA3C" w:rsidR="00BF1348" w:rsidRPr="00D30847" w:rsidRDefault="00BF1348" w:rsidP="006A78BE">
      <w:pPr>
        <w:spacing w:before="360" w:line="240" w:lineRule="auto"/>
        <w:jc w:val="center"/>
        <w:rPr>
          <w:rFonts w:cs="Calibri"/>
          <w:b/>
          <w:color w:val="0070C0"/>
          <w:sz w:val="28"/>
          <w:szCs w:val="28"/>
          <w:lang w:val="en-GB"/>
        </w:rPr>
      </w:pPr>
    </w:p>
    <w:p w14:paraId="74DFD741" w14:textId="77777777" w:rsidR="00BF1348" w:rsidRPr="00D30847" w:rsidRDefault="00BF1348" w:rsidP="00E84CD0">
      <w:pPr>
        <w:pStyle w:val="Heading1"/>
        <w:spacing w:line="240" w:lineRule="auto"/>
        <w:jc w:val="both"/>
        <w:rPr>
          <w:rFonts w:ascii="Calibri" w:eastAsia="MS PGothic" w:hAnsi="Calibri" w:cs="Calibri"/>
          <w:color w:val="2F5496"/>
          <w:kern w:val="0"/>
          <w:lang w:val="en-GB" w:eastAsia="zh-CN"/>
        </w:rPr>
        <w:sectPr w:rsidR="00BF1348" w:rsidRPr="00D30847" w:rsidSect="00BF1348">
          <w:headerReference w:type="default" r:id="rId11"/>
          <w:pgSz w:w="11906" w:h="16838"/>
          <w:pgMar w:top="1440" w:right="1560" w:bottom="1440" w:left="1440" w:header="708" w:footer="708" w:gutter="0"/>
          <w:cols w:space="708"/>
          <w:docGrid w:linePitch="360"/>
        </w:sectPr>
      </w:pPr>
    </w:p>
    <w:p w14:paraId="5AF2C97D" w14:textId="7200DF81" w:rsidR="00A42B0B" w:rsidRPr="00D30847" w:rsidRDefault="00A42B0B" w:rsidP="00E84CD0">
      <w:pPr>
        <w:pStyle w:val="Heading1"/>
        <w:spacing w:line="240" w:lineRule="auto"/>
        <w:jc w:val="both"/>
        <w:rPr>
          <w:rFonts w:ascii="Calibri" w:eastAsia="MS PGothic" w:hAnsi="Calibri" w:cs="Calibri"/>
          <w:color w:val="2F5496"/>
          <w:kern w:val="0"/>
          <w:lang w:val="en-GB" w:eastAsia="zh-CN"/>
        </w:rPr>
      </w:pPr>
      <w:bookmarkStart w:id="73" w:name="_Toc187841826"/>
      <w:r w:rsidRPr="00D30847">
        <w:rPr>
          <w:rFonts w:ascii="Calibri" w:eastAsia="MS PGothic" w:hAnsi="Calibri" w:cs="Calibri"/>
          <w:color w:val="2F5496"/>
          <w:kern w:val="0"/>
          <w:lang w:val="en-GB" w:eastAsia="zh-CN"/>
        </w:rPr>
        <w:lastRenderedPageBreak/>
        <w:t>A</w:t>
      </w:r>
      <w:r w:rsidR="00726AC7" w:rsidRPr="00D30847">
        <w:rPr>
          <w:rFonts w:ascii="Calibri" w:eastAsia="MS PGothic" w:hAnsi="Calibri" w:cs="Calibri"/>
          <w:color w:val="2F5496"/>
          <w:kern w:val="0"/>
          <w:lang w:val="en-GB" w:eastAsia="zh-CN"/>
        </w:rPr>
        <w:t>nnex</w:t>
      </w:r>
      <w:r w:rsidR="00F368A1">
        <w:rPr>
          <w:rFonts w:ascii="Calibri" w:eastAsia="MS PGothic" w:hAnsi="Calibri" w:cs="Calibri"/>
          <w:color w:val="2F5496"/>
          <w:kern w:val="0"/>
          <w:lang w:val="en-GB" w:eastAsia="zh-CN"/>
        </w:rPr>
        <w:t xml:space="preserve"> </w:t>
      </w:r>
      <w:r w:rsidR="00726AC7" w:rsidRPr="00D30847">
        <w:rPr>
          <w:rFonts w:ascii="Calibri" w:eastAsia="MS PGothic" w:hAnsi="Calibri" w:cs="Calibri"/>
          <w:color w:val="2F5496"/>
          <w:kern w:val="0"/>
          <w:lang w:val="en-GB" w:eastAsia="zh-CN"/>
        </w:rPr>
        <w:t>I</w:t>
      </w:r>
      <w:r w:rsidRPr="00D30847">
        <w:rPr>
          <w:rFonts w:ascii="Calibri" w:eastAsia="MS PGothic" w:hAnsi="Calibri" w:cs="Calibri"/>
          <w:color w:val="2F5496"/>
          <w:kern w:val="0"/>
          <w:lang w:val="en-GB" w:eastAsia="zh-CN"/>
        </w:rPr>
        <w:t xml:space="preserve"> – Time Frame of Implementation of the PFM Reform Programme</w:t>
      </w:r>
      <w:bookmarkEnd w:id="73"/>
    </w:p>
    <w:p w14:paraId="2F28B3CD" w14:textId="77777777" w:rsidR="000F0256" w:rsidRPr="00D30847" w:rsidRDefault="000F0256" w:rsidP="00BD00E3">
      <w:pPr>
        <w:spacing w:after="0"/>
        <w:rPr>
          <w:lang w:val="en-GB" w:eastAsia="zh-CN"/>
        </w:rPr>
      </w:pPr>
    </w:p>
    <w:tbl>
      <w:tblPr>
        <w:tblW w:w="15210" w:type="dxa"/>
        <w:tblInd w:w="-882" w:type="dxa"/>
        <w:tblLayout w:type="fixed"/>
        <w:tblLook w:val="04A0" w:firstRow="1" w:lastRow="0" w:firstColumn="1" w:lastColumn="0" w:noHBand="0" w:noVBand="1"/>
      </w:tblPr>
      <w:tblGrid>
        <w:gridCol w:w="90"/>
        <w:gridCol w:w="612"/>
        <w:gridCol w:w="108"/>
        <w:gridCol w:w="356"/>
        <w:gridCol w:w="604"/>
        <w:gridCol w:w="672"/>
        <w:gridCol w:w="1417"/>
        <w:gridCol w:w="353"/>
        <w:gridCol w:w="108"/>
        <w:gridCol w:w="3150"/>
        <w:gridCol w:w="450"/>
        <w:gridCol w:w="72"/>
        <w:gridCol w:w="108"/>
        <w:gridCol w:w="270"/>
        <w:gridCol w:w="180"/>
        <w:gridCol w:w="330"/>
        <w:gridCol w:w="72"/>
        <w:gridCol w:w="108"/>
        <w:gridCol w:w="300"/>
        <w:gridCol w:w="72"/>
        <w:gridCol w:w="108"/>
        <w:gridCol w:w="270"/>
        <w:gridCol w:w="180"/>
        <w:gridCol w:w="360"/>
        <w:gridCol w:w="72"/>
        <w:gridCol w:w="108"/>
        <w:gridCol w:w="270"/>
        <w:gridCol w:w="72"/>
        <w:gridCol w:w="108"/>
        <w:gridCol w:w="360"/>
        <w:gridCol w:w="72"/>
        <w:gridCol w:w="10"/>
        <w:gridCol w:w="98"/>
        <w:gridCol w:w="270"/>
        <w:gridCol w:w="72"/>
        <w:gridCol w:w="108"/>
        <w:gridCol w:w="270"/>
        <w:gridCol w:w="72"/>
        <w:gridCol w:w="108"/>
        <w:gridCol w:w="270"/>
        <w:gridCol w:w="180"/>
        <w:gridCol w:w="270"/>
        <w:gridCol w:w="72"/>
        <w:gridCol w:w="10"/>
        <w:gridCol w:w="98"/>
        <w:gridCol w:w="270"/>
        <w:gridCol w:w="72"/>
        <w:gridCol w:w="108"/>
        <w:gridCol w:w="342"/>
        <w:gridCol w:w="18"/>
        <w:gridCol w:w="90"/>
        <w:gridCol w:w="342"/>
        <w:gridCol w:w="18"/>
        <w:gridCol w:w="90"/>
        <w:gridCol w:w="540"/>
      </w:tblGrid>
      <w:tr w:rsidR="00C93723" w:rsidRPr="00D30847" w14:paraId="75C217FF" w14:textId="77777777" w:rsidTr="00B84551">
        <w:trPr>
          <w:trHeight w:val="315"/>
        </w:trPr>
        <w:tc>
          <w:tcPr>
            <w:tcW w:w="7470" w:type="dxa"/>
            <w:gridSpan w:val="10"/>
            <w:tcBorders>
              <w:top w:val="nil"/>
              <w:left w:val="nil"/>
              <w:bottom w:val="nil"/>
              <w:right w:val="single" w:sz="8" w:space="0" w:color="000000"/>
            </w:tcBorders>
            <w:shd w:val="clear" w:color="000000" w:fill="CCFFCC"/>
            <w:vAlign w:val="center"/>
            <w:hideMark/>
          </w:tcPr>
          <w:p w14:paraId="5005321C" w14:textId="573346C8"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PFMPR 202</w:t>
            </w:r>
            <w:r w:rsidR="00780E18" w:rsidRPr="00D30847">
              <w:rPr>
                <w:rFonts w:eastAsia="Times New Roman" w:cs="Calibri"/>
                <w:b/>
                <w:bCs/>
                <w:sz w:val="16"/>
                <w:szCs w:val="16"/>
                <w:lang w:val="en-GB"/>
              </w:rPr>
              <w:t>5</w:t>
            </w:r>
            <w:r w:rsidRPr="00D30847">
              <w:rPr>
                <w:rFonts w:eastAsia="Times New Roman" w:cs="Calibri"/>
                <w:b/>
                <w:bCs/>
                <w:sz w:val="16"/>
                <w:szCs w:val="16"/>
                <w:lang w:val="en-GB"/>
              </w:rPr>
              <w:t>-202</w:t>
            </w:r>
            <w:r w:rsidR="00780E18" w:rsidRPr="00D30847">
              <w:rPr>
                <w:rFonts w:eastAsia="Times New Roman" w:cs="Calibri"/>
                <w:b/>
                <w:bCs/>
                <w:sz w:val="16"/>
                <w:szCs w:val="16"/>
                <w:lang w:val="en-GB"/>
              </w:rPr>
              <w:t>8</w:t>
            </w:r>
          </w:p>
        </w:tc>
        <w:tc>
          <w:tcPr>
            <w:tcW w:w="1962" w:type="dxa"/>
            <w:gridSpan w:val="10"/>
            <w:tcBorders>
              <w:top w:val="single" w:sz="8" w:space="0" w:color="auto"/>
              <w:left w:val="nil"/>
              <w:bottom w:val="single" w:sz="8" w:space="0" w:color="auto"/>
              <w:right w:val="single" w:sz="8" w:space="0" w:color="000000"/>
            </w:tcBorders>
            <w:shd w:val="clear" w:color="000000" w:fill="CCFFCC"/>
            <w:vAlign w:val="center"/>
            <w:hideMark/>
          </w:tcPr>
          <w:p w14:paraId="72604F69" w14:textId="652F40B8"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202</w:t>
            </w:r>
            <w:r w:rsidR="00780E18" w:rsidRPr="00D30847">
              <w:rPr>
                <w:rFonts w:eastAsia="Times New Roman" w:cs="Calibri"/>
                <w:b/>
                <w:bCs/>
                <w:sz w:val="16"/>
                <w:szCs w:val="16"/>
                <w:lang w:val="en-GB"/>
              </w:rPr>
              <w:t>5</w:t>
            </w:r>
          </w:p>
        </w:tc>
        <w:tc>
          <w:tcPr>
            <w:tcW w:w="1990" w:type="dxa"/>
            <w:gridSpan w:val="12"/>
            <w:tcBorders>
              <w:top w:val="single" w:sz="8" w:space="0" w:color="auto"/>
              <w:left w:val="nil"/>
              <w:bottom w:val="single" w:sz="8" w:space="0" w:color="auto"/>
              <w:right w:val="single" w:sz="8" w:space="0" w:color="000000"/>
            </w:tcBorders>
            <w:shd w:val="clear" w:color="000000" w:fill="CCFFCC"/>
            <w:vAlign w:val="center"/>
            <w:hideMark/>
          </w:tcPr>
          <w:p w14:paraId="73D356EB" w14:textId="60D2D06C"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202</w:t>
            </w:r>
            <w:r w:rsidR="00780E18" w:rsidRPr="00D30847">
              <w:rPr>
                <w:rFonts w:eastAsia="Times New Roman" w:cs="Calibri"/>
                <w:b/>
                <w:bCs/>
                <w:sz w:val="16"/>
                <w:szCs w:val="16"/>
                <w:lang w:val="en-GB"/>
              </w:rPr>
              <w:t>6</w:t>
            </w:r>
          </w:p>
        </w:tc>
        <w:tc>
          <w:tcPr>
            <w:tcW w:w="1800" w:type="dxa"/>
            <w:gridSpan w:val="12"/>
            <w:tcBorders>
              <w:top w:val="single" w:sz="8" w:space="0" w:color="auto"/>
              <w:left w:val="nil"/>
              <w:bottom w:val="single" w:sz="8" w:space="0" w:color="auto"/>
              <w:right w:val="single" w:sz="8" w:space="0" w:color="000000"/>
            </w:tcBorders>
            <w:shd w:val="clear" w:color="000000" w:fill="CCFFCC"/>
            <w:vAlign w:val="center"/>
            <w:hideMark/>
          </w:tcPr>
          <w:p w14:paraId="0DBA653E" w14:textId="1292A990"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202</w:t>
            </w:r>
            <w:r w:rsidR="00780E18" w:rsidRPr="00D30847">
              <w:rPr>
                <w:rFonts w:eastAsia="Times New Roman" w:cs="Calibri"/>
                <w:b/>
                <w:bCs/>
                <w:sz w:val="16"/>
                <w:szCs w:val="16"/>
                <w:lang w:val="en-GB"/>
              </w:rPr>
              <w:t>7</w:t>
            </w:r>
          </w:p>
        </w:tc>
        <w:tc>
          <w:tcPr>
            <w:tcW w:w="1988" w:type="dxa"/>
            <w:gridSpan w:val="11"/>
            <w:tcBorders>
              <w:top w:val="single" w:sz="8" w:space="0" w:color="auto"/>
              <w:left w:val="nil"/>
              <w:bottom w:val="single" w:sz="8" w:space="0" w:color="auto"/>
              <w:right w:val="single" w:sz="8" w:space="0" w:color="000000"/>
            </w:tcBorders>
            <w:shd w:val="clear" w:color="000000" w:fill="CCFFCC"/>
            <w:vAlign w:val="center"/>
            <w:hideMark/>
          </w:tcPr>
          <w:p w14:paraId="42CAB658" w14:textId="1F7FA320"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202</w:t>
            </w:r>
            <w:r w:rsidR="00780E18" w:rsidRPr="00D30847">
              <w:rPr>
                <w:rFonts w:eastAsia="Times New Roman" w:cs="Calibri"/>
                <w:b/>
                <w:bCs/>
                <w:sz w:val="16"/>
                <w:szCs w:val="16"/>
                <w:lang w:val="en-GB"/>
              </w:rPr>
              <w:t>8</w:t>
            </w:r>
          </w:p>
        </w:tc>
      </w:tr>
      <w:tr w:rsidR="00C93723" w:rsidRPr="00D30847" w14:paraId="758EC62F" w14:textId="77777777" w:rsidTr="00595060">
        <w:trPr>
          <w:trHeight w:val="315"/>
        </w:trPr>
        <w:tc>
          <w:tcPr>
            <w:tcW w:w="702" w:type="dxa"/>
            <w:gridSpan w:val="2"/>
            <w:tcBorders>
              <w:top w:val="nil"/>
              <w:left w:val="nil"/>
              <w:bottom w:val="nil"/>
              <w:right w:val="nil"/>
            </w:tcBorders>
            <w:shd w:val="clear" w:color="000000" w:fill="CCFFCC"/>
            <w:vAlign w:val="center"/>
            <w:hideMark/>
          </w:tcPr>
          <w:p w14:paraId="321F7D29" w14:textId="77777777" w:rsidR="00C93723" w:rsidRPr="00D30847" w:rsidRDefault="00C93723" w:rsidP="00C93723">
            <w:pPr>
              <w:spacing w:after="0" w:line="240" w:lineRule="auto"/>
              <w:jc w:val="center"/>
              <w:rPr>
                <w:rFonts w:eastAsia="Times New Roman" w:cs="Calibri"/>
                <w:sz w:val="16"/>
                <w:szCs w:val="16"/>
                <w:lang w:val="en-GB"/>
              </w:rPr>
            </w:pPr>
            <w:r w:rsidRPr="00D30847">
              <w:rPr>
                <w:rFonts w:eastAsia="Times New Roman" w:cs="Calibri"/>
                <w:sz w:val="16"/>
                <w:szCs w:val="16"/>
                <w:lang w:val="en-GB"/>
              </w:rPr>
              <w:t> </w:t>
            </w:r>
          </w:p>
        </w:tc>
        <w:tc>
          <w:tcPr>
            <w:tcW w:w="464" w:type="dxa"/>
            <w:gridSpan w:val="2"/>
            <w:tcBorders>
              <w:top w:val="nil"/>
              <w:left w:val="nil"/>
              <w:bottom w:val="nil"/>
              <w:right w:val="nil"/>
            </w:tcBorders>
            <w:shd w:val="clear" w:color="000000" w:fill="CCFFCC"/>
            <w:vAlign w:val="center"/>
            <w:hideMark/>
          </w:tcPr>
          <w:p w14:paraId="7D115A8B" w14:textId="77777777" w:rsidR="00C93723" w:rsidRPr="00D30847" w:rsidRDefault="00C93723" w:rsidP="00C93723">
            <w:pPr>
              <w:spacing w:after="0" w:line="240" w:lineRule="auto"/>
              <w:jc w:val="center"/>
              <w:rPr>
                <w:rFonts w:eastAsia="Times New Roman" w:cs="Calibri"/>
                <w:sz w:val="16"/>
                <w:szCs w:val="16"/>
                <w:lang w:val="en-GB"/>
              </w:rPr>
            </w:pPr>
            <w:r w:rsidRPr="00D30847">
              <w:rPr>
                <w:rFonts w:eastAsia="Times New Roman" w:cs="Calibri"/>
                <w:sz w:val="16"/>
                <w:szCs w:val="16"/>
                <w:lang w:val="en-GB"/>
              </w:rPr>
              <w:t> </w:t>
            </w:r>
          </w:p>
        </w:tc>
        <w:tc>
          <w:tcPr>
            <w:tcW w:w="1276" w:type="dxa"/>
            <w:gridSpan w:val="2"/>
            <w:tcBorders>
              <w:top w:val="nil"/>
              <w:left w:val="nil"/>
              <w:bottom w:val="nil"/>
              <w:right w:val="nil"/>
            </w:tcBorders>
            <w:shd w:val="clear" w:color="000000" w:fill="CCFFCC"/>
            <w:vAlign w:val="center"/>
            <w:hideMark/>
          </w:tcPr>
          <w:p w14:paraId="1DCB7FBC" w14:textId="77777777" w:rsidR="00C93723" w:rsidRPr="00D30847" w:rsidRDefault="00C93723" w:rsidP="00C93723">
            <w:pPr>
              <w:spacing w:after="0" w:line="240" w:lineRule="auto"/>
              <w:jc w:val="center"/>
              <w:rPr>
                <w:rFonts w:eastAsia="Times New Roman" w:cs="Calibri"/>
                <w:sz w:val="16"/>
                <w:szCs w:val="16"/>
                <w:lang w:val="en-GB"/>
              </w:rPr>
            </w:pPr>
            <w:r w:rsidRPr="00D30847">
              <w:rPr>
                <w:rFonts w:eastAsia="Times New Roman" w:cs="Calibri"/>
                <w:sz w:val="16"/>
                <w:szCs w:val="16"/>
                <w:lang w:val="en-GB"/>
              </w:rPr>
              <w:t> </w:t>
            </w:r>
          </w:p>
        </w:tc>
        <w:tc>
          <w:tcPr>
            <w:tcW w:w="1770" w:type="dxa"/>
            <w:gridSpan w:val="2"/>
            <w:tcBorders>
              <w:top w:val="nil"/>
              <w:left w:val="nil"/>
              <w:bottom w:val="nil"/>
              <w:right w:val="nil"/>
            </w:tcBorders>
            <w:shd w:val="clear" w:color="000000" w:fill="CCFFCC"/>
            <w:vAlign w:val="center"/>
            <w:hideMark/>
          </w:tcPr>
          <w:p w14:paraId="22EFFEE1" w14:textId="77777777" w:rsidR="00C93723" w:rsidRPr="00D30847" w:rsidRDefault="00C93723" w:rsidP="00C93723">
            <w:pPr>
              <w:spacing w:after="0" w:line="240" w:lineRule="auto"/>
              <w:jc w:val="center"/>
              <w:rPr>
                <w:rFonts w:eastAsia="Times New Roman" w:cs="Calibri"/>
                <w:sz w:val="16"/>
                <w:szCs w:val="16"/>
                <w:lang w:val="en-GB"/>
              </w:rPr>
            </w:pPr>
            <w:r w:rsidRPr="00D30847">
              <w:rPr>
                <w:rFonts w:eastAsia="Times New Roman" w:cs="Calibri"/>
                <w:sz w:val="16"/>
                <w:szCs w:val="16"/>
                <w:lang w:val="en-GB"/>
              </w:rPr>
              <w:t> </w:t>
            </w:r>
          </w:p>
        </w:tc>
        <w:tc>
          <w:tcPr>
            <w:tcW w:w="3258" w:type="dxa"/>
            <w:gridSpan w:val="2"/>
            <w:tcBorders>
              <w:top w:val="nil"/>
              <w:left w:val="nil"/>
              <w:bottom w:val="nil"/>
              <w:right w:val="nil"/>
            </w:tcBorders>
            <w:shd w:val="clear" w:color="000000" w:fill="CCFFCC"/>
            <w:vAlign w:val="center"/>
            <w:hideMark/>
          </w:tcPr>
          <w:p w14:paraId="6C11BE53" w14:textId="77777777"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2"/>
            <w:tcBorders>
              <w:top w:val="nil"/>
              <w:left w:val="single" w:sz="8" w:space="0" w:color="auto"/>
              <w:bottom w:val="single" w:sz="8" w:space="0" w:color="auto"/>
              <w:right w:val="single" w:sz="8" w:space="0" w:color="auto"/>
            </w:tcBorders>
            <w:shd w:val="clear" w:color="000000" w:fill="CCFFCC"/>
            <w:vAlign w:val="center"/>
            <w:hideMark/>
          </w:tcPr>
          <w:p w14:paraId="7FBF6604" w14:textId="77777777"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I</w:t>
            </w:r>
          </w:p>
        </w:tc>
        <w:tc>
          <w:tcPr>
            <w:tcW w:w="378" w:type="dxa"/>
            <w:gridSpan w:val="2"/>
            <w:tcBorders>
              <w:top w:val="nil"/>
              <w:left w:val="nil"/>
              <w:bottom w:val="single" w:sz="8" w:space="0" w:color="auto"/>
              <w:right w:val="single" w:sz="8" w:space="0" w:color="auto"/>
            </w:tcBorders>
            <w:shd w:val="clear" w:color="000000" w:fill="CCFFCC"/>
            <w:vAlign w:val="center"/>
            <w:hideMark/>
          </w:tcPr>
          <w:p w14:paraId="6CB9AEFF" w14:textId="77777777"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II</w:t>
            </w:r>
          </w:p>
        </w:tc>
        <w:tc>
          <w:tcPr>
            <w:tcW w:w="582" w:type="dxa"/>
            <w:gridSpan w:val="3"/>
            <w:tcBorders>
              <w:top w:val="nil"/>
              <w:left w:val="nil"/>
              <w:bottom w:val="single" w:sz="8" w:space="0" w:color="auto"/>
              <w:right w:val="single" w:sz="8" w:space="0" w:color="auto"/>
            </w:tcBorders>
            <w:shd w:val="clear" w:color="000000" w:fill="CCFFCC"/>
            <w:vAlign w:val="center"/>
            <w:hideMark/>
          </w:tcPr>
          <w:p w14:paraId="2A7B5D1B" w14:textId="77777777"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III</w:t>
            </w:r>
          </w:p>
        </w:tc>
        <w:tc>
          <w:tcPr>
            <w:tcW w:w="480" w:type="dxa"/>
            <w:gridSpan w:val="3"/>
            <w:tcBorders>
              <w:top w:val="nil"/>
              <w:left w:val="nil"/>
              <w:bottom w:val="single" w:sz="8" w:space="0" w:color="auto"/>
              <w:right w:val="single" w:sz="8" w:space="0" w:color="auto"/>
            </w:tcBorders>
            <w:shd w:val="clear" w:color="000000" w:fill="CCFFCC"/>
            <w:vAlign w:val="center"/>
            <w:hideMark/>
          </w:tcPr>
          <w:p w14:paraId="59AFA102" w14:textId="77777777"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IV</w:t>
            </w:r>
          </w:p>
        </w:tc>
        <w:tc>
          <w:tcPr>
            <w:tcW w:w="378" w:type="dxa"/>
            <w:gridSpan w:val="2"/>
            <w:tcBorders>
              <w:top w:val="nil"/>
              <w:left w:val="nil"/>
              <w:bottom w:val="single" w:sz="8" w:space="0" w:color="auto"/>
              <w:right w:val="single" w:sz="8" w:space="0" w:color="auto"/>
            </w:tcBorders>
            <w:shd w:val="clear" w:color="000000" w:fill="CCFFCC"/>
            <w:vAlign w:val="center"/>
            <w:hideMark/>
          </w:tcPr>
          <w:p w14:paraId="41C0BF84" w14:textId="77777777"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I</w:t>
            </w:r>
          </w:p>
        </w:tc>
        <w:tc>
          <w:tcPr>
            <w:tcW w:w="612" w:type="dxa"/>
            <w:gridSpan w:val="3"/>
            <w:tcBorders>
              <w:top w:val="nil"/>
              <w:left w:val="nil"/>
              <w:bottom w:val="single" w:sz="8" w:space="0" w:color="auto"/>
              <w:right w:val="single" w:sz="8" w:space="0" w:color="auto"/>
            </w:tcBorders>
            <w:shd w:val="clear" w:color="000000" w:fill="CCFFCC"/>
            <w:vAlign w:val="center"/>
            <w:hideMark/>
          </w:tcPr>
          <w:p w14:paraId="1A7FF31D" w14:textId="77777777"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II</w:t>
            </w:r>
          </w:p>
        </w:tc>
        <w:tc>
          <w:tcPr>
            <w:tcW w:w="450" w:type="dxa"/>
            <w:gridSpan w:val="3"/>
            <w:tcBorders>
              <w:top w:val="nil"/>
              <w:left w:val="nil"/>
              <w:bottom w:val="single" w:sz="8" w:space="0" w:color="auto"/>
              <w:right w:val="single" w:sz="8" w:space="0" w:color="auto"/>
            </w:tcBorders>
            <w:shd w:val="clear" w:color="000000" w:fill="CCFFCC"/>
            <w:vAlign w:val="center"/>
            <w:hideMark/>
          </w:tcPr>
          <w:p w14:paraId="399E4FF1" w14:textId="77777777"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III</w:t>
            </w:r>
          </w:p>
        </w:tc>
        <w:tc>
          <w:tcPr>
            <w:tcW w:w="540" w:type="dxa"/>
            <w:gridSpan w:val="3"/>
            <w:tcBorders>
              <w:top w:val="nil"/>
              <w:left w:val="nil"/>
              <w:bottom w:val="single" w:sz="8" w:space="0" w:color="auto"/>
              <w:right w:val="single" w:sz="8" w:space="0" w:color="auto"/>
            </w:tcBorders>
            <w:shd w:val="clear" w:color="000000" w:fill="CCFFCC"/>
            <w:vAlign w:val="center"/>
            <w:hideMark/>
          </w:tcPr>
          <w:p w14:paraId="096D9111" w14:textId="77777777"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IV</w:t>
            </w:r>
          </w:p>
        </w:tc>
        <w:tc>
          <w:tcPr>
            <w:tcW w:w="450" w:type="dxa"/>
            <w:gridSpan w:val="4"/>
            <w:tcBorders>
              <w:top w:val="nil"/>
              <w:left w:val="nil"/>
              <w:bottom w:val="single" w:sz="8" w:space="0" w:color="auto"/>
              <w:right w:val="single" w:sz="8" w:space="0" w:color="auto"/>
            </w:tcBorders>
            <w:shd w:val="clear" w:color="000000" w:fill="CCFFCC"/>
            <w:vAlign w:val="center"/>
            <w:hideMark/>
          </w:tcPr>
          <w:p w14:paraId="4B62FBB6" w14:textId="77777777"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I</w:t>
            </w:r>
          </w:p>
        </w:tc>
        <w:tc>
          <w:tcPr>
            <w:tcW w:w="450" w:type="dxa"/>
            <w:gridSpan w:val="3"/>
            <w:tcBorders>
              <w:top w:val="nil"/>
              <w:left w:val="nil"/>
              <w:bottom w:val="single" w:sz="8" w:space="0" w:color="auto"/>
              <w:right w:val="single" w:sz="8" w:space="0" w:color="auto"/>
            </w:tcBorders>
            <w:shd w:val="clear" w:color="000000" w:fill="CCFFCC"/>
            <w:vAlign w:val="center"/>
            <w:hideMark/>
          </w:tcPr>
          <w:p w14:paraId="2F5F5A59" w14:textId="77777777"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II</w:t>
            </w:r>
          </w:p>
        </w:tc>
        <w:tc>
          <w:tcPr>
            <w:tcW w:w="378" w:type="dxa"/>
            <w:gridSpan w:val="2"/>
            <w:tcBorders>
              <w:top w:val="nil"/>
              <w:left w:val="nil"/>
              <w:bottom w:val="single" w:sz="8" w:space="0" w:color="auto"/>
              <w:right w:val="single" w:sz="8" w:space="0" w:color="auto"/>
            </w:tcBorders>
            <w:shd w:val="clear" w:color="000000" w:fill="CCFFCC"/>
            <w:vAlign w:val="center"/>
            <w:hideMark/>
          </w:tcPr>
          <w:p w14:paraId="7819CB04" w14:textId="77777777"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III</w:t>
            </w:r>
          </w:p>
        </w:tc>
        <w:tc>
          <w:tcPr>
            <w:tcW w:w="522" w:type="dxa"/>
            <w:gridSpan w:val="3"/>
            <w:tcBorders>
              <w:top w:val="nil"/>
              <w:left w:val="nil"/>
              <w:bottom w:val="single" w:sz="8" w:space="0" w:color="auto"/>
              <w:right w:val="single" w:sz="8" w:space="0" w:color="auto"/>
            </w:tcBorders>
            <w:shd w:val="clear" w:color="000000" w:fill="CCFFCC"/>
            <w:vAlign w:val="center"/>
            <w:hideMark/>
          </w:tcPr>
          <w:p w14:paraId="108E4B9F" w14:textId="77777777"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IV</w:t>
            </w:r>
          </w:p>
        </w:tc>
        <w:tc>
          <w:tcPr>
            <w:tcW w:w="450" w:type="dxa"/>
            <w:gridSpan w:val="4"/>
            <w:tcBorders>
              <w:top w:val="nil"/>
              <w:left w:val="nil"/>
              <w:bottom w:val="single" w:sz="8" w:space="0" w:color="auto"/>
              <w:right w:val="single" w:sz="8" w:space="0" w:color="auto"/>
            </w:tcBorders>
            <w:shd w:val="clear" w:color="000000" w:fill="CCFFCC"/>
            <w:vAlign w:val="center"/>
            <w:hideMark/>
          </w:tcPr>
          <w:p w14:paraId="3DF7CD48" w14:textId="77777777"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I</w:t>
            </w:r>
          </w:p>
        </w:tc>
        <w:tc>
          <w:tcPr>
            <w:tcW w:w="450" w:type="dxa"/>
            <w:gridSpan w:val="2"/>
            <w:tcBorders>
              <w:top w:val="nil"/>
              <w:left w:val="nil"/>
              <w:bottom w:val="single" w:sz="8" w:space="0" w:color="auto"/>
              <w:right w:val="single" w:sz="8" w:space="0" w:color="auto"/>
            </w:tcBorders>
            <w:shd w:val="clear" w:color="000000" w:fill="CCFFCC"/>
            <w:vAlign w:val="center"/>
            <w:hideMark/>
          </w:tcPr>
          <w:p w14:paraId="668B17AC" w14:textId="77777777"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II</w:t>
            </w:r>
          </w:p>
        </w:tc>
        <w:tc>
          <w:tcPr>
            <w:tcW w:w="450" w:type="dxa"/>
            <w:gridSpan w:val="3"/>
            <w:tcBorders>
              <w:top w:val="nil"/>
              <w:left w:val="nil"/>
              <w:bottom w:val="single" w:sz="8" w:space="0" w:color="auto"/>
              <w:right w:val="single" w:sz="8" w:space="0" w:color="auto"/>
            </w:tcBorders>
            <w:shd w:val="clear" w:color="000000" w:fill="CCFFCC"/>
            <w:vAlign w:val="center"/>
            <w:hideMark/>
          </w:tcPr>
          <w:p w14:paraId="01181D7F" w14:textId="77777777"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III</w:t>
            </w:r>
          </w:p>
        </w:tc>
        <w:tc>
          <w:tcPr>
            <w:tcW w:w="648" w:type="dxa"/>
            <w:gridSpan w:val="3"/>
            <w:tcBorders>
              <w:top w:val="nil"/>
              <w:left w:val="nil"/>
              <w:bottom w:val="single" w:sz="8" w:space="0" w:color="auto"/>
              <w:right w:val="single" w:sz="8" w:space="0" w:color="auto"/>
            </w:tcBorders>
            <w:shd w:val="clear" w:color="000000" w:fill="CCFFCC"/>
            <w:vAlign w:val="center"/>
            <w:hideMark/>
          </w:tcPr>
          <w:p w14:paraId="153035DB" w14:textId="77777777" w:rsidR="00C93723" w:rsidRPr="00D30847" w:rsidRDefault="00C93723" w:rsidP="00C93723">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IV</w:t>
            </w:r>
          </w:p>
        </w:tc>
      </w:tr>
      <w:tr w:rsidR="00C93723" w:rsidRPr="00D30847" w14:paraId="571FBEE8" w14:textId="77777777" w:rsidTr="00B84551">
        <w:trPr>
          <w:trHeight w:val="300"/>
        </w:trPr>
        <w:tc>
          <w:tcPr>
            <w:tcW w:w="15210" w:type="dxa"/>
            <w:gridSpan w:val="55"/>
            <w:tcBorders>
              <w:top w:val="nil"/>
              <w:left w:val="nil"/>
              <w:bottom w:val="nil"/>
              <w:right w:val="nil"/>
            </w:tcBorders>
            <w:shd w:val="clear" w:color="000000" w:fill="33CCFF"/>
            <w:vAlign w:val="center"/>
            <w:hideMark/>
          </w:tcPr>
          <w:p w14:paraId="0155E43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Pillar I - Economic Analysis, Macroeconomic and Fiscal Framework</w:t>
            </w:r>
          </w:p>
        </w:tc>
      </w:tr>
      <w:tr w:rsidR="00C93723" w:rsidRPr="00D30847" w14:paraId="78A1E440" w14:textId="77777777" w:rsidTr="00B84551">
        <w:trPr>
          <w:trHeight w:val="225"/>
        </w:trPr>
        <w:tc>
          <w:tcPr>
            <w:tcW w:w="15210" w:type="dxa"/>
            <w:gridSpan w:val="55"/>
            <w:tcBorders>
              <w:top w:val="nil"/>
              <w:left w:val="nil"/>
              <w:bottom w:val="nil"/>
              <w:right w:val="nil"/>
            </w:tcBorders>
            <w:shd w:val="clear" w:color="000000" w:fill="00FF00"/>
            <w:vAlign w:val="center"/>
            <w:hideMark/>
          </w:tcPr>
          <w:p w14:paraId="2C594B13" w14:textId="60769B63" w:rsidR="00C93723" w:rsidRPr="00D30847" w:rsidRDefault="00FB7CC0"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xml:space="preserve">                </w:t>
            </w:r>
            <w:r w:rsidR="00C93723" w:rsidRPr="00D30847">
              <w:rPr>
                <w:rFonts w:eastAsia="Times New Roman" w:cs="Calibri"/>
                <w:b/>
                <w:bCs/>
                <w:sz w:val="16"/>
                <w:szCs w:val="16"/>
                <w:lang w:val="en-GB"/>
              </w:rPr>
              <w:t xml:space="preserve"> Priority 1.</w:t>
            </w:r>
            <w:r w:rsidR="00AA2D30" w:rsidRPr="00D30847">
              <w:rPr>
                <w:rFonts w:eastAsia="Times New Roman" w:cs="Calibri"/>
                <w:b/>
                <w:bCs/>
                <w:sz w:val="16"/>
                <w:szCs w:val="16"/>
                <w:lang w:val="en-GB"/>
              </w:rPr>
              <w:t xml:space="preserve"> Tax</w:t>
            </w:r>
            <w:r w:rsidR="00525B8D" w:rsidRPr="00D30847">
              <w:rPr>
                <w:rFonts w:eastAsia="Times New Roman" w:cs="Calibri"/>
                <w:b/>
                <w:bCs/>
                <w:sz w:val="16"/>
                <w:szCs w:val="16"/>
                <w:lang w:val="en-GB"/>
              </w:rPr>
              <w:t xml:space="preserve"> </w:t>
            </w:r>
            <w:r w:rsidR="00AA2D30" w:rsidRPr="00D30847">
              <w:rPr>
                <w:rFonts w:eastAsia="Times New Roman" w:cs="Calibri"/>
                <w:b/>
                <w:bCs/>
                <w:sz w:val="16"/>
                <w:szCs w:val="16"/>
                <w:lang w:val="en-GB"/>
              </w:rPr>
              <w:t>r</w:t>
            </w:r>
            <w:r w:rsidR="00C93723" w:rsidRPr="00D30847">
              <w:rPr>
                <w:rFonts w:eastAsia="Times New Roman" w:cs="Calibri"/>
                <w:b/>
                <w:bCs/>
                <w:sz w:val="16"/>
                <w:szCs w:val="16"/>
                <w:lang w:val="en-GB"/>
              </w:rPr>
              <w:t>evenue forecasting and reporting</w:t>
            </w:r>
          </w:p>
        </w:tc>
      </w:tr>
      <w:tr w:rsidR="00C93723" w:rsidRPr="00D30847" w14:paraId="72B6FEDE" w14:textId="77777777" w:rsidTr="00595060">
        <w:trPr>
          <w:trHeight w:val="288"/>
        </w:trPr>
        <w:tc>
          <w:tcPr>
            <w:tcW w:w="702" w:type="dxa"/>
            <w:gridSpan w:val="2"/>
            <w:tcBorders>
              <w:top w:val="nil"/>
              <w:left w:val="nil"/>
              <w:bottom w:val="nil"/>
              <w:right w:val="nil"/>
            </w:tcBorders>
            <w:shd w:val="clear" w:color="000000" w:fill="6FE7FF"/>
            <w:vAlign w:val="center"/>
            <w:hideMark/>
          </w:tcPr>
          <w:p w14:paraId="75BE6EF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25B42CE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0C2ABFA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1.</w:t>
            </w:r>
          </w:p>
        </w:tc>
        <w:tc>
          <w:tcPr>
            <w:tcW w:w="12768" w:type="dxa"/>
            <w:gridSpan w:val="49"/>
            <w:tcBorders>
              <w:top w:val="nil"/>
              <w:left w:val="nil"/>
              <w:bottom w:val="single" w:sz="8" w:space="0" w:color="auto"/>
              <w:right w:val="nil"/>
            </w:tcBorders>
            <w:shd w:val="clear" w:color="000000" w:fill="6FE7FF"/>
            <w:vAlign w:val="center"/>
            <w:hideMark/>
          </w:tcPr>
          <w:p w14:paraId="50FC1B7A" w14:textId="7EA1C3BC"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r w:rsidR="00B561EC" w:rsidRPr="00D30847">
              <w:rPr>
                <w:rFonts w:eastAsia="Times New Roman" w:cs="Calibri"/>
                <w:b/>
                <w:bCs/>
                <w:sz w:val="16"/>
                <w:szCs w:val="16"/>
                <w:lang w:val="en-GB"/>
              </w:rPr>
              <w:t>Improved reporting on tax expenditures and other tax indicators</w:t>
            </w:r>
          </w:p>
        </w:tc>
      </w:tr>
      <w:tr w:rsidR="00652C50" w:rsidRPr="00D30847" w14:paraId="10507607" w14:textId="77777777" w:rsidTr="00595060">
        <w:trPr>
          <w:trHeight w:val="408"/>
        </w:trPr>
        <w:tc>
          <w:tcPr>
            <w:tcW w:w="702" w:type="dxa"/>
            <w:gridSpan w:val="2"/>
            <w:vMerge w:val="restart"/>
            <w:tcBorders>
              <w:top w:val="nil"/>
              <w:left w:val="nil"/>
              <w:bottom w:val="nil"/>
              <w:right w:val="nil"/>
            </w:tcBorders>
            <w:shd w:val="clear" w:color="auto" w:fill="auto"/>
            <w:vAlign w:val="bottom"/>
            <w:hideMark/>
          </w:tcPr>
          <w:p w14:paraId="715C8BE6" w14:textId="77777777" w:rsidR="00107F53" w:rsidRPr="00D30847" w:rsidRDefault="00107F53" w:rsidP="00107F53">
            <w:pPr>
              <w:spacing w:after="0" w:line="240" w:lineRule="auto"/>
              <w:rPr>
                <w:rFonts w:eastAsia="Times New Roman" w:cs="Calibri"/>
                <w:b/>
                <w:bCs/>
                <w:sz w:val="16"/>
                <w:szCs w:val="16"/>
                <w:lang w:val="en-GB"/>
              </w:rPr>
            </w:pPr>
          </w:p>
        </w:tc>
        <w:tc>
          <w:tcPr>
            <w:tcW w:w="464" w:type="dxa"/>
            <w:gridSpan w:val="2"/>
            <w:vMerge w:val="restart"/>
            <w:tcBorders>
              <w:top w:val="nil"/>
              <w:left w:val="nil"/>
              <w:bottom w:val="nil"/>
              <w:right w:val="nil"/>
            </w:tcBorders>
            <w:shd w:val="clear" w:color="auto" w:fill="auto"/>
            <w:vAlign w:val="bottom"/>
            <w:hideMark/>
          </w:tcPr>
          <w:p w14:paraId="066FDD23" w14:textId="77777777" w:rsidR="00107F53" w:rsidRPr="00D30847" w:rsidRDefault="00107F53" w:rsidP="00107F53">
            <w:pPr>
              <w:spacing w:after="0" w:line="240" w:lineRule="auto"/>
              <w:rPr>
                <w:rFonts w:ascii="Times New Roman" w:eastAsia="Times New Roman" w:hAnsi="Times New Roman"/>
                <w:sz w:val="16"/>
                <w:szCs w:val="16"/>
                <w:lang w:val="en-GB"/>
              </w:rPr>
            </w:pPr>
          </w:p>
        </w:tc>
        <w:tc>
          <w:tcPr>
            <w:tcW w:w="1276" w:type="dxa"/>
            <w:gridSpan w:val="2"/>
            <w:vMerge w:val="restart"/>
            <w:tcBorders>
              <w:top w:val="nil"/>
              <w:left w:val="nil"/>
              <w:bottom w:val="nil"/>
              <w:right w:val="single" w:sz="8" w:space="0" w:color="auto"/>
            </w:tcBorders>
            <w:shd w:val="clear" w:color="auto" w:fill="auto"/>
            <w:vAlign w:val="bottom"/>
            <w:hideMark/>
          </w:tcPr>
          <w:p w14:paraId="0C832E75" w14:textId="77777777" w:rsidR="00107F53" w:rsidRPr="00D30847" w:rsidRDefault="00107F53" w:rsidP="00107F5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1770" w:type="dxa"/>
            <w:gridSpan w:val="2"/>
            <w:vMerge w:val="restart"/>
            <w:tcBorders>
              <w:top w:val="nil"/>
              <w:left w:val="single" w:sz="8" w:space="0" w:color="auto"/>
              <w:bottom w:val="single" w:sz="8" w:space="0" w:color="000000"/>
              <w:right w:val="nil"/>
            </w:tcBorders>
            <w:shd w:val="clear" w:color="auto" w:fill="auto"/>
            <w:vAlign w:val="center"/>
            <w:hideMark/>
          </w:tcPr>
          <w:p w14:paraId="1F99EE76" w14:textId="77777777" w:rsidR="00107F53" w:rsidRPr="00D30847" w:rsidRDefault="00107F53" w:rsidP="00107F5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vMerge w:val="restart"/>
            <w:tcBorders>
              <w:top w:val="nil"/>
              <w:left w:val="nil"/>
              <w:bottom w:val="single" w:sz="8" w:space="0" w:color="000000"/>
              <w:right w:val="single" w:sz="8" w:space="0" w:color="auto"/>
            </w:tcBorders>
            <w:shd w:val="clear" w:color="auto" w:fill="auto"/>
            <w:vAlign w:val="center"/>
            <w:hideMark/>
          </w:tcPr>
          <w:p w14:paraId="6F5DE1EE" w14:textId="6BB30163" w:rsidR="00107F53" w:rsidRPr="00D30847" w:rsidRDefault="00107F53" w:rsidP="00107F53">
            <w:pPr>
              <w:spacing w:after="0" w:line="240" w:lineRule="auto"/>
              <w:rPr>
                <w:rFonts w:eastAsia="Times New Roman" w:cs="Calibri"/>
                <w:sz w:val="16"/>
                <w:szCs w:val="16"/>
                <w:lang w:val="en-GB"/>
              </w:rPr>
            </w:pPr>
            <w:r w:rsidRPr="00D30847">
              <w:rPr>
                <w:rFonts w:eastAsia="Times New Roman" w:cs="Calibri"/>
                <w:sz w:val="16"/>
                <w:szCs w:val="16"/>
                <w:lang w:val="en-GB"/>
              </w:rPr>
              <w:t>Establishing an effective and efficient data exchange mechanism between relevant institutions and the Ministry of Finance</w:t>
            </w:r>
          </w:p>
        </w:tc>
        <w:tc>
          <w:tcPr>
            <w:tcW w:w="522" w:type="dxa"/>
            <w:gridSpan w:val="2"/>
            <w:vMerge w:val="restart"/>
            <w:tcBorders>
              <w:top w:val="nil"/>
              <w:left w:val="single" w:sz="8" w:space="0" w:color="auto"/>
              <w:bottom w:val="single" w:sz="8" w:space="0" w:color="000000"/>
              <w:right w:val="single" w:sz="8" w:space="0" w:color="auto"/>
            </w:tcBorders>
            <w:shd w:val="clear" w:color="000000" w:fill="0000FF"/>
            <w:vAlign w:val="center"/>
            <w:hideMark/>
          </w:tcPr>
          <w:p w14:paraId="7FB16915" w14:textId="6B278695"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vMerge w:val="restart"/>
            <w:tcBorders>
              <w:top w:val="nil"/>
              <w:left w:val="single" w:sz="8" w:space="0" w:color="auto"/>
              <w:bottom w:val="single" w:sz="8" w:space="0" w:color="000000"/>
              <w:right w:val="single" w:sz="8" w:space="0" w:color="auto"/>
            </w:tcBorders>
            <w:shd w:val="clear" w:color="auto" w:fill="0000FF"/>
            <w:hideMark/>
          </w:tcPr>
          <w:p w14:paraId="5419541F" w14:textId="048CFD75"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vMerge w:val="restart"/>
            <w:tcBorders>
              <w:top w:val="nil"/>
              <w:left w:val="single" w:sz="8" w:space="0" w:color="auto"/>
              <w:bottom w:val="single" w:sz="8" w:space="0" w:color="000000"/>
              <w:right w:val="single" w:sz="8" w:space="0" w:color="auto"/>
            </w:tcBorders>
            <w:shd w:val="clear" w:color="auto" w:fill="0000FF"/>
            <w:hideMark/>
          </w:tcPr>
          <w:p w14:paraId="6ABD0F16" w14:textId="2FE41266"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vMerge w:val="restart"/>
            <w:tcBorders>
              <w:top w:val="nil"/>
              <w:left w:val="single" w:sz="8" w:space="0" w:color="auto"/>
              <w:bottom w:val="single" w:sz="8" w:space="0" w:color="000000"/>
              <w:right w:val="single" w:sz="8" w:space="0" w:color="auto"/>
            </w:tcBorders>
            <w:shd w:val="clear" w:color="auto" w:fill="0000FF"/>
            <w:hideMark/>
          </w:tcPr>
          <w:p w14:paraId="71F8B96C" w14:textId="5BA2A2ED"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vMerge w:val="restart"/>
            <w:tcBorders>
              <w:top w:val="nil"/>
              <w:left w:val="single" w:sz="8" w:space="0" w:color="auto"/>
              <w:bottom w:val="single" w:sz="8" w:space="0" w:color="000000"/>
              <w:right w:val="single" w:sz="8" w:space="0" w:color="auto"/>
            </w:tcBorders>
            <w:shd w:val="clear" w:color="auto" w:fill="0000FF"/>
            <w:hideMark/>
          </w:tcPr>
          <w:p w14:paraId="6DEE5CCB" w14:textId="09515011"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vMerge w:val="restart"/>
            <w:tcBorders>
              <w:top w:val="nil"/>
              <w:left w:val="single" w:sz="8" w:space="0" w:color="auto"/>
              <w:bottom w:val="single" w:sz="8" w:space="0" w:color="000000"/>
              <w:right w:val="single" w:sz="8" w:space="0" w:color="auto"/>
            </w:tcBorders>
            <w:shd w:val="clear" w:color="auto" w:fill="0000FF"/>
            <w:hideMark/>
          </w:tcPr>
          <w:p w14:paraId="6C6ABBA0" w14:textId="0F795A38"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vMerge w:val="restart"/>
            <w:tcBorders>
              <w:top w:val="nil"/>
              <w:left w:val="single" w:sz="8" w:space="0" w:color="auto"/>
              <w:bottom w:val="single" w:sz="8" w:space="0" w:color="000000"/>
              <w:right w:val="single" w:sz="8" w:space="0" w:color="auto"/>
            </w:tcBorders>
            <w:shd w:val="clear" w:color="auto" w:fill="0000FF"/>
            <w:hideMark/>
          </w:tcPr>
          <w:p w14:paraId="55ACC7E9" w14:textId="3D86D91B"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vMerge w:val="restart"/>
            <w:tcBorders>
              <w:top w:val="nil"/>
              <w:left w:val="single" w:sz="8" w:space="0" w:color="auto"/>
              <w:bottom w:val="single" w:sz="8" w:space="0" w:color="000000"/>
              <w:right w:val="single" w:sz="8" w:space="0" w:color="auto"/>
            </w:tcBorders>
            <w:shd w:val="clear" w:color="auto" w:fill="0000FF"/>
            <w:hideMark/>
          </w:tcPr>
          <w:p w14:paraId="607E06F1" w14:textId="7943B493"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vMerge w:val="restart"/>
            <w:tcBorders>
              <w:top w:val="nil"/>
              <w:left w:val="single" w:sz="8" w:space="0" w:color="auto"/>
              <w:bottom w:val="single" w:sz="8" w:space="0" w:color="000000"/>
              <w:right w:val="single" w:sz="8" w:space="0" w:color="auto"/>
            </w:tcBorders>
            <w:shd w:val="clear" w:color="auto" w:fill="0000FF"/>
            <w:hideMark/>
          </w:tcPr>
          <w:p w14:paraId="5DDD2876" w14:textId="35736E74"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vMerge w:val="restart"/>
            <w:tcBorders>
              <w:top w:val="nil"/>
              <w:left w:val="single" w:sz="8" w:space="0" w:color="auto"/>
              <w:bottom w:val="single" w:sz="8" w:space="0" w:color="000000"/>
              <w:right w:val="single" w:sz="8" w:space="0" w:color="auto"/>
            </w:tcBorders>
            <w:shd w:val="clear" w:color="auto" w:fill="0000FF"/>
            <w:hideMark/>
          </w:tcPr>
          <w:p w14:paraId="086619B4" w14:textId="28612625"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vMerge w:val="restart"/>
            <w:tcBorders>
              <w:top w:val="nil"/>
              <w:left w:val="single" w:sz="8" w:space="0" w:color="auto"/>
              <w:bottom w:val="single" w:sz="8" w:space="0" w:color="000000"/>
              <w:right w:val="single" w:sz="8" w:space="0" w:color="auto"/>
            </w:tcBorders>
            <w:shd w:val="clear" w:color="auto" w:fill="0000FF"/>
            <w:hideMark/>
          </w:tcPr>
          <w:p w14:paraId="4FF4B1E8" w14:textId="3201104A"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vMerge w:val="restart"/>
            <w:tcBorders>
              <w:top w:val="nil"/>
              <w:left w:val="single" w:sz="8" w:space="0" w:color="auto"/>
              <w:bottom w:val="single" w:sz="8" w:space="0" w:color="000000"/>
              <w:right w:val="single" w:sz="8" w:space="0" w:color="auto"/>
            </w:tcBorders>
            <w:shd w:val="clear" w:color="auto" w:fill="0000FF"/>
            <w:hideMark/>
          </w:tcPr>
          <w:p w14:paraId="7959EEDD" w14:textId="6DDABF39"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vMerge w:val="restart"/>
            <w:tcBorders>
              <w:top w:val="nil"/>
              <w:left w:val="single" w:sz="8" w:space="0" w:color="auto"/>
              <w:bottom w:val="single" w:sz="8" w:space="0" w:color="000000"/>
              <w:right w:val="single" w:sz="8" w:space="0" w:color="auto"/>
            </w:tcBorders>
            <w:shd w:val="clear" w:color="auto" w:fill="0000FF"/>
            <w:hideMark/>
          </w:tcPr>
          <w:p w14:paraId="0A2D8F79" w14:textId="7BE6CD76"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vMerge w:val="restart"/>
            <w:tcBorders>
              <w:top w:val="nil"/>
              <w:left w:val="single" w:sz="8" w:space="0" w:color="auto"/>
              <w:bottom w:val="single" w:sz="8" w:space="0" w:color="000000"/>
              <w:right w:val="single" w:sz="8" w:space="0" w:color="auto"/>
            </w:tcBorders>
            <w:shd w:val="clear" w:color="auto" w:fill="0000FF"/>
            <w:hideMark/>
          </w:tcPr>
          <w:p w14:paraId="10E5B9C0" w14:textId="60652D76"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vMerge w:val="restart"/>
            <w:tcBorders>
              <w:top w:val="nil"/>
              <w:left w:val="single" w:sz="8" w:space="0" w:color="auto"/>
              <w:bottom w:val="single" w:sz="8" w:space="0" w:color="000000"/>
              <w:right w:val="single" w:sz="8" w:space="0" w:color="auto"/>
            </w:tcBorders>
            <w:shd w:val="clear" w:color="auto" w:fill="0000FF"/>
            <w:hideMark/>
          </w:tcPr>
          <w:p w14:paraId="5813B558" w14:textId="248E02FA"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vMerge w:val="restart"/>
            <w:tcBorders>
              <w:top w:val="nil"/>
              <w:left w:val="single" w:sz="8" w:space="0" w:color="auto"/>
              <w:bottom w:val="single" w:sz="8" w:space="0" w:color="000000"/>
              <w:right w:val="single" w:sz="8" w:space="0" w:color="auto"/>
            </w:tcBorders>
            <w:shd w:val="clear" w:color="auto" w:fill="0000FF"/>
            <w:hideMark/>
          </w:tcPr>
          <w:p w14:paraId="0720CC76" w14:textId="7714F501"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252E79D4" w14:textId="77777777" w:rsidTr="00595060">
        <w:trPr>
          <w:trHeight w:val="269"/>
        </w:trPr>
        <w:tc>
          <w:tcPr>
            <w:tcW w:w="702" w:type="dxa"/>
            <w:gridSpan w:val="2"/>
            <w:vMerge/>
            <w:tcBorders>
              <w:top w:val="nil"/>
              <w:left w:val="nil"/>
              <w:bottom w:val="nil"/>
              <w:right w:val="nil"/>
            </w:tcBorders>
            <w:vAlign w:val="center"/>
            <w:hideMark/>
          </w:tcPr>
          <w:p w14:paraId="79CCB5FE"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vMerge/>
            <w:tcBorders>
              <w:top w:val="nil"/>
              <w:left w:val="nil"/>
              <w:bottom w:val="nil"/>
              <w:right w:val="nil"/>
            </w:tcBorders>
            <w:vAlign w:val="center"/>
            <w:hideMark/>
          </w:tcPr>
          <w:p w14:paraId="3D6ECE1B"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vMerge/>
            <w:tcBorders>
              <w:top w:val="nil"/>
              <w:left w:val="nil"/>
              <w:bottom w:val="nil"/>
              <w:right w:val="single" w:sz="8" w:space="0" w:color="auto"/>
            </w:tcBorders>
            <w:vAlign w:val="center"/>
            <w:hideMark/>
          </w:tcPr>
          <w:p w14:paraId="5EE5ACF6" w14:textId="77777777" w:rsidR="00C93723" w:rsidRPr="00D30847" w:rsidRDefault="00C93723" w:rsidP="00C93723">
            <w:pPr>
              <w:spacing w:after="0" w:line="240" w:lineRule="auto"/>
              <w:rPr>
                <w:rFonts w:eastAsia="Times New Roman" w:cs="Calibri"/>
                <w:sz w:val="16"/>
                <w:szCs w:val="16"/>
                <w:lang w:val="en-GB"/>
              </w:rPr>
            </w:pPr>
          </w:p>
        </w:tc>
        <w:tc>
          <w:tcPr>
            <w:tcW w:w="1770" w:type="dxa"/>
            <w:gridSpan w:val="2"/>
            <w:vMerge/>
            <w:tcBorders>
              <w:top w:val="nil"/>
              <w:left w:val="single" w:sz="8" w:space="0" w:color="auto"/>
              <w:bottom w:val="single" w:sz="8" w:space="0" w:color="000000"/>
              <w:right w:val="nil"/>
            </w:tcBorders>
            <w:vAlign w:val="center"/>
            <w:hideMark/>
          </w:tcPr>
          <w:p w14:paraId="2C293A53" w14:textId="77777777" w:rsidR="00C93723" w:rsidRPr="00D30847" w:rsidRDefault="00C93723" w:rsidP="00C93723">
            <w:pPr>
              <w:spacing w:after="0" w:line="240" w:lineRule="auto"/>
              <w:rPr>
                <w:rFonts w:eastAsia="Times New Roman" w:cs="Calibri"/>
                <w:sz w:val="16"/>
                <w:szCs w:val="16"/>
                <w:lang w:val="en-GB"/>
              </w:rPr>
            </w:pPr>
          </w:p>
        </w:tc>
        <w:tc>
          <w:tcPr>
            <w:tcW w:w="3258" w:type="dxa"/>
            <w:gridSpan w:val="2"/>
            <w:vMerge/>
            <w:tcBorders>
              <w:top w:val="nil"/>
              <w:left w:val="nil"/>
              <w:bottom w:val="single" w:sz="8" w:space="0" w:color="000000"/>
              <w:right w:val="single" w:sz="8" w:space="0" w:color="auto"/>
            </w:tcBorders>
            <w:vAlign w:val="center"/>
            <w:hideMark/>
          </w:tcPr>
          <w:p w14:paraId="44AF5DA4" w14:textId="77777777" w:rsidR="00C93723" w:rsidRPr="00D30847" w:rsidRDefault="00C93723" w:rsidP="00C93723">
            <w:pPr>
              <w:spacing w:after="0" w:line="240" w:lineRule="auto"/>
              <w:rPr>
                <w:rFonts w:eastAsia="Times New Roman" w:cs="Calibri"/>
                <w:sz w:val="16"/>
                <w:szCs w:val="16"/>
                <w:lang w:val="en-GB"/>
              </w:rPr>
            </w:pPr>
          </w:p>
        </w:tc>
        <w:tc>
          <w:tcPr>
            <w:tcW w:w="522" w:type="dxa"/>
            <w:gridSpan w:val="2"/>
            <w:vMerge/>
            <w:tcBorders>
              <w:top w:val="nil"/>
              <w:left w:val="single" w:sz="8" w:space="0" w:color="auto"/>
              <w:bottom w:val="single" w:sz="8" w:space="0" w:color="000000"/>
              <w:right w:val="single" w:sz="8" w:space="0" w:color="auto"/>
            </w:tcBorders>
            <w:vAlign w:val="center"/>
            <w:hideMark/>
          </w:tcPr>
          <w:p w14:paraId="16A82E1A" w14:textId="77777777" w:rsidR="00C93723" w:rsidRPr="00D30847" w:rsidRDefault="00C93723" w:rsidP="00C93723">
            <w:pPr>
              <w:spacing w:after="0" w:line="240" w:lineRule="auto"/>
              <w:rPr>
                <w:rFonts w:eastAsia="Times New Roman" w:cs="Calibri"/>
                <w:color w:val="FFFFFF"/>
                <w:sz w:val="16"/>
                <w:szCs w:val="16"/>
                <w:lang w:val="en-GB"/>
              </w:rPr>
            </w:pPr>
          </w:p>
        </w:tc>
        <w:tc>
          <w:tcPr>
            <w:tcW w:w="378" w:type="dxa"/>
            <w:gridSpan w:val="2"/>
            <w:vMerge/>
            <w:tcBorders>
              <w:top w:val="nil"/>
              <w:left w:val="single" w:sz="8" w:space="0" w:color="auto"/>
              <w:bottom w:val="single" w:sz="8" w:space="0" w:color="000000"/>
              <w:right w:val="single" w:sz="8" w:space="0" w:color="auto"/>
            </w:tcBorders>
            <w:shd w:val="clear" w:color="auto" w:fill="0000FF"/>
            <w:vAlign w:val="center"/>
            <w:hideMark/>
          </w:tcPr>
          <w:p w14:paraId="4CFD66E6" w14:textId="77777777" w:rsidR="00C93723" w:rsidRPr="00D30847" w:rsidRDefault="00C93723" w:rsidP="00C93723">
            <w:pPr>
              <w:spacing w:after="0" w:line="240" w:lineRule="auto"/>
              <w:rPr>
                <w:rFonts w:eastAsia="Times New Roman" w:cs="Calibri"/>
                <w:color w:val="FFFFFF"/>
                <w:sz w:val="16"/>
                <w:szCs w:val="16"/>
                <w:lang w:val="en-GB"/>
              </w:rPr>
            </w:pPr>
          </w:p>
        </w:tc>
        <w:tc>
          <w:tcPr>
            <w:tcW w:w="582" w:type="dxa"/>
            <w:gridSpan w:val="3"/>
            <w:vMerge/>
            <w:tcBorders>
              <w:top w:val="nil"/>
              <w:left w:val="single" w:sz="8" w:space="0" w:color="auto"/>
              <w:bottom w:val="single" w:sz="8" w:space="0" w:color="000000"/>
              <w:right w:val="single" w:sz="8" w:space="0" w:color="auto"/>
            </w:tcBorders>
            <w:shd w:val="clear" w:color="auto" w:fill="0000FF"/>
            <w:vAlign w:val="center"/>
            <w:hideMark/>
          </w:tcPr>
          <w:p w14:paraId="30615C06" w14:textId="77777777" w:rsidR="00C93723" w:rsidRPr="00D30847" w:rsidRDefault="00C93723" w:rsidP="00C93723">
            <w:pPr>
              <w:spacing w:after="0" w:line="240" w:lineRule="auto"/>
              <w:rPr>
                <w:rFonts w:eastAsia="Times New Roman" w:cs="Calibri"/>
                <w:color w:val="FFFFFF"/>
                <w:sz w:val="16"/>
                <w:szCs w:val="16"/>
                <w:lang w:val="en-GB"/>
              </w:rPr>
            </w:pPr>
          </w:p>
        </w:tc>
        <w:tc>
          <w:tcPr>
            <w:tcW w:w="480" w:type="dxa"/>
            <w:gridSpan w:val="3"/>
            <w:vMerge/>
            <w:tcBorders>
              <w:top w:val="nil"/>
              <w:left w:val="single" w:sz="8" w:space="0" w:color="auto"/>
              <w:bottom w:val="single" w:sz="8" w:space="0" w:color="000000"/>
              <w:right w:val="single" w:sz="8" w:space="0" w:color="auto"/>
            </w:tcBorders>
            <w:shd w:val="clear" w:color="auto" w:fill="0000FF"/>
            <w:vAlign w:val="center"/>
            <w:hideMark/>
          </w:tcPr>
          <w:p w14:paraId="22141D2F" w14:textId="77777777" w:rsidR="00C93723" w:rsidRPr="00D30847" w:rsidRDefault="00C93723" w:rsidP="00C93723">
            <w:pPr>
              <w:spacing w:after="0" w:line="240" w:lineRule="auto"/>
              <w:rPr>
                <w:rFonts w:eastAsia="Times New Roman" w:cs="Calibri"/>
                <w:color w:val="FFFFFF"/>
                <w:sz w:val="16"/>
                <w:szCs w:val="16"/>
                <w:lang w:val="en-GB"/>
              </w:rPr>
            </w:pPr>
          </w:p>
        </w:tc>
        <w:tc>
          <w:tcPr>
            <w:tcW w:w="378" w:type="dxa"/>
            <w:gridSpan w:val="2"/>
            <w:vMerge/>
            <w:tcBorders>
              <w:top w:val="nil"/>
              <w:left w:val="single" w:sz="8" w:space="0" w:color="auto"/>
              <w:bottom w:val="single" w:sz="8" w:space="0" w:color="000000"/>
              <w:right w:val="single" w:sz="8" w:space="0" w:color="auto"/>
            </w:tcBorders>
            <w:shd w:val="clear" w:color="auto" w:fill="0000FF"/>
            <w:vAlign w:val="center"/>
            <w:hideMark/>
          </w:tcPr>
          <w:p w14:paraId="78B06717" w14:textId="77777777" w:rsidR="00C93723" w:rsidRPr="00D30847" w:rsidRDefault="00C93723" w:rsidP="00C93723">
            <w:pPr>
              <w:spacing w:after="0" w:line="240" w:lineRule="auto"/>
              <w:rPr>
                <w:rFonts w:eastAsia="Times New Roman" w:cs="Calibri"/>
                <w:color w:val="FFFFFF"/>
                <w:sz w:val="16"/>
                <w:szCs w:val="16"/>
                <w:lang w:val="en-GB"/>
              </w:rPr>
            </w:pPr>
          </w:p>
        </w:tc>
        <w:tc>
          <w:tcPr>
            <w:tcW w:w="612" w:type="dxa"/>
            <w:gridSpan w:val="3"/>
            <w:vMerge/>
            <w:tcBorders>
              <w:top w:val="nil"/>
              <w:left w:val="single" w:sz="8" w:space="0" w:color="auto"/>
              <w:bottom w:val="single" w:sz="8" w:space="0" w:color="000000"/>
              <w:right w:val="single" w:sz="8" w:space="0" w:color="auto"/>
            </w:tcBorders>
            <w:shd w:val="clear" w:color="auto" w:fill="0000FF"/>
            <w:vAlign w:val="center"/>
            <w:hideMark/>
          </w:tcPr>
          <w:p w14:paraId="226FE773" w14:textId="77777777" w:rsidR="00C93723" w:rsidRPr="00D30847" w:rsidRDefault="00C93723" w:rsidP="00C93723">
            <w:pPr>
              <w:spacing w:after="0" w:line="240" w:lineRule="auto"/>
              <w:rPr>
                <w:rFonts w:eastAsia="Times New Roman" w:cs="Calibri"/>
                <w:color w:val="FFFFFF"/>
                <w:sz w:val="16"/>
                <w:szCs w:val="16"/>
                <w:lang w:val="en-GB"/>
              </w:rPr>
            </w:pPr>
          </w:p>
        </w:tc>
        <w:tc>
          <w:tcPr>
            <w:tcW w:w="450" w:type="dxa"/>
            <w:gridSpan w:val="3"/>
            <w:vMerge/>
            <w:tcBorders>
              <w:top w:val="nil"/>
              <w:left w:val="single" w:sz="8" w:space="0" w:color="auto"/>
              <w:bottom w:val="single" w:sz="8" w:space="0" w:color="000000"/>
              <w:right w:val="single" w:sz="8" w:space="0" w:color="auto"/>
            </w:tcBorders>
            <w:shd w:val="clear" w:color="auto" w:fill="0000FF"/>
            <w:vAlign w:val="center"/>
            <w:hideMark/>
          </w:tcPr>
          <w:p w14:paraId="3A0EF7A0" w14:textId="77777777" w:rsidR="00C93723" w:rsidRPr="00D30847" w:rsidRDefault="00C93723" w:rsidP="00C93723">
            <w:pPr>
              <w:spacing w:after="0" w:line="240" w:lineRule="auto"/>
              <w:rPr>
                <w:rFonts w:eastAsia="Times New Roman" w:cs="Calibri"/>
                <w:color w:val="FFFFFF"/>
                <w:sz w:val="16"/>
                <w:szCs w:val="16"/>
                <w:lang w:val="en-GB"/>
              </w:rPr>
            </w:pPr>
          </w:p>
        </w:tc>
        <w:tc>
          <w:tcPr>
            <w:tcW w:w="540" w:type="dxa"/>
            <w:gridSpan w:val="3"/>
            <w:vMerge/>
            <w:tcBorders>
              <w:top w:val="nil"/>
              <w:left w:val="single" w:sz="8" w:space="0" w:color="auto"/>
              <w:bottom w:val="single" w:sz="8" w:space="0" w:color="000000"/>
              <w:right w:val="single" w:sz="8" w:space="0" w:color="auto"/>
            </w:tcBorders>
            <w:shd w:val="clear" w:color="auto" w:fill="0000FF"/>
            <w:vAlign w:val="center"/>
            <w:hideMark/>
          </w:tcPr>
          <w:p w14:paraId="6B3E8E96" w14:textId="77777777" w:rsidR="00C93723" w:rsidRPr="00D30847" w:rsidRDefault="00C93723" w:rsidP="00C93723">
            <w:pPr>
              <w:spacing w:after="0" w:line="240" w:lineRule="auto"/>
              <w:rPr>
                <w:rFonts w:eastAsia="Times New Roman" w:cs="Calibri"/>
                <w:color w:val="FFFFFF"/>
                <w:sz w:val="16"/>
                <w:szCs w:val="16"/>
                <w:lang w:val="en-GB"/>
              </w:rPr>
            </w:pPr>
          </w:p>
        </w:tc>
        <w:tc>
          <w:tcPr>
            <w:tcW w:w="450" w:type="dxa"/>
            <w:gridSpan w:val="4"/>
            <w:vMerge/>
            <w:tcBorders>
              <w:top w:val="nil"/>
              <w:left w:val="single" w:sz="8" w:space="0" w:color="auto"/>
              <w:bottom w:val="single" w:sz="8" w:space="0" w:color="000000"/>
              <w:right w:val="single" w:sz="8" w:space="0" w:color="auto"/>
            </w:tcBorders>
            <w:shd w:val="clear" w:color="auto" w:fill="0000FF"/>
            <w:vAlign w:val="center"/>
            <w:hideMark/>
          </w:tcPr>
          <w:p w14:paraId="59F10C0C" w14:textId="77777777" w:rsidR="00C93723" w:rsidRPr="00D30847" w:rsidRDefault="00C93723" w:rsidP="00C93723">
            <w:pPr>
              <w:spacing w:after="0" w:line="240" w:lineRule="auto"/>
              <w:rPr>
                <w:rFonts w:eastAsia="Times New Roman" w:cs="Calibri"/>
                <w:color w:val="FFFFFF"/>
                <w:sz w:val="16"/>
                <w:szCs w:val="16"/>
                <w:lang w:val="en-GB"/>
              </w:rPr>
            </w:pPr>
          </w:p>
        </w:tc>
        <w:tc>
          <w:tcPr>
            <w:tcW w:w="450" w:type="dxa"/>
            <w:gridSpan w:val="3"/>
            <w:vMerge/>
            <w:tcBorders>
              <w:top w:val="nil"/>
              <w:left w:val="single" w:sz="8" w:space="0" w:color="auto"/>
              <w:bottom w:val="single" w:sz="8" w:space="0" w:color="000000"/>
              <w:right w:val="single" w:sz="8" w:space="0" w:color="auto"/>
            </w:tcBorders>
            <w:shd w:val="clear" w:color="auto" w:fill="0000FF"/>
            <w:vAlign w:val="center"/>
            <w:hideMark/>
          </w:tcPr>
          <w:p w14:paraId="0F68166F" w14:textId="77777777" w:rsidR="00C93723" w:rsidRPr="00D30847" w:rsidRDefault="00C93723" w:rsidP="00C93723">
            <w:pPr>
              <w:spacing w:after="0" w:line="240" w:lineRule="auto"/>
              <w:rPr>
                <w:rFonts w:eastAsia="Times New Roman" w:cs="Calibri"/>
                <w:color w:val="FFFFFF"/>
                <w:sz w:val="16"/>
                <w:szCs w:val="16"/>
                <w:lang w:val="en-GB"/>
              </w:rPr>
            </w:pPr>
          </w:p>
        </w:tc>
        <w:tc>
          <w:tcPr>
            <w:tcW w:w="378" w:type="dxa"/>
            <w:gridSpan w:val="2"/>
            <w:vMerge/>
            <w:tcBorders>
              <w:top w:val="nil"/>
              <w:left w:val="single" w:sz="8" w:space="0" w:color="auto"/>
              <w:bottom w:val="single" w:sz="8" w:space="0" w:color="000000"/>
              <w:right w:val="single" w:sz="8" w:space="0" w:color="auto"/>
            </w:tcBorders>
            <w:shd w:val="clear" w:color="auto" w:fill="0000FF"/>
            <w:vAlign w:val="center"/>
            <w:hideMark/>
          </w:tcPr>
          <w:p w14:paraId="27314D48" w14:textId="77777777" w:rsidR="00C93723" w:rsidRPr="00D30847" w:rsidRDefault="00C93723" w:rsidP="00C93723">
            <w:pPr>
              <w:spacing w:after="0" w:line="240" w:lineRule="auto"/>
              <w:rPr>
                <w:rFonts w:eastAsia="Times New Roman" w:cs="Calibri"/>
                <w:color w:val="FFFFFF"/>
                <w:sz w:val="16"/>
                <w:szCs w:val="16"/>
                <w:lang w:val="en-GB"/>
              </w:rPr>
            </w:pPr>
          </w:p>
        </w:tc>
        <w:tc>
          <w:tcPr>
            <w:tcW w:w="522" w:type="dxa"/>
            <w:gridSpan w:val="3"/>
            <w:vMerge/>
            <w:tcBorders>
              <w:top w:val="nil"/>
              <w:left w:val="single" w:sz="8" w:space="0" w:color="auto"/>
              <w:bottom w:val="single" w:sz="8" w:space="0" w:color="000000"/>
              <w:right w:val="single" w:sz="8" w:space="0" w:color="auto"/>
            </w:tcBorders>
            <w:shd w:val="clear" w:color="auto" w:fill="0000FF"/>
            <w:vAlign w:val="center"/>
            <w:hideMark/>
          </w:tcPr>
          <w:p w14:paraId="296E9C66" w14:textId="77777777" w:rsidR="00C93723" w:rsidRPr="00D30847" w:rsidRDefault="00C93723" w:rsidP="00C93723">
            <w:pPr>
              <w:spacing w:after="0" w:line="240" w:lineRule="auto"/>
              <w:rPr>
                <w:rFonts w:eastAsia="Times New Roman" w:cs="Calibri"/>
                <w:color w:val="FFFFFF"/>
                <w:sz w:val="16"/>
                <w:szCs w:val="16"/>
                <w:lang w:val="en-GB"/>
              </w:rPr>
            </w:pPr>
          </w:p>
        </w:tc>
        <w:tc>
          <w:tcPr>
            <w:tcW w:w="450" w:type="dxa"/>
            <w:gridSpan w:val="4"/>
            <w:vMerge/>
            <w:tcBorders>
              <w:top w:val="nil"/>
              <w:left w:val="single" w:sz="8" w:space="0" w:color="auto"/>
              <w:bottom w:val="single" w:sz="8" w:space="0" w:color="000000"/>
              <w:right w:val="single" w:sz="8" w:space="0" w:color="auto"/>
            </w:tcBorders>
            <w:shd w:val="clear" w:color="auto" w:fill="0000FF"/>
            <w:vAlign w:val="center"/>
            <w:hideMark/>
          </w:tcPr>
          <w:p w14:paraId="1372B559" w14:textId="77777777" w:rsidR="00C93723" w:rsidRPr="00D30847" w:rsidRDefault="00C93723" w:rsidP="00C93723">
            <w:pPr>
              <w:spacing w:after="0" w:line="240" w:lineRule="auto"/>
              <w:rPr>
                <w:rFonts w:eastAsia="Times New Roman" w:cs="Calibri"/>
                <w:color w:val="FFFFFF"/>
                <w:sz w:val="16"/>
                <w:szCs w:val="16"/>
                <w:lang w:val="en-GB"/>
              </w:rPr>
            </w:pPr>
          </w:p>
        </w:tc>
        <w:tc>
          <w:tcPr>
            <w:tcW w:w="450" w:type="dxa"/>
            <w:gridSpan w:val="2"/>
            <w:vMerge/>
            <w:tcBorders>
              <w:top w:val="nil"/>
              <w:left w:val="single" w:sz="8" w:space="0" w:color="auto"/>
              <w:bottom w:val="single" w:sz="8" w:space="0" w:color="000000"/>
              <w:right w:val="single" w:sz="8" w:space="0" w:color="auto"/>
            </w:tcBorders>
            <w:shd w:val="clear" w:color="auto" w:fill="0000FF"/>
            <w:vAlign w:val="center"/>
            <w:hideMark/>
          </w:tcPr>
          <w:p w14:paraId="32A3C4F7" w14:textId="77777777" w:rsidR="00C93723" w:rsidRPr="00D30847" w:rsidRDefault="00C93723" w:rsidP="00C93723">
            <w:pPr>
              <w:spacing w:after="0" w:line="240" w:lineRule="auto"/>
              <w:rPr>
                <w:rFonts w:eastAsia="Times New Roman" w:cs="Calibri"/>
                <w:color w:val="FFFFFF"/>
                <w:sz w:val="16"/>
                <w:szCs w:val="16"/>
                <w:lang w:val="en-GB"/>
              </w:rPr>
            </w:pPr>
          </w:p>
        </w:tc>
        <w:tc>
          <w:tcPr>
            <w:tcW w:w="450" w:type="dxa"/>
            <w:gridSpan w:val="3"/>
            <w:vMerge/>
            <w:tcBorders>
              <w:top w:val="nil"/>
              <w:left w:val="single" w:sz="8" w:space="0" w:color="auto"/>
              <w:bottom w:val="single" w:sz="8" w:space="0" w:color="000000"/>
              <w:right w:val="single" w:sz="8" w:space="0" w:color="auto"/>
            </w:tcBorders>
            <w:shd w:val="clear" w:color="auto" w:fill="0000FF"/>
            <w:vAlign w:val="center"/>
            <w:hideMark/>
          </w:tcPr>
          <w:p w14:paraId="4FC802F5" w14:textId="77777777" w:rsidR="00C93723" w:rsidRPr="00D30847" w:rsidRDefault="00C93723" w:rsidP="00C93723">
            <w:pPr>
              <w:spacing w:after="0" w:line="240" w:lineRule="auto"/>
              <w:rPr>
                <w:rFonts w:eastAsia="Times New Roman" w:cs="Calibri"/>
                <w:color w:val="FFFFFF"/>
                <w:sz w:val="16"/>
                <w:szCs w:val="16"/>
                <w:lang w:val="en-GB"/>
              </w:rPr>
            </w:pPr>
          </w:p>
        </w:tc>
        <w:tc>
          <w:tcPr>
            <w:tcW w:w="648" w:type="dxa"/>
            <w:gridSpan w:val="3"/>
            <w:vMerge/>
            <w:tcBorders>
              <w:top w:val="nil"/>
              <w:left w:val="single" w:sz="8" w:space="0" w:color="auto"/>
              <w:bottom w:val="single" w:sz="8" w:space="0" w:color="000000"/>
              <w:right w:val="single" w:sz="8" w:space="0" w:color="auto"/>
            </w:tcBorders>
            <w:shd w:val="clear" w:color="auto" w:fill="0000FF"/>
            <w:vAlign w:val="center"/>
            <w:hideMark/>
          </w:tcPr>
          <w:p w14:paraId="472658EE" w14:textId="77777777" w:rsidR="00C93723" w:rsidRPr="00D30847" w:rsidRDefault="00C93723" w:rsidP="00C93723">
            <w:pPr>
              <w:spacing w:after="0" w:line="240" w:lineRule="auto"/>
              <w:rPr>
                <w:rFonts w:eastAsia="Times New Roman" w:cs="Calibri"/>
                <w:color w:val="FFFFFF"/>
                <w:sz w:val="16"/>
                <w:szCs w:val="16"/>
                <w:lang w:val="en-GB"/>
              </w:rPr>
            </w:pPr>
          </w:p>
        </w:tc>
      </w:tr>
      <w:tr w:rsidR="00C93723" w:rsidRPr="00D30847" w14:paraId="03B83E0C" w14:textId="77777777" w:rsidTr="00595060">
        <w:trPr>
          <w:trHeight w:val="421"/>
        </w:trPr>
        <w:tc>
          <w:tcPr>
            <w:tcW w:w="702" w:type="dxa"/>
            <w:gridSpan w:val="2"/>
            <w:tcBorders>
              <w:top w:val="nil"/>
              <w:left w:val="nil"/>
              <w:bottom w:val="nil"/>
              <w:right w:val="nil"/>
            </w:tcBorders>
            <w:shd w:val="clear" w:color="auto" w:fill="auto"/>
            <w:vAlign w:val="bottom"/>
            <w:hideMark/>
          </w:tcPr>
          <w:p w14:paraId="03048BEB"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607857F0"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03D27A6B"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3CAF186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24476CAD" w14:textId="012DBBAA" w:rsidR="00C93723" w:rsidRPr="00D30847" w:rsidRDefault="00AA2D30" w:rsidP="00C93723">
            <w:pPr>
              <w:spacing w:after="0" w:line="240" w:lineRule="auto"/>
              <w:rPr>
                <w:rFonts w:eastAsia="Times New Roman" w:cs="Calibri"/>
                <w:sz w:val="16"/>
                <w:szCs w:val="16"/>
                <w:lang w:val="en-GB"/>
              </w:rPr>
            </w:pPr>
            <w:r w:rsidRPr="00D30847">
              <w:rPr>
                <w:rFonts w:eastAsia="Times New Roman" w:cs="Calibri"/>
                <w:sz w:val="16"/>
                <w:szCs w:val="16"/>
                <w:lang w:val="en-GB"/>
              </w:rPr>
              <w:t>Extending the tax models with new modules and installation of Power BI tool</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6320F31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21B068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61D58FC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58FA9ED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21AD6AA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14E0CDB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0F4027B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2B41641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0000FF"/>
            <w:vAlign w:val="center"/>
            <w:hideMark/>
          </w:tcPr>
          <w:p w14:paraId="06A9857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30713E0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0364932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auto" w:fill="0000FF"/>
            <w:vAlign w:val="center"/>
            <w:hideMark/>
          </w:tcPr>
          <w:p w14:paraId="446E943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0000FF"/>
            <w:vAlign w:val="center"/>
            <w:hideMark/>
          </w:tcPr>
          <w:p w14:paraId="6137DEC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0000FF"/>
            <w:vAlign w:val="center"/>
            <w:hideMark/>
          </w:tcPr>
          <w:p w14:paraId="376AADB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129655F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0000FF"/>
            <w:vAlign w:val="center"/>
            <w:hideMark/>
          </w:tcPr>
          <w:p w14:paraId="2C6D99F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38F1E71A" w14:textId="77777777" w:rsidTr="00595060">
        <w:trPr>
          <w:trHeight w:val="315"/>
        </w:trPr>
        <w:tc>
          <w:tcPr>
            <w:tcW w:w="702" w:type="dxa"/>
            <w:gridSpan w:val="2"/>
            <w:tcBorders>
              <w:top w:val="nil"/>
              <w:left w:val="nil"/>
              <w:bottom w:val="nil"/>
              <w:right w:val="nil"/>
            </w:tcBorders>
            <w:shd w:val="clear" w:color="000000" w:fill="6FE7FF"/>
            <w:vAlign w:val="center"/>
            <w:hideMark/>
          </w:tcPr>
          <w:p w14:paraId="4E31175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4C5A562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40A7EA5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2.</w:t>
            </w:r>
          </w:p>
        </w:tc>
        <w:tc>
          <w:tcPr>
            <w:tcW w:w="1770" w:type="dxa"/>
            <w:gridSpan w:val="2"/>
            <w:tcBorders>
              <w:top w:val="nil"/>
              <w:left w:val="nil"/>
              <w:bottom w:val="single" w:sz="8" w:space="0" w:color="auto"/>
              <w:right w:val="nil"/>
            </w:tcBorders>
            <w:shd w:val="clear" w:color="000000" w:fill="6FE7FF"/>
            <w:vAlign w:val="center"/>
            <w:hideMark/>
          </w:tcPr>
          <w:p w14:paraId="04D4D83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258" w:type="dxa"/>
            <w:gridSpan w:val="2"/>
            <w:tcBorders>
              <w:top w:val="nil"/>
              <w:left w:val="nil"/>
              <w:bottom w:val="single" w:sz="8" w:space="0" w:color="auto"/>
              <w:right w:val="nil"/>
            </w:tcBorders>
            <w:shd w:val="clear" w:color="000000" w:fill="6FE7FF"/>
            <w:vAlign w:val="center"/>
            <w:hideMark/>
          </w:tcPr>
          <w:p w14:paraId="747808C0" w14:textId="09378D3C" w:rsidR="00C93723" w:rsidRPr="00D30847" w:rsidRDefault="00B561EC"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Enhancing the capacity for application of tax models</w:t>
            </w:r>
          </w:p>
        </w:tc>
        <w:tc>
          <w:tcPr>
            <w:tcW w:w="522" w:type="dxa"/>
            <w:gridSpan w:val="2"/>
            <w:tcBorders>
              <w:top w:val="nil"/>
              <w:left w:val="nil"/>
              <w:bottom w:val="single" w:sz="8" w:space="0" w:color="auto"/>
              <w:right w:val="nil"/>
            </w:tcBorders>
            <w:shd w:val="clear" w:color="000000" w:fill="6FE7FF"/>
            <w:vAlign w:val="center"/>
            <w:hideMark/>
          </w:tcPr>
          <w:p w14:paraId="3BF4AC3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34801E4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8" w:space="0" w:color="auto"/>
              <w:right w:val="nil"/>
            </w:tcBorders>
            <w:shd w:val="clear" w:color="000000" w:fill="6FE7FF"/>
            <w:vAlign w:val="center"/>
            <w:hideMark/>
          </w:tcPr>
          <w:p w14:paraId="3216C1F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2E1C0CB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0520256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8" w:space="0" w:color="auto"/>
              <w:right w:val="nil"/>
            </w:tcBorders>
            <w:shd w:val="clear" w:color="000000" w:fill="6FE7FF"/>
            <w:vAlign w:val="center"/>
            <w:hideMark/>
          </w:tcPr>
          <w:p w14:paraId="3D482D0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14F5018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1648353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6B2D658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479CC5E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646040D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8" w:space="0" w:color="auto"/>
              <w:right w:val="nil"/>
            </w:tcBorders>
            <w:shd w:val="clear" w:color="000000" w:fill="6FE7FF"/>
            <w:vAlign w:val="center"/>
            <w:hideMark/>
          </w:tcPr>
          <w:p w14:paraId="5BA4A53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566212E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0B7C1A6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330DF69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8" w:space="0" w:color="auto"/>
              <w:right w:val="nil"/>
            </w:tcBorders>
            <w:shd w:val="clear" w:color="000000" w:fill="6FE7FF"/>
            <w:vAlign w:val="center"/>
            <w:hideMark/>
          </w:tcPr>
          <w:p w14:paraId="39BA3E3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77968468" w14:textId="77777777" w:rsidTr="00595060">
        <w:trPr>
          <w:trHeight w:val="329"/>
        </w:trPr>
        <w:tc>
          <w:tcPr>
            <w:tcW w:w="702" w:type="dxa"/>
            <w:gridSpan w:val="2"/>
            <w:tcBorders>
              <w:top w:val="nil"/>
              <w:left w:val="nil"/>
              <w:bottom w:val="nil"/>
              <w:right w:val="nil"/>
            </w:tcBorders>
            <w:shd w:val="clear" w:color="auto" w:fill="auto"/>
            <w:vAlign w:val="bottom"/>
            <w:hideMark/>
          </w:tcPr>
          <w:p w14:paraId="333B947B" w14:textId="77777777" w:rsidR="00C93723" w:rsidRPr="00D30847" w:rsidRDefault="00C93723" w:rsidP="00015129">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0FBC09D4" w14:textId="77777777" w:rsidR="00C93723" w:rsidRPr="00D30847" w:rsidRDefault="00C93723" w:rsidP="00015129">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3BD1C702" w14:textId="77777777" w:rsidR="00C93723" w:rsidRPr="00D30847" w:rsidRDefault="00C93723" w:rsidP="00015129">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79CC6C05" w14:textId="77777777" w:rsidR="00C93723" w:rsidRPr="00D30847" w:rsidRDefault="00C93723" w:rsidP="00015129">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nil"/>
              <w:left w:val="nil"/>
              <w:bottom w:val="single" w:sz="8" w:space="0" w:color="auto"/>
              <w:right w:val="single" w:sz="8" w:space="0" w:color="auto"/>
            </w:tcBorders>
            <w:shd w:val="clear" w:color="auto" w:fill="auto"/>
            <w:vAlign w:val="center"/>
            <w:hideMark/>
          </w:tcPr>
          <w:p w14:paraId="3258E2EB" w14:textId="3331F3CA" w:rsidR="00C93723" w:rsidRPr="00D30847" w:rsidRDefault="00B561EC" w:rsidP="00015129">
            <w:pPr>
              <w:spacing w:after="0" w:line="240" w:lineRule="auto"/>
              <w:rPr>
                <w:rFonts w:eastAsia="Times New Roman" w:cs="Calibri"/>
                <w:sz w:val="16"/>
                <w:szCs w:val="16"/>
                <w:lang w:val="en-GB"/>
              </w:rPr>
            </w:pPr>
            <w:r w:rsidRPr="00D30847">
              <w:rPr>
                <w:rFonts w:eastAsia="Times New Roman" w:cs="Calibri"/>
                <w:sz w:val="16"/>
                <w:szCs w:val="16"/>
                <w:lang w:val="en-GB"/>
              </w:rPr>
              <w:t>Employee training and implementation of developed tax models</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170628D1" w14:textId="77777777" w:rsidR="00C93723" w:rsidRPr="00D30847" w:rsidRDefault="00C93723" w:rsidP="0001512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62588C6D" w14:textId="77777777" w:rsidR="00C93723" w:rsidRPr="00D30847" w:rsidRDefault="00C93723" w:rsidP="0001512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7A101BC5" w14:textId="77777777" w:rsidR="00C93723" w:rsidRPr="00D30847" w:rsidRDefault="00C93723" w:rsidP="0001512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57063D2A" w14:textId="77777777" w:rsidR="00C93723" w:rsidRPr="00D30847" w:rsidRDefault="00C93723" w:rsidP="0001512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256563FA" w14:textId="77777777" w:rsidR="00C93723" w:rsidRPr="00D30847" w:rsidRDefault="00C93723" w:rsidP="0001512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3DB940FE" w14:textId="77777777" w:rsidR="00C93723" w:rsidRPr="00D30847" w:rsidRDefault="00C93723" w:rsidP="0001512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06FF1B95" w14:textId="77777777" w:rsidR="00C93723" w:rsidRPr="00D30847" w:rsidRDefault="00C93723" w:rsidP="0001512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03D1C54D" w14:textId="77777777" w:rsidR="00C93723" w:rsidRPr="00D30847" w:rsidRDefault="00C93723" w:rsidP="0001512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0000FF"/>
            <w:vAlign w:val="center"/>
            <w:hideMark/>
          </w:tcPr>
          <w:p w14:paraId="218AC7DB" w14:textId="77777777" w:rsidR="00C93723" w:rsidRPr="00D30847" w:rsidRDefault="00C93723" w:rsidP="0001512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6421EED4" w14:textId="77777777" w:rsidR="00C93723" w:rsidRPr="00D30847" w:rsidRDefault="00C93723" w:rsidP="0001512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04D425CB" w14:textId="77777777" w:rsidR="00C93723" w:rsidRPr="00D30847" w:rsidRDefault="00C93723" w:rsidP="0001512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auto" w:fill="0000FF"/>
            <w:vAlign w:val="center"/>
            <w:hideMark/>
          </w:tcPr>
          <w:p w14:paraId="59BA8A00" w14:textId="77777777" w:rsidR="00C93723" w:rsidRPr="00D30847" w:rsidRDefault="00C93723" w:rsidP="0001512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0000FF"/>
            <w:vAlign w:val="center"/>
            <w:hideMark/>
          </w:tcPr>
          <w:p w14:paraId="644D171C" w14:textId="77777777" w:rsidR="00C93723" w:rsidRPr="00D30847" w:rsidRDefault="00C93723" w:rsidP="0001512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0000FF"/>
            <w:vAlign w:val="center"/>
            <w:hideMark/>
          </w:tcPr>
          <w:p w14:paraId="7C7C89B3" w14:textId="77777777" w:rsidR="00C93723" w:rsidRPr="00D30847" w:rsidRDefault="00C93723" w:rsidP="0001512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50BB93E2" w14:textId="77777777" w:rsidR="00C93723" w:rsidRPr="00D30847" w:rsidRDefault="00C93723" w:rsidP="0001512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0000FF"/>
            <w:vAlign w:val="center"/>
            <w:hideMark/>
          </w:tcPr>
          <w:p w14:paraId="472528AE" w14:textId="77777777" w:rsidR="00C93723" w:rsidRPr="00D30847" w:rsidRDefault="00C93723" w:rsidP="0001512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652C50" w:rsidRPr="00D30847" w14:paraId="20C7AD60" w14:textId="77777777" w:rsidTr="00595060">
        <w:trPr>
          <w:trHeight w:val="367"/>
        </w:trPr>
        <w:tc>
          <w:tcPr>
            <w:tcW w:w="702" w:type="dxa"/>
            <w:gridSpan w:val="2"/>
            <w:tcBorders>
              <w:top w:val="nil"/>
              <w:left w:val="nil"/>
              <w:bottom w:val="nil"/>
              <w:right w:val="nil"/>
            </w:tcBorders>
            <w:shd w:val="clear" w:color="auto" w:fill="auto"/>
            <w:vAlign w:val="bottom"/>
            <w:hideMark/>
          </w:tcPr>
          <w:p w14:paraId="64628AE1" w14:textId="77777777" w:rsidR="00107F53" w:rsidRPr="00D30847" w:rsidRDefault="00107F53" w:rsidP="00107F5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3376D8BE" w14:textId="77777777" w:rsidR="00107F53" w:rsidRPr="00D30847" w:rsidRDefault="00107F53" w:rsidP="00107F5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7165C64A" w14:textId="77777777" w:rsidR="00107F53" w:rsidRPr="00D30847" w:rsidRDefault="00107F53" w:rsidP="00107F5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6874F9D8" w14:textId="77777777" w:rsidR="00107F53" w:rsidRPr="00D30847" w:rsidRDefault="00107F53" w:rsidP="00107F5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6AA1C223" w14:textId="1E6260AE" w:rsidR="00107F53" w:rsidRPr="00D30847" w:rsidRDefault="00107F53" w:rsidP="00107F53">
            <w:pPr>
              <w:spacing w:after="0" w:line="240" w:lineRule="auto"/>
              <w:rPr>
                <w:rFonts w:eastAsia="Times New Roman" w:cs="Calibri"/>
                <w:sz w:val="16"/>
                <w:szCs w:val="16"/>
                <w:lang w:val="en-GB"/>
              </w:rPr>
            </w:pPr>
            <w:r w:rsidRPr="00D30847">
              <w:rPr>
                <w:rFonts w:eastAsia="Times New Roman" w:cs="Calibri"/>
                <w:sz w:val="16"/>
                <w:szCs w:val="16"/>
                <w:lang w:val="en-GB"/>
              </w:rPr>
              <w:t>Extending tax models with new modules and installing Power BI tool</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5AA19D6B" w14:textId="77777777"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520F082" w14:textId="77777777"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5BB76E83" w14:textId="77777777"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271775C7" w14:textId="77777777"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hideMark/>
          </w:tcPr>
          <w:p w14:paraId="4A0E1322" w14:textId="7A080C70"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auto" w:fill="0000FF"/>
            <w:hideMark/>
          </w:tcPr>
          <w:p w14:paraId="1900CFE7" w14:textId="21D2263E"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hideMark/>
          </w:tcPr>
          <w:p w14:paraId="4F348E82" w14:textId="1611CE40"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auto" w:fill="0000FF"/>
            <w:hideMark/>
          </w:tcPr>
          <w:p w14:paraId="2E4BF6E8" w14:textId="442229CB"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0000FF"/>
            <w:hideMark/>
          </w:tcPr>
          <w:p w14:paraId="334BE86A" w14:textId="6DAA2197"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hideMark/>
          </w:tcPr>
          <w:p w14:paraId="022004F3" w14:textId="32D79DAF"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hideMark/>
          </w:tcPr>
          <w:p w14:paraId="216A9AF9" w14:textId="14C917EC"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auto" w:fill="0000FF"/>
            <w:hideMark/>
          </w:tcPr>
          <w:p w14:paraId="11C7FAE2" w14:textId="01A767F1"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0000FF"/>
            <w:hideMark/>
          </w:tcPr>
          <w:p w14:paraId="3FF071F7" w14:textId="0E4B4CAA"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0000FF"/>
            <w:hideMark/>
          </w:tcPr>
          <w:p w14:paraId="0650DD9C" w14:textId="79C8CD81"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hideMark/>
          </w:tcPr>
          <w:p w14:paraId="67526B15" w14:textId="2780B89A"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0000FF"/>
            <w:hideMark/>
          </w:tcPr>
          <w:p w14:paraId="5FE2F46C" w14:textId="1036A904" w:rsidR="00107F53" w:rsidRPr="00D30847" w:rsidRDefault="00107F53" w:rsidP="00107F5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441A55CF" w14:textId="77777777" w:rsidTr="00B84551">
        <w:trPr>
          <w:trHeight w:val="300"/>
        </w:trPr>
        <w:tc>
          <w:tcPr>
            <w:tcW w:w="702" w:type="dxa"/>
            <w:gridSpan w:val="2"/>
            <w:tcBorders>
              <w:top w:val="nil"/>
              <w:left w:val="nil"/>
              <w:bottom w:val="nil"/>
              <w:right w:val="nil"/>
            </w:tcBorders>
            <w:shd w:val="clear" w:color="000000" w:fill="00FF00"/>
            <w:vAlign w:val="center"/>
            <w:hideMark/>
          </w:tcPr>
          <w:p w14:paraId="2753030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768" w:type="dxa"/>
            <w:gridSpan w:val="8"/>
            <w:tcBorders>
              <w:top w:val="nil"/>
              <w:left w:val="nil"/>
              <w:bottom w:val="nil"/>
              <w:right w:val="nil"/>
            </w:tcBorders>
            <w:shd w:val="clear" w:color="000000" w:fill="00FF00"/>
            <w:vAlign w:val="center"/>
            <w:hideMark/>
          </w:tcPr>
          <w:p w14:paraId="1124B5C9" w14:textId="10A7274C"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Priority 2.</w:t>
            </w:r>
            <w:r w:rsidR="00525B8D" w:rsidRPr="00D30847">
              <w:rPr>
                <w:rFonts w:eastAsia="Times New Roman" w:cs="Calibri"/>
                <w:b/>
                <w:bCs/>
                <w:sz w:val="16"/>
                <w:szCs w:val="16"/>
                <w:lang w:val="en-GB"/>
              </w:rPr>
              <w:t xml:space="preserve"> </w:t>
            </w:r>
            <w:r w:rsidRPr="00D30847">
              <w:rPr>
                <w:rFonts w:eastAsia="Times New Roman" w:cs="Calibri"/>
                <w:b/>
                <w:bCs/>
                <w:sz w:val="16"/>
                <w:szCs w:val="16"/>
                <w:lang w:val="en-GB"/>
              </w:rPr>
              <w:t>Economic analysis and macroeconomic forecasting</w:t>
            </w:r>
          </w:p>
        </w:tc>
        <w:tc>
          <w:tcPr>
            <w:tcW w:w="522" w:type="dxa"/>
            <w:gridSpan w:val="2"/>
            <w:tcBorders>
              <w:top w:val="nil"/>
              <w:left w:val="nil"/>
              <w:bottom w:val="nil"/>
              <w:right w:val="nil"/>
            </w:tcBorders>
            <w:shd w:val="clear" w:color="000000" w:fill="00FF00"/>
            <w:vAlign w:val="center"/>
            <w:hideMark/>
          </w:tcPr>
          <w:p w14:paraId="485E9DA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70D42F3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00FF00"/>
            <w:vAlign w:val="center"/>
            <w:hideMark/>
          </w:tcPr>
          <w:p w14:paraId="17245FB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00FF00"/>
            <w:vAlign w:val="center"/>
            <w:hideMark/>
          </w:tcPr>
          <w:p w14:paraId="6978F0B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5FB81C6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00FF00"/>
            <w:vAlign w:val="center"/>
            <w:hideMark/>
          </w:tcPr>
          <w:p w14:paraId="3527BAB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503404D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00FF00"/>
            <w:vAlign w:val="center"/>
            <w:hideMark/>
          </w:tcPr>
          <w:p w14:paraId="76AB2CB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1FE006B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706E227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4C2E4CA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00FF00"/>
            <w:vAlign w:val="center"/>
            <w:hideMark/>
          </w:tcPr>
          <w:p w14:paraId="2740BAC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794B338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00FF00"/>
            <w:vAlign w:val="center"/>
            <w:hideMark/>
          </w:tcPr>
          <w:p w14:paraId="5504687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2529179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00FF00"/>
            <w:vAlign w:val="center"/>
            <w:hideMark/>
          </w:tcPr>
          <w:p w14:paraId="3479EA3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23E0001D" w14:textId="77777777" w:rsidTr="00595060">
        <w:trPr>
          <w:trHeight w:val="315"/>
        </w:trPr>
        <w:tc>
          <w:tcPr>
            <w:tcW w:w="702" w:type="dxa"/>
            <w:gridSpan w:val="2"/>
            <w:tcBorders>
              <w:top w:val="nil"/>
              <w:left w:val="nil"/>
              <w:bottom w:val="nil"/>
              <w:right w:val="nil"/>
            </w:tcBorders>
            <w:shd w:val="clear" w:color="000000" w:fill="6FE7FF"/>
            <w:vAlign w:val="center"/>
            <w:hideMark/>
          </w:tcPr>
          <w:p w14:paraId="415AB14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4F4FCAC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43233A4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1.</w:t>
            </w:r>
          </w:p>
        </w:tc>
        <w:tc>
          <w:tcPr>
            <w:tcW w:w="1770" w:type="dxa"/>
            <w:gridSpan w:val="2"/>
            <w:tcBorders>
              <w:top w:val="nil"/>
              <w:left w:val="nil"/>
              <w:bottom w:val="single" w:sz="8" w:space="0" w:color="auto"/>
              <w:right w:val="nil"/>
            </w:tcBorders>
            <w:shd w:val="clear" w:color="000000" w:fill="6FE7FF"/>
            <w:vAlign w:val="center"/>
            <w:hideMark/>
          </w:tcPr>
          <w:p w14:paraId="397F13D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258" w:type="dxa"/>
            <w:gridSpan w:val="2"/>
            <w:tcBorders>
              <w:top w:val="nil"/>
              <w:left w:val="nil"/>
              <w:bottom w:val="single" w:sz="8" w:space="0" w:color="auto"/>
              <w:right w:val="nil"/>
            </w:tcBorders>
            <w:shd w:val="clear" w:color="000000" w:fill="6FE7FF"/>
            <w:vAlign w:val="center"/>
            <w:hideMark/>
          </w:tcPr>
          <w:p w14:paraId="5B29612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Capacity building for economic analysis</w:t>
            </w:r>
          </w:p>
        </w:tc>
        <w:tc>
          <w:tcPr>
            <w:tcW w:w="522" w:type="dxa"/>
            <w:gridSpan w:val="2"/>
            <w:tcBorders>
              <w:top w:val="nil"/>
              <w:left w:val="nil"/>
              <w:bottom w:val="single" w:sz="8" w:space="0" w:color="auto"/>
              <w:right w:val="nil"/>
            </w:tcBorders>
            <w:shd w:val="clear" w:color="000000" w:fill="6FE7FF"/>
            <w:vAlign w:val="center"/>
            <w:hideMark/>
          </w:tcPr>
          <w:p w14:paraId="5D8199B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4FF20AC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8" w:space="0" w:color="auto"/>
              <w:right w:val="nil"/>
            </w:tcBorders>
            <w:shd w:val="clear" w:color="000000" w:fill="6FE7FF"/>
            <w:vAlign w:val="center"/>
            <w:hideMark/>
          </w:tcPr>
          <w:p w14:paraId="1394F26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5423248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633DAFE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8" w:space="0" w:color="auto"/>
              <w:right w:val="nil"/>
            </w:tcBorders>
            <w:shd w:val="clear" w:color="000000" w:fill="6FE7FF"/>
            <w:vAlign w:val="center"/>
            <w:hideMark/>
          </w:tcPr>
          <w:p w14:paraId="50920EB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0E4BDF4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0FC2256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26219C2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726FBBA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437E3CA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8" w:space="0" w:color="auto"/>
              <w:right w:val="nil"/>
            </w:tcBorders>
            <w:shd w:val="clear" w:color="000000" w:fill="6FE7FF"/>
            <w:vAlign w:val="center"/>
            <w:hideMark/>
          </w:tcPr>
          <w:p w14:paraId="5CE97D7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047E9A1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07EB359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65746AC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8" w:space="0" w:color="auto"/>
              <w:right w:val="nil"/>
            </w:tcBorders>
            <w:shd w:val="clear" w:color="000000" w:fill="6FE7FF"/>
            <w:vAlign w:val="center"/>
            <w:hideMark/>
          </w:tcPr>
          <w:p w14:paraId="3E321F1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39255A14" w14:textId="77777777" w:rsidTr="00595060">
        <w:trPr>
          <w:trHeight w:val="315"/>
        </w:trPr>
        <w:tc>
          <w:tcPr>
            <w:tcW w:w="702" w:type="dxa"/>
            <w:gridSpan w:val="2"/>
            <w:tcBorders>
              <w:top w:val="nil"/>
              <w:left w:val="nil"/>
              <w:bottom w:val="nil"/>
              <w:right w:val="nil"/>
            </w:tcBorders>
            <w:shd w:val="clear" w:color="auto" w:fill="auto"/>
            <w:vAlign w:val="bottom"/>
            <w:hideMark/>
          </w:tcPr>
          <w:p w14:paraId="63711FF1"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05E33E5D"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79DC3924"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10892599"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nil"/>
              <w:left w:val="nil"/>
              <w:bottom w:val="single" w:sz="8" w:space="0" w:color="auto"/>
              <w:right w:val="single" w:sz="8" w:space="0" w:color="auto"/>
            </w:tcBorders>
            <w:shd w:val="clear" w:color="auto" w:fill="auto"/>
            <w:vAlign w:val="center"/>
            <w:hideMark/>
          </w:tcPr>
          <w:p w14:paraId="78741A72"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xml:space="preserve">Increasing the scope of economic analyses </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19278CA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D4B218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6653245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1EA6230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669B96D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79F5BBB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633076D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auto" w:fill="0000FF"/>
            <w:vAlign w:val="center"/>
            <w:hideMark/>
          </w:tcPr>
          <w:p w14:paraId="554BD1A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58B79CD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1708800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3C25696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auto" w:fill="auto"/>
            <w:vAlign w:val="center"/>
            <w:hideMark/>
          </w:tcPr>
          <w:p w14:paraId="0249B03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FFFFFF"/>
            <w:vAlign w:val="center"/>
            <w:hideMark/>
          </w:tcPr>
          <w:p w14:paraId="5FF939D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FFFFFF"/>
            <w:vAlign w:val="center"/>
            <w:hideMark/>
          </w:tcPr>
          <w:p w14:paraId="772CD87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FFFFFF"/>
            <w:vAlign w:val="center"/>
            <w:hideMark/>
          </w:tcPr>
          <w:p w14:paraId="0E79BC5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FFFFFF"/>
            <w:vAlign w:val="center"/>
            <w:hideMark/>
          </w:tcPr>
          <w:p w14:paraId="6F3AADA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3B3DF93E" w14:textId="77777777" w:rsidTr="00595060">
        <w:trPr>
          <w:trHeight w:val="315"/>
        </w:trPr>
        <w:tc>
          <w:tcPr>
            <w:tcW w:w="702" w:type="dxa"/>
            <w:gridSpan w:val="2"/>
            <w:tcBorders>
              <w:top w:val="nil"/>
              <w:left w:val="nil"/>
              <w:bottom w:val="nil"/>
              <w:right w:val="nil"/>
            </w:tcBorders>
            <w:shd w:val="clear" w:color="auto" w:fill="auto"/>
            <w:vAlign w:val="bottom"/>
            <w:hideMark/>
          </w:tcPr>
          <w:p w14:paraId="68FD8CE7"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62135960"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1B58A174"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32368FFF"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723EED98"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xml:space="preserve">Economic policy impact assessment </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732DD6C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409491B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1EA7E19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2986473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F667E9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3A12510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6BBA3C0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auto" w:fill="0000FF"/>
            <w:vAlign w:val="center"/>
            <w:hideMark/>
          </w:tcPr>
          <w:p w14:paraId="629E8A6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7730569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1476385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165C540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auto" w:fill="auto"/>
            <w:vAlign w:val="center"/>
            <w:hideMark/>
          </w:tcPr>
          <w:p w14:paraId="6F102BA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FFFFFF"/>
            <w:vAlign w:val="center"/>
            <w:hideMark/>
          </w:tcPr>
          <w:p w14:paraId="5A680F85"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2"/>
            <w:tcBorders>
              <w:top w:val="nil"/>
              <w:left w:val="nil"/>
              <w:bottom w:val="single" w:sz="8" w:space="0" w:color="auto"/>
              <w:right w:val="single" w:sz="8" w:space="0" w:color="auto"/>
            </w:tcBorders>
            <w:shd w:val="clear" w:color="000000" w:fill="FFFFFF"/>
            <w:vAlign w:val="center"/>
            <w:hideMark/>
          </w:tcPr>
          <w:p w14:paraId="65283768"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000000" w:fill="FFFFFF"/>
            <w:vAlign w:val="center"/>
            <w:hideMark/>
          </w:tcPr>
          <w:p w14:paraId="52E285AB"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48" w:type="dxa"/>
            <w:gridSpan w:val="3"/>
            <w:tcBorders>
              <w:top w:val="nil"/>
              <w:left w:val="nil"/>
              <w:bottom w:val="single" w:sz="8" w:space="0" w:color="auto"/>
              <w:right w:val="single" w:sz="8" w:space="0" w:color="auto"/>
            </w:tcBorders>
            <w:shd w:val="clear" w:color="000000" w:fill="FFFFFF"/>
            <w:vAlign w:val="center"/>
            <w:hideMark/>
          </w:tcPr>
          <w:p w14:paraId="572ED8BF"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r>
      <w:tr w:rsidR="00C93723" w:rsidRPr="00D30847" w14:paraId="67A5E630" w14:textId="77777777" w:rsidTr="00595060">
        <w:trPr>
          <w:trHeight w:val="315"/>
        </w:trPr>
        <w:tc>
          <w:tcPr>
            <w:tcW w:w="702" w:type="dxa"/>
            <w:gridSpan w:val="2"/>
            <w:tcBorders>
              <w:top w:val="nil"/>
              <w:left w:val="nil"/>
              <w:bottom w:val="nil"/>
              <w:right w:val="nil"/>
            </w:tcBorders>
            <w:shd w:val="clear" w:color="000000" w:fill="6FE7FF"/>
            <w:vAlign w:val="center"/>
            <w:hideMark/>
          </w:tcPr>
          <w:p w14:paraId="538FA1E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484307B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4E8BC76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2.</w:t>
            </w:r>
          </w:p>
        </w:tc>
        <w:tc>
          <w:tcPr>
            <w:tcW w:w="1770" w:type="dxa"/>
            <w:gridSpan w:val="2"/>
            <w:tcBorders>
              <w:top w:val="nil"/>
              <w:left w:val="nil"/>
              <w:bottom w:val="single" w:sz="8" w:space="0" w:color="auto"/>
              <w:right w:val="nil"/>
            </w:tcBorders>
            <w:shd w:val="clear" w:color="000000" w:fill="6FE7FF"/>
            <w:vAlign w:val="center"/>
            <w:hideMark/>
          </w:tcPr>
          <w:p w14:paraId="636E9988" w14:textId="77777777" w:rsidR="00C93723" w:rsidRPr="00D30847" w:rsidRDefault="00C93723" w:rsidP="00C93723">
            <w:pPr>
              <w:spacing w:after="0" w:line="240" w:lineRule="auto"/>
              <w:rPr>
                <w:rFonts w:eastAsia="Times New Roman" w:cs="Calibri"/>
                <w:b/>
                <w:bCs/>
                <w:color w:val="FF0000"/>
                <w:sz w:val="16"/>
                <w:szCs w:val="16"/>
                <w:lang w:val="en-GB"/>
              </w:rPr>
            </w:pPr>
            <w:r w:rsidRPr="00D30847">
              <w:rPr>
                <w:rFonts w:eastAsia="Times New Roman" w:cs="Calibri"/>
                <w:b/>
                <w:bCs/>
                <w:color w:val="FF0000"/>
                <w:sz w:val="16"/>
                <w:szCs w:val="16"/>
                <w:lang w:val="en-GB"/>
              </w:rPr>
              <w:t> </w:t>
            </w:r>
          </w:p>
        </w:tc>
        <w:tc>
          <w:tcPr>
            <w:tcW w:w="3258" w:type="dxa"/>
            <w:gridSpan w:val="2"/>
            <w:tcBorders>
              <w:top w:val="nil"/>
              <w:left w:val="nil"/>
              <w:bottom w:val="single" w:sz="8" w:space="0" w:color="auto"/>
              <w:right w:val="nil"/>
            </w:tcBorders>
            <w:shd w:val="clear" w:color="000000" w:fill="6FE7FF"/>
            <w:vAlign w:val="center"/>
            <w:hideMark/>
          </w:tcPr>
          <w:p w14:paraId="2504D6B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xml:space="preserve">Developing new macroeconomic models </w:t>
            </w:r>
          </w:p>
        </w:tc>
        <w:tc>
          <w:tcPr>
            <w:tcW w:w="522" w:type="dxa"/>
            <w:gridSpan w:val="2"/>
            <w:tcBorders>
              <w:top w:val="nil"/>
              <w:left w:val="nil"/>
              <w:bottom w:val="single" w:sz="8" w:space="0" w:color="auto"/>
              <w:right w:val="nil"/>
            </w:tcBorders>
            <w:shd w:val="clear" w:color="000000" w:fill="6FE7FF"/>
            <w:vAlign w:val="center"/>
            <w:hideMark/>
          </w:tcPr>
          <w:p w14:paraId="45AD077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1A0323F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8" w:space="0" w:color="auto"/>
              <w:right w:val="nil"/>
            </w:tcBorders>
            <w:shd w:val="clear" w:color="000000" w:fill="6FE7FF"/>
            <w:vAlign w:val="center"/>
            <w:hideMark/>
          </w:tcPr>
          <w:p w14:paraId="0586764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127404D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07EB7D4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8" w:space="0" w:color="auto"/>
              <w:right w:val="nil"/>
            </w:tcBorders>
            <w:shd w:val="clear" w:color="000000" w:fill="6FE7FF"/>
            <w:vAlign w:val="center"/>
            <w:hideMark/>
          </w:tcPr>
          <w:p w14:paraId="70321BA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4D5CCAF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7BE316C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51EEDC1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537D3C2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0678DAE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8" w:space="0" w:color="auto"/>
              <w:right w:val="nil"/>
            </w:tcBorders>
            <w:shd w:val="clear" w:color="000000" w:fill="6FE7FF"/>
            <w:vAlign w:val="center"/>
            <w:hideMark/>
          </w:tcPr>
          <w:p w14:paraId="65721DF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65F37A7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48AE383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5EAF820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8" w:space="0" w:color="auto"/>
              <w:right w:val="nil"/>
            </w:tcBorders>
            <w:shd w:val="clear" w:color="000000" w:fill="6FE7FF"/>
            <w:vAlign w:val="center"/>
            <w:hideMark/>
          </w:tcPr>
          <w:p w14:paraId="0E1C1D8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029AE882" w14:textId="77777777" w:rsidTr="00595060">
        <w:trPr>
          <w:trHeight w:val="259"/>
        </w:trPr>
        <w:tc>
          <w:tcPr>
            <w:tcW w:w="702" w:type="dxa"/>
            <w:gridSpan w:val="2"/>
            <w:tcBorders>
              <w:top w:val="nil"/>
              <w:left w:val="nil"/>
              <w:bottom w:val="nil"/>
              <w:right w:val="nil"/>
            </w:tcBorders>
            <w:shd w:val="clear" w:color="auto" w:fill="auto"/>
            <w:vAlign w:val="bottom"/>
            <w:hideMark/>
          </w:tcPr>
          <w:p w14:paraId="627C9BF9"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617885CF"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67B234AF"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3A9BF949"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nil"/>
              <w:left w:val="nil"/>
              <w:bottom w:val="single" w:sz="8" w:space="0" w:color="auto"/>
              <w:right w:val="single" w:sz="8" w:space="0" w:color="auto"/>
            </w:tcBorders>
            <w:shd w:val="clear" w:color="auto" w:fill="auto"/>
            <w:vAlign w:val="center"/>
            <w:hideMark/>
          </w:tcPr>
          <w:p w14:paraId="0CB74BF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Developing macroeconomic forecasting tools</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6EE9685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B55B5B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7229FA8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4F7D42A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3737F5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50E9626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2470166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7B184E3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0000FF"/>
            <w:vAlign w:val="center"/>
            <w:hideMark/>
          </w:tcPr>
          <w:p w14:paraId="6E7DD49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6C52B19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3B7432B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auto" w:fill="0000FF"/>
            <w:vAlign w:val="center"/>
            <w:hideMark/>
          </w:tcPr>
          <w:p w14:paraId="73C990B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FFFFFF"/>
            <w:vAlign w:val="center"/>
            <w:hideMark/>
          </w:tcPr>
          <w:p w14:paraId="16C24D5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FFFFFF"/>
            <w:vAlign w:val="center"/>
            <w:hideMark/>
          </w:tcPr>
          <w:p w14:paraId="371EFDA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FFFFFF"/>
            <w:vAlign w:val="center"/>
            <w:hideMark/>
          </w:tcPr>
          <w:p w14:paraId="3AF65FE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FFFFFF"/>
            <w:vAlign w:val="center"/>
            <w:hideMark/>
          </w:tcPr>
          <w:p w14:paraId="18C96E5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5AC41761" w14:textId="77777777" w:rsidTr="00595060">
        <w:trPr>
          <w:trHeight w:val="250"/>
        </w:trPr>
        <w:tc>
          <w:tcPr>
            <w:tcW w:w="702" w:type="dxa"/>
            <w:gridSpan w:val="2"/>
            <w:tcBorders>
              <w:top w:val="nil"/>
              <w:left w:val="nil"/>
              <w:bottom w:val="nil"/>
              <w:right w:val="nil"/>
            </w:tcBorders>
            <w:shd w:val="clear" w:color="000000" w:fill="6FE7FF"/>
            <w:vAlign w:val="center"/>
            <w:hideMark/>
          </w:tcPr>
          <w:p w14:paraId="0BD6821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3F49956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04F59A9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3.</w:t>
            </w:r>
          </w:p>
        </w:tc>
        <w:tc>
          <w:tcPr>
            <w:tcW w:w="1770" w:type="dxa"/>
            <w:gridSpan w:val="2"/>
            <w:tcBorders>
              <w:top w:val="nil"/>
              <w:left w:val="nil"/>
              <w:bottom w:val="nil"/>
              <w:right w:val="nil"/>
            </w:tcBorders>
            <w:shd w:val="clear" w:color="000000" w:fill="6FE7FF"/>
            <w:vAlign w:val="center"/>
            <w:hideMark/>
          </w:tcPr>
          <w:p w14:paraId="5D37E838" w14:textId="77777777" w:rsidR="00C93723" w:rsidRPr="00D30847" w:rsidRDefault="00C93723" w:rsidP="00C93723">
            <w:pPr>
              <w:spacing w:after="0" w:line="240" w:lineRule="auto"/>
              <w:rPr>
                <w:rFonts w:eastAsia="Times New Roman" w:cs="Calibri"/>
                <w:b/>
                <w:bCs/>
                <w:color w:val="FF0000"/>
                <w:sz w:val="16"/>
                <w:szCs w:val="16"/>
                <w:lang w:val="en-GB"/>
              </w:rPr>
            </w:pPr>
            <w:r w:rsidRPr="00D30847">
              <w:rPr>
                <w:rFonts w:eastAsia="Times New Roman" w:cs="Calibri"/>
                <w:b/>
                <w:bCs/>
                <w:color w:val="FF0000"/>
                <w:sz w:val="16"/>
                <w:szCs w:val="16"/>
                <w:lang w:val="en-GB"/>
              </w:rPr>
              <w:t> </w:t>
            </w:r>
          </w:p>
        </w:tc>
        <w:tc>
          <w:tcPr>
            <w:tcW w:w="3258" w:type="dxa"/>
            <w:gridSpan w:val="2"/>
            <w:tcBorders>
              <w:top w:val="nil"/>
              <w:left w:val="nil"/>
              <w:bottom w:val="nil"/>
              <w:right w:val="nil"/>
            </w:tcBorders>
            <w:shd w:val="clear" w:color="000000" w:fill="6FE7FF"/>
            <w:vAlign w:val="center"/>
            <w:hideMark/>
          </w:tcPr>
          <w:p w14:paraId="44D49EF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xml:space="preserve">Fiscal risks </w:t>
            </w:r>
          </w:p>
        </w:tc>
        <w:tc>
          <w:tcPr>
            <w:tcW w:w="522" w:type="dxa"/>
            <w:gridSpan w:val="2"/>
            <w:tcBorders>
              <w:top w:val="nil"/>
              <w:left w:val="nil"/>
              <w:bottom w:val="nil"/>
              <w:right w:val="nil"/>
            </w:tcBorders>
            <w:shd w:val="clear" w:color="000000" w:fill="6FE7FF"/>
            <w:vAlign w:val="center"/>
            <w:hideMark/>
          </w:tcPr>
          <w:p w14:paraId="2BE3FFF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64DE849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6FE7FF"/>
            <w:vAlign w:val="center"/>
            <w:hideMark/>
          </w:tcPr>
          <w:p w14:paraId="479145A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6FE7FF"/>
            <w:vAlign w:val="center"/>
            <w:hideMark/>
          </w:tcPr>
          <w:p w14:paraId="2B293B3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67D1348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6FE7FF"/>
            <w:vAlign w:val="center"/>
            <w:hideMark/>
          </w:tcPr>
          <w:p w14:paraId="5FD9C5F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408C45C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6FE7FF"/>
            <w:vAlign w:val="center"/>
            <w:hideMark/>
          </w:tcPr>
          <w:p w14:paraId="605EEF1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350622F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4779062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08EDA92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6FE7FF"/>
            <w:vAlign w:val="center"/>
            <w:hideMark/>
          </w:tcPr>
          <w:p w14:paraId="207F5D1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5122207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6FE7FF"/>
            <w:vAlign w:val="center"/>
            <w:hideMark/>
          </w:tcPr>
          <w:p w14:paraId="2544D73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5D012C3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6FE7FF"/>
            <w:vAlign w:val="center"/>
            <w:hideMark/>
          </w:tcPr>
          <w:p w14:paraId="110A7F5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4EB6B5A1" w14:textId="77777777" w:rsidTr="00595060">
        <w:trPr>
          <w:trHeight w:val="367"/>
        </w:trPr>
        <w:tc>
          <w:tcPr>
            <w:tcW w:w="702" w:type="dxa"/>
            <w:gridSpan w:val="2"/>
            <w:tcBorders>
              <w:top w:val="nil"/>
              <w:left w:val="nil"/>
              <w:bottom w:val="nil"/>
              <w:right w:val="nil"/>
            </w:tcBorders>
            <w:shd w:val="clear" w:color="auto" w:fill="auto"/>
            <w:vAlign w:val="bottom"/>
            <w:hideMark/>
          </w:tcPr>
          <w:p w14:paraId="2FC1B7DC"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35B741AC"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525F39A7"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single" w:sz="8" w:space="0" w:color="auto"/>
              <w:left w:val="single" w:sz="8" w:space="0" w:color="auto"/>
              <w:bottom w:val="single" w:sz="8" w:space="0" w:color="auto"/>
              <w:right w:val="nil"/>
            </w:tcBorders>
            <w:shd w:val="clear" w:color="auto" w:fill="auto"/>
            <w:vAlign w:val="center"/>
            <w:hideMark/>
          </w:tcPr>
          <w:p w14:paraId="2A33912A"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single" w:sz="8" w:space="0" w:color="auto"/>
              <w:left w:val="nil"/>
              <w:bottom w:val="single" w:sz="8" w:space="0" w:color="auto"/>
              <w:right w:val="single" w:sz="8" w:space="0" w:color="auto"/>
            </w:tcBorders>
            <w:shd w:val="clear" w:color="auto" w:fill="auto"/>
            <w:vAlign w:val="center"/>
            <w:hideMark/>
          </w:tcPr>
          <w:p w14:paraId="1754B567" w14:textId="3F23B3F3" w:rsidR="00C93723" w:rsidRPr="00D30847" w:rsidRDefault="00177D1C" w:rsidP="00C93723">
            <w:pPr>
              <w:spacing w:after="0" w:line="240" w:lineRule="auto"/>
              <w:rPr>
                <w:rFonts w:eastAsia="Times New Roman" w:cs="Calibri"/>
                <w:sz w:val="16"/>
                <w:szCs w:val="16"/>
                <w:lang w:val="en-GB"/>
              </w:rPr>
            </w:pPr>
            <w:r w:rsidRPr="00D30847">
              <w:rPr>
                <w:rFonts w:eastAsia="Times New Roman" w:cs="Calibri"/>
                <w:sz w:val="16"/>
                <w:szCs w:val="16"/>
                <w:lang w:val="en-GB"/>
              </w:rPr>
              <w:t>Implementation of a plan with activities to strengthen the capacities for fiscal risks analyses in line with FAD/IMF recommendations</w:t>
            </w:r>
          </w:p>
        </w:tc>
        <w:tc>
          <w:tcPr>
            <w:tcW w:w="522" w:type="dxa"/>
            <w:gridSpan w:val="2"/>
            <w:tcBorders>
              <w:top w:val="single" w:sz="8" w:space="0" w:color="auto"/>
              <w:left w:val="nil"/>
              <w:bottom w:val="single" w:sz="8" w:space="0" w:color="auto"/>
              <w:right w:val="single" w:sz="8" w:space="0" w:color="auto"/>
            </w:tcBorders>
            <w:shd w:val="clear" w:color="000000" w:fill="0000FF"/>
            <w:vAlign w:val="center"/>
            <w:hideMark/>
          </w:tcPr>
          <w:p w14:paraId="27BFEC4A" w14:textId="77777777" w:rsidR="00C93723" w:rsidRPr="00D30847" w:rsidRDefault="00C93723" w:rsidP="00C93723">
            <w:pPr>
              <w:spacing w:after="0" w:line="240" w:lineRule="auto"/>
              <w:jc w:val="center"/>
              <w:rPr>
                <w:rFonts w:eastAsia="Times New Roman" w:cs="Calibri"/>
                <w:b/>
                <w:bCs/>
                <w:color w:val="FFFFFF"/>
                <w:sz w:val="16"/>
                <w:szCs w:val="16"/>
                <w:lang w:val="en-GB"/>
              </w:rPr>
            </w:pPr>
            <w:r w:rsidRPr="00D30847">
              <w:rPr>
                <w:rFonts w:eastAsia="Times New Roman" w:cs="Calibri"/>
                <w:b/>
                <w:bCs/>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08D88B62" w14:textId="77777777" w:rsidR="00C93723" w:rsidRPr="00D30847" w:rsidRDefault="00C93723" w:rsidP="00C93723">
            <w:pPr>
              <w:spacing w:after="0" w:line="240" w:lineRule="auto"/>
              <w:jc w:val="center"/>
              <w:rPr>
                <w:rFonts w:eastAsia="Times New Roman" w:cs="Calibri"/>
                <w:b/>
                <w:bCs/>
                <w:color w:val="FFFFFF"/>
                <w:sz w:val="16"/>
                <w:szCs w:val="16"/>
                <w:lang w:val="en-GB"/>
              </w:rPr>
            </w:pPr>
            <w:r w:rsidRPr="00D30847">
              <w:rPr>
                <w:rFonts w:eastAsia="Times New Roman" w:cs="Calibri"/>
                <w:b/>
                <w:bCs/>
                <w:color w:val="FFFFFF"/>
                <w:sz w:val="16"/>
                <w:szCs w:val="16"/>
                <w:lang w:val="en-GB"/>
              </w:rPr>
              <w:t> </w:t>
            </w:r>
          </w:p>
        </w:tc>
        <w:tc>
          <w:tcPr>
            <w:tcW w:w="582" w:type="dxa"/>
            <w:gridSpan w:val="3"/>
            <w:tcBorders>
              <w:top w:val="single" w:sz="8" w:space="0" w:color="auto"/>
              <w:left w:val="nil"/>
              <w:bottom w:val="single" w:sz="8" w:space="0" w:color="auto"/>
              <w:right w:val="single" w:sz="8" w:space="0" w:color="auto"/>
            </w:tcBorders>
            <w:shd w:val="clear" w:color="000000" w:fill="0000FF"/>
            <w:vAlign w:val="center"/>
            <w:hideMark/>
          </w:tcPr>
          <w:p w14:paraId="7667E06D" w14:textId="77777777" w:rsidR="00C93723" w:rsidRPr="00D30847" w:rsidRDefault="00C93723" w:rsidP="00C93723">
            <w:pPr>
              <w:spacing w:after="0" w:line="240" w:lineRule="auto"/>
              <w:jc w:val="center"/>
              <w:rPr>
                <w:rFonts w:eastAsia="Times New Roman" w:cs="Calibri"/>
                <w:b/>
                <w:bCs/>
                <w:color w:val="FFFFFF"/>
                <w:sz w:val="16"/>
                <w:szCs w:val="16"/>
                <w:lang w:val="en-GB"/>
              </w:rPr>
            </w:pPr>
            <w:r w:rsidRPr="00D30847">
              <w:rPr>
                <w:rFonts w:eastAsia="Times New Roman" w:cs="Calibri"/>
                <w:b/>
                <w:bCs/>
                <w:color w:val="FFFFFF"/>
                <w:sz w:val="16"/>
                <w:szCs w:val="16"/>
                <w:lang w:val="en-GB"/>
              </w:rPr>
              <w:t> </w:t>
            </w:r>
          </w:p>
        </w:tc>
        <w:tc>
          <w:tcPr>
            <w:tcW w:w="480" w:type="dxa"/>
            <w:gridSpan w:val="3"/>
            <w:tcBorders>
              <w:top w:val="single" w:sz="8" w:space="0" w:color="auto"/>
              <w:left w:val="nil"/>
              <w:bottom w:val="single" w:sz="8" w:space="0" w:color="auto"/>
              <w:right w:val="single" w:sz="8" w:space="0" w:color="auto"/>
            </w:tcBorders>
            <w:shd w:val="clear" w:color="000000" w:fill="0000FF"/>
            <w:vAlign w:val="center"/>
            <w:hideMark/>
          </w:tcPr>
          <w:p w14:paraId="0A19ADC9" w14:textId="77777777" w:rsidR="00C93723" w:rsidRPr="00D30847" w:rsidRDefault="00C93723" w:rsidP="00C93723">
            <w:pPr>
              <w:spacing w:after="0" w:line="240" w:lineRule="auto"/>
              <w:jc w:val="center"/>
              <w:rPr>
                <w:rFonts w:eastAsia="Times New Roman" w:cs="Calibri"/>
                <w:b/>
                <w:bCs/>
                <w:color w:val="FFFFFF"/>
                <w:sz w:val="16"/>
                <w:szCs w:val="16"/>
                <w:lang w:val="en-GB"/>
              </w:rPr>
            </w:pPr>
            <w:r w:rsidRPr="00D30847">
              <w:rPr>
                <w:rFonts w:eastAsia="Times New Roman" w:cs="Calibri"/>
                <w:b/>
                <w:bCs/>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162CB8FC" w14:textId="77777777" w:rsidR="00C93723" w:rsidRPr="00D30847" w:rsidRDefault="00C93723" w:rsidP="00C93723">
            <w:pPr>
              <w:spacing w:after="0" w:line="240" w:lineRule="auto"/>
              <w:jc w:val="center"/>
              <w:rPr>
                <w:rFonts w:eastAsia="Times New Roman" w:cs="Calibri"/>
                <w:b/>
                <w:bCs/>
                <w:color w:val="FFFFFF"/>
                <w:sz w:val="16"/>
                <w:szCs w:val="16"/>
                <w:lang w:val="en-GB"/>
              </w:rPr>
            </w:pPr>
            <w:r w:rsidRPr="00D30847">
              <w:rPr>
                <w:rFonts w:eastAsia="Times New Roman" w:cs="Calibri"/>
                <w:b/>
                <w:bCs/>
                <w:color w:val="FFFFFF"/>
                <w:sz w:val="16"/>
                <w:szCs w:val="16"/>
                <w:lang w:val="en-GB"/>
              </w:rPr>
              <w:t> </w:t>
            </w:r>
          </w:p>
        </w:tc>
        <w:tc>
          <w:tcPr>
            <w:tcW w:w="612" w:type="dxa"/>
            <w:gridSpan w:val="3"/>
            <w:tcBorders>
              <w:top w:val="single" w:sz="8" w:space="0" w:color="auto"/>
              <w:left w:val="nil"/>
              <w:bottom w:val="single" w:sz="8" w:space="0" w:color="auto"/>
              <w:right w:val="single" w:sz="8" w:space="0" w:color="auto"/>
            </w:tcBorders>
            <w:shd w:val="clear" w:color="000000" w:fill="0000FF"/>
            <w:vAlign w:val="center"/>
            <w:hideMark/>
          </w:tcPr>
          <w:p w14:paraId="4CC16188" w14:textId="77777777" w:rsidR="00C93723" w:rsidRPr="00D30847" w:rsidRDefault="00C93723" w:rsidP="00C93723">
            <w:pPr>
              <w:spacing w:after="0" w:line="240" w:lineRule="auto"/>
              <w:jc w:val="center"/>
              <w:rPr>
                <w:rFonts w:eastAsia="Times New Roman" w:cs="Calibri"/>
                <w:b/>
                <w:bCs/>
                <w:color w:val="FFFFFF"/>
                <w:sz w:val="16"/>
                <w:szCs w:val="16"/>
                <w:lang w:val="en-GB"/>
              </w:rPr>
            </w:pPr>
            <w:r w:rsidRPr="00D30847">
              <w:rPr>
                <w:rFonts w:eastAsia="Times New Roman" w:cs="Calibri"/>
                <w:b/>
                <w:bCs/>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31C76AE9" w14:textId="77777777" w:rsidR="00C93723" w:rsidRPr="00D30847" w:rsidRDefault="00C93723" w:rsidP="00C93723">
            <w:pPr>
              <w:spacing w:after="0" w:line="240" w:lineRule="auto"/>
              <w:jc w:val="center"/>
              <w:rPr>
                <w:rFonts w:eastAsia="Times New Roman" w:cs="Calibri"/>
                <w:b/>
                <w:bCs/>
                <w:color w:val="FFFFFF"/>
                <w:sz w:val="16"/>
                <w:szCs w:val="16"/>
                <w:lang w:val="en-GB"/>
              </w:rPr>
            </w:pPr>
            <w:r w:rsidRPr="00D30847">
              <w:rPr>
                <w:rFonts w:eastAsia="Times New Roman" w:cs="Calibri"/>
                <w:b/>
                <w:bCs/>
                <w:color w:val="FFFFFF"/>
                <w:sz w:val="16"/>
                <w:szCs w:val="16"/>
                <w:lang w:val="en-GB"/>
              </w:rPr>
              <w:t> </w:t>
            </w:r>
          </w:p>
        </w:tc>
        <w:tc>
          <w:tcPr>
            <w:tcW w:w="540" w:type="dxa"/>
            <w:gridSpan w:val="3"/>
            <w:tcBorders>
              <w:top w:val="single" w:sz="8" w:space="0" w:color="auto"/>
              <w:left w:val="nil"/>
              <w:bottom w:val="single" w:sz="8" w:space="0" w:color="auto"/>
              <w:right w:val="single" w:sz="8" w:space="0" w:color="auto"/>
            </w:tcBorders>
            <w:shd w:val="clear" w:color="000000" w:fill="0000FF"/>
            <w:vAlign w:val="center"/>
            <w:hideMark/>
          </w:tcPr>
          <w:p w14:paraId="4A5D319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auto" w:fill="auto"/>
            <w:vAlign w:val="center"/>
            <w:hideMark/>
          </w:tcPr>
          <w:p w14:paraId="7443D8C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auto" w:fill="auto"/>
            <w:vAlign w:val="center"/>
            <w:hideMark/>
          </w:tcPr>
          <w:p w14:paraId="69E108B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auto" w:fill="auto"/>
            <w:vAlign w:val="center"/>
            <w:hideMark/>
          </w:tcPr>
          <w:p w14:paraId="7919139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single" w:sz="8" w:space="0" w:color="auto"/>
              <w:left w:val="nil"/>
              <w:bottom w:val="single" w:sz="8" w:space="0" w:color="auto"/>
              <w:right w:val="single" w:sz="8" w:space="0" w:color="auto"/>
            </w:tcBorders>
            <w:shd w:val="clear" w:color="auto" w:fill="auto"/>
            <w:vAlign w:val="center"/>
            <w:hideMark/>
          </w:tcPr>
          <w:p w14:paraId="5211C5B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auto" w:fill="auto"/>
            <w:vAlign w:val="center"/>
            <w:hideMark/>
          </w:tcPr>
          <w:p w14:paraId="0EDB2ED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single" w:sz="8" w:space="0" w:color="auto"/>
              <w:left w:val="nil"/>
              <w:bottom w:val="single" w:sz="8" w:space="0" w:color="auto"/>
              <w:right w:val="single" w:sz="8" w:space="0" w:color="auto"/>
            </w:tcBorders>
            <w:shd w:val="clear" w:color="auto" w:fill="auto"/>
            <w:vAlign w:val="center"/>
            <w:hideMark/>
          </w:tcPr>
          <w:p w14:paraId="09A09F6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auto" w:fill="auto"/>
            <w:vAlign w:val="center"/>
            <w:hideMark/>
          </w:tcPr>
          <w:p w14:paraId="7210468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single" w:sz="8" w:space="0" w:color="auto"/>
              <w:left w:val="nil"/>
              <w:bottom w:val="single" w:sz="8" w:space="0" w:color="auto"/>
              <w:right w:val="single" w:sz="8" w:space="0" w:color="auto"/>
            </w:tcBorders>
            <w:shd w:val="clear" w:color="auto" w:fill="auto"/>
            <w:vAlign w:val="center"/>
            <w:hideMark/>
          </w:tcPr>
          <w:p w14:paraId="756F6D0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434B295E" w14:textId="77777777" w:rsidTr="00595060">
        <w:trPr>
          <w:trHeight w:val="403"/>
        </w:trPr>
        <w:tc>
          <w:tcPr>
            <w:tcW w:w="702" w:type="dxa"/>
            <w:gridSpan w:val="2"/>
            <w:tcBorders>
              <w:top w:val="nil"/>
              <w:left w:val="nil"/>
              <w:bottom w:val="nil"/>
              <w:right w:val="nil"/>
            </w:tcBorders>
            <w:shd w:val="clear" w:color="auto" w:fill="auto"/>
            <w:vAlign w:val="bottom"/>
            <w:hideMark/>
          </w:tcPr>
          <w:p w14:paraId="5262C6B7" w14:textId="77777777" w:rsidR="00C93723" w:rsidRPr="00D30847" w:rsidRDefault="00C93723" w:rsidP="00C93723">
            <w:pPr>
              <w:spacing w:after="0" w:line="240" w:lineRule="auto"/>
              <w:jc w:val="center"/>
              <w:rPr>
                <w:rFonts w:eastAsia="Times New Roman" w:cs="Calibri"/>
                <w:b/>
                <w:bCs/>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326E4388"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4B218535"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6000230F"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004DEA5E" w14:textId="46E193B5" w:rsidR="00C93723" w:rsidRPr="00D30847" w:rsidRDefault="00177D1C" w:rsidP="00C93723">
            <w:pPr>
              <w:spacing w:after="0" w:line="240" w:lineRule="auto"/>
              <w:rPr>
                <w:rFonts w:eastAsia="Times New Roman" w:cs="Calibri"/>
                <w:sz w:val="16"/>
                <w:szCs w:val="16"/>
                <w:lang w:val="en-GB"/>
              </w:rPr>
            </w:pPr>
            <w:r w:rsidRPr="00D30847">
              <w:rPr>
                <w:rFonts w:eastAsia="Times New Roman" w:cs="Calibri"/>
                <w:sz w:val="16"/>
                <w:szCs w:val="16"/>
                <w:lang w:val="en-GB"/>
              </w:rPr>
              <w:t>Development of a Fiscal Risk Registry and Promotion of Institutional Framework according to the best regional and EU practices</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4824CB8D" w14:textId="77777777" w:rsidR="00C93723" w:rsidRPr="00D30847" w:rsidRDefault="00C93723" w:rsidP="00C93723">
            <w:pPr>
              <w:spacing w:after="0" w:line="240" w:lineRule="auto"/>
              <w:jc w:val="center"/>
              <w:rPr>
                <w:rFonts w:eastAsia="Times New Roman" w:cs="Calibri"/>
                <w:b/>
                <w:bCs/>
                <w:color w:val="FFFFFF"/>
                <w:sz w:val="16"/>
                <w:szCs w:val="16"/>
                <w:lang w:val="en-GB"/>
              </w:rPr>
            </w:pPr>
            <w:r w:rsidRPr="00D30847">
              <w:rPr>
                <w:rFonts w:eastAsia="Times New Roman" w:cs="Calibri"/>
                <w:b/>
                <w:bCs/>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46A1AAED" w14:textId="77777777" w:rsidR="00C93723" w:rsidRPr="00D30847" w:rsidRDefault="00C93723" w:rsidP="00C93723">
            <w:pPr>
              <w:spacing w:after="0" w:line="240" w:lineRule="auto"/>
              <w:jc w:val="center"/>
              <w:rPr>
                <w:rFonts w:eastAsia="Times New Roman" w:cs="Calibri"/>
                <w:b/>
                <w:bCs/>
                <w:color w:val="FFFFFF"/>
                <w:sz w:val="16"/>
                <w:szCs w:val="16"/>
                <w:lang w:val="en-GB"/>
              </w:rPr>
            </w:pPr>
            <w:r w:rsidRPr="00D30847">
              <w:rPr>
                <w:rFonts w:eastAsia="Times New Roman" w:cs="Calibri"/>
                <w:b/>
                <w:bCs/>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432731FF" w14:textId="77777777" w:rsidR="00C93723" w:rsidRPr="00D30847" w:rsidRDefault="00C93723" w:rsidP="00C93723">
            <w:pPr>
              <w:spacing w:after="0" w:line="240" w:lineRule="auto"/>
              <w:jc w:val="center"/>
              <w:rPr>
                <w:rFonts w:eastAsia="Times New Roman" w:cs="Calibri"/>
                <w:b/>
                <w:bCs/>
                <w:color w:val="FFFFFF"/>
                <w:sz w:val="16"/>
                <w:szCs w:val="16"/>
                <w:lang w:val="en-GB"/>
              </w:rPr>
            </w:pPr>
            <w:r w:rsidRPr="00D30847">
              <w:rPr>
                <w:rFonts w:eastAsia="Times New Roman" w:cs="Calibri"/>
                <w:b/>
                <w:bCs/>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51B5CCB1" w14:textId="77777777" w:rsidR="00C93723" w:rsidRPr="00D30847" w:rsidRDefault="00C93723" w:rsidP="00C93723">
            <w:pPr>
              <w:spacing w:after="0" w:line="240" w:lineRule="auto"/>
              <w:jc w:val="center"/>
              <w:rPr>
                <w:rFonts w:eastAsia="Times New Roman" w:cs="Calibri"/>
                <w:b/>
                <w:bCs/>
                <w:color w:val="FFFFFF"/>
                <w:sz w:val="16"/>
                <w:szCs w:val="16"/>
                <w:lang w:val="en-GB"/>
              </w:rPr>
            </w:pPr>
            <w:r w:rsidRPr="00D30847">
              <w:rPr>
                <w:rFonts w:eastAsia="Times New Roman" w:cs="Calibri"/>
                <w:b/>
                <w:bCs/>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467A7FF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648BDC2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6489B19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116DC2A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3AD10BE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00C2A69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467CAFA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auto" w:fill="auto"/>
            <w:vAlign w:val="center"/>
            <w:hideMark/>
          </w:tcPr>
          <w:p w14:paraId="386AEB7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78D70A37" w14:textId="77777777" w:rsidR="00C93723" w:rsidRPr="00D30847" w:rsidRDefault="00C93723" w:rsidP="00C93723">
            <w:pPr>
              <w:spacing w:after="0" w:line="240" w:lineRule="auto"/>
              <w:jc w:val="center"/>
              <w:rPr>
                <w:rFonts w:eastAsia="Times New Roman" w:cs="Calibri"/>
                <w:b/>
                <w:bCs/>
                <w:color w:val="FFFFFF"/>
                <w:sz w:val="16"/>
                <w:szCs w:val="16"/>
                <w:lang w:val="en-GB"/>
              </w:rPr>
            </w:pPr>
            <w:r w:rsidRPr="00D30847">
              <w:rPr>
                <w:rFonts w:eastAsia="Times New Roman" w:cs="Calibri"/>
                <w:b/>
                <w:bCs/>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6CAFDAB6" w14:textId="77777777" w:rsidR="00C93723" w:rsidRPr="00D30847" w:rsidRDefault="00C93723" w:rsidP="00C93723">
            <w:pPr>
              <w:spacing w:after="0" w:line="240" w:lineRule="auto"/>
              <w:jc w:val="center"/>
              <w:rPr>
                <w:rFonts w:eastAsia="Times New Roman" w:cs="Calibri"/>
                <w:b/>
                <w:bCs/>
                <w:color w:val="FFFFFF"/>
                <w:sz w:val="16"/>
                <w:szCs w:val="16"/>
                <w:lang w:val="en-GB"/>
              </w:rPr>
            </w:pPr>
            <w:r w:rsidRPr="00D30847">
              <w:rPr>
                <w:rFonts w:eastAsia="Times New Roman" w:cs="Calibri"/>
                <w:b/>
                <w:bCs/>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31666657" w14:textId="77777777" w:rsidR="00C93723" w:rsidRPr="00D30847" w:rsidRDefault="00C93723" w:rsidP="00C93723">
            <w:pPr>
              <w:spacing w:after="0" w:line="240" w:lineRule="auto"/>
              <w:jc w:val="center"/>
              <w:rPr>
                <w:rFonts w:eastAsia="Times New Roman" w:cs="Calibri"/>
                <w:b/>
                <w:bCs/>
                <w:color w:val="FFFFFF"/>
                <w:sz w:val="16"/>
                <w:szCs w:val="16"/>
                <w:lang w:val="en-GB"/>
              </w:rPr>
            </w:pPr>
            <w:r w:rsidRPr="00D30847">
              <w:rPr>
                <w:rFonts w:eastAsia="Times New Roman" w:cs="Calibri"/>
                <w:b/>
                <w:bCs/>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4070D293" w14:textId="77777777" w:rsidR="00C93723" w:rsidRPr="00D30847" w:rsidRDefault="00C93723" w:rsidP="00C93723">
            <w:pPr>
              <w:spacing w:after="0" w:line="240" w:lineRule="auto"/>
              <w:jc w:val="center"/>
              <w:rPr>
                <w:rFonts w:eastAsia="Times New Roman" w:cs="Calibri"/>
                <w:b/>
                <w:bCs/>
                <w:color w:val="FFFFFF"/>
                <w:sz w:val="16"/>
                <w:szCs w:val="16"/>
                <w:lang w:val="en-GB"/>
              </w:rPr>
            </w:pPr>
            <w:r w:rsidRPr="00D30847">
              <w:rPr>
                <w:rFonts w:eastAsia="Times New Roman" w:cs="Calibri"/>
                <w:b/>
                <w:bCs/>
                <w:color w:val="FFFFFF"/>
                <w:sz w:val="16"/>
                <w:szCs w:val="16"/>
                <w:lang w:val="en-GB"/>
              </w:rPr>
              <w:t> </w:t>
            </w:r>
          </w:p>
        </w:tc>
      </w:tr>
      <w:tr w:rsidR="00C93723" w:rsidRPr="00D30847" w14:paraId="09B86B79" w14:textId="77777777" w:rsidTr="00B84551">
        <w:trPr>
          <w:trHeight w:val="300"/>
        </w:trPr>
        <w:tc>
          <w:tcPr>
            <w:tcW w:w="702" w:type="dxa"/>
            <w:gridSpan w:val="2"/>
            <w:tcBorders>
              <w:top w:val="nil"/>
              <w:left w:val="nil"/>
              <w:bottom w:val="nil"/>
              <w:right w:val="nil"/>
            </w:tcBorders>
            <w:shd w:val="clear" w:color="000000" w:fill="00FF00"/>
            <w:vAlign w:val="center"/>
            <w:hideMark/>
          </w:tcPr>
          <w:p w14:paraId="73BF780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lastRenderedPageBreak/>
              <w:t> </w:t>
            </w:r>
          </w:p>
        </w:tc>
        <w:tc>
          <w:tcPr>
            <w:tcW w:w="3510" w:type="dxa"/>
            <w:gridSpan w:val="6"/>
            <w:tcBorders>
              <w:top w:val="nil"/>
              <w:left w:val="nil"/>
              <w:bottom w:val="nil"/>
              <w:right w:val="nil"/>
            </w:tcBorders>
            <w:shd w:val="clear" w:color="000000" w:fill="00FF00"/>
            <w:vAlign w:val="center"/>
            <w:hideMark/>
          </w:tcPr>
          <w:p w14:paraId="136BF48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xml:space="preserve"> Priority 3.</w:t>
            </w:r>
          </w:p>
        </w:tc>
        <w:tc>
          <w:tcPr>
            <w:tcW w:w="3258" w:type="dxa"/>
            <w:gridSpan w:val="2"/>
            <w:tcBorders>
              <w:top w:val="nil"/>
              <w:left w:val="nil"/>
              <w:bottom w:val="nil"/>
              <w:right w:val="nil"/>
            </w:tcBorders>
            <w:shd w:val="clear" w:color="000000" w:fill="00FF00"/>
            <w:vAlign w:val="center"/>
            <w:hideMark/>
          </w:tcPr>
          <w:p w14:paraId="2F90354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Strengthening Debt management</w:t>
            </w:r>
          </w:p>
        </w:tc>
        <w:tc>
          <w:tcPr>
            <w:tcW w:w="522" w:type="dxa"/>
            <w:gridSpan w:val="2"/>
            <w:tcBorders>
              <w:top w:val="nil"/>
              <w:left w:val="nil"/>
              <w:bottom w:val="nil"/>
              <w:right w:val="nil"/>
            </w:tcBorders>
            <w:shd w:val="clear" w:color="000000" w:fill="00FF00"/>
            <w:vAlign w:val="center"/>
            <w:hideMark/>
          </w:tcPr>
          <w:p w14:paraId="4A59EAD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7694385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00FF00"/>
            <w:vAlign w:val="center"/>
            <w:hideMark/>
          </w:tcPr>
          <w:p w14:paraId="2F4143F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00FF00"/>
            <w:vAlign w:val="center"/>
            <w:hideMark/>
          </w:tcPr>
          <w:p w14:paraId="75D8E13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1C46268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00FF00"/>
            <w:vAlign w:val="center"/>
            <w:hideMark/>
          </w:tcPr>
          <w:p w14:paraId="4A40A73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2D5CB0B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00FF00"/>
            <w:vAlign w:val="center"/>
            <w:hideMark/>
          </w:tcPr>
          <w:p w14:paraId="57F4495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51AED89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3BB8CD7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3BAFEEB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00FF00"/>
            <w:vAlign w:val="center"/>
            <w:hideMark/>
          </w:tcPr>
          <w:p w14:paraId="6765555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3588D92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00FF00"/>
            <w:vAlign w:val="center"/>
            <w:hideMark/>
          </w:tcPr>
          <w:p w14:paraId="5DFF9D7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3249829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00FF00"/>
            <w:vAlign w:val="center"/>
            <w:hideMark/>
          </w:tcPr>
          <w:p w14:paraId="49241EA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20165294" w14:textId="77777777" w:rsidTr="00595060">
        <w:trPr>
          <w:trHeight w:val="315"/>
        </w:trPr>
        <w:tc>
          <w:tcPr>
            <w:tcW w:w="702" w:type="dxa"/>
            <w:gridSpan w:val="2"/>
            <w:tcBorders>
              <w:top w:val="nil"/>
              <w:left w:val="nil"/>
              <w:bottom w:val="nil"/>
              <w:right w:val="nil"/>
            </w:tcBorders>
            <w:shd w:val="clear" w:color="000000" w:fill="6FE7FF"/>
            <w:vAlign w:val="center"/>
            <w:hideMark/>
          </w:tcPr>
          <w:p w14:paraId="02FFB80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2743D1C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6FD405C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1.</w:t>
            </w:r>
          </w:p>
        </w:tc>
        <w:tc>
          <w:tcPr>
            <w:tcW w:w="1770" w:type="dxa"/>
            <w:gridSpan w:val="2"/>
            <w:tcBorders>
              <w:top w:val="nil"/>
              <w:left w:val="nil"/>
              <w:bottom w:val="single" w:sz="8" w:space="0" w:color="auto"/>
              <w:right w:val="nil"/>
            </w:tcBorders>
            <w:shd w:val="clear" w:color="000000" w:fill="6FE7FF"/>
            <w:vAlign w:val="center"/>
            <w:hideMark/>
          </w:tcPr>
          <w:p w14:paraId="33EE9A8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258" w:type="dxa"/>
            <w:gridSpan w:val="2"/>
            <w:tcBorders>
              <w:top w:val="nil"/>
              <w:left w:val="nil"/>
              <w:bottom w:val="single" w:sz="8" w:space="0" w:color="auto"/>
              <w:right w:val="nil"/>
            </w:tcBorders>
            <w:shd w:val="clear" w:color="000000" w:fill="6FE7FF"/>
            <w:vAlign w:val="center"/>
            <w:hideMark/>
          </w:tcPr>
          <w:p w14:paraId="63AA206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Reducing operational risks at public debt management</w:t>
            </w:r>
          </w:p>
        </w:tc>
        <w:tc>
          <w:tcPr>
            <w:tcW w:w="522" w:type="dxa"/>
            <w:gridSpan w:val="2"/>
            <w:tcBorders>
              <w:top w:val="nil"/>
              <w:left w:val="nil"/>
              <w:bottom w:val="single" w:sz="8" w:space="0" w:color="auto"/>
              <w:right w:val="nil"/>
            </w:tcBorders>
            <w:shd w:val="clear" w:color="000000" w:fill="6FE7FF"/>
            <w:vAlign w:val="center"/>
            <w:hideMark/>
          </w:tcPr>
          <w:p w14:paraId="10A9EB9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61BF76A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8" w:space="0" w:color="auto"/>
              <w:right w:val="nil"/>
            </w:tcBorders>
            <w:shd w:val="clear" w:color="000000" w:fill="6FE7FF"/>
            <w:vAlign w:val="center"/>
            <w:hideMark/>
          </w:tcPr>
          <w:p w14:paraId="09373E4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275E102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5E9F600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8" w:space="0" w:color="auto"/>
              <w:right w:val="nil"/>
            </w:tcBorders>
            <w:shd w:val="clear" w:color="000000" w:fill="6FE7FF"/>
            <w:vAlign w:val="center"/>
            <w:hideMark/>
          </w:tcPr>
          <w:p w14:paraId="2333793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08BDB47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70C19E6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4EE7FAA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34882CC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672B23D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8" w:space="0" w:color="auto"/>
              <w:right w:val="nil"/>
            </w:tcBorders>
            <w:shd w:val="clear" w:color="000000" w:fill="6FE7FF"/>
            <w:vAlign w:val="center"/>
            <w:hideMark/>
          </w:tcPr>
          <w:p w14:paraId="7D0ABC8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1FEE930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1E8C530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085A36A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8" w:space="0" w:color="auto"/>
              <w:right w:val="nil"/>
            </w:tcBorders>
            <w:shd w:val="clear" w:color="000000" w:fill="6FE7FF"/>
            <w:vAlign w:val="center"/>
            <w:hideMark/>
          </w:tcPr>
          <w:p w14:paraId="07F0130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0CED7D54" w14:textId="77777777" w:rsidTr="00595060">
        <w:trPr>
          <w:trHeight w:val="376"/>
        </w:trPr>
        <w:tc>
          <w:tcPr>
            <w:tcW w:w="702" w:type="dxa"/>
            <w:gridSpan w:val="2"/>
            <w:tcBorders>
              <w:top w:val="nil"/>
              <w:left w:val="nil"/>
              <w:bottom w:val="nil"/>
              <w:right w:val="nil"/>
            </w:tcBorders>
            <w:shd w:val="clear" w:color="auto" w:fill="auto"/>
            <w:vAlign w:val="bottom"/>
            <w:hideMark/>
          </w:tcPr>
          <w:p w14:paraId="136AAE3E"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7EAB3605"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0944522F"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1D118C00"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nil"/>
              <w:left w:val="nil"/>
              <w:bottom w:val="single" w:sz="8" w:space="0" w:color="auto"/>
              <w:right w:val="single" w:sz="8" w:space="0" w:color="auto"/>
            </w:tcBorders>
            <w:shd w:val="clear" w:color="auto" w:fill="auto"/>
            <w:vAlign w:val="center"/>
            <w:hideMark/>
          </w:tcPr>
          <w:p w14:paraId="453494F2"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Introducing e-banking with NBRNM for external debt repayment</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0D42E38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5A2077A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2A9C37C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4614F13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2C77751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7DD4F66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6DFEE7C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670F777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0000FF"/>
            <w:vAlign w:val="center"/>
            <w:hideMark/>
          </w:tcPr>
          <w:p w14:paraId="576701E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25C09D1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6957283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auto" w:fill="0000FF"/>
            <w:vAlign w:val="center"/>
            <w:hideMark/>
          </w:tcPr>
          <w:p w14:paraId="4FAF7E6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0000FF"/>
            <w:vAlign w:val="center"/>
            <w:hideMark/>
          </w:tcPr>
          <w:p w14:paraId="1A922CB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0000FF"/>
            <w:vAlign w:val="center"/>
            <w:hideMark/>
          </w:tcPr>
          <w:p w14:paraId="74CAFBEA"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2A2F351F"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48" w:type="dxa"/>
            <w:gridSpan w:val="3"/>
            <w:tcBorders>
              <w:top w:val="nil"/>
              <w:left w:val="nil"/>
              <w:bottom w:val="single" w:sz="8" w:space="0" w:color="auto"/>
              <w:right w:val="single" w:sz="8" w:space="0" w:color="auto"/>
            </w:tcBorders>
            <w:shd w:val="clear" w:color="auto" w:fill="0000FF"/>
            <w:vAlign w:val="center"/>
            <w:hideMark/>
          </w:tcPr>
          <w:p w14:paraId="7015BC80"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r>
      <w:tr w:rsidR="00C93723" w:rsidRPr="00D30847" w14:paraId="2369BD53" w14:textId="77777777" w:rsidTr="00595060">
        <w:trPr>
          <w:trHeight w:val="322"/>
        </w:trPr>
        <w:tc>
          <w:tcPr>
            <w:tcW w:w="702" w:type="dxa"/>
            <w:gridSpan w:val="2"/>
            <w:tcBorders>
              <w:top w:val="nil"/>
              <w:left w:val="nil"/>
              <w:bottom w:val="nil"/>
              <w:right w:val="nil"/>
            </w:tcBorders>
            <w:shd w:val="clear" w:color="auto" w:fill="auto"/>
            <w:vAlign w:val="bottom"/>
            <w:hideMark/>
          </w:tcPr>
          <w:p w14:paraId="0DEDB8B0" w14:textId="77777777" w:rsidR="00C93723" w:rsidRPr="00D30847" w:rsidRDefault="00C93723" w:rsidP="00C93723">
            <w:pPr>
              <w:spacing w:after="0" w:line="240" w:lineRule="auto"/>
              <w:rPr>
                <w:rFonts w:eastAsia="Times New Roman" w:cs="Calibri"/>
                <w:sz w:val="16"/>
                <w:szCs w:val="16"/>
                <w:lang w:val="en-GB"/>
              </w:rPr>
            </w:pPr>
          </w:p>
        </w:tc>
        <w:tc>
          <w:tcPr>
            <w:tcW w:w="464" w:type="dxa"/>
            <w:gridSpan w:val="2"/>
            <w:tcBorders>
              <w:top w:val="nil"/>
              <w:left w:val="nil"/>
              <w:bottom w:val="nil"/>
              <w:right w:val="nil"/>
            </w:tcBorders>
            <w:shd w:val="clear" w:color="auto" w:fill="auto"/>
            <w:vAlign w:val="bottom"/>
            <w:hideMark/>
          </w:tcPr>
          <w:p w14:paraId="73D3021D"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01050C00"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39A9FA0C"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48EA71FB"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Strengthening public debt management capacities</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6523846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E9B0B3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3D09B50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387310B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3155B67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4044E51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2E158D9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0BE63C8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1AAC593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60E659F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016E05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08A8D0C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4F5F43F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14BEDC5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7917270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08403CD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43B1417A" w14:textId="77777777" w:rsidTr="00595060">
        <w:trPr>
          <w:trHeight w:val="268"/>
        </w:trPr>
        <w:tc>
          <w:tcPr>
            <w:tcW w:w="702" w:type="dxa"/>
            <w:gridSpan w:val="2"/>
            <w:tcBorders>
              <w:top w:val="nil"/>
              <w:left w:val="nil"/>
              <w:bottom w:val="nil"/>
              <w:right w:val="nil"/>
            </w:tcBorders>
            <w:shd w:val="clear" w:color="auto" w:fill="auto"/>
            <w:vAlign w:val="bottom"/>
            <w:hideMark/>
          </w:tcPr>
          <w:p w14:paraId="2A90D0C0"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10A5270D"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2AD7D446"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34F73DE6"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3.</w:t>
            </w:r>
          </w:p>
        </w:tc>
        <w:tc>
          <w:tcPr>
            <w:tcW w:w="3258" w:type="dxa"/>
            <w:gridSpan w:val="2"/>
            <w:tcBorders>
              <w:top w:val="nil"/>
              <w:left w:val="nil"/>
              <w:bottom w:val="single" w:sz="8" w:space="0" w:color="auto"/>
              <w:right w:val="single" w:sz="8" w:space="0" w:color="auto"/>
            </w:tcBorders>
            <w:shd w:val="clear" w:color="auto" w:fill="auto"/>
            <w:vAlign w:val="center"/>
            <w:hideMark/>
          </w:tcPr>
          <w:p w14:paraId="0C0E6A70"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Reconciling the debt stock with the creditors</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201601E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7541C7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40D4CC6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3EB1AC8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4135C570" w14:textId="77777777" w:rsidR="00C93723" w:rsidRPr="00D30847" w:rsidRDefault="00C93723" w:rsidP="00C93723">
            <w:pPr>
              <w:spacing w:after="0" w:line="240" w:lineRule="auto"/>
              <w:rPr>
                <w:rFonts w:eastAsia="Times New Roman" w:cs="Calibri"/>
                <w:color w:val="000000"/>
                <w:sz w:val="16"/>
                <w:szCs w:val="16"/>
                <w:lang w:val="en-GB"/>
              </w:rPr>
            </w:pPr>
            <w:r w:rsidRPr="00D30847">
              <w:rPr>
                <w:rFonts w:eastAsia="Times New Roman" w:cs="Calibri"/>
                <w:color w:val="000000"/>
                <w:sz w:val="16"/>
                <w:szCs w:val="16"/>
                <w:lang w:val="en-GB"/>
              </w:rPr>
              <w:t> </w:t>
            </w:r>
          </w:p>
        </w:tc>
        <w:tc>
          <w:tcPr>
            <w:tcW w:w="612" w:type="dxa"/>
            <w:gridSpan w:val="3"/>
            <w:tcBorders>
              <w:top w:val="nil"/>
              <w:left w:val="nil"/>
              <w:bottom w:val="single" w:sz="8" w:space="0" w:color="auto"/>
              <w:right w:val="single" w:sz="8" w:space="0" w:color="auto"/>
            </w:tcBorders>
            <w:shd w:val="clear" w:color="auto" w:fill="auto"/>
            <w:vAlign w:val="center"/>
            <w:hideMark/>
          </w:tcPr>
          <w:p w14:paraId="46E42B36" w14:textId="77777777" w:rsidR="00C93723" w:rsidRPr="00D30847" w:rsidRDefault="00C93723" w:rsidP="00C93723">
            <w:pPr>
              <w:spacing w:after="0" w:line="240" w:lineRule="auto"/>
              <w:rPr>
                <w:rFonts w:eastAsia="Times New Roman" w:cs="Calibri"/>
                <w:color w:val="000000"/>
                <w:sz w:val="16"/>
                <w:szCs w:val="16"/>
                <w:lang w:val="en-GB"/>
              </w:rPr>
            </w:pPr>
            <w:r w:rsidRPr="00D30847">
              <w:rPr>
                <w:rFonts w:eastAsia="Times New Roman" w:cs="Calibri"/>
                <w:color w:val="000000"/>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3A5A8212" w14:textId="77777777" w:rsidR="00C93723" w:rsidRPr="00D30847" w:rsidRDefault="00C93723" w:rsidP="00C93723">
            <w:pPr>
              <w:spacing w:after="0" w:line="240" w:lineRule="auto"/>
              <w:rPr>
                <w:rFonts w:eastAsia="Times New Roman" w:cs="Calibri"/>
                <w:color w:val="000000"/>
                <w:sz w:val="16"/>
                <w:szCs w:val="16"/>
                <w:lang w:val="en-GB"/>
              </w:rPr>
            </w:pPr>
            <w:r w:rsidRPr="00D30847">
              <w:rPr>
                <w:rFonts w:eastAsia="Times New Roman" w:cs="Calibri"/>
                <w:color w:val="000000"/>
                <w:sz w:val="16"/>
                <w:szCs w:val="16"/>
                <w:lang w:val="en-GB"/>
              </w:rPr>
              <w:t> </w:t>
            </w:r>
          </w:p>
        </w:tc>
        <w:tc>
          <w:tcPr>
            <w:tcW w:w="540" w:type="dxa"/>
            <w:gridSpan w:val="3"/>
            <w:tcBorders>
              <w:top w:val="nil"/>
              <w:left w:val="nil"/>
              <w:bottom w:val="single" w:sz="8" w:space="0" w:color="auto"/>
              <w:right w:val="single" w:sz="8" w:space="0" w:color="auto"/>
            </w:tcBorders>
            <w:shd w:val="clear" w:color="000000" w:fill="FFFFFF"/>
            <w:vAlign w:val="center"/>
            <w:hideMark/>
          </w:tcPr>
          <w:p w14:paraId="3D3CC302" w14:textId="77777777" w:rsidR="00C93723" w:rsidRPr="00D30847" w:rsidRDefault="00C93723" w:rsidP="00C93723">
            <w:pPr>
              <w:spacing w:after="0" w:line="240" w:lineRule="auto"/>
              <w:jc w:val="center"/>
              <w:rPr>
                <w:rFonts w:eastAsia="Times New Roman" w:cs="Calibri"/>
                <w:color w:val="000000"/>
                <w:sz w:val="16"/>
                <w:szCs w:val="16"/>
                <w:lang w:val="en-GB"/>
              </w:rPr>
            </w:pPr>
            <w:r w:rsidRPr="00D30847">
              <w:rPr>
                <w:rFonts w:eastAsia="Times New Roman" w:cs="Calibri"/>
                <w:color w:val="000000"/>
                <w:sz w:val="16"/>
                <w:szCs w:val="16"/>
                <w:lang w:val="en-GB"/>
              </w:rPr>
              <w:t> </w:t>
            </w:r>
          </w:p>
        </w:tc>
        <w:tc>
          <w:tcPr>
            <w:tcW w:w="450" w:type="dxa"/>
            <w:gridSpan w:val="4"/>
            <w:tcBorders>
              <w:top w:val="nil"/>
              <w:left w:val="nil"/>
              <w:bottom w:val="single" w:sz="8" w:space="0" w:color="auto"/>
              <w:right w:val="single" w:sz="8" w:space="0" w:color="auto"/>
            </w:tcBorders>
            <w:shd w:val="clear" w:color="000000" w:fill="FFFFFF"/>
            <w:vAlign w:val="center"/>
            <w:hideMark/>
          </w:tcPr>
          <w:p w14:paraId="5F11EEB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FFFFFF"/>
            <w:vAlign w:val="center"/>
            <w:hideMark/>
          </w:tcPr>
          <w:p w14:paraId="4E004EF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FFFFFF"/>
            <w:vAlign w:val="center"/>
            <w:hideMark/>
          </w:tcPr>
          <w:p w14:paraId="7CE1CA5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FFFFFF"/>
            <w:vAlign w:val="center"/>
            <w:hideMark/>
          </w:tcPr>
          <w:p w14:paraId="7D1D6F4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FFFFFF"/>
            <w:vAlign w:val="center"/>
            <w:hideMark/>
          </w:tcPr>
          <w:p w14:paraId="6D43162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FFFFFF"/>
            <w:vAlign w:val="center"/>
            <w:hideMark/>
          </w:tcPr>
          <w:p w14:paraId="41B6309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FFFFFF"/>
            <w:vAlign w:val="center"/>
            <w:hideMark/>
          </w:tcPr>
          <w:p w14:paraId="0572B08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FFFFFF"/>
            <w:vAlign w:val="center"/>
            <w:hideMark/>
          </w:tcPr>
          <w:p w14:paraId="1BEBE4B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2DACCF5A" w14:textId="77777777" w:rsidTr="00595060">
        <w:trPr>
          <w:trHeight w:val="315"/>
        </w:trPr>
        <w:tc>
          <w:tcPr>
            <w:tcW w:w="702" w:type="dxa"/>
            <w:gridSpan w:val="2"/>
            <w:tcBorders>
              <w:top w:val="nil"/>
              <w:left w:val="nil"/>
              <w:bottom w:val="nil"/>
              <w:right w:val="nil"/>
            </w:tcBorders>
            <w:shd w:val="clear" w:color="000000" w:fill="6FE7FF"/>
            <w:vAlign w:val="center"/>
            <w:hideMark/>
          </w:tcPr>
          <w:p w14:paraId="0229C3B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1746B1A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0E1B246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2.</w:t>
            </w:r>
          </w:p>
        </w:tc>
        <w:tc>
          <w:tcPr>
            <w:tcW w:w="1770" w:type="dxa"/>
            <w:gridSpan w:val="2"/>
            <w:tcBorders>
              <w:top w:val="nil"/>
              <w:left w:val="nil"/>
              <w:bottom w:val="single" w:sz="8" w:space="0" w:color="auto"/>
              <w:right w:val="nil"/>
            </w:tcBorders>
            <w:shd w:val="clear" w:color="000000" w:fill="6FE7FF"/>
            <w:vAlign w:val="center"/>
            <w:hideMark/>
          </w:tcPr>
          <w:p w14:paraId="425032C6" w14:textId="77777777" w:rsidR="00C93723" w:rsidRPr="00D30847" w:rsidRDefault="00C93723" w:rsidP="00C93723">
            <w:pPr>
              <w:spacing w:after="0" w:line="240" w:lineRule="auto"/>
              <w:rPr>
                <w:rFonts w:eastAsia="Times New Roman" w:cs="Calibri"/>
                <w:b/>
                <w:bCs/>
                <w:color w:val="FF0000"/>
                <w:sz w:val="16"/>
                <w:szCs w:val="16"/>
                <w:lang w:val="en-GB"/>
              </w:rPr>
            </w:pPr>
            <w:r w:rsidRPr="00D30847">
              <w:rPr>
                <w:rFonts w:eastAsia="Times New Roman" w:cs="Calibri"/>
                <w:b/>
                <w:bCs/>
                <w:color w:val="FF0000"/>
                <w:sz w:val="16"/>
                <w:szCs w:val="16"/>
                <w:lang w:val="en-GB"/>
              </w:rPr>
              <w:t> </w:t>
            </w:r>
          </w:p>
        </w:tc>
        <w:tc>
          <w:tcPr>
            <w:tcW w:w="3258" w:type="dxa"/>
            <w:gridSpan w:val="2"/>
            <w:tcBorders>
              <w:top w:val="nil"/>
              <w:left w:val="nil"/>
              <w:bottom w:val="single" w:sz="8" w:space="0" w:color="auto"/>
              <w:right w:val="nil"/>
            </w:tcBorders>
            <w:shd w:val="clear" w:color="000000" w:fill="6FE7FF"/>
            <w:vAlign w:val="center"/>
            <w:hideMark/>
          </w:tcPr>
          <w:p w14:paraId="19B8A7F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Increasing public debt transparency</w:t>
            </w:r>
          </w:p>
        </w:tc>
        <w:tc>
          <w:tcPr>
            <w:tcW w:w="522" w:type="dxa"/>
            <w:gridSpan w:val="2"/>
            <w:tcBorders>
              <w:top w:val="nil"/>
              <w:left w:val="nil"/>
              <w:bottom w:val="single" w:sz="8" w:space="0" w:color="auto"/>
              <w:right w:val="nil"/>
            </w:tcBorders>
            <w:shd w:val="clear" w:color="000000" w:fill="6FE7FF"/>
            <w:vAlign w:val="center"/>
            <w:hideMark/>
          </w:tcPr>
          <w:p w14:paraId="5C10F7B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11FAFAE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8" w:space="0" w:color="auto"/>
              <w:right w:val="nil"/>
            </w:tcBorders>
            <w:shd w:val="clear" w:color="000000" w:fill="6FE7FF"/>
            <w:vAlign w:val="center"/>
            <w:hideMark/>
          </w:tcPr>
          <w:p w14:paraId="6478FD5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109C932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61C62C1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8" w:space="0" w:color="auto"/>
              <w:right w:val="nil"/>
            </w:tcBorders>
            <w:shd w:val="clear" w:color="000000" w:fill="6FE7FF"/>
            <w:vAlign w:val="center"/>
            <w:hideMark/>
          </w:tcPr>
          <w:p w14:paraId="0A97326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6576239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003F2C5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12950E6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7B5738F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5C328F3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8" w:space="0" w:color="auto"/>
              <w:right w:val="nil"/>
            </w:tcBorders>
            <w:shd w:val="clear" w:color="000000" w:fill="6FE7FF"/>
            <w:vAlign w:val="center"/>
            <w:hideMark/>
          </w:tcPr>
          <w:p w14:paraId="1AAC474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5E367D8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6B797F2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2F0ED07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8" w:space="0" w:color="auto"/>
              <w:right w:val="nil"/>
            </w:tcBorders>
            <w:shd w:val="clear" w:color="000000" w:fill="6FE7FF"/>
            <w:vAlign w:val="center"/>
            <w:hideMark/>
          </w:tcPr>
          <w:p w14:paraId="6660E13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942045" w:rsidRPr="00D30847" w14:paraId="041216C5" w14:textId="77777777" w:rsidTr="00595060">
        <w:trPr>
          <w:trHeight w:val="448"/>
        </w:trPr>
        <w:tc>
          <w:tcPr>
            <w:tcW w:w="702" w:type="dxa"/>
            <w:gridSpan w:val="2"/>
            <w:tcBorders>
              <w:top w:val="nil"/>
              <w:left w:val="nil"/>
              <w:bottom w:val="nil"/>
              <w:right w:val="nil"/>
            </w:tcBorders>
            <w:shd w:val="clear" w:color="auto" w:fill="auto"/>
            <w:vAlign w:val="bottom"/>
            <w:hideMark/>
          </w:tcPr>
          <w:p w14:paraId="599B7767" w14:textId="77777777" w:rsidR="00942045" w:rsidRPr="00D30847" w:rsidRDefault="00942045" w:rsidP="00942045">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3C407DBD"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112494E7"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43712235"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nil"/>
              <w:left w:val="nil"/>
              <w:bottom w:val="single" w:sz="8" w:space="0" w:color="auto"/>
              <w:right w:val="single" w:sz="8" w:space="0" w:color="auto"/>
            </w:tcBorders>
            <w:shd w:val="clear" w:color="auto" w:fill="auto"/>
            <w:vAlign w:val="center"/>
            <w:hideMark/>
          </w:tcPr>
          <w:p w14:paraId="663A1F3F" w14:textId="36A5ACA2" w:rsidR="00942045" w:rsidRPr="00D30847" w:rsidRDefault="007C5230" w:rsidP="00942045">
            <w:pPr>
              <w:spacing w:after="0" w:line="240" w:lineRule="auto"/>
              <w:rPr>
                <w:rFonts w:eastAsia="Times New Roman" w:cs="Calibri"/>
                <w:sz w:val="16"/>
                <w:szCs w:val="16"/>
                <w:lang w:val="en-GB"/>
              </w:rPr>
            </w:pPr>
            <w:r w:rsidRPr="00D30847">
              <w:rPr>
                <w:rFonts w:eastAsia="Times New Roman" w:cs="Calibri"/>
                <w:sz w:val="16"/>
                <w:szCs w:val="16"/>
                <w:lang w:val="en-GB"/>
              </w:rPr>
              <w:t>Modifications and amendments to Public Debt Law to the end of aligning the debt definition with the Organic Budget Law</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5ECDA57A" w14:textId="45587F58"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2522140" w14:textId="5ABA0CEC"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73D24540" w14:textId="2F053CF9"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64B7A082" w14:textId="77917A56"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3958998" w14:textId="163ACDED"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4ACC7B69" w14:textId="776B4582"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21A75A44" w14:textId="3528AE3C"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2C3EA47E" w14:textId="43E1405E"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FFFFFF"/>
            <w:vAlign w:val="center"/>
            <w:hideMark/>
          </w:tcPr>
          <w:p w14:paraId="7A393BAE"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FFFFFF"/>
            <w:vAlign w:val="center"/>
            <w:hideMark/>
          </w:tcPr>
          <w:p w14:paraId="00B36E1D"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FFFFFF"/>
            <w:vAlign w:val="center"/>
            <w:hideMark/>
          </w:tcPr>
          <w:p w14:paraId="7E93F139"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FFFFFF"/>
            <w:vAlign w:val="center"/>
            <w:hideMark/>
          </w:tcPr>
          <w:p w14:paraId="0C9A1BBC"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FFFFFF"/>
            <w:vAlign w:val="center"/>
            <w:hideMark/>
          </w:tcPr>
          <w:p w14:paraId="0F26BC43"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FFFFFF"/>
            <w:vAlign w:val="center"/>
            <w:hideMark/>
          </w:tcPr>
          <w:p w14:paraId="5C111C52"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FFFFFF"/>
            <w:vAlign w:val="center"/>
            <w:hideMark/>
          </w:tcPr>
          <w:p w14:paraId="177868A8"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FFFFFF"/>
            <w:vAlign w:val="center"/>
            <w:hideMark/>
          </w:tcPr>
          <w:p w14:paraId="0153B9F8"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071ACBE0" w14:textId="77777777" w:rsidTr="00595060">
        <w:trPr>
          <w:trHeight w:val="315"/>
        </w:trPr>
        <w:tc>
          <w:tcPr>
            <w:tcW w:w="702" w:type="dxa"/>
            <w:gridSpan w:val="2"/>
            <w:tcBorders>
              <w:top w:val="nil"/>
              <w:left w:val="nil"/>
              <w:bottom w:val="nil"/>
              <w:right w:val="nil"/>
            </w:tcBorders>
            <w:shd w:val="clear" w:color="auto" w:fill="auto"/>
            <w:vAlign w:val="bottom"/>
            <w:hideMark/>
          </w:tcPr>
          <w:p w14:paraId="45003578"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341020E2"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69CA41FC"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0F52501E"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63D85421"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xml:space="preserve">Incorporating debt data in the Budget document </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7D206FE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6071925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0007C7A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4584414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DC8AC7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168E164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63F92D6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694FCE8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35B3633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3DF2221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D121EB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0B3187A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062E19D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31A11BF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0CBB106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7F70027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942045" w:rsidRPr="00D30847" w14:paraId="39C3467D" w14:textId="77777777" w:rsidTr="00595060">
        <w:trPr>
          <w:trHeight w:val="193"/>
        </w:trPr>
        <w:tc>
          <w:tcPr>
            <w:tcW w:w="702" w:type="dxa"/>
            <w:gridSpan w:val="2"/>
            <w:tcBorders>
              <w:top w:val="nil"/>
              <w:left w:val="nil"/>
              <w:bottom w:val="nil"/>
              <w:right w:val="nil"/>
            </w:tcBorders>
            <w:shd w:val="clear" w:color="auto" w:fill="auto"/>
            <w:vAlign w:val="bottom"/>
            <w:hideMark/>
          </w:tcPr>
          <w:p w14:paraId="2A0BF89D" w14:textId="77777777" w:rsidR="00942045" w:rsidRPr="00D30847" w:rsidRDefault="00942045" w:rsidP="00942045">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284D6745"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3C7F7970"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0162A072"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3.</w:t>
            </w:r>
          </w:p>
        </w:tc>
        <w:tc>
          <w:tcPr>
            <w:tcW w:w="3258" w:type="dxa"/>
            <w:gridSpan w:val="2"/>
            <w:tcBorders>
              <w:top w:val="nil"/>
              <w:left w:val="nil"/>
              <w:bottom w:val="single" w:sz="8" w:space="0" w:color="auto"/>
              <w:right w:val="single" w:sz="8" w:space="0" w:color="auto"/>
            </w:tcBorders>
            <w:shd w:val="clear" w:color="auto" w:fill="auto"/>
            <w:vAlign w:val="center"/>
            <w:hideMark/>
          </w:tcPr>
          <w:p w14:paraId="3FB1F853" w14:textId="67E009E8" w:rsidR="00942045" w:rsidRPr="00D30847" w:rsidRDefault="007C5230" w:rsidP="00942045">
            <w:pPr>
              <w:spacing w:after="0" w:line="240" w:lineRule="auto"/>
              <w:rPr>
                <w:rFonts w:eastAsia="Times New Roman" w:cs="Calibri"/>
                <w:sz w:val="16"/>
                <w:szCs w:val="16"/>
                <w:lang w:val="en-GB"/>
              </w:rPr>
            </w:pPr>
            <w:r w:rsidRPr="00D30847">
              <w:rPr>
                <w:rFonts w:eastAsia="Times New Roman" w:cs="Calibri"/>
                <w:sz w:val="16"/>
                <w:szCs w:val="16"/>
                <w:lang w:val="en-GB"/>
              </w:rPr>
              <w:t>Preparation Annual Borrowing Plan</w:t>
            </w:r>
          </w:p>
        </w:tc>
        <w:tc>
          <w:tcPr>
            <w:tcW w:w="522" w:type="dxa"/>
            <w:gridSpan w:val="2"/>
            <w:tcBorders>
              <w:top w:val="nil"/>
              <w:left w:val="nil"/>
              <w:bottom w:val="single" w:sz="8" w:space="0" w:color="auto"/>
              <w:right w:val="single" w:sz="8" w:space="0" w:color="auto"/>
            </w:tcBorders>
            <w:shd w:val="clear" w:color="000000" w:fill="FFFFFF"/>
            <w:vAlign w:val="center"/>
            <w:hideMark/>
          </w:tcPr>
          <w:p w14:paraId="299069DD"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000000" w:fill="FFFFFF"/>
            <w:vAlign w:val="center"/>
            <w:hideMark/>
          </w:tcPr>
          <w:p w14:paraId="2439FCD5"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82" w:type="dxa"/>
            <w:gridSpan w:val="3"/>
            <w:tcBorders>
              <w:top w:val="nil"/>
              <w:left w:val="nil"/>
              <w:bottom w:val="single" w:sz="8" w:space="0" w:color="auto"/>
              <w:right w:val="single" w:sz="8" w:space="0" w:color="auto"/>
            </w:tcBorders>
            <w:shd w:val="clear" w:color="000000" w:fill="FFFFFF"/>
            <w:vAlign w:val="center"/>
            <w:hideMark/>
          </w:tcPr>
          <w:p w14:paraId="5FA53E09"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80" w:type="dxa"/>
            <w:gridSpan w:val="3"/>
            <w:tcBorders>
              <w:top w:val="nil"/>
              <w:left w:val="nil"/>
              <w:bottom w:val="single" w:sz="8" w:space="0" w:color="auto"/>
              <w:right w:val="single" w:sz="8" w:space="0" w:color="auto"/>
            </w:tcBorders>
            <w:shd w:val="clear" w:color="000000" w:fill="FFFFFF"/>
            <w:vAlign w:val="center"/>
            <w:hideMark/>
          </w:tcPr>
          <w:p w14:paraId="6149C41F"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65F5C5D5"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12" w:type="dxa"/>
            <w:gridSpan w:val="3"/>
            <w:tcBorders>
              <w:top w:val="nil"/>
              <w:left w:val="nil"/>
              <w:bottom w:val="single" w:sz="8" w:space="0" w:color="auto"/>
              <w:right w:val="single" w:sz="8" w:space="0" w:color="auto"/>
            </w:tcBorders>
            <w:shd w:val="clear" w:color="auto" w:fill="0000FF"/>
            <w:vAlign w:val="center"/>
            <w:hideMark/>
          </w:tcPr>
          <w:p w14:paraId="20B35DCA"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1C21C6F5"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40" w:type="dxa"/>
            <w:gridSpan w:val="3"/>
            <w:tcBorders>
              <w:top w:val="nil"/>
              <w:left w:val="nil"/>
              <w:bottom w:val="single" w:sz="8" w:space="0" w:color="auto"/>
              <w:right w:val="single" w:sz="8" w:space="0" w:color="auto"/>
            </w:tcBorders>
            <w:shd w:val="clear" w:color="auto" w:fill="0000FF"/>
            <w:vAlign w:val="center"/>
            <w:hideMark/>
          </w:tcPr>
          <w:p w14:paraId="56DA5DCC"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124D4F2D" w14:textId="7E676EC0"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3AE332B0" w14:textId="573E7176"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391C4C66" w14:textId="64CC3EF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0DABC351" w14:textId="1B492C7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1170C13C" w14:textId="44363334"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2DB1E73A" w14:textId="20A2DD34"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1D005A0A" w14:textId="3EFB13C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318AED6D" w14:textId="5333C119"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942045" w:rsidRPr="00D30847" w14:paraId="062B3A85" w14:textId="77777777" w:rsidTr="00595060">
        <w:trPr>
          <w:trHeight w:val="315"/>
        </w:trPr>
        <w:tc>
          <w:tcPr>
            <w:tcW w:w="702" w:type="dxa"/>
            <w:gridSpan w:val="2"/>
            <w:tcBorders>
              <w:top w:val="nil"/>
              <w:left w:val="nil"/>
              <w:bottom w:val="nil"/>
              <w:right w:val="nil"/>
            </w:tcBorders>
            <w:shd w:val="clear" w:color="auto" w:fill="auto"/>
            <w:vAlign w:val="bottom"/>
            <w:hideMark/>
          </w:tcPr>
          <w:p w14:paraId="137405BA" w14:textId="77777777" w:rsidR="00942045" w:rsidRPr="00D30847" w:rsidRDefault="00942045" w:rsidP="00942045">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650C5BA7"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26250085"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7491A28A"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4.</w:t>
            </w:r>
          </w:p>
        </w:tc>
        <w:tc>
          <w:tcPr>
            <w:tcW w:w="3258" w:type="dxa"/>
            <w:gridSpan w:val="2"/>
            <w:tcBorders>
              <w:top w:val="nil"/>
              <w:left w:val="nil"/>
              <w:bottom w:val="single" w:sz="8" w:space="0" w:color="auto"/>
              <w:right w:val="single" w:sz="8" w:space="0" w:color="auto"/>
            </w:tcBorders>
            <w:shd w:val="clear" w:color="auto" w:fill="auto"/>
            <w:vAlign w:val="center"/>
            <w:hideMark/>
          </w:tcPr>
          <w:p w14:paraId="12157921"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Improving Debt Reporting</w:t>
            </w:r>
          </w:p>
        </w:tc>
        <w:tc>
          <w:tcPr>
            <w:tcW w:w="522" w:type="dxa"/>
            <w:gridSpan w:val="2"/>
            <w:tcBorders>
              <w:top w:val="nil"/>
              <w:left w:val="nil"/>
              <w:bottom w:val="single" w:sz="8" w:space="0" w:color="auto"/>
              <w:right w:val="single" w:sz="8" w:space="0" w:color="auto"/>
            </w:tcBorders>
            <w:shd w:val="clear" w:color="000000" w:fill="FFFFFF"/>
            <w:vAlign w:val="center"/>
            <w:hideMark/>
          </w:tcPr>
          <w:p w14:paraId="5CD4972A"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FFFFFF"/>
            <w:vAlign w:val="center"/>
            <w:hideMark/>
          </w:tcPr>
          <w:p w14:paraId="62B81E97"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FFFFFF"/>
            <w:vAlign w:val="center"/>
            <w:hideMark/>
          </w:tcPr>
          <w:p w14:paraId="4C7A7C1E"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FFFFFF"/>
            <w:vAlign w:val="center"/>
            <w:hideMark/>
          </w:tcPr>
          <w:p w14:paraId="11F86F01"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02C7469E"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auto" w:fill="0000FF"/>
            <w:vAlign w:val="center"/>
            <w:hideMark/>
          </w:tcPr>
          <w:p w14:paraId="31ECD94A"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6658C712"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auto" w:fill="0000FF"/>
            <w:vAlign w:val="center"/>
            <w:hideMark/>
          </w:tcPr>
          <w:p w14:paraId="76D9F08D"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21EE4A75" w14:textId="4C351FA5"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4DAB4072" w14:textId="3CCDCAB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3DD43C5E" w14:textId="51506BF0"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121CABA8" w14:textId="4A7685BC"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70F206C6" w14:textId="725C4892"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0FFAC35B" w14:textId="4734A7BD"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2225436A" w14:textId="739B9990"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0A980CAF" w14:textId="605ED199"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74A3FBE2" w14:textId="77777777" w:rsidTr="00595060">
        <w:trPr>
          <w:trHeight w:val="315"/>
        </w:trPr>
        <w:tc>
          <w:tcPr>
            <w:tcW w:w="702" w:type="dxa"/>
            <w:gridSpan w:val="2"/>
            <w:tcBorders>
              <w:top w:val="nil"/>
              <w:left w:val="nil"/>
              <w:bottom w:val="nil"/>
              <w:right w:val="nil"/>
            </w:tcBorders>
            <w:shd w:val="clear" w:color="000000" w:fill="6FE7FF"/>
            <w:vAlign w:val="center"/>
            <w:hideMark/>
          </w:tcPr>
          <w:p w14:paraId="4370A27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5316424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17FA098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3.</w:t>
            </w:r>
          </w:p>
        </w:tc>
        <w:tc>
          <w:tcPr>
            <w:tcW w:w="1770" w:type="dxa"/>
            <w:gridSpan w:val="2"/>
            <w:tcBorders>
              <w:top w:val="nil"/>
              <w:left w:val="nil"/>
              <w:bottom w:val="single" w:sz="8" w:space="0" w:color="auto"/>
              <w:right w:val="nil"/>
            </w:tcBorders>
            <w:shd w:val="clear" w:color="000000" w:fill="6FE7FF"/>
            <w:vAlign w:val="center"/>
            <w:hideMark/>
          </w:tcPr>
          <w:p w14:paraId="6E4BF7B9" w14:textId="77777777" w:rsidR="00C93723" w:rsidRPr="00D30847" w:rsidRDefault="00C93723" w:rsidP="00C93723">
            <w:pPr>
              <w:spacing w:after="0" w:line="240" w:lineRule="auto"/>
              <w:rPr>
                <w:rFonts w:eastAsia="Times New Roman" w:cs="Calibri"/>
                <w:b/>
                <w:bCs/>
                <w:color w:val="FF0000"/>
                <w:sz w:val="16"/>
                <w:szCs w:val="16"/>
                <w:lang w:val="en-GB"/>
              </w:rPr>
            </w:pPr>
            <w:r w:rsidRPr="00D30847">
              <w:rPr>
                <w:rFonts w:eastAsia="Times New Roman" w:cs="Calibri"/>
                <w:b/>
                <w:bCs/>
                <w:color w:val="FF0000"/>
                <w:sz w:val="16"/>
                <w:szCs w:val="16"/>
                <w:lang w:val="en-GB"/>
              </w:rPr>
              <w:t> </w:t>
            </w:r>
          </w:p>
        </w:tc>
        <w:tc>
          <w:tcPr>
            <w:tcW w:w="3258" w:type="dxa"/>
            <w:gridSpan w:val="2"/>
            <w:tcBorders>
              <w:top w:val="nil"/>
              <w:left w:val="nil"/>
              <w:bottom w:val="single" w:sz="8" w:space="0" w:color="auto"/>
              <w:right w:val="nil"/>
            </w:tcBorders>
            <w:shd w:val="clear" w:color="000000" w:fill="6FE7FF"/>
            <w:vAlign w:val="center"/>
            <w:hideMark/>
          </w:tcPr>
          <w:p w14:paraId="736B6E3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Introduction new debt instruments</w:t>
            </w:r>
          </w:p>
        </w:tc>
        <w:tc>
          <w:tcPr>
            <w:tcW w:w="522" w:type="dxa"/>
            <w:gridSpan w:val="2"/>
            <w:tcBorders>
              <w:top w:val="nil"/>
              <w:left w:val="nil"/>
              <w:bottom w:val="single" w:sz="8" w:space="0" w:color="auto"/>
              <w:right w:val="nil"/>
            </w:tcBorders>
            <w:shd w:val="clear" w:color="000000" w:fill="6FE7FF"/>
            <w:vAlign w:val="center"/>
            <w:hideMark/>
          </w:tcPr>
          <w:p w14:paraId="7B6F1C8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70A7237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8" w:space="0" w:color="auto"/>
              <w:right w:val="nil"/>
            </w:tcBorders>
            <w:shd w:val="clear" w:color="000000" w:fill="6FE7FF"/>
            <w:vAlign w:val="center"/>
            <w:hideMark/>
          </w:tcPr>
          <w:p w14:paraId="570868C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78A80DA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621FBEF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8" w:space="0" w:color="auto"/>
              <w:right w:val="nil"/>
            </w:tcBorders>
            <w:shd w:val="clear" w:color="000000" w:fill="6FE7FF"/>
            <w:vAlign w:val="center"/>
            <w:hideMark/>
          </w:tcPr>
          <w:p w14:paraId="76ECFB4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7C713A9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1EE2BF9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7BDD48B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733A8EA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287FB3A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8" w:space="0" w:color="auto"/>
              <w:right w:val="nil"/>
            </w:tcBorders>
            <w:shd w:val="clear" w:color="000000" w:fill="6FE7FF"/>
            <w:vAlign w:val="center"/>
            <w:hideMark/>
          </w:tcPr>
          <w:p w14:paraId="461BC17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31D8F99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6BEC2B7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5E4D2A2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8" w:space="0" w:color="auto"/>
              <w:right w:val="nil"/>
            </w:tcBorders>
            <w:shd w:val="clear" w:color="000000" w:fill="6FE7FF"/>
            <w:vAlign w:val="center"/>
            <w:hideMark/>
          </w:tcPr>
          <w:p w14:paraId="51563E6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49D15AFD" w14:textId="77777777" w:rsidTr="00595060">
        <w:trPr>
          <w:trHeight w:val="232"/>
        </w:trPr>
        <w:tc>
          <w:tcPr>
            <w:tcW w:w="702" w:type="dxa"/>
            <w:gridSpan w:val="2"/>
            <w:tcBorders>
              <w:top w:val="nil"/>
              <w:left w:val="nil"/>
              <w:bottom w:val="nil"/>
              <w:right w:val="nil"/>
            </w:tcBorders>
            <w:shd w:val="clear" w:color="auto" w:fill="auto"/>
            <w:vAlign w:val="bottom"/>
            <w:hideMark/>
          </w:tcPr>
          <w:p w14:paraId="5202F57A"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56902435"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72C9EBC1"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47663789"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nil"/>
              <w:left w:val="nil"/>
              <w:bottom w:val="single" w:sz="8" w:space="0" w:color="auto"/>
              <w:right w:val="single" w:sz="8" w:space="0" w:color="auto"/>
            </w:tcBorders>
            <w:shd w:val="clear" w:color="auto" w:fill="auto"/>
            <w:vAlign w:val="center"/>
            <w:hideMark/>
          </w:tcPr>
          <w:p w14:paraId="376D5651" w14:textId="6F7940CB" w:rsidR="00C93723" w:rsidRPr="00D30847" w:rsidRDefault="001733BE" w:rsidP="00C93723">
            <w:pPr>
              <w:spacing w:after="0" w:line="240" w:lineRule="auto"/>
              <w:rPr>
                <w:rFonts w:eastAsia="Times New Roman" w:cs="Calibri"/>
                <w:sz w:val="16"/>
                <w:szCs w:val="16"/>
                <w:lang w:val="en-GB"/>
              </w:rPr>
            </w:pPr>
            <w:r w:rsidRPr="00D30847">
              <w:rPr>
                <w:rFonts w:eastAsia="Times New Roman" w:cs="Calibri"/>
                <w:sz w:val="16"/>
                <w:szCs w:val="16"/>
                <w:lang w:val="en-GB"/>
              </w:rPr>
              <w:t xml:space="preserve">Issuing of Development bond for citizens </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7895293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D5AB08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6B3399B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359BE2E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385DB72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7E4916B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54F9040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701C7E7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102DB4F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44833D1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9CC913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37ED069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1B2192B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7206262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70F1D44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086946E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28C42BC5" w14:textId="77777777" w:rsidTr="00B84551">
        <w:trPr>
          <w:trHeight w:val="196"/>
        </w:trPr>
        <w:tc>
          <w:tcPr>
            <w:tcW w:w="15210" w:type="dxa"/>
            <w:gridSpan w:val="55"/>
            <w:tcBorders>
              <w:top w:val="nil"/>
              <w:left w:val="nil"/>
              <w:bottom w:val="nil"/>
              <w:right w:val="nil"/>
            </w:tcBorders>
            <w:shd w:val="clear" w:color="000000" w:fill="33CCFF"/>
            <w:vAlign w:val="center"/>
            <w:hideMark/>
          </w:tcPr>
          <w:p w14:paraId="1155EF2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Pillar II - Revenue Mobilisation</w:t>
            </w:r>
          </w:p>
        </w:tc>
      </w:tr>
      <w:tr w:rsidR="00C93723" w:rsidRPr="00D30847" w14:paraId="00B8362C" w14:textId="77777777" w:rsidTr="00B84551">
        <w:trPr>
          <w:trHeight w:val="300"/>
        </w:trPr>
        <w:tc>
          <w:tcPr>
            <w:tcW w:w="702" w:type="dxa"/>
            <w:gridSpan w:val="2"/>
            <w:tcBorders>
              <w:top w:val="nil"/>
              <w:left w:val="nil"/>
              <w:bottom w:val="nil"/>
              <w:right w:val="nil"/>
            </w:tcBorders>
            <w:shd w:val="clear" w:color="000000" w:fill="00FF00"/>
            <w:vAlign w:val="center"/>
            <w:hideMark/>
          </w:tcPr>
          <w:p w14:paraId="08CFE96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510" w:type="dxa"/>
            <w:gridSpan w:val="6"/>
            <w:tcBorders>
              <w:top w:val="nil"/>
              <w:left w:val="nil"/>
              <w:bottom w:val="nil"/>
              <w:right w:val="nil"/>
            </w:tcBorders>
            <w:shd w:val="clear" w:color="000000" w:fill="00FF00"/>
            <w:vAlign w:val="center"/>
            <w:hideMark/>
          </w:tcPr>
          <w:p w14:paraId="2B3AD1A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xml:space="preserve"> Priority 1.</w:t>
            </w:r>
          </w:p>
        </w:tc>
        <w:tc>
          <w:tcPr>
            <w:tcW w:w="3258" w:type="dxa"/>
            <w:gridSpan w:val="2"/>
            <w:tcBorders>
              <w:top w:val="nil"/>
              <w:left w:val="nil"/>
              <w:bottom w:val="nil"/>
              <w:right w:val="nil"/>
            </w:tcBorders>
            <w:shd w:val="clear" w:color="000000" w:fill="00FF00"/>
            <w:vAlign w:val="center"/>
            <w:hideMark/>
          </w:tcPr>
          <w:p w14:paraId="0A8A432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Tax and customs policy</w:t>
            </w:r>
          </w:p>
        </w:tc>
        <w:tc>
          <w:tcPr>
            <w:tcW w:w="522" w:type="dxa"/>
            <w:gridSpan w:val="2"/>
            <w:tcBorders>
              <w:top w:val="nil"/>
              <w:left w:val="nil"/>
              <w:bottom w:val="nil"/>
              <w:right w:val="nil"/>
            </w:tcBorders>
            <w:shd w:val="clear" w:color="000000" w:fill="00FF00"/>
            <w:vAlign w:val="center"/>
            <w:hideMark/>
          </w:tcPr>
          <w:p w14:paraId="753EBAD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02934A4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00FF00"/>
            <w:vAlign w:val="center"/>
            <w:hideMark/>
          </w:tcPr>
          <w:p w14:paraId="6795AD8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00FF00"/>
            <w:vAlign w:val="center"/>
            <w:hideMark/>
          </w:tcPr>
          <w:p w14:paraId="7430150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73A3825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00FF00"/>
            <w:vAlign w:val="center"/>
            <w:hideMark/>
          </w:tcPr>
          <w:p w14:paraId="62CCF4F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6BDD7C3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00FF00"/>
            <w:vAlign w:val="center"/>
            <w:hideMark/>
          </w:tcPr>
          <w:p w14:paraId="2AF352C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53BC500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7A56CFF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6F74419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00FF00"/>
            <w:vAlign w:val="center"/>
            <w:hideMark/>
          </w:tcPr>
          <w:p w14:paraId="5A0627F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3938C37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00FF00"/>
            <w:vAlign w:val="center"/>
            <w:hideMark/>
          </w:tcPr>
          <w:p w14:paraId="51AE982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3210ACD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00FF00"/>
            <w:vAlign w:val="center"/>
            <w:hideMark/>
          </w:tcPr>
          <w:p w14:paraId="44C2D02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2FC34DF6" w14:textId="77777777" w:rsidTr="00595060">
        <w:trPr>
          <w:trHeight w:val="423"/>
        </w:trPr>
        <w:tc>
          <w:tcPr>
            <w:tcW w:w="702" w:type="dxa"/>
            <w:gridSpan w:val="2"/>
            <w:tcBorders>
              <w:top w:val="nil"/>
              <w:left w:val="nil"/>
              <w:bottom w:val="nil"/>
              <w:right w:val="nil"/>
            </w:tcBorders>
            <w:shd w:val="clear" w:color="000000" w:fill="6FE7FF"/>
            <w:vAlign w:val="center"/>
            <w:hideMark/>
          </w:tcPr>
          <w:p w14:paraId="3602ECD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29447FB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43E4A11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1.</w:t>
            </w:r>
          </w:p>
        </w:tc>
        <w:tc>
          <w:tcPr>
            <w:tcW w:w="1770" w:type="dxa"/>
            <w:gridSpan w:val="2"/>
            <w:tcBorders>
              <w:top w:val="nil"/>
              <w:left w:val="nil"/>
              <w:bottom w:val="single" w:sz="8" w:space="0" w:color="auto"/>
              <w:right w:val="nil"/>
            </w:tcBorders>
            <w:shd w:val="clear" w:color="000000" w:fill="6FE7FF"/>
            <w:vAlign w:val="center"/>
            <w:hideMark/>
          </w:tcPr>
          <w:p w14:paraId="3503E03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258" w:type="dxa"/>
            <w:gridSpan w:val="2"/>
            <w:tcBorders>
              <w:top w:val="nil"/>
              <w:left w:val="nil"/>
              <w:bottom w:val="single" w:sz="8" w:space="0" w:color="auto"/>
              <w:right w:val="nil"/>
            </w:tcBorders>
            <w:shd w:val="clear" w:color="000000" w:fill="6FE7FF"/>
            <w:vAlign w:val="center"/>
            <w:hideMark/>
          </w:tcPr>
          <w:p w14:paraId="70BE86E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Improved revenue legislation framework, harmonized with the EU acquis and best practices</w:t>
            </w:r>
          </w:p>
        </w:tc>
        <w:tc>
          <w:tcPr>
            <w:tcW w:w="522" w:type="dxa"/>
            <w:gridSpan w:val="2"/>
            <w:tcBorders>
              <w:top w:val="nil"/>
              <w:left w:val="nil"/>
              <w:bottom w:val="single" w:sz="8" w:space="0" w:color="auto"/>
              <w:right w:val="nil"/>
            </w:tcBorders>
            <w:shd w:val="clear" w:color="000000" w:fill="6FE7FF"/>
            <w:vAlign w:val="center"/>
            <w:hideMark/>
          </w:tcPr>
          <w:p w14:paraId="584A710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3AE0332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8" w:space="0" w:color="auto"/>
              <w:right w:val="nil"/>
            </w:tcBorders>
            <w:shd w:val="clear" w:color="000000" w:fill="6FE7FF"/>
            <w:vAlign w:val="center"/>
            <w:hideMark/>
          </w:tcPr>
          <w:p w14:paraId="4618205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269C642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58BBADE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8" w:space="0" w:color="auto"/>
              <w:right w:val="nil"/>
            </w:tcBorders>
            <w:shd w:val="clear" w:color="000000" w:fill="6FE7FF"/>
            <w:vAlign w:val="center"/>
            <w:hideMark/>
          </w:tcPr>
          <w:p w14:paraId="330C0A9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6FFEB36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1936000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47AC565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39788E1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60EEC27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8" w:space="0" w:color="auto"/>
              <w:right w:val="nil"/>
            </w:tcBorders>
            <w:shd w:val="clear" w:color="000000" w:fill="6FE7FF"/>
            <w:vAlign w:val="center"/>
            <w:hideMark/>
          </w:tcPr>
          <w:p w14:paraId="42A75A7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2945B3F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7216ABF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6ACF8E9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8" w:space="0" w:color="auto"/>
              <w:right w:val="nil"/>
            </w:tcBorders>
            <w:shd w:val="clear" w:color="000000" w:fill="6FE7FF"/>
            <w:vAlign w:val="center"/>
            <w:hideMark/>
          </w:tcPr>
          <w:p w14:paraId="379D7CA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942045" w:rsidRPr="00D30847" w14:paraId="7B93C542" w14:textId="77777777" w:rsidTr="00595060">
        <w:trPr>
          <w:trHeight w:val="349"/>
        </w:trPr>
        <w:tc>
          <w:tcPr>
            <w:tcW w:w="702" w:type="dxa"/>
            <w:gridSpan w:val="2"/>
            <w:tcBorders>
              <w:top w:val="nil"/>
              <w:left w:val="nil"/>
              <w:bottom w:val="nil"/>
              <w:right w:val="nil"/>
            </w:tcBorders>
            <w:shd w:val="clear" w:color="auto" w:fill="auto"/>
            <w:vAlign w:val="bottom"/>
            <w:hideMark/>
          </w:tcPr>
          <w:p w14:paraId="72929A8D" w14:textId="77777777" w:rsidR="00942045" w:rsidRPr="00D30847" w:rsidRDefault="00942045" w:rsidP="00942045">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7D3FF84C"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1A257D2A"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2B3F69FC"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nil"/>
              <w:left w:val="nil"/>
              <w:bottom w:val="single" w:sz="8" w:space="0" w:color="auto"/>
              <w:right w:val="single" w:sz="8" w:space="0" w:color="auto"/>
            </w:tcBorders>
            <w:shd w:val="clear" w:color="auto" w:fill="auto"/>
            <w:vAlign w:val="center"/>
            <w:hideMark/>
          </w:tcPr>
          <w:p w14:paraId="3AD1A517"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Gap analysis of the national tax and customs legislation (laws and by-laws) compared to the  EU legislation and best practices</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17B73435" w14:textId="14C1B2AC"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6A5A885A" w14:textId="4B04AA7E"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2E2DE041" w14:textId="5A36DA9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3100E53F" w14:textId="3B5F92D2"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A676E3E" w14:textId="2BE517BB"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3CFCF785" w14:textId="4A6AE173"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4FB08F98" w14:textId="2023D57D"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438191BC" w14:textId="3D0BC0B9"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5CC0B921" w14:textId="668B0419"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688B0D0A" w14:textId="0DB2886B"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3980219C" w14:textId="4201253E"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03962382" w14:textId="022D9D0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31DCF0CB" w14:textId="19ECD01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040E68ED" w14:textId="3E6D9D51"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37DC0305" w14:textId="3A9B886E"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0E6CB621" w14:textId="1EC9353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942045" w:rsidRPr="00D30847" w14:paraId="0EC18E78" w14:textId="77777777" w:rsidTr="00595060">
        <w:trPr>
          <w:trHeight w:val="646"/>
        </w:trPr>
        <w:tc>
          <w:tcPr>
            <w:tcW w:w="702" w:type="dxa"/>
            <w:gridSpan w:val="2"/>
            <w:tcBorders>
              <w:top w:val="nil"/>
              <w:left w:val="nil"/>
              <w:bottom w:val="nil"/>
              <w:right w:val="nil"/>
            </w:tcBorders>
            <w:shd w:val="clear" w:color="auto" w:fill="auto"/>
            <w:vAlign w:val="bottom"/>
            <w:hideMark/>
          </w:tcPr>
          <w:p w14:paraId="6F037ACC" w14:textId="77777777" w:rsidR="00942045" w:rsidRPr="00D30847" w:rsidRDefault="00942045" w:rsidP="00942045">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738ACDD5"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2F07499C"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459FA86F"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190D7E19"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New legal acts and/or amendments to the existing national tax and customs legislation (laws and by-laws) drafted in line with the EU legislation and best practices</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35AB3B68" w14:textId="26C6EB35"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512D2B6" w14:textId="29AD150F"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3E2A3FFF" w14:textId="5501D07C"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75E5F618" w14:textId="63ADEA5C"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21EFC78" w14:textId="58996083"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49C843E9" w14:textId="37D6B5D6"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22E223F4" w14:textId="0A2CF195"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588A071B" w14:textId="24A7C9C6"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423F6AE1" w14:textId="0202F6F0"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15F40BF0" w14:textId="052BFA7A"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4E7AB3A1" w14:textId="1AF3265B"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5449FF3A" w14:textId="62118895"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35D148CF" w14:textId="54B1D51A"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38E306E4" w14:textId="20C1A9B2"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788C1C8F" w14:textId="1AB4B945"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3230A1F2" w14:textId="49374C03"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032C2C" w:rsidRPr="00D30847" w14:paraId="309AE384" w14:textId="77777777" w:rsidTr="00595060">
        <w:trPr>
          <w:trHeight w:val="646"/>
        </w:trPr>
        <w:tc>
          <w:tcPr>
            <w:tcW w:w="702" w:type="dxa"/>
            <w:gridSpan w:val="2"/>
            <w:tcBorders>
              <w:top w:val="nil"/>
              <w:left w:val="nil"/>
              <w:bottom w:val="nil"/>
              <w:right w:val="nil"/>
            </w:tcBorders>
            <w:shd w:val="clear" w:color="auto" w:fill="auto"/>
            <w:vAlign w:val="bottom"/>
          </w:tcPr>
          <w:p w14:paraId="1EFC81F9"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tcPr>
          <w:p w14:paraId="5812E594" w14:textId="77777777" w:rsidR="00032C2C" w:rsidRPr="00D30847" w:rsidRDefault="00032C2C"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tcPr>
          <w:p w14:paraId="67FE3A7A" w14:textId="77777777" w:rsidR="00032C2C" w:rsidRPr="00D30847" w:rsidRDefault="00032C2C"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tcPr>
          <w:p w14:paraId="1F1640C0" w14:textId="0A58FCFD" w:rsidR="00032C2C" w:rsidRPr="00D30847" w:rsidRDefault="00032C2C"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3.</w:t>
            </w:r>
          </w:p>
        </w:tc>
        <w:tc>
          <w:tcPr>
            <w:tcW w:w="3258" w:type="dxa"/>
            <w:gridSpan w:val="2"/>
            <w:tcBorders>
              <w:top w:val="nil"/>
              <w:left w:val="nil"/>
              <w:bottom w:val="single" w:sz="8" w:space="0" w:color="auto"/>
              <w:right w:val="single" w:sz="8" w:space="0" w:color="auto"/>
            </w:tcBorders>
            <w:shd w:val="clear" w:color="auto" w:fill="auto"/>
            <w:vAlign w:val="center"/>
          </w:tcPr>
          <w:p w14:paraId="33BEC4D7" w14:textId="41A86DAE" w:rsidR="00032C2C" w:rsidRPr="00D30847" w:rsidRDefault="00032C2C" w:rsidP="00942045">
            <w:pPr>
              <w:spacing w:after="0" w:line="240" w:lineRule="auto"/>
              <w:rPr>
                <w:rFonts w:eastAsia="Times New Roman" w:cs="Calibri"/>
                <w:sz w:val="16"/>
                <w:szCs w:val="16"/>
                <w:lang w:val="en-GB"/>
              </w:rPr>
            </w:pPr>
            <w:r w:rsidRPr="00D30847">
              <w:rPr>
                <w:rFonts w:eastAsia="Times New Roman" w:cs="Calibri"/>
                <w:sz w:val="16"/>
                <w:szCs w:val="16"/>
                <w:lang w:val="en-GB"/>
              </w:rPr>
              <w:t>Gap analysis of the national customs legislation (laws and by-laws) compared to the  EU legislation and best practices</w:t>
            </w:r>
          </w:p>
        </w:tc>
        <w:tc>
          <w:tcPr>
            <w:tcW w:w="522" w:type="dxa"/>
            <w:gridSpan w:val="2"/>
            <w:tcBorders>
              <w:top w:val="nil"/>
              <w:left w:val="nil"/>
              <w:bottom w:val="single" w:sz="8" w:space="0" w:color="auto"/>
              <w:right w:val="single" w:sz="8" w:space="0" w:color="auto"/>
            </w:tcBorders>
            <w:shd w:val="clear" w:color="000000" w:fill="0000FF"/>
            <w:vAlign w:val="center"/>
          </w:tcPr>
          <w:p w14:paraId="389243B3"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378" w:type="dxa"/>
            <w:gridSpan w:val="2"/>
            <w:tcBorders>
              <w:top w:val="nil"/>
              <w:left w:val="nil"/>
              <w:bottom w:val="single" w:sz="8" w:space="0" w:color="auto"/>
              <w:right w:val="single" w:sz="8" w:space="0" w:color="auto"/>
            </w:tcBorders>
            <w:shd w:val="clear" w:color="000000" w:fill="0000FF"/>
            <w:vAlign w:val="center"/>
          </w:tcPr>
          <w:p w14:paraId="5E3BEA77"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582" w:type="dxa"/>
            <w:gridSpan w:val="3"/>
            <w:tcBorders>
              <w:top w:val="nil"/>
              <w:left w:val="nil"/>
              <w:bottom w:val="single" w:sz="8" w:space="0" w:color="auto"/>
              <w:right w:val="single" w:sz="8" w:space="0" w:color="auto"/>
            </w:tcBorders>
            <w:shd w:val="clear" w:color="000000" w:fill="0000FF"/>
            <w:vAlign w:val="center"/>
          </w:tcPr>
          <w:p w14:paraId="3B9EB92A"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480" w:type="dxa"/>
            <w:gridSpan w:val="3"/>
            <w:tcBorders>
              <w:top w:val="nil"/>
              <w:left w:val="nil"/>
              <w:bottom w:val="single" w:sz="8" w:space="0" w:color="auto"/>
              <w:right w:val="single" w:sz="8" w:space="0" w:color="auto"/>
            </w:tcBorders>
            <w:shd w:val="clear" w:color="000000" w:fill="0000FF"/>
            <w:vAlign w:val="center"/>
          </w:tcPr>
          <w:p w14:paraId="5332433E"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378" w:type="dxa"/>
            <w:gridSpan w:val="2"/>
            <w:tcBorders>
              <w:top w:val="nil"/>
              <w:left w:val="nil"/>
              <w:bottom w:val="single" w:sz="8" w:space="0" w:color="auto"/>
              <w:right w:val="single" w:sz="8" w:space="0" w:color="auto"/>
            </w:tcBorders>
            <w:shd w:val="clear" w:color="000000" w:fill="0000FF"/>
            <w:vAlign w:val="center"/>
          </w:tcPr>
          <w:p w14:paraId="4A4A8A33"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612" w:type="dxa"/>
            <w:gridSpan w:val="3"/>
            <w:tcBorders>
              <w:top w:val="nil"/>
              <w:left w:val="nil"/>
              <w:bottom w:val="single" w:sz="8" w:space="0" w:color="auto"/>
              <w:right w:val="single" w:sz="8" w:space="0" w:color="auto"/>
            </w:tcBorders>
            <w:shd w:val="clear" w:color="000000" w:fill="0000FF"/>
            <w:vAlign w:val="center"/>
          </w:tcPr>
          <w:p w14:paraId="28A496DA"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450" w:type="dxa"/>
            <w:gridSpan w:val="3"/>
            <w:tcBorders>
              <w:top w:val="nil"/>
              <w:left w:val="nil"/>
              <w:bottom w:val="single" w:sz="8" w:space="0" w:color="auto"/>
              <w:right w:val="single" w:sz="8" w:space="0" w:color="auto"/>
            </w:tcBorders>
            <w:shd w:val="clear" w:color="000000" w:fill="0000FF"/>
            <w:vAlign w:val="center"/>
          </w:tcPr>
          <w:p w14:paraId="4D3BF83F"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540" w:type="dxa"/>
            <w:gridSpan w:val="3"/>
            <w:tcBorders>
              <w:top w:val="nil"/>
              <w:left w:val="nil"/>
              <w:bottom w:val="single" w:sz="8" w:space="0" w:color="auto"/>
              <w:right w:val="single" w:sz="8" w:space="0" w:color="auto"/>
            </w:tcBorders>
            <w:shd w:val="clear" w:color="000000" w:fill="0000FF"/>
            <w:vAlign w:val="center"/>
          </w:tcPr>
          <w:p w14:paraId="10AF5491"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450" w:type="dxa"/>
            <w:gridSpan w:val="4"/>
            <w:tcBorders>
              <w:top w:val="nil"/>
              <w:left w:val="nil"/>
              <w:bottom w:val="single" w:sz="8" w:space="0" w:color="auto"/>
              <w:right w:val="single" w:sz="8" w:space="0" w:color="auto"/>
            </w:tcBorders>
            <w:shd w:val="clear" w:color="000000" w:fill="0000FF"/>
            <w:vAlign w:val="center"/>
          </w:tcPr>
          <w:p w14:paraId="314C03B0"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450" w:type="dxa"/>
            <w:gridSpan w:val="3"/>
            <w:tcBorders>
              <w:top w:val="nil"/>
              <w:left w:val="nil"/>
              <w:bottom w:val="single" w:sz="8" w:space="0" w:color="auto"/>
              <w:right w:val="single" w:sz="8" w:space="0" w:color="auto"/>
            </w:tcBorders>
            <w:shd w:val="clear" w:color="000000" w:fill="0000FF"/>
            <w:vAlign w:val="center"/>
          </w:tcPr>
          <w:p w14:paraId="4C363594"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378" w:type="dxa"/>
            <w:gridSpan w:val="2"/>
            <w:tcBorders>
              <w:top w:val="nil"/>
              <w:left w:val="nil"/>
              <w:bottom w:val="single" w:sz="8" w:space="0" w:color="auto"/>
              <w:right w:val="single" w:sz="8" w:space="0" w:color="auto"/>
            </w:tcBorders>
            <w:shd w:val="clear" w:color="000000" w:fill="0000FF"/>
            <w:vAlign w:val="center"/>
          </w:tcPr>
          <w:p w14:paraId="56B242E9"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522" w:type="dxa"/>
            <w:gridSpan w:val="3"/>
            <w:tcBorders>
              <w:top w:val="nil"/>
              <w:left w:val="nil"/>
              <w:bottom w:val="single" w:sz="8" w:space="0" w:color="auto"/>
              <w:right w:val="single" w:sz="8" w:space="0" w:color="auto"/>
            </w:tcBorders>
            <w:shd w:val="clear" w:color="000000" w:fill="0000FF"/>
            <w:vAlign w:val="center"/>
          </w:tcPr>
          <w:p w14:paraId="0FBDBDD0"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450" w:type="dxa"/>
            <w:gridSpan w:val="4"/>
            <w:tcBorders>
              <w:top w:val="nil"/>
              <w:left w:val="nil"/>
              <w:bottom w:val="single" w:sz="8" w:space="0" w:color="auto"/>
              <w:right w:val="single" w:sz="8" w:space="0" w:color="auto"/>
            </w:tcBorders>
            <w:shd w:val="clear" w:color="000000" w:fill="0000FF"/>
            <w:vAlign w:val="center"/>
          </w:tcPr>
          <w:p w14:paraId="7D278DE1"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450" w:type="dxa"/>
            <w:gridSpan w:val="2"/>
            <w:tcBorders>
              <w:top w:val="nil"/>
              <w:left w:val="nil"/>
              <w:bottom w:val="single" w:sz="8" w:space="0" w:color="auto"/>
              <w:right w:val="single" w:sz="8" w:space="0" w:color="auto"/>
            </w:tcBorders>
            <w:shd w:val="clear" w:color="000000" w:fill="0000FF"/>
            <w:vAlign w:val="center"/>
          </w:tcPr>
          <w:p w14:paraId="717AEF37"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450" w:type="dxa"/>
            <w:gridSpan w:val="3"/>
            <w:tcBorders>
              <w:top w:val="nil"/>
              <w:left w:val="nil"/>
              <w:bottom w:val="single" w:sz="8" w:space="0" w:color="auto"/>
              <w:right w:val="single" w:sz="8" w:space="0" w:color="auto"/>
            </w:tcBorders>
            <w:shd w:val="clear" w:color="000000" w:fill="0000FF"/>
            <w:vAlign w:val="center"/>
          </w:tcPr>
          <w:p w14:paraId="14380233"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648" w:type="dxa"/>
            <w:gridSpan w:val="3"/>
            <w:tcBorders>
              <w:top w:val="nil"/>
              <w:left w:val="nil"/>
              <w:bottom w:val="single" w:sz="8" w:space="0" w:color="auto"/>
              <w:right w:val="single" w:sz="8" w:space="0" w:color="auto"/>
            </w:tcBorders>
            <w:shd w:val="clear" w:color="000000" w:fill="0000FF"/>
            <w:vAlign w:val="center"/>
          </w:tcPr>
          <w:p w14:paraId="43B923B0" w14:textId="77777777" w:rsidR="00032C2C" w:rsidRPr="00D30847" w:rsidRDefault="00032C2C" w:rsidP="00942045">
            <w:pPr>
              <w:spacing w:after="0" w:line="240" w:lineRule="auto"/>
              <w:jc w:val="center"/>
              <w:rPr>
                <w:rFonts w:eastAsia="Times New Roman" w:cs="Calibri"/>
                <w:color w:val="FFFFFF"/>
                <w:sz w:val="16"/>
                <w:szCs w:val="16"/>
                <w:lang w:val="en-GB"/>
              </w:rPr>
            </w:pPr>
          </w:p>
        </w:tc>
      </w:tr>
      <w:tr w:rsidR="00032C2C" w:rsidRPr="00D30847" w14:paraId="06D82EF2" w14:textId="77777777" w:rsidTr="00595060">
        <w:trPr>
          <w:trHeight w:val="646"/>
        </w:trPr>
        <w:tc>
          <w:tcPr>
            <w:tcW w:w="702" w:type="dxa"/>
            <w:gridSpan w:val="2"/>
            <w:tcBorders>
              <w:top w:val="nil"/>
              <w:left w:val="nil"/>
              <w:bottom w:val="nil"/>
              <w:right w:val="nil"/>
            </w:tcBorders>
            <w:shd w:val="clear" w:color="auto" w:fill="auto"/>
            <w:vAlign w:val="bottom"/>
          </w:tcPr>
          <w:p w14:paraId="5CEA5DB9"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tcPr>
          <w:p w14:paraId="261A6A22" w14:textId="77777777" w:rsidR="00032C2C" w:rsidRPr="00D30847" w:rsidRDefault="00032C2C"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tcPr>
          <w:p w14:paraId="5E6671B7" w14:textId="77777777" w:rsidR="00032C2C" w:rsidRPr="00D30847" w:rsidRDefault="00032C2C"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tcPr>
          <w:p w14:paraId="1B2571BE" w14:textId="7A73149B" w:rsidR="00032C2C" w:rsidRPr="00D30847" w:rsidRDefault="00032C2C"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4.</w:t>
            </w:r>
          </w:p>
        </w:tc>
        <w:tc>
          <w:tcPr>
            <w:tcW w:w="3258" w:type="dxa"/>
            <w:gridSpan w:val="2"/>
            <w:tcBorders>
              <w:top w:val="nil"/>
              <w:left w:val="nil"/>
              <w:bottom w:val="single" w:sz="8" w:space="0" w:color="auto"/>
              <w:right w:val="single" w:sz="8" w:space="0" w:color="auto"/>
            </w:tcBorders>
            <w:shd w:val="clear" w:color="auto" w:fill="auto"/>
            <w:vAlign w:val="center"/>
          </w:tcPr>
          <w:p w14:paraId="06894DF5" w14:textId="579C39CF" w:rsidR="00032C2C" w:rsidRPr="00D30847" w:rsidRDefault="00032C2C" w:rsidP="00942045">
            <w:pPr>
              <w:spacing w:after="0" w:line="240" w:lineRule="auto"/>
              <w:rPr>
                <w:rFonts w:eastAsia="Times New Roman" w:cs="Calibri"/>
                <w:sz w:val="16"/>
                <w:szCs w:val="16"/>
                <w:lang w:val="en-GB"/>
              </w:rPr>
            </w:pPr>
            <w:r w:rsidRPr="00D30847">
              <w:rPr>
                <w:rFonts w:eastAsia="Times New Roman" w:cs="Calibri"/>
                <w:sz w:val="16"/>
                <w:szCs w:val="16"/>
                <w:lang w:val="en-GB"/>
              </w:rPr>
              <w:t>New legal acts and/or amendments to the existing national customs legislation (laws and by-laws) drafted in line with the EU legislation and best practices</w:t>
            </w:r>
          </w:p>
        </w:tc>
        <w:tc>
          <w:tcPr>
            <w:tcW w:w="522" w:type="dxa"/>
            <w:gridSpan w:val="2"/>
            <w:tcBorders>
              <w:top w:val="nil"/>
              <w:left w:val="nil"/>
              <w:bottom w:val="single" w:sz="8" w:space="0" w:color="auto"/>
              <w:right w:val="single" w:sz="8" w:space="0" w:color="auto"/>
            </w:tcBorders>
            <w:shd w:val="clear" w:color="000000" w:fill="0000FF"/>
            <w:vAlign w:val="center"/>
          </w:tcPr>
          <w:p w14:paraId="5C8071DD"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378" w:type="dxa"/>
            <w:gridSpan w:val="2"/>
            <w:tcBorders>
              <w:top w:val="nil"/>
              <w:left w:val="nil"/>
              <w:bottom w:val="single" w:sz="8" w:space="0" w:color="auto"/>
              <w:right w:val="single" w:sz="8" w:space="0" w:color="auto"/>
            </w:tcBorders>
            <w:shd w:val="clear" w:color="000000" w:fill="0000FF"/>
            <w:vAlign w:val="center"/>
          </w:tcPr>
          <w:p w14:paraId="469D1E86"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582" w:type="dxa"/>
            <w:gridSpan w:val="3"/>
            <w:tcBorders>
              <w:top w:val="nil"/>
              <w:left w:val="nil"/>
              <w:bottom w:val="single" w:sz="8" w:space="0" w:color="auto"/>
              <w:right w:val="single" w:sz="8" w:space="0" w:color="auto"/>
            </w:tcBorders>
            <w:shd w:val="clear" w:color="000000" w:fill="0000FF"/>
            <w:vAlign w:val="center"/>
          </w:tcPr>
          <w:p w14:paraId="14A8E275"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480" w:type="dxa"/>
            <w:gridSpan w:val="3"/>
            <w:tcBorders>
              <w:top w:val="nil"/>
              <w:left w:val="nil"/>
              <w:bottom w:val="single" w:sz="8" w:space="0" w:color="auto"/>
              <w:right w:val="single" w:sz="8" w:space="0" w:color="auto"/>
            </w:tcBorders>
            <w:shd w:val="clear" w:color="000000" w:fill="0000FF"/>
            <w:vAlign w:val="center"/>
          </w:tcPr>
          <w:p w14:paraId="2E046BEF"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378" w:type="dxa"/>
            <w:gridSpan w:val="2"/>
            <w:tcBorders>
              <w:top w:val="nil"/>
              <w:left w:val="nil"/>
              <w:bottom w:val="single" w:sz="8" w:space="0" w:color="auto"/>
              <w:right w:val="single" w:sz="8" w:space="0" w:color="auto"/>
            </w:tcBorders>
            <w:shd w:val="clear" w:color="000000" w:fill="0000FF"/>
            <w:vAlign w:val="center"/>
          </w:tcPr>
          <w:p w14:paraId="7AAD89F6"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612" w:type="dxa"/>
            <w:gridSpan w:val="3"/>
            <w:tcBorders>
              <w:top w:val="nil"/>
              <w:left w:val="nil"/>
              <w:bottom w:val="single" w:sz="8" w:space="0" w:color="auto"/>
              <w:right w:val="single" w:sz="8" w:space="0" w:color="auto"/>
            </w:tcBorders>
            <w:shd w:val="clear" w:color="000000" w:fill="0000FF"/>
            <w:vAlign w:val="center"/>
          </w:tcPr>
          <w:p w14:paraId="6E928FE9"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450" w:type="dxa"/>
            <w:gridSpan w:val="3"/>
            <w:tcBorders>
              <w:top w:val="nil"/>
              <w:left w:val="nil"/>
              <w:bottom w:val="single" w:sz="8" w:space="0" w:color="auto"/>
              <w:right w:val="single" w:sz="8" w:space="0" w:color="auto"/>
            </w:tcBorders>
            <w:shd w:val="clear" w:color="000000" w:fill="0000FF"/>
            <w:vAlign w:val="center"/>
          </w:tcPr>
          <w:p w14:paraId="07A7CD11"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540" w:type="dxa"/>
            <w:gridSpan w:val="3"/>
            <w:tcBorders>
              <w:top w:val="nil"/>
              <w:left w:val="nil"/>
              <w:bottom w:val="single" w:sz="8" w:space="0" w:color="auto"/>
              <w:right w:val="single" w:sz="8" w:space="0" w:color="auto"/>
            </w:tcBorders>
            <w:shd w:val="clear" w:color="000000" w:fill="0000FF"/>
            <w:vAlign w:val="center"/>
          </w:tcPr>
          <w:p w14:paraId="4B72BC8C"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450" w:type="dxa"/>
            <w:gridSpan w:val="4"/>
            <w:tcBorders>
              <w:top w:val="nil"/>
              <w:left w:val="nil"/>
              <w:bottom w:val="single" w:sz="8" w:space="0" w:color="auto"/>
              <w:right w:val="single" w:sz="8" w:space="0" w:color="auto"/>
            </w:tcBorders>
            <w:shd w:val="clear" w:color="000000" w:fill="0000FF"/>
            <w:vAlign w:val="center"/>
          </w:tcPr>
          <w:p w14:paraId="0BB8299E"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450" w:type="dxa"/>
            <w:gridSpan w:val="3"/>
            <w:tcBorders>
              <w:top w:val="nil"/>
              <w:left w:val="nil"/>
              <w:bottom w:val="single" w:sz="8" w:space="0" w:color="auto"/>
              <w:right w:val="single" w:sz="8" w:space="0" w:color="auto"/>
            </w:tcBorders>
            <w:shd w:val="clear" w:color="000000" w:fill="0000FF"/>
            <w:vAlign w:val="center"/>
          </w:tcPr>
          <w:p w14:paraId="3321554F"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378" w:type="dxa"/>
            <w:gridSpan w:val="2"/>
            <w:tcBorders>
              <w:top w:val="nil"/>
              <w:left w:val="nil"/>
              <w:bottom w:val="single" w:sz="8" w:space="0" w:color="auto"/>
              <w:right w:val="single" w:sz="8" w:space="0" w:color="auto"/>
            </w:tcBorders>
            <w:shd w:val="clear" w:color="000000" w:fill="0000FF"/>
            <w:vAlign w:val="center"/>
          </w:tcPr>
          <w:p w14:paraId="20D29968"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522" w:type="dxa"/>
            <w:gridSpan w:val="3"/>
            <w:tcBorders>
              <w:top w:val="nil"/>
              <w:left w:val="nil"/>
              <w:bottom w:val="single" w:sz="8" w:space="0" w:color="auto"/>
              <w:right w:val="single" w:sz="8" w:space="0" w:color="auto"/>
            </w:tcBorders>
            <w:shd w:val="clear" w:color="000000" w:fill="0000FF"/>
            <w:vAlign w:val="center"/>
          </w:tcPr>
          <w:p w14:paraId="4A53FF3A"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450" w:type="dxa"/>
            <w:gridSpan w:val="4"/>
            <w:tcBorders>
              <w:top w:val="nil"/>
              <w:left w:val="nil"/>
              <w:bottom w:val="single" w:sz="8" w:space="0" w:color="auto"/>
              <w:right w:val="single" w:sz="8" w:space="0" w:color="auto"/>
            </w:tcBorders>
            <w:shd w:val="clear" w:color="000000" w:fill="0000FF"/>
            <w:vAlign w:val="center"/>
          </w:tcPr>
          <w:p w14:paraId="137322C0"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450" w:type="dxa"/>
            <w:gridSpan w:val="2"/>
            <w:tcBorders>
              <w:top w:val="nil"/>
              <w:left w:val="nil"/>
              <w:bottom w:val="single" w:sz="8" w:space="0" w:color="auto"/>
              <w:right w:val="single" w:sz="8" w:space="0" w:color="auto"/>
            </w:tcBorders>
            <w:shd w:val="clear" w:color="000000" w:fill="0000FF"/>
            <w:vAlign w:val="center"/>
          </w:tcPr>
          <w:p w14:paraId="4308C896"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450" w:type="dxa"/>
            <w:gridSpan w:val="3"/>
            <w:tcBorders>
              <w:top w:val="nil"/>
              <w:left w:val="nil"/>
              <w:bottom w:val="single" w:sz="8" w:space="0" w:color="auto"/>
              <w:right w:val="single" w:sz="8" w:space="0" w:color="auto"/>
            </w:tcBorders>
            <w:shd w:val="clear" w:color="000000" w:fill="0000FF"/>
            <w:vAlign w:val="center"/>
          </w:tcPr>
          <w:p w14:paraId="4303FC1B" w14:textId="77777777" w:rsidR="00032C2C" w:rsidRPr="00D30847" w:rsidRDefault="00032C2C" w:rsidP="00942045">
            <w:pPr>
              <w:spacing w:after="0" w:line="240" w:lineRule="auto"/>
              <w:jc w:val="center"/>
              <w:rPr>
                <w:rFonts w:eastAsia="Times New Roman" w:cs="Calibri"/>
                <w:color w:val="FFFFFF"/>
                <w:sz w:val="16"/>
                <w:szCs w:val="16"/>
                <w:lang w:val="en-GB"/>
              </w:rPr>
            </w:pPr>
          </w:p>
        </w:tc>
        <w:tc>
          <w:tcPr>
            <w:tcW w:w="648" w:type="dxa"/>
            <w:gridSpan w:val="3"/>
            <w:tcBorders>
              <w:top w:val="nil"/>
              <w:left w:val="nil"/>
              <w:bottom w:val="single" w:sz="8" w:space="0" w:color="auto"/>
              <w:right w:val="single" w:sz="8" w:space="0" w:color="auto"/>
            </w:tcBorders>
            <w:shd w:val="clear" w:color="000000" w:fill="0000FF"/>
            <w:vAlign w:val="center"/>
          </w:tcPr>
          <w:p w14:paraId="0AEB7AF1" w14:textId="77777777" w:rsidR="00032C2C" w:rsidRPr="00D30847" w:rsidRDefault="00032C2C" w:rsidP="00942045">
            <w:pPr>
              <w:spacing w:after="0" w:line="240" w:lineRule="auto"/>
              <w:jc w:val="center"/>
              <w:rPr>
                <w:rFonts w:eastAsia="Times New Roman" w:cs="Calibri"/>
                <w:color w:val="FFFFFF"/>
                <w:sz w:val="16"/>
                <w:szCs w:val="16"/>
                <w:lang w:val="en-GB"/>
              </w:rPr>
            </w:pPr>
          </w:p>
        </w:tc>
      </w:tr>
      <w:tr w:rsidR="00C93723" w:rsidRPr="00D30847" w14:paraId="1788501F" w14:textId="77777777" w:rsidTr="00595060">
        <w:trPr>
          <w:trHeight w:val="300"/>
        </w:trPr>
        <w:tc>
          <w:tcPr>
            <w:tcW w:w="702" w:type="dxa"/>
            <w:gridSpan w:val="2"/>
            <w:tcBorders>
              <w:top w:val="nil"/>
              <w:left w:val="nil"/>
              <w:bottom w:val="nil"/>
              <w:right w:val="nil"/>
            </w:tcBorders>
            <w:shd w:val="clear" w:color="000000" w:fill="00FF00"/>
            <w:vAlign w:val="center"/>
            <w:hideMark/>
          </w:tcPr>
          <w:p w14:paraId="328344F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740" w:type="dxa"/>
            <w:gridSpan w:val="4"/>
            <w:tcBorders>
              <w:top w:val="nil"/>
              <w:left w:val="nil"/>
              <w:bottom w:val="nil"/>
              <w:right w:val="nil"/>
            </w:tcBorders>
            <w:shd w:val="clear" w:color="000000" w:fill="00FF00"/>
            <w:vAlign w:val="center"/>
            <w:hideMark/>
          </w:tcPr>
          <w:p w14:paraId="70FAB55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Priority 2.</w:t>
            </w:r>
          </w:p>
        </w:tc>
        <w:tc>
          <w:tcPr>
            <w:tcW w:w="1770" w:type="dxa"/>
            <w:gridSpan w:val="2"/>
            <w:tcBorders>
              <w:top w:val="nil"/>
              <w:left w:val="nil"/>
              <w:bottom w:val="nil"/>
              <w:right w:val="nil"/>
            </w:tcBorders>
            <w:shd w:val="clear" w:color="000000" w:fill="00FF00"/>
            <w:vAlign w:val="center"/>
            <w:hideMark/>
          </w:tcPr>
          <w:p w14:paraId="5D0BA81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258" w:type="dxa"/>
            <w:gridSpan w:val="2"/>
            <w:tcBorders>
              <w:top w:val="nil"/>
              <w:left w:val="nil"/>
              <w:bottom w:val="nil"/>
              <w:right w:val="nil"/>
            </w:tcBorders>
            <w:shd w:val="clear" w:color="000000" w:fill="00FF00"/>
            <w:vAlign w:val="center"/>
            <w:hideMark/>
          </w:tcPr>
          <w:p w14:paraId="233D54C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Tax administration</w:t>
            </w:r>
          </w:p>
        </w:tc>
        <w:tc>
          <w:tcPr>
            <w:tcW w:w="522" w:type="dxa"/>
            <w:gridSpan w:val="2"/>
            <w:tcBorders>
              <w:top w:val="nil"/>
              <w:left w:val="nil"/>
              <w:bottom w:val="nil"/>
              <w:right w:val="nil"/>
            </w:tcBorders>
            <w:shd w:val="clear" w:color="000000" w:fill="00FF00"/>
            <w:vAlign w:val="center"/>
            <w:hideMark/>
          </w:tcPr>
          <w:p w14:paraId="02E9190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4371DBC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00FF00"/>
            <w:vAlign w:val="center"/>
            <w:hideMark/>
          </w:tcPr>
          <w:p w14:paraId="0208A6D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00FF00"/>
            <w:vAlign w:val="center"/>
            <w:hideMark/>
          </w:tcPr>
          <w:p w14:paraId="20F5CFF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1137F74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00FF00"/>
            <w:vAlign w:val="center"/>
            <w:hideMark/>
          </w:tcPr>
          <w:p w14:paraId="2B15056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607E02C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00FF00"/>
            <w:vAlign w:val="center"/>
            <w:hideMark/>
          </w:tcPr>
          <w:p w14:paraId="5D3CB65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7D2C676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2B88741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2CD9CEA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00FF00"/>
            <w:vAlign w:val="center"/>
            <w:hideMark/>
          </w:tcPr>
          <w:p w14:paraId="3AD996A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4875C1D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00FF00"/>
            <w:vAlign w:val="center"/>
            <w:hideMark/>
          </w:tcPr>
          <w:p w14:paraId="689B076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1E7835F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00FF00"/>
            <w:vAlign w:val="center"/>
            <w:hideMark/>
          </w:tcPr>
          <w:p w14:paraId="04BB110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476E9647" w14:textId="77777777" w:rsidTr="00595060">
        <w:trPr>
          <w:trHeight w:val="360"/>
        </w:trPr>
        <w:tc>
          <w:tcPr>
            <w:tcW w:w="702" w:type="dxa"/>
            <w:gridSpan w:val="2"/>
            <w:tcBorders>
              <w:top w:val="nil"/>
              <w:left w:val="nil"/>
              <w:bottom w:val="nil"/>
              <w:right w:val="nil"/>
            </w:tcBorders>
            <w:shd w:val="clear" w:color="000000" w:fill="6FE7FF"/>
            <w:vAlign w:val="center"/>
            <w:hideMark/>
          </w:tcPr>
          <w:p w14:paraId="6376794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lastRenderedPageBreak/>
              <w:t> </w:t>
            </w:r>
          </w:p>
        </w:tc>
        <w:tc>
          <w:tcPr>
            <w:tcW w:w="464" w:type="dxa"/>
            <w:gridSpan w:val="2"/>
            <w:tcBorders>
              <w:top w:val="nil"/>
              <w:left w:val="nil"/>
              <w:bottom w:val="nil"/>
              <w:right w:val="nil"/>
            </w:tcBorders>
            <w:shd w:val="clear" w:color="000000" w:fill="6FE7FF"/>
            <w:vAlign w:val="center"/>
            <w:hideMark/>
          </w:tcPr>
          <w:p w14:paraId="53182FC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61ECBC1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1.</w:t>
            </w:r>
          </w:p>
        </w:tc>
        <w:tc>
          <w:tcPr>
            <w:tcW w:w="1770" w:type="dxa"/>
            <w:gridSpan w:val="2"/>
            <w:tcBorders>
              <w:top w:val="nil"/>
              <w:left w:val="nil"/>
              <w:bottom w:val="single" w:sz="8" w:space="0" w:color="auto"/>
              <w:right w:val="nil"/>
            </w:tcBorders>
            <w:shd w:val="clear" w:color="000000" w:fill="6FE7FF"/>
            <w:vAlign w:val="center"/>
            <w:hideMark/>
          </w:tcPr>
          <w:p w14:paraId="51F92C1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258" w:type="dxa"/>
            <w:gridSpan w:val="2"/>
            <w:tcBorders>
              <w:top w:val="nil"/>
              <w:left w:val="nil"/>
              <w:bottom w:val="single" w:sz="8" w:space="0" w:color="auto"/>
              <w:right w:val="nil"/>
            </w:tcBorders>
            <w:shd w:val="clear" w:color="000000" w:fill="6FE7FF"/>
            <w:vAlign w:val="center"/>
            <w:hideMark/>
          </w:tcPr>
          <w:p w14:paraId="5F1DC88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Strengthen administrative capacity for better revenue collection and tax compliance</w:t>
            </w:r>
          </w:p>
        </w:tc>
        <w:tc>
          <w:tcPr>
            <w:tcW w:w="522" w:type="dxa"/>
            <w:gridSpan w:val="2"/>
            <w:tcBorders>
              <w:top w:val="nil"/>
              <w:left w:val="nil"/>
              <w:bottom w:val="single" w:sz="8" w:space="0" w:color="auto"/>
              <w:right w:val="nil"/>
            </w:tcBorders>
            <w:shd w:val="clear" w:color="000000" w:fill="6FE7FF"/>
            <w:vAlign w:val="center"/>
            <w:hideMark/>
          </w:tcPr>
          <w:p w14:paraId="14A37A4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5E97B4D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8" w:space="0" w:color="auto"/>
              <w:right w:val="nil"/>
            </w:tcBorders>
            <w:shd w:val="clear" w:color="000000" w:fill="6FE7FF"/>
            <w:vAlign w:val="center"/>
            <w:hideMark/>
          </w:tcPr>
          <w:p w14:paraId="7D015FE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38C97C9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24BE360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8" w:space="0" w:color="auto"/>
              <w:right w:val="nil"/>
            </w:tcBorders>
            <w:shd w:val="clear" w:color="000000" w:fill="6FE7FF"/>
            <w:vAlign w:val="center"/>
            <w:hideMark/>
          </w:tcPr>
          <w:p w14:paraId="302B7DB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0F82A0C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215F078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55B17F7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1573F0D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1BEC390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8" w:space="0" w:color="auto"/>
              <w:right w:val="nil"/>
            </w:tcBorders>
            <w:shd w:val="clear" w:color="000000" w:fill="6FE7FF"/>
            <w:vAlign w:val="center"/>
            <w:hideMark/>
          </w:tcPr>
          <w:p w14:paraId="5055C81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05E9294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5CE1D20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5E44123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8" w:space="0" w:color="auto"/>
              <w:right w:val="nil"/>
            </w:tcBorders>
            <w:shd w:val="clear" w:color="000000" w:fill="6FE7FF"/>
            <w:vAlign w:val="center"/>
            <w:hideMark/>
          </w:tcPr>
          <w:p w14:paraId="747BAB7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4799B203" w14:textId="77777777" w:rsidTr="00E91268">
        <w:trPr>
          <w:trHeight w:val="298"/>
        </w:trPr>
        <w:tc>
          <w:tcPr>
            <w:tcW w:w="702" w:type="dxa"/>
            <w:gridSpan w:val="2"/>
            <w:tcBorders>
              <w:top w:val="nil"/>
              <w:left w:val="nil"/>
              <w:bottom w:val="nil"/>
              <w:right w:val="nil"/>
            </w:tcBorders>
            <w:shd w:val="clear" w:color="auto" w:fill="auto"/>
            <w:vAlign w:val="bottom"/>
            <w:hideMark/>
          </w:tcPr>
          <w:p w14:paraId="788800B9"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1490BEBB"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0FF1D9CA"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4C3CC34B"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nil"/>
              <w:left w:val="nil"/>
              <w:bottom w:val="single" w:sz="8" w:space="0" w:color="auto"/>
              <w:right w:val="single" w:sz="8" w:space="0" w:color="auto"/>
            </w:tcBorders>
            <w:shd w:val="clear" w:color="auto" w:fill="auto"/>
            <w:vAlign w:val="center"/>
            <w:hideMark/>
          </w:tcPr>
          <w:p w14:paraId="521CF4D4" w14:textId="7E7CCA11" w:rsidR="00C93723" w:rsidRPr="00D30847" w:rsidRDefault="00F06074" w:rsidP="00C93723">
            <w:pPr>
              <w:spacing w:after="0" w:line="240" w:lineRule="auto"/>
              <w:rPr>
                <w:rFonts w:eastAsia="Times New Roman" w:cs="Calibri"/>
                <w:sz w:val="16"/>
                <w:szCs w:val="16"/>
                <w:lang w:val="en-GB"/>
              </w:rPr>
            </w:pPr>
            <w:r w:rsidRPr="00D30847">
              <w:rPr>
                <w:rFonts w:eastAsia="Times New Roman" w:cs="Calibri"/>
                <w:sz w:val="16"/>
                <w:szCs w:val="16"/>
                <w:lang w:val="en-GB"/>
              </w:rPr>
              <w:t>More effective and efficient management of overdue tax debt</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3BE9480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F7CF44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77B5444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0009400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DE9CCC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0D6169F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6D2A625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0E0CC13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1A5D014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7D0686E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E737AF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2F41C84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09ACFE3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4CA18D8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6CC0209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21AEBD1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2D20029F" w14:textId="77777777" w:rsidTr="00E91268">
        <w:trPr>
          <w:trHeight w:val="276"/>
        </w:trPr>
        <w:tc>
          <w:tcPr>
            <w:tcW w:w="702" w:type="dxa"/>
            <w:gridSpan w:val="2"/>
            <w:tcBorders>
              <w:top w:val="nil"/>
              <w:left w:val="nil"/>
              <w:bottom w:val="nil"/>
              <w:right w:val="nil"/>
            </w:tcBorders>
            <w:shd w:val="clear" w:color="auto" w:fill="auto"/>
            <w:vAlign w:val="bottom"/>
            <w:hideMark/>
          </w:tcPr>
          <w:p w14:paraId="6E4F0AEF"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6963579A"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232494A0"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4D668442"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70ECB26A"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Improving the Compliance risk management</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43856F9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115C63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6B633E0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5950203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1F086F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3376994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67E33A3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133C5E3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0DF82E5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051693D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4E31E5C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6B492B9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7119CB9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05A55A2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3381018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7723A28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03471011" w14:textId="77777777" w:rsidTr="00595060">
        <w:trPr>
          <w:trHeight w:val="615"/>
        </w:trPr>
        <w:tc>
          <w:tcPr>
            <w:tcW w:w="702" w:type="dxa"/>
            <w:gridSpan w:val="2"/>
            <w:tcBorders>
              <w:top w:val="nil"/>
              <w:left w:val="nil"/>
              <w:bottom w:val="nil"/>
              <w:right w:val="nil"/>
            </w:tcBorders>
            <w:shd w:val="clear" w:color="000000" w:fill="6FE7FF"/>
            <w:vAlign w:val="center"/>
            <w:hideMark/>
          </w:tcPr>
          <w:p w14:paraId="401149E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724E03D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35F5CA1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2.</w:t>
            </w:r>
          </w:p>
        </w:tc>
        <w:tc>
          <w:tcPr>
            <w:tcW w:w="1770" w:type="dxa"/>
            <w:gridSpan w:val="2"/>
            <w:tcBorders>
              <w:top w:val="nil"/>
              <w:left w:val="nil"/>
              <w:bottom w:val="single" w:sz="8" w:space="0" w:color="auto"/>
              <w:right w:val="nil"/>
            </w:tcBorders>
            <w:shd w:val="clear" w:color="000000" w:fill="6FE7FF"/>
            <w:vAlign w:val="center"/>
            <w:hideMark/>
          </w:tcPr>
          <w:p w14:paraId="3156816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258" w:type="dxa"/>
            <w:gridSpan w:val="2"/>
            <w:tcBorders>
              <w:top w:val="nil"/>
              <w:left w:val="nil"/>
              <w:bottom w:val="single" w:sz="8" w:space="0" w:color="auto"/>
              <w:right w:val="nil"/>
            </w:tcBorders>
            <w:shd w:val="clear" w:color="000000" w:fill="6FE7FF"/>
            <w:vAlign w:val="center"/>
            <w:hideMark/>
          </w:tcPr>
          <w:p w14:paraId="5EAE932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Digital transformation of the PRO with the establishment of an Integrated Tax Information System (ITIS)</w:t>
            </w:r>
          </w:p>
        </w:tc>
        <w:tc>
          <w:tcPr>
            <w:tcW w:w="522" w:type="dxa"/>
            <w:gridSpan w:val="2"/>
            <w:tcBorders>
              <w:top w:val="nil"/>
              <w:left w:val="nil"/>
              <w:bottom w:val="single" w:sz="8" w:space="0" w:color="auto"/>
              <w:right w:val="nil"/>
            </w:tcBorders>
            <w:shd w:val="clear" w:color="000000" w:fill="6FE7FF"/>
            <w:vAlign w:val="center"/>
            <w:hideMark/>
          </w:tcPr>
          <w:p w14:paraId="6A50E18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3BE8595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8" w:space="0" w:color="auto"/>
              <w:right w:val="nil"/>
            </w:tcBorders>
            <w:shd w:val="clear" w:color="000000" w:fill="6FE7FF"/>
            <w:vAlign w:val="center"/>
            <w:hideMark/>
          </w:tcPr>
          <w:p w14:paraId="5BB78CD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2BA3A73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4053CEC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8" w:space="0" w:color="auto"/>
              <w:right w:val="nil"/>
            </w:tcBorders>
            <w:shd w:val="clear" w:color="000000" w:fill="6FE7FF"/>
            <w:vAlign w:val="center"/>
            <w:hideMark/>
          </w:tcPr>
          <w:p w14:paraId="6A2FF57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4CE9B6C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3D156EC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7A4849A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423F22D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0B28D73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8" w:space="0" w:color="auto"/>
              <w:right w:val="nil"/>
            </w:tcBorders>
            <w:shd w:val="clear" w:color="000000" w:fill="6FE7FF"/>
            <w:vAlign w:val="center"/>
            <w:hideMark/>
          </w:tcPr>
          <w:p w14:paraId="38D63B6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0DB14B5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65A309B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3AB785A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8" w:space="0" w:color="auto"/>
              <w:right w:val="nil"/>
            </w:tcBorders>
            <w:shd w:val="clear" w:color="000000" w:fill="6FE7FF"/>
            <w:vAlign w:val="center"/>
            <w:hideMark/>
          </w:tcPr>
          <w:p w14:paraId="2D8FDE1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5940558A" w14:textId="77777777" w:rsidTr="00595060">
        <w:trPr>
          <w:trHeight w:val="358"/>
        </w:trPr>
        <w:tc>
          <w:tcPr>
            <w:tcW w:w="702" w:type="dxa"/>
            <w:gridSpan w:val="2"/>
            <w:tcBorders>
              <w:top w:val="nil"/>
              <w:left w:val="nil"/>
              <w:bottom w:val="nil"/>
              <w:right w:val="nil"/>
            </w:tcBorders>
            <w:shd w:val="clear" w:color="auto" w:fill="auto"/>
            <w:vAlign w:val="bottom"/>
            <w:hideMark/>
          </w:tcPr>
          <w:p w14:paraId="58400024"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2A52461D"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315899A2"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2F0AA030"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nil"/>
              <w:left w:val="nil"/>
              <w:bottom w:val="single" w:sz="8" w:space="0" w:color="auto"/>
              <w:right w:val="single" w:sz="8" w:space="0" w:color="auto"/>
            </w:tcBorders>
            <w:shd w:val="clear" w:color="auto" w:fill="auto"/>
            <w:vAlign w:val="center"/>
            <w:hideMark/>
          </w:tcPr>
          <w:p w14:paraId="45B01E17"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Completion of the remaining modules of the Integrated Tax Information System</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107F2B3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9AA25D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0F7B684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0C5D23B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6C302A3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0ECFD6F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5677C0D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4B2DC78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364C749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2E208F1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321DD92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3E2022F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71EAB60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5456D36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21F9301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6FB6F77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7290514E" w14:textId="77777777" w:rsidTr="00595060">
        <w:trPr>
          <w:trHeight w:val="493"/>
        </w:trPr>
        <w:tc>
          <w:tcPr>
            <w:tcW w:w="702" w:type="dxa"/>
            <w:gridSpan w:val="2"/>
            <w:tcBorders>
              <w:top w:val="nil"/>
              <w:left w:val="nil"/>
              <w:bottom w:val="nil"/>
              <w:right w:val="nil"/>
            </w:tcBorders>
            <w:shd w:val="clear" w:color="auto" w:fill="auto"/>
            <w:vAlign w:val="bottom"/>
            <w:hideMark/>
          </w:tcPr>
          <w:p w14:paraId="141E69B9"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6DCAA8D5"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12BBF04A"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4EFDF291"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7F4F7A8A"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Ensuring IS security (Information System) and smooth functioning of the integrated tax information system</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271D067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F8E6A6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3594194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0D9B87C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22B57B5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274AB25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77A7C03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7985E24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2047D2E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7E73D36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3C81A8D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5537810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4D5E78A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3C46BF6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012AE45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6586770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56C5A57D" w14:textId="77777777" w:rsidTr="00595060">
        <w:trPr>
          <w:trHeight w:val="241"/>
        </w:trPr>
        <w:tc>
          <w:tcPr>
            <w:tcW w:w="702" w:type="dxa"/>
            <w:gridSpan w:val="2"/>
            <w:tcBorders>
              <w:top w:val="nil"/>
              <w:left w:val="nil"/>
              <w:bottom w:val="nil"/>
              <w:right w:val="nil"/>
            </w:tcBorders>
            <w:shd w:val="clear" w:color="000000" w:fill="00FF00"/>
            <w:vAlign w:val="center"/>
            <w:hideMark/>
          </w:tcPr>
          <w:p w14:paraId="258C10E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740" w:type="dxa"/>
            <w:gridSpan w:val="4"/>
            <w:tcBorders>
              <w:top w:val="nil"/>
              <w:left w:val="nil"/>
              <w:bottom w:val="nil"/>
              <w:right w:val="nil"/>
            </w:tcBorders>
            <w:shd w:val="clear" w:color="000000" w:fill="00FF00"/>
            <w:vAlign w:val="center"/>
            <w:hideMark/>
          </w:tcPr>
          <w:p w14:paraId="09703ED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Priority 3.</w:t>
            </w:r>
          </w:p>
        </w:tc>
        <w:tc>
          <w:tcPr>
            <w:tcW w:w="1770" w:type="dxa"/>
            <w:gridSpan w:val="2"/>
            <w:tcBorders>
              <w:top w:val="nil"/>
              <w:left w:val="nil"/>
              <w:bottom w:val="nil"/>
              <w:right w:val="nil"/>
            </w:tcBorders>
            <w:shd w:val="clear" w:color="000000" w:fill="00FF00"/>
            <w:vAlign w:val="center"/>
            <w:hideMark/>
          </w:tcPr>
          <w:p w14:paraId="3226787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258" w:type="dxa"/>
            <w:gridSpan w:val="2"/>
            <w:tcBorders>
              <w:top w:val="nil"/>
              <w:left w:val="nil"/>
              <w:bottom w:val="nil"/>
              <w:right w:val="nil"/>
            </w:tcBorders>
            <w:shd w:val="clear" w:color="000000" w:fill="00FF00"/>
            <w:vAlign w:val="center"/>
            <w:hideMark/>
          </w:tcPr>
          <w:p w14:paraId="08E780D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Customs</w:t>
            </w:r>
          </w:p>
        </w:tc>
        <w:tc>
          <w:tcPr>
            <w:tcW w:w="522" w:type="dxa"/>
            <w:gridSpan w:val="2"/>
            <w:tcBorders>
              <w:top w:val="nil"/>
              <w:left w:val="nil"/>
              <w:bottom w:val="nil"/>
              <w:right w:val="nil"/>
            </w:tcBorders>
            <w:shd w:val="clear" w:color="000000" w:fill="00FF00"/>
            <w:vAlign w:val="center"/>
            <w:hideMark/>
          </w:tcPr>
          <w:p w14:paraId="3445656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6550294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00FF00"/>
            <w:vAlign w:val="center"/>
            <w:hideMark/>
          </w:tcPr>
          <w:p w14:paraId="4F4DB66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00FF00"/>
            <w:vAlign w:val="center"/>
            <w:hideMark/>
          </w:tcPr>
          <w:p w14:paraId="735C880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3FDB6E3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00FF00"/>
            <w:vAlign w:val="center"/>
            <w:hideMark/>
          </w:tcPr>
          <w:p w14:paraId="6020804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59E73D5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00FF00"/>
            <w:vAlign w:val="center"/>
            <w:hideMark/>
          </w:tcPr>
          <w:p w14:paraId="172979B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2D2E468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635490F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3E4A517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00FF00"/>
            <w:vAlign w:val="center"/>
            <w:hideMark/>
          </w:tcPr>
          <w:p w14:paraId="4423EDC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3165402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00FF00"/>
            <w:vAlign w:val="center"/>
            <w:hideMark/>
          </w:tcPr>
          <w:p w14:paraId="145A409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656C3AA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00FF00"/>
            <w:vAlign w:val="center"/>
            <w:hideMark/>
          </w:tcPr>
          <w:p w14:paraId="04128D5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1762C6F5" w14:textId="77777777" w:rsidTr="00595060">
        <w:trPr>
          <w:trHeight w:val="615"/>
        </w:trPr>
        <w:tc>
          <w:tcPr>
            <w:tcW w:w="702" w:type="dxa"/>
            <w:gridSpan w:val="2"/>
            <w:tcBorders>
              <w:top w:val="nil"/>
              <w:left w:val="nil"/>
              <w:bottom w:val="nil"/>
              <w:right w:val="nil"/>
            </w:tcBorders>
            <w:shd w:val="clear" w:color="000000" w:fill="6FE7FF"/>
            <w:vAlign w:val="center"/>
            <w:hideMark/>
          </w:tcPr>
          <w:p w14:paraId="776A868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4CB8966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606EDCD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1.</w:t>
            </w:r>
          </w:p>
        </w:tc>
        <w:tc>
          <w:tcPr>
            <w:tcW w:w="1770" w:type="dxa"/>
            <w:gridSpan w:val="2"/>
            <w:tcBorders>
              <w:top w:val="nil"/>
              <w:left w:val="nil"/>
              <w:bottom w:val="single" w:sz="8" w:space="0" w:color="auto"/>
              <w:right w:val="nil"/>
            </w:tcBorders>
            <w:shd w:val="clear" w:color="000000" w:fill="6FE7FF"/>
            <w:vAlign w:val="center"/>
            <w:hideMark/>
          </w:tcPr>
          <w:p w14:paraId="181ADB6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258" w:type="dxa"/>
            <w:gridSpan w:val="2"/>
            <w:tcBorders>
              <w:top w:val="nil"/>
              <w:left w:val="nil"/>
              <w:bottom w:val="single" w:sz="8" w:space="0" w:color="auto"/>
              <w:right w:val="nil"/>
            </w:tcBorders>
            <w:shd w:val="clear" w:color="000000" w:fill="6FE7FF"/>
            <w:vAlign w:val="center"/>
            <w:hideMark/>
          </w:tcPr>
          <w:p w14:paraId="595FDA3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Strengthening joint control mechanisms and capacities in order to combat illegal trade and organized crime</w:t>
            </w:r>
          </w:p>
        </w:tc>
        <w:tc>
          <w:tcPr>
            <w:tcW w:w="522" w:type="dxa"/>
            <w:gridSpan w:val="2"/>
            <w:tcBorders>
              <w:top w:val="nil"/>
              <w:left w:val="nil"/>
              <w:bottom w:val="single" w:sz="8" w:space="0" w:color="auto"/>
              <w:right w:val="nil"/>
            </w:tcBorders>
            <w:shd w:val="clear" w:color="000000" w:fill="6FE7FF"/>
            <w:vAlign w:val="center"/>
            <w:hideMark/>
          </w:tcPr>
          <w:p w14:paraId="4D42EA4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1B22D3D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8" w:space="0" w:color="auto"/>
              <w:right w:val="nil"/>
            </w:tcBorders>
            <w:shd w:val="clear" w:color="000000" w:fill="6FE7FF"/>
            <w:vAlign w:val="center"/>
            <w:hideMark/>
          </w:tcPr>
          <w:p w14:paraId="22262A2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2D2C4A2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17266DA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8" w:space="0" w:color="auto"/>
              <w:right w:val="nil"/>
            </w:tcBorders>
            <w:shd w:val="clear" w:color="000000" w:fill="6FE7FF"/>
            <w:vAlign w:val="center"/>
            <w:hideMark/>
          </w:tcPr>
          <w:p w14:paraId="384A4AB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1520D8D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282ACCA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0CFAE14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0FA0AE1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22429D2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8" w:space="0" w:color="auto"/>
              <w:right w:val="nil"/>
            </w:tcBorders>
            <w:shd w:val="clear" w:color="000000" w:fill="6FE7FF"/>
            <w:vAlign w:val="center"/>
            <w:hideMark/>
          </w:tcPr>
          <w:p w14:paraId="7093352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5A6C346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04221AB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2B67E88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8" w:space="0" w:color="auto"/>
              <w:right w:val="nil"/>
            </w:tcBorders>
            <w:shd w:val="clear" w:color="000000" w:fill="6FE7FF"/>
            <w:vAlign w:val="center"/>
            <w:hideMark/>
          </w:tcPr>
          <w:p w14:paraId="4C4F404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942045" w:rsidRPr="00D30847" w14:paraId="1239BCB0" w14:textId="77777777" w:rsidTr="00595060">
        <w:trPr>
          <w:trHeight w:val="718"/>
        </w:trPr>
        <w:tc>
          <w:tcPr>
            <w:tcW w:w="702" w:type="dxa"/>
            <w:gridSpan w:val="2"/>
            <w:tcBorders>
              <w:top w:val="nil"/>
              <w:left w:val="nil"/>
              <w:bottom w:val="nil"/>
              <w:right w:val="nil"/>
            </w:tcBorders>
            <w:shd w:val="clear" w:color="auto" w:fill="auto"/>
            <w:vAlign w:val="bottom"/>
            <w:hideMark/>
          </w:tcPr>
          <w:p w14:paraId="43775795" w14:textId="77777777" w:rsidR="00942045" w:rsidRPr="00D30847" w:rsidRDefault="00942045" w:rsidP="00942045">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5467B9E8"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2A53DDC3"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6E6F4B91"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nil"/>
              <w:left w:val="nil"/>
              <w:bottom w:val="single" w:sz="8" w:space="0" w:color="auto"/>
              <w:right w:val="single" w:sz="8" w:space="0" w:color="auto"/>
            </w:tcBorders>
            <w:shd w:val="clear" w:color="auto" w:fill="auto"/>
            <w:vAlign w:val="center"/>
            <w:hideMark/>
          </w:tcPr>
          <w:p w14:paraId="3EB2EFB0"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Equipping with modern and reliable control equipment and appropriate training for employees, in order to protect financial and economic interests, guarantee the safety and security of citizens, environmental protection and protection from unfair and illicit trade</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71A21012" w14:textId="75EEE89A"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14F7A46" w14:textId="62EB1C2B"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1112B376" w14:textId="74F72874"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157B7C3A" w14:textId="1BBC60F2"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3D59860D" w14:textId="3CE92B63"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2E78776B" w14:textId="19824EFD"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5E89FD6A" w14:textId="7035A628"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6ECBB887" w14:textId="4ECA6426"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1872F7E6"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0D9CF8EA"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5A05F1FD"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31214D9A"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65AAECDA"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694D5437"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56A4A6D5"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05A125F4"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51EF05A8" w14:textId="77777777" w:rsidTr="00595060">
        <w:trPr>
          <w:trHeight w:val="510"/>
        </w:trPr>
        <w:tc>
          <w:tcPr>
            <w:tcW w:w="702" w:type="dxa"/>
            <w:gridSpan w:val="2"/>
            <w:tcBorders>
              <w:top w:val="nil"/>
              <w:left w:val="nil"/>
              <w:bottom w:val="nil"/>
              <w:right w:val="nil"/>
            </w:tcBorders>
            <w:shd w:val="clear" w:color="000000" w:fill="6FE7FF"/>
            <w:vAlign w:val="center"/>
            <w:hideMark/>
          </w:tcPr>
          <w:p w14:paraId="4C08648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7904AE6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43A2D9A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2.</w:t>
            </w:r>
          </w:p>
        </w:tc>
        <w:tc>
          <w:tcPr>
            <w:tcW w:w="1770" w:type="dxa"/>
            <w:gridSpan w:val="2"/>
            <w:tcBorders>
              <w:top w:val="nil"/>
              <w:left w:val="nil"/>
              <w:bottom w:val="single" w:sz="8" w:space="0" w:color="auto"/>
              <w:right w:val="nil"/>
            </w:tcBorders>
            <w:shd w:val="clear" w:color="auto" w:fill="6FE7FF"/>
            <w:vAlign w:val="center"/>
            <w:hideMark/>
          </w:tcPr>
          <w:p w14:paraId="5985368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258" w:type="dxa"/>
            <w:gridSpan w:val="2"/>
            <w:tcBorders>
              <w:top w:val="nil"/>
              <w:left w:val="nil"/>
              <w:bottom w:val="single" w:sz="8" w:space="0" w:color="auto"/>
              <w:right w:val="nil"/>
            </w:tcBorders>
            <w:shd w:val="clear" w:color="000000" w:fill="6FE7FF"/>
            <w:vAlign w:val="center"/>
            <w:hideMark/>
          </w:tcPr>
          <w:p w14:paraId="6689EF3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Modernization of customs services and their digitalization</w:t>
            </w:r>
          </w:p>
        </w:tc>
        <w:tc>
          <w:tcPr>
            <w:tcW w:w="522" w:type="dxa"/>
            <w:gridSpan w:val="2"/>
            <w:tcBorders>
              <w:top w:val="nil"/>
              <w:left w:val="nil"/>
              <w:bottom w:val="single" w:sz="8" w:space="0" w:color="auto"/>
              <w:right w:val="nil"/>
            </w:tcBorders>
            <w:shd w:val="clear" w:color="000000" w:fill="6FE7FF"/>
            <w:vAlign w:val="center"/>
            <w:hideMark/>
          </w:tcPr>
          <w:p w14:paraId="54AA51A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250BD44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8" w:space="0" w:color="auto"/>
              <w:right w:val="nil"/>
            </w:tcBorders>
            <w:shd w:val="clear" w:color="000000" w:fill="6FE7FF"/>
            <w:vAlign w:val="center"/>
            <w:hideMark/>
          </w:tcPr>
          <w:p w14:paraId="51DC7D3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12BD834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0B60EBE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8" w:space="0" w:color="auto"/>
              <w:right w:val="nil"/>
            </w:tcBorders>
            <w:shd w:val="clear" w:color="000000" w:fill="6FE7FF"/>
            <w:vAlign w:val="center"/>
            <w:hideMark/>
          </w:tcPr>
          <w:p w14:paraId="20475CA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6CBA5B0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44438FC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6EF0D7B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2891117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6058489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8" w:space="0" w:color="auto"/>
              <w:right w:val="nil"/>
            </w:tcBorders>
            <w:shd w:val="clear" w:color="000000" w:fill="6FE7FF"/>
            <w:vAlign w:val="center"/>
            <w:hideMark/>
          </w:tcPr>
          <w:p w14:paraId="35E4B4F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21FE92B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3E4E3D8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5A9C65B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8" w:space="0" w:color="auto"/>
              <w:right w:val="nil"/>
            </w:tcBorders>
            <w:shd w:val="clear" w:color="000000" w:fill="6FE7FF"/>
            <w:vAlign w:val="center"/>
            <w:hideMark/>
          </w:tcPr>
          <w:p w14:paraId="3CF65A3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63CB6648" w14:textId="77777777" w:rsidTr="00595060">
        <w:trPr>
          <w:trHeight w:val="700"/>
        </w:trPr>
        <w:tc>
          <w:tcPr>
            <w:tcW w:w="702" w:type="dxa"/>
            <w:gridSpan w:val="2"/>
            <w:tcBorders>
              <w:top w:val="nil"/>
              <w:left w:val="nil"/>
              <w:bottom w:val="nil"/>
              <w:right w:val="nil"/>
            </w:tcBorders>
            <w:shd w:val="clear" w:color="auto" w:fill="auto"/>
            <w:vAlign w:val="bottom"/>
            <w:hideMark/>
          </w:tcPr>
          <w:p w14:paraId="59B8E189"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24B12701"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single" w:sz="8" w:space="0" w:color="auto"/>
            </w:tcBorders>
            <w:shd w:val="clear" w:color="auto" w:fill="auto"/>
            <w:vAlign w:val="center"/>
            <w:hideMark/>
          </w:tcPr>
          <w:p w14:paraId="3B3209DC"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1770" w:type="dxa"/>
            <w:gridSpan w:val="2"/>
            <w:tcBorders>
              <w:top w:val="nil"/>
              <w:left w:val="nil"/>
              <w:bottom w:val="single" w:sz="8" w:space="0" w:color="auto"/>
              <w:right w:val="nil"/>
            </w:tcBorders>
            <w:shd w:val="clear" w:color="auto" w:fill="auto"/>
            <w:vAlign w:val="center"/>
            <w:hideMark/>
          </w:tcPr>
          <w:p w14:paraId="09B1151E"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nil"/>
              <w:left w:val="nil"/>
              <w:bottom w:val="single" w:sz="8" w:space="0" w:color="auto"/>
              <w:right w:val="single" w:sz="8" w:space="0" w:color="auto"/>
            </w:tcBorders>
            <w:shd w:val="clear" w:color="auto" w:fill="auto"/>
            <w:vAlign w:val="center"/>
            <w:hideMark/>
          </w:tcPr>
          <w:p w14:paraId="6983CB5B"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xml:space="preserve">Implementation of modern systems in order to comply with the Multiannual Strategic Plan of the EU (MASP), integration with European systems and procurement of appropriate hardware. </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001D496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E9520F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3A1DD6C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25C58A0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264DF4E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17BA30F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5CF654A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711A05A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0E5784A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4E87C75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49F8217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4F2799A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3D3F99C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4BFC356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2599616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083B3E2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B84551" w:rsidRPr="00D30847" w14:paraId="1F706B4F" w14:textId="77777777" w:rsidTr="00595060">
        <w:trPr>
          <w:gridBefore w:val="1"/>
          <w:wBefore w:w="90" w:type="dxa"/>
          <w:trHeight w:val="700"/>
        </w:trPr>
        <w:tc>
          <w:tcPr>
            <w:tcW w:w="720" w:type="dxa"/>
            <w:gridSpan w:val="2"/>
            <w:tcBorders>
              <w:top w:val="nil"/>
              <w:left w:val="nil"/>
              <w:bottom w:val="nil"/>
              <w:right w:val="nil"/>
            </w:tcBorders>
            <w:shd w:val="clear" w:color="auto" w:fill="6FE7FF"/>
            <w:vAlign w:val="bottom"/>
          </w:tcPr>
          <w:p w14:paraId="00CB1E58" w14:textId="77777777" w:rsidR="00B84551" w:rsidRPr="00D30847" w:rsidRDefault="00B84551" w:rsidP="00B6646E">
            <w:pPr>
              <w:spacing w:after="0" w:line="240" w:lineRule="auto"/>
              <w:rPr>
                <w:rFonts w:eastAsia="Times New Roman" w:cs="Calibri"/>
                <w:b/>
                <w:bCs/>
                <w:sz w:val="16"/>
                <w:szCs w:val="16"/>
                <w:lang w:val="en-GB"/>
              </w:rPr>
            </w:pPr>
          </w:p>
        </w:tc>
        <w:tc>
          <w:tcPr>
            <w:tcW w:w="960" w:type="dxa"/>
            <w:gridSpan w:val="2"/>
            <w:tcBorders>
              <w:top w:val="nil"/>
              <w:left w:val="nil"/>
              <w:bottom w:val="nil"/>
              <w:right w:val="nil"/>
            </w:tcBorders>
            <w:shd w:val="clear" w:color="auto" w:fill="6FE7FF"/>
            <w:vAlign w:val="center"/>
          </w:tcPr>
          <w:p w14:paraId="0B57C015" w14:textId="77777777" w:rsidR="00B84551" w:rsidRPr="00D30847" w:rsidRDefault="00B84551" w:rsidP="00B6646E">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72" w:type="dxa"/>
            <w:tcBorders>
              <w:top w:val="nil"/>
              <w:left w:val="nil"/>
              <w:bottom w:val="nil"/>
              <w:right w:val="nil"/>
            </w:tcBorders>
            <w:shd w:val="clear" w:color="auto" w:fill="6FE7FF"/>
            <w:vAlign w:val="center"/>
          </w:tcPr>
          <w:p w14:paraId="40709C41" w14:textId="77777777" w:rsidR="00B84551" w:rsidRPr="00D30847" w:rsidRDefault="00B84551" w:rsidP="00B6646E">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3.</w:t>
            </w:r>
          </w:p>
        </w:tc>
        <w:tc>
          <w:tcPr>
            <w:tcW w:w="1878" w:type="dxa"/>
            <w:gridSpan w:val="3"/>
            <w:tcBorders>
              <w:top w:val="nil"/>
              <w:left w:val="nil"/>
              <w:bottom w:val="single" w:sz="4" w:space="0" w:color="auto"/>
              <w:right w:val="nil"/>
            </w:tcBorders>
            <w:shd w:val="clear" w:color="auto" w:fill="6FE7FF"/>
            <w:vAlign w:val="center"/>
          </w:tcPr>
          <w:p w14:paraId="3B27388D" w14:textId="77777777" w:rsidR="00B84551" w:rsidRPr="00D30847" w:rsidRDefault="00B84551" w:rsidP="00B6646E">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150" w:type="dxa"/>
            <w:tcBorders>
              <w:top w:val="nil"/>
              <w:left w:val="nil"/>
              <w:bottom w:val="single" w:sz="4" w:space="0" w:color="auto"/>
              <w:right w:val="nil"/>
            </w:tcBorders>
            <w:shd w:val="clear" w:color="auto" w:fill="6FE7FF"/>
            <w:vAlign w:val="center"/>
          </w:tcPr>
          <w:p w14:paraId="6AB14D97" w14:textId="77777777" w:rsidR="00B84551" w:rsidRPr="00D30847" w:rsidRDefault="00B84551" w:rsidP="00B6646E">
            <w:pPr>
              <w:spacing w:after="0" w:line="240" w:lineRule="auto"/>
              <w:rPr>
                <w:rFonts w:eastAsia="Times New Roman" w:cs="Calibri"/>
                <w:b/>
                <w:bCs/>
                <w:sz w:val="16"/>
                <w:szCs w:val="16"/>
                <w:lang w:val="en-GB"/>
              </w:rPr>
            </w:pPr>
            <w:r w:rsidRPr="00D30847">
              <w:rPr>
                <w:rFonts w:eastAsia="Times New Roman" w:cs="Calibri"/>
                <w:b/>
                <w:bCs/>
                <w:sz w:val="16"/>
                <w:szCs w:val="16"/>
                <w:lang w:val="en-GB"/>
              </w:rPr>
              <w:t>Adequate monitoring of excise good sand collection of excise duties</w:t>
            </w:r>
          </w:p>
        </w:tc>
        <w:tc>
          <w:tcPr>
            <w:tcW w:w="450" w:type="dxa"/>
            <w:tcBorders>
              <w:top w:val="nil"/>
              <w:left w:val="nil"/>
              <w:bottom w:val="single" w:sz="4" w:space="0" w:color="auto"/>
              <w:right w:val="nil"/>
            </w:tcBorders>
            <w:shd w:val="clear" w:color="auto" w:fill="6FE7FF"/>
            <w:vAlign w:val="center"/>
          </w:tcPr>
          <w:p w14:paraId="2EFA87ED" w14:textId="77777777" w:rsidR="00B84551" w:rsidRPr="00D30847" w:rsidRDefault="00B84551" w:rsidP="00B6646E">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4" w:space="0" w:color="auto"/>
              <w:right w:val="nil"/>
            </w:tcBorders>
            <w:shd w:val="clear" w:color="auto" w:fill="6FE7FF"/>
            <w:vAlign w:val="center"/>
          </w:tcPr>
          <w:p w14:paraId="5C3D626B" w14:textId="77777777" w:rsidR="00B84551" w:rsidRPr="00D30847" w:rsidRDefault="00B84551" w:rsidP="00B6646E">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 </w:t>
            </w:r>
          </w:p>
        </w:tc>
        <w:tc>
          <w:tcPr>
            <w:tcW w:w="510" w:type="dxa"/>
            <w:gridSpan w:val="2"/>
            <w:tcBorders>
              <w:top w:val="nil"/>
              <w:left w:val="nil"/>
              <w:bottom w:val="single" w:sz="4" w:space="0" w:color="auto"/>
              <w:right w:val="nil"/>
            </w:tcBorders>
            <w:shd w:val="clear" w:color="auto" w:fill="6FE7FF"/>
            <w:vAlign w:val="center"/>
          </w:tcPr>
          <w:p w14:paraId="39F57C1D" w14:textId="77777777" w:rsidR="00B84551" w:rsidRPr="00D30847" w:rsidRDefault="00B84551" w:rsidP="00B6646E">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4" w:space="0" w:color="auto"/>
              <w:right w:val="nil"/>
            </w:tcBorders>
            <w:shd w:val="clear" w:color="auto" w:fill="6FE7FF"/>
            <w:vAlign w:val="center"/>
          </w:tcPr>
          <w:p w14:paraId="19A724D4" w14:textId="77777777" w:rsidR="00B84551" w:rsidRPr="00D30847" w:rsidRDefault="00B84551" w:rsidP="00B6646E">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4" w:space="0" w:color="auto"/>
              <w:right w:val="nil"/>
            </w:tcBorders>
            <w:shd w:val="clear" w:color="auto" w:fill="6FE7FF"/>
            <w:vAlign w:val="center"/>
          </w:tcPr>
          <w:p w14:paraId="3C3C86A6" w14:textId="77777777" w:rsidR="00B84551" w:rsidRPr="00D30847" w:rsidRDefault="00B84551" w:rsidP="00B6646E">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2"/>
            <w:tcBorders>
              <w:top w:val="nil"/>
              <w:left w:val="nil"/>
              <w:bottom w:val="single" w:sz="4" w:space="0" w:color="auto"/>
              <w:right w:val="nil"/>
            </w:tcBorders>
            <w:shd w:val="clear" w:color="auto" w:fill="6FE7FF"/>
            <w:vAlign w:val="center"/>
          </w:tcPr>
          <w:p w14:paraId="79065988" w14:textId="77777777" w:rsidR="00B84551" w:rsidRPr="00D30847" w:rsidRDefault="00B84551" w:rsidP="00B6646E">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4" w:space="0" w:color="auto"/>
              <w:right w:val="nil"/>
            </w:tcBorders>
            <w:shd w:val="clear" w:color="auto" w:fill="6FE7FF"/>
            <w:vAlign w:val="center"/>
          </w:tcPr>
          <w:p w14:paraId="03A59E56" w14:textId="77777777" w:rsidR="00B84551" w:rsidRPr="00D30847" w:rsidRDefault="00B84551" w:rsidP="00B6646E">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4" w:space="0" w:color="auto"/>
              <w:right w:val="nil"/>
            </w:tcBorders>
            <w:shd w:val="clear" w:color="auto" w:fill="6FE7FF"/>
            <w:vAlign w:val="center"/>
          </w:tcPr>
          <w:p w14:paraId="03B7FA53" w14:textId="77777777" w:rsidR="00B84551" w:rsidRPr="00D30847" w:rsidRDefault="00B84551" w:rsidP="00B6646E">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4" w:space="0" w:color="auto"/>
              <w:right w:val="nil"/>
            </w:tcBorders>
            <w:shd w:val="clear" w:color="auto" w:fill="6FE7FF"/>
            <w:vAlign w:val="center"/>
          </w:tcPr>
          <w:p w14:paraId="440AF4A7" w14:textId="77777777" w:rsidR="00B84551" w:rsidRPr="00D30847" w:rsidRDefault="00B84551" w:rsidP="00B6646E">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4" w:space="0" w:color="auto"/>
              <w:right w:val="nil"/>
            </w:tcBorders>
            <w:shd w:val="clear" w:color="auto" w:fill="6FE7FF"/>
            <w:vAlign w:val="center"/>
          </w:tcPr>
          <w:p w14:paraId="735894D7" w14:textId="77777777" w:rsidR="00B84551" w:rsidRPr="00D30847" w:rsidRDefault="00B84551" w:rsidP="00B6646E">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4" w:space="0" w:color="auto"/>
              <w:right w:val="nil"/>
            </w:tcBorders>
            <w:shd w:val="clear" w:color="auto" w:fill="6FE7FF"/>
            <w:vAlign w:val="center"/>
          </w:tcPr>
          <w:p w14:paraId="2852E4B5" w14:textId="77777777" w:rsidR="00B84551" w:rsidRPr="00D30847" w:rsidRDefault="00B84551" w:rsidP="00B6646E">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4" w:space="0" w:color="auto"/>
              <w:right w:val="nil"/>
            </w:tcBorders>
            <w:shd w:val="clear" w:color="auto" w:fill="6FE7FF"/>
            <w:vAlign w:val="center"/>
          </w:tcPr>
          <w:p w14:paraId="0F1CBD1D" w14:textId="77777777" w:rsidR="00B84551" w:rsidRPr="00D30847" w:rsidRDefault="00B84551" w:rsidP="00B6646E">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4" w:space="0" w:color="auto"/>
              <w:right w:val="nil"/>
            </w:tcBorders>
            <w:shd w:val="clear" w:color="auto" w:fill="6FE7FF"/>
            <w:vAlign w:val="center"/>
          </w:tcPr>
          <w:p w14:paraId="5C8FAE57" w14:textId="77777777" w:rsidR="00B84551" w:rsidRPr="00D30847" w:rsidRDefault="00B84551" w:rsidP="00B6646E">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4"/>
            <w:tcBorders>
              <w:top w:val="nil"/>
              <w:left w:val="nil"/>
              <w:bottom w:val="single" w:sz="4" w:space="0" w:color="auto"/>
              <w:right w:val="nil"/>
            </w:tcBorders>
            <w:shd w:val="clear" w:color="auto" w:fill="6FE7FF"/>
            <w:vAlign w:val="center"/>
          </w:tcPr>
          <w:p w14:paraId="0F203146" w14:textId="77777777" w:rsidR="00B84551" w:rsidRPr="00D30847" w:rsidRDefault="00B84551" w:rsidP="00B6646E">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4" w:space="0" w:color="auto"/>
              <w:right w:val="nil"/>
            </w:tcBorders>
            <w:shd w:val="clear" w:color="auto" w:fill="6FE7FF"/>
            <w:vAlign w:val="center"/>
          </w:tcPr>
          <w:p w14:paraId="610F12F5" w14:textId="77777777" w:rsidR="00B84551" w:rsidRPr="00D30847" w:rsidRDefault="00B84551" w:rsidP="00B6646E">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 </w:t>
            </w:r>
          </w:p>
        </w:tc>
        <w:tc>
          <w:tcPr>
            <w:tcW w:w="630" w:type="dxa"/>
            <w:gridSpan w:val="2"/>
            <w:tcBorders>
              <w:top w:val="nil"/>
              <w:left w:val="nil"/>
              <w:bottom w:val="single" w:sz="4" w:space="0" w:color="auto"/>
              <w:right w:val="nil"/>
            </w:tcBorders>
            <w:shd w:val="clear" w:color="auto" w:fill="6FE7FF"/>
            <w:vAlign w:val="center"/>
          </w:tcPr>
          <w:p w14:paraId="1A573A9D" w14:textId="77777777" w:rsidR="00B84551" w:rsidRPr="00D30847" w:rsidRDefault="00B84551" w:rsidP="00B6646E">
            <w:pPr>
              <w:spacing w:after="0" w:line="240" w:lineRule="auto"/>
              <w:jc w:val="center"/>
              <w:rPr>
                <w:rFonts w:eastAsia="Times New Roman" w:cs="Calibri"/>
                <w:b/>
                <w:bCs/>
                <w:sz w:val="16"/>
                <w:szCs w:val="16"/>
                <w:lang w:val="en-GB"/>
              </w:rPr>
            </w:pPr>
            <w:r w:rsidRPr="00D30847">
              <w:rPr>
                <w:rFonts w:eastAsia="Times New Roman" w:cs="Calibri"/>
                <w:b/>
                <w:bCs/>
                <w:sz w:val="16"/>
                <w:szCs w:val="16"/>
                <w:lang w:val="en-GB"/>
              </w:rPr>
              <w:t> </w:t>
            </w:r>
          </w:p>
        </w:tc>
      </w:tr>
      <w:tr w:rsidR="00B84551" w:rsidRPr="00D30847" w14:paraId="768FA9E6" w14:textId="77777777" w:rsidTr="00595060">
        <w:trPr>
          <w:gridBefore w:val="1"/>
          <w:wBefore w:w="90" w:type="dxa"/>
          <w:trHeight w:val="700"/>
        </w:trPr>
        <w:tc>
          <w:tcPr>
            <w:tcW w:w="720" w:type="dxa"/>
            <w:gridSpan w:val="2"/>
            <w:tcBorders>
              <w:top w:val="nil"/>
              <w:left w:val="nil"/>
              <w:bottom w:val="nil"/>
              <w:right w:val="nil"/>
            </w:tcBorders>
            <w:shd w:val="clear" w:color="auto" w:fill="auto"/>
            <w:vAlign w:val="bottom"/>
          </w:tcPr>
          <w:p w14:paraId="36D17A1C" w14:textId="77777777" w:rsidR="00B84551" w:rsidRPr="00D30847" w:rsidRDefault="00B84551" w:rsidP="00B6646E">
            <w:pPr>
              <w:spacing w:after="0" w:line="240" w:lineRule="auto"/>
              <w:rPr>
                <w:rFonts w:eastAsia="Times New Roman" w:cs="Calibri"/>
                <w:b/>
                <w:bCs/>
                <w:sz w:val="16"/>
                <w:szCs w:val="16"/>
                <w:lang w:val="en-GB"/>
              </w:rPr>
            </w:pPr>
          </w:p>
        </w:tc>
        <w:tc>
          <w:tcPr>
            <w:tcW w:w="960" w:type="dxa"/>
            <w:gridSpan w:val="2"/>
            <w:tcBorders>
              <w:top w:val="nil"/>
              <w:left w:val="nil"/>
              <w:bottom w:val="nil"/>
              <w:right w:val="nil"/>
            </w:tcBorders>
            <w:shd w:val="clear" w:color="auto" w:fill="auto"/>
            <w:vAlign w:val="center"/>
          </w:tcPr>
          <w:p w14:paraId="1D4657CB" w14:textId="77777777" w:rsidR="00B84551" w:rsidRPr="00D30847" w:rsidRDefault="00B84551" w:rsidP="00B6646E">
            <w:pPr>
              <w:spacing w:after="0" w:line="240" w:lineRule="auto"/>
              <w:rPr>
                <w:rFonts w:eastAsia="Times New Roman" w:cs="Calibri"/>
                <w:b/>
                <w:bCs/>
                <w:sz w:val="16"/>
                <w:szCs w:val="16"/>
                <w:lang w:val="en-GB"/>
              </w:rPr>
            </w:pPr>
          </w:p>
        </w:tc>
        <w:tc>
          <w:tcPr>
            <w:tcW w:w="672" w:type="dxa"/>
            <w:tcBorders>
              <w:top w:val="nil"/>
              <w:left w:val="nil"/>
              <w:bottom w:val="nil"/>
              <w:right w:val="single" w:sz="4" w:space="0" w:color="auto"/>
            </w:tcBorders>
            <w:shd w:val="clear" w:color="auto" w:fill="auto"/>
            <w:vAlign w:val="center"/>
          </w:tcPr>
          <w:p w14:paraId="2EA2D57F" w14:textId="77777777" w:rsidR="00B84551" w:rsidRPr="00D30847" w:rsidRDefault="00B84551" w:rsidP="00B6646E">
            <w:pPr>
              <w:spacing w:after="0" w:line="240" w:lineRule="auto"/>
              <w:rPr>
                <w:rFonts w:eastAsia="Times New Roman" w:cs="Calibri"/>
                <w:b/>
                <w:bCs/>
                <w:sz w:val="16"/>
                <w:szCs w:val="16"/>
                <w:lang w:val="en-GB"/>
              </w:rPr>
            </w:pPr>
          </w:p>
        </w:tc>
        <w:tc>
          <w:tcPr>
            <w:tcW w:w="1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E53F4E" w14:textId="77777777" w:rsidR="00B84551" w:rsidRPr="00D30847" w:rsidRDefault="00B84551" w:rsidP="00B6646E">
            <w:pPr>
              <w:spacing w:after="0" w:line="240" w:lineRule="auto"/>
              <w:rPr>
                <w:rFonts w:eastAsia="Times New Roman" w:cs="Calibri"/>
                <w:bCs/>
                <w:sz w:val="16"/>
                <w:szCs w:val="16"/>
                <w:lang w:val="en-GB"/>
              </w:rPr>
            </w:pPr>
            <w:r w:rsidRPr="00D30847">
              <w:rPr>
                <w:rFonts w:eastAsia="Times New Roman" w:cs="Calibri"/>
                <w:bCs/>
                <w:sz w:val="16"/>
                <w:szCs w:val="16"/>
                <w:lang w:val="en-GB"/>
              </w:rPr>
              <w:t>Activity 1</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0BA68D4" w14:textId="77777777" w:rsidR="00B84551" w:rsidRPr="00D30847" w:rsidRDefault="00B84551" w:rsidP="00B6646E">
            <w:pPr>
              <w:spacing w:after="0" w:line="240" w:lineRule="auto"/>
              <w:rPr>
                <w:rFonts w:eastAsia="Times New Roman" w:cs="Calibri"/>
                <w:b/>
                <w:bCs/>
                <w:sz w:val="16"/>
                <w:szCs w:val="16"/>
                <w:lang w:val="en-GB"/>
              </w:rPr>
            </w:pPr>
            <w:r w:rsidRPr="00D30847">
              <w:rPr>
                <w:rFonts w:eastAsia="Times New Roman" w:cs="Calibri"/>
                <w:sz w:val="16"/>
                <w:szCs w:val="16"/>
                <w:lang w:val="en-GB"/>
              </w:rPr>
              <w:t>Establishing a system for marking and tracking tobacco products (cigarettes) through the TRACK&amp;TRACE system</w:t>
            </w:r>
          </w:p>
        </w:tc>
        <w:tc>
          <w:tcPr>
            <w:tcW w:w="450" w:type="dxa"/>
            <w:tcBorders>
              <w:top w:val="single" w:sz="4" w:space="0" w:color="auto"/>
              <w:left w:val="single" w:sz="4" w:space="0" w:color="auto"/>
              <w:bottom w:val="single" w:sz="4" w:space="0" w:color="auto"/>
              <w:right w:val="single" w:sz="4" w:space="0" w:color="auto"/>
            </w:tcBorders>
            <w:shd w:val="clear" w:color="auto" w:fill="0000FF"/>
            <w:vAlign w:val="center"/>
          </w:tcPr>
          <w:p w14:paraId="3A547085" w14:textId="77777777" w:rsidR="00B84551" w:rsidRPr="00D30847" w:rsidRDefault="00B84551" w:rsidP="00B6646E">
            <w:pPr>
              <w:spacing w:after="0" w:line="240" w:lineRule="auto"/>
              <w:jc w:val="center"/>
              <w:rPr>
                <w:rFonts w:eastAsia="Times New Roman" w:cs="Calibri"/>
                <w:color w:val="FFFFFF"/>
                <w:sz w:val="16"/>
                <w:szCs w:val="16"/>
                <w:lang w:val="en-GB"/>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0000FF"/>
            <w:vAlign w:val="center"/>
          </w:tcPr>
          <w:p w14:paraId="546D808C" w14:textId="77777777" w:rsidR="00B84551" w:rsidRPr="00D30847" w:rsidRDefault="00B84551" w:rsidP="00B6646E">
            <w:pPr>
              <w:spacing w:after="0" w:line="240" w:lineRule="auto"/>
              <w:jc w:val="center"/>
              <w:rPr>
                <w:rFonts w:eastAsia="Times New Roman" w:cs="Calibri"/>
                <w:color w:val="FFFFFF"/>
                <w:sz w:val="16"/>
                <w:szCs w:val="16"/>
                <w:lang w:val="en-GB"/>
              </w:rPr>
            </w:pPr>
          </w:p>
        </w:tc>
        <w:tc>
          <w:tcPr>
            <w:tcW w:w="510" w:type="dxa"/>
            <w:gridSpan w:val="2"/>
            <w:tcBorders>
              <w:top w:val="single" w:sz="4" w:space="0" w:color="auto"/>
              <w:left w:val="single" w:sz="4" w:space="0" w:color="auto"/>
              <w:bottom w:val="single" w:sz="4" w:space="0" w:color="auto"/>
              <w:right w:val="single" w:sz="4" w:space="0" w:color="auto"/>
            </w:tcBorders>
            <w:shd w:val="clear" w:color="auto" w:fill="0000FF"/>
            <w:vAlign w:val="center"/>
          </w:tcPr>
          <w:p w14:paraId="07E959B9" w14:textId="77777777" w:rsidR="00B84551" w:rsidRPr="00D30847" w:rsidRDefault="00B84551" w:rsidP="00B6646E">
            <w:pPr>
              <w:spacing w:after="0" w:line="240" w:lineRule="auto"/>
              <w:jc w:val="center"/>
              <w:rPr>
                <w:rFonts w:eastAsia="Times New Roman" w:cs="Calibri"/>
                <w:color w:val="FFFFFF"/>
                <w:sz w:val="16"/>
                <w:szCs w:val="16"/>
                <w:lang w:val="en-GB"/>
              </w:rPr>
            </w:pPr>
          </w:p>
        </w:tc>
        <w:tc>
          <w:tcPr>
            <w:tcW w:w="480" w:type="dxa"/>
            <w:gridSpan w:val="3"/>
            <w:tcBorders>
              <w:top w:val="single" w:sz="4" w:space="0" w:color="auto"/>
              <w:left w:val="single" w:sz="4" w:space="0" w:color="auto"/>
              <w:bottom w:val="single" w:sz="4" w:space="0" w:color="auto"/>
              <w:right w:val="single" w:sz="4" w:space="0" w:color="auto"/>
            </w:tcBorders>
            <w:shd w:val="clear" w:color="auto" w:fill="0000FF"/>
            <w:vAlign w:val="center"/>
          </w:tcPr>
          <w:p w14:paraId="1E23C009" w14:textId="77777777" w:rsidR="00B84551" w:rsidRPr="00D30847" w:rsidRDefault="00B84551" w:rsidP="00B6646E">
            <w:pPr>
              <w:spacing w:after="0" w:line="240" w:lineRule="auto"/>
              <w:jc w:val="center"/>
              <w:rPr>
                <w:rFonts w:eastAsia="Times New Roman" w:cs="Calibri"/>
                <w:color w:val="FFFFFF"/>
                <w:sz w:val="16"/>
                <w:szCs w:val="16"/>
                <w:lang w:val="en-GB"/>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0000FF"/>
            <w:vAlign w:val="center"/>
          </w:tcPr>
          <w:p w14:paraId="5C8AEB17" w14:textId="77777777" w:rsidR="00B84551" w:rsidRPr="00D30847" w:rsidRDefault="00B84551" w:rsidP="00B6646E">
            <w:pPr>
              <w:spacing w:after="0" w:line="240" w:lineRule="auto"/>
              <w:jc w:val="center"/>
              <w:rPr>
                <w:rFonts w:eastAsia="Times New Roman" w:cs="Calibri"/>
                <w:color w:val="FFFFFF"/>
                <w:sz w:val="16"/>
                <w:szCs w:val="16"/>
                <w:lang w:val="en-GB"/>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0000FF"/>
            <w:vAlign w:val="center"/>
          </w:tcPr>
          <w:p w14:paraId="5869B8AE" w14:textId="77777777" w:rsidR="00B84551" w:rsidRPr="00D30847" w:rsidRDefault="00B84551" w:rsidP="00B6646E">
            <w:pPr>
              <w:spacing w:after="0" w:line="240" w:lineRule="auto"/>
              <w:jc w:val="center"/>
              <w:rPr>
                <w:rFonts w:eastAsia="Times New Roman" w:cs="Calibri"/>
                <w:color w:val="FFFFFF"/>
                <w:sz w:val="16"/>
                <w:szCs w:val="16"/>
                <w:lang w:val="en-GB"/>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0000FF"/>
            <w:vAlign w:val="center"/>
          </w:tcPr>
          <w:p w14:paraId="6ADED78E" w14:textId="77777777" w:rsidR="00B84551" w:rsidRPr="00D30847" w:rsidRDefault="00B84551" w:rsidP="00B6646E">
            <w:pPr>
              <w:spacing w:after="0" w:line="240" w:lineRule="auto"/>
              <w:jc w:val="center"/>
              <w:rPr>
                <w:rFonts w:eastAsia="Times New Roman" w:cs="Calibri"/>
                <w:color w:val="FFFFFF"/>
                <w:sz w:val="16"/>
                <w:szCs w:val="16"/>
                <w:lang w:val="en-GB"/>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0000FF"/>
            <w:vAlign w:val="center"/>
          </w:tcPr>
          <w:p w14:paraId="02005575" w14:textId="77777777" w:rsidR="00B84551" w:rsidRPr="00D30847" w:rsidRDefault="00B84551" w:rsidP="00B6646E">
            <w:pPr>
              <w:spacing w:after="0" w:line="240" w:lineRule="auto"/>
              <w:jc w:val="center"/>
              <w:rPr>
                <w:rFonts w:eastAsia="Times New Roman" w:cs="Calibri"/>
                <w:color w:val="FFFFFF"/>
                <w:sz w:val="16"/>
                <w:szCs w:val="16"/>
                <w:lang w:val="en-GB"/>
              </w:rPr>
            </w:pPr>
          </w:p>
        </w:tc>
        <w:tc>
          <w:tcPr>
            <w:tcW w:w="450" w:type="dxa"/>
            <w:gridSpan w:val="4"/>
            <w:tcBorders>
              <w:top w:val="single" w:sz="4" w:space="0" w:color="auto"/>
              <w:left w:val="single" w:sz="4" w:space="0" w:color="auto"/>
              <w:bottom w:val="single" w:sz="4" w:space="0" w:color="auto"/>
              <w:right w:val="single" w:sz="4" w:space="0" w:color="auto"/>
            </w:tcBorders>
            <w:shd w:val="clear" w:color="auto" w:fill="0000FF"/>
            <w:vAlign w:val="center"/>
          </w:tcPr>
          <w:p w14:paraId="61DB0826" w14:textId="77777777" w:rsidR="00B84551" w:rsidRPr="00D30847" w:rsidRDefault="00B84551" w:rsidP="00B6646E">
            <w:pPr>
              <w:spacing w:after="0" w:line="240" w:lineRule="auto"/>
              <w:jc w:val="center"/>
              <w:rPr>
                <w:rFonts w:eastAsia="Times New Roman" w:cs="Calibri"/>
                <w:color w:val="FFFFFF"/>
                <w:sz w:val="16"/>
                <w:szCs w:val="16"/>
                <w:lang w:val="en-GB"/>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0000FF"/>
            <w:vAlign w:val="center"/>
          </w:tcPr>
          <w:p w14:paraId="2AD47ED0" w14:textId="77777777" w:rsidR="00B84551" w:rsidRPr="00D30847" w:rsidRDefault="00B84551" w:rsidP="00B6646E">
            <w:pPr>
              <w:spacing w:after="0" w:line="240" w:lineRule="auto"/>
              <w:jc w:val="center"/>
              <w:rPr>
                <w:rFonts w:eastAsia="Times New Roman" w:cs="Calibri"/>
                <w:color w:val="FFFFFF"/>
                <w:sz w:val="16"/>
                <w:szCs w:val="16"/>
                <w:lang w:val="en-GB"/>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0000FF"/>
            <w:vAlign w:val="center"/>
          </w:tcPr>
          <w:p w14:paraId="3511B659" w14:textId="77777777" w:rsidR="00B84551" w:rsidRPr="00D30847" w:rsidRDefault="00B84551" w:rsidP="00B6646E">
            <w:pPr>
              <w:spacing w:after="0" w:line="240" w:lineRule="auto"/>
              <w:jc w:val="center"/>
              <w:rPr>
                <w:rFonts w:eastAsia="Times New Roman" w:cs="Calibri"/>
                <w:color w:val="FFFFFF"/>
                <w:sz w:val="16"/>
                <w:szCs w:val="16"/>
                <w:lang w:val="en-GB"/>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0000FF"/>
            <w:vAlign w:val="center"/>
          </w:tcPr>
          <w:p w14:paraId="038D446F" w14:textId="77777777" w:rsidR="00B84551" w:rsidRPr="00D30847" w:rsidRDefault="00B84551" w:rsidP="00B6646E">
            <w:pPr>
              <w:spacing w:after="0" w:line="240" w:lineRule="auto"/>
              <w:jc w:val="center"/>
              <w:rPr>
                <w:rFonts w:eastAsia="Times New Roman" w:cs="Calibri"/>
                <w:color w:val="FFFFFF"/>
                <w:sz w:val="16"/>
                <w:szCs w:val="16"/>
                <w:lang w:val="en-GB"/>
              </w:rPr>
            </w:pPr>
          </w:p>
        </w:tc>
        <w:tc>
          <w:tcPr>
            <w:tcW w:w="4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871078" w14:textId="77777777" w:rsidR="00B84551" w:rsidRPr="00D30847" w:rsidRDefault="00B84551" w:rsidP="00B6646E">
            <w:pPr>
              <w:spacing w:after="0" w:line="240" w:lineRule="auto"/>
              <w:jc w:val="center"/>
              <w:rPr>
                <w:rFonts w:eastAsia="Times New Roman" w:cs="Calibri"/>
                <w:color w:val="FFFFFF"/>
                <w:sz w:val="16"/>
                <w:szCs w:val="16"/>
                <w:lang w:val="en-GB"/>
              </w:rPr>
            </w:pPr>
          </w:p>
        </w:tc>
        <w:tc>
          <w:tcPr>
            <w:tcW w:w="5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8FA3A3" w14:textId="77777777" w:rsidR="00B84551" w:rsidRPr="00D30847" w:rsidRDefault="00B84551" w:rsidP="00B6646E">
            <w:pPr>
              <w:spacing w:after="0" w:line="240" w:lineRule="auto"/>
              <w:jc w:val="center"/>
              <w:rPr>
                <w:rFonts w:eastAsia="Times New Roman" w:cs="Calibri"/>
                <w:color w:val="FFFFFF"/>
                <w:sz w:val="16"/>
                <w:szCs w:val="16"/>
                <w:lang w:val="en-GB"/>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85681A" w14:textId="77777777" w:rsidR="00B84551" w:rsidRPr="00D30847" w:rsidRDefault="00B84551" w:rsidP="00B6646E">
            <w:pPr>
              <w:spacing w:after="0" w:line="240" w:lineRule="auto"/>
              <w:jc w:val="center"/>
              <w:rPr>
                <w:rFonts w:eastAsia="Times New Roman" w:cs="Calibri"/>
                <w:color w:val="FFFFFF"/>
                <w:sz w:val="16"/>
                <w:szCs w:val="16"/>
                <w:lang w:val="en-GB"/>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776A6" w14:textId="77777777" w:rsidR="00B84551" w:rsidRPr="00D30847" w:rsidRDefault="00B84551" w:rsidP="00B6646E">
            <w:pPr>
              <w:spacing w:after="0" w:line="240" w:lineRule="auto"/>
              <w:jc w:val="center"/>
              <w:rPr>
                <w:rFonts w:eastAsia="Times New Roman" w:cs="Calibri"/>
                <w:color w:val="FFFFFF"/>
                <w:sz w:val="16"/>
                <w:szCs w:val="16"/>
                <w:lang w:val="en-GB"/>
              </w:rPr>
            </w:pPr>
          </w:p>
        </w:tc>
      </w:tr>
      <w:tr w:rsidR="00C93723" w:rsidRPr="00D30847" w14:paraId="16243C7B" w14:textId="77777777" w:rsidTr="00B84551">
        <w:trPr>
          <w:trHeight w:val="300"/>
        </w:trPr>
        <w:tc>
          <w:tcPr>
            <w:tcW w:w="15210" w:type="dxa"/>
            <w:gridSpan w:val="55"/>
            <w:tcBorders>
              <w:top w:val="nil"/>
              <w:left w:val="nil"/>
              <w:bottom w:val="nil"/>
              <w:right w:val="nil"/>
            </w:tcBorders>
            <w:shd w:val="clear" w:color="000000" w:fill="33CCFF"/>
            <w:vAlign w:val="center"/>
            <w:hideMark/>
          </w:tcPr>
          <w:p w14:paraId="0D1FC06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Pillar III - Planning and Budget</w:t>
            </w:r>
          </w:p>
        </w:tc>
      </w:tr>
      <w:tr w:rsidR="00C93723" w:rsidRPr="00D30847" w14:paraId="090DC6DD" w14:textId="77777777" w:rsidTr="00B84551">
        <w:trPr>
          <w:trHeight w:val="300"/>
        </w:trPr>
        <w:tc>
          <w:tcPr>
            <w:tcW w:w="702" w:type="dxa"/>
            <w:gridSpan w:val="2"/>
            <w:tcBorders>
              <w:top w:val="nil"/>
              <w:left w:val="nil"/>
              <w:bottom w:val="nil"/>
              <w:right w:val="nil"/>
            </w:tcBorders>
            <w:shd w:val="clear" w:color="000000" w:fill="00FF00"/>
            <w:vAlign w:val="center"/>
            <w:hideMark/>
          </w:tcPr>
          <w:p w14:paraId="0730FC1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510" w:type="dxa"/>
            <w:gridSpan w:val="6"/>
            <w:tcBorders>
              <w:top w:val="nil"/>
              <w:left w:val="nil"/>
              <w:bottom w:val="nil"/>
              <w:right w:val="nil"/>
            </w:tcBorders>
            <w:shd w:val="clear" w:color="000000" w:fill="00FF00"/>
            <w:vAlign w:val="center"/>
            <w:hideMark/>
          </w:tcPr>
          <w:p w14:paraId="7D44148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Priority 1.</w:t>
            </w:r>
          </w:p>
        </w:tc>
        <w:tc>
          <w:tcPr>
            <w:tcW w:w="3258" w:type="dxa"/>
            <w:gridSpan w:val="2"/>
            <w:tcBorders>
              <w:top w:val="nil"/>
              <w:left w:val="nil"/>
              <w:bottom w:val="nil"/>
              <w:right w:val="nil"/>
            </w:tcBorders>
            <w:shd w:val="clear" w:color="000000" w:fill="00FF00"/>
            <w:vAlign w:val="center"/>
            <w:hideMark/>
          </w:tcPr>
          <w:p w14:paraId="37D3BFB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Budget Planning</w:t>
            </w:r>
          </w:p>
        </w:tc>
        <w:tc>
          <w:tcPr>
            <w:tcW w:w="522" w:type="dxa"/>
            <w:gridSpan w:val="2"/>
            <w:tcBorders>
              <w:top w:val="nil"/>
              <w:left w:val="nil"/>
              <w:bottom w:val="nil"/>
              <w:right w:val="nil"/>
            </w:tcBorders>
            <w:shd w:val="clear" w:color="000000" w:fill="00FF00"/>
            <w:vAlign w:val="center"/>
            <w:hideMark/>
          </w:tcPr>
          <w:p w14:paraId="516F303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319897A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00FF00"/>
            <w:vAlign w:val="center"/>
            <w:hideMark/>
          </w:tcPr>
          <w:p w14:paraId="45FF937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00FF00"/>
            <w:vAlign w:val="center"/>
            <w:hideMark/>
          </w:tcPr>
          <w:p w14:paraId="78C8872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3FF6D8D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00FF00"/>
            <w:vAlign w:val="center"/>
            <w:hideMark/>
          </w:tcPr>
          <w:p w14:paraId="7BE95D9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42B8272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00FF00"/>
            <w:vAlign w:val="center"/>
            <w:hideMark/>
          </w:tcPr>
          <w:p w14:paraId="2DC2A6C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1F84450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3059149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647849D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00FF00"/>
            <w:vAlign w:val="center"/>
            <w:hideMark/>
          </w:tcPr>
          <w:p w14:paraId="75B5742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4D36CF9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00FF00"/>
            <w:vAlign w:val="center"/>
            <w:hideMark/>
          </w:tcPr>
          <w:p w14:paraId="4AC6CDC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47D09FF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00FF00"/>
            <w:vAlign w:val="center"/>
            <w:hideMark/>
          </w:tcPr>
          <w:p w14:paraId="299660D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501C37A2" w14:textId="77777777" w:rsidTr="00595060">
        <w:trPr>
          <w:trHeight w:val="315"/>
        </w:trPr>
        <w:tc>
          <w:tcPr>
            <w:tcW w:w="702" w:type="dxa"/>
            <w:gridSpan w:val="2"/>
            <w:tcBorders>
              <w:top w:val="nil"/>
              <w:left w:val="nil"/>
              <w:bottom w:val="nil"/>
              <w:right w:val="nil"/>
            </w:tcBorders>
            <w:shd w:val="clear" w:color="000000" w:fill="33CCFF"/>
            <w:vAlign w:val="center"/>
            <w:hideMark/>
          </w:tcPr>
          <w:p w14:paraId="7092CCF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33CCFF"/>
            <w:vAlign w:val="center"/>
            <w:hideMark/>
          </w:tcPr>
          <w:p w14:paraId="4ACD56C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046" w:type="dxa"/>
            <w:gridSpan w:val="4"/>
            <w:tcBorders>
              <w:top w:val="nil"/>
              <w:left w:val="nil"/>
              <w:bottom w:val="nil"/>
              <w:right w:val="nil"/>
            </w:tcBorders>
            <w:shd w:val="clear" w:color="000000" w:fill="33CCFF"/>
            <w:vAlign w:val="center"/>
            <w:hideMark/>
          </w:tcPr>
          <w:p w14:paraId="4285E0E3" w14:textId="7A532A1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w:t>
            </w:r>
            <w:r w:rsidR="00612A97" w:rsidRPr="00D30847">
              <w:rPr>
                <w:rFonts w:eastAsia="Times New Roman" w:cs="Calibri"/>
                <w:b/>
                <w:bCs/>
                <w:sz w:val="16"/>
                <w:szCs w:val="16"/>
                <w:lang w:val="en-GB"/>
              </w:rPr>
              <w:t xml:space="preserve"> 1.</w:t>
            </w:r>
          </w:p>
        </w:tc>
        <w:tc>
          <w:tcPr>
            <w:tcW w:w="3258" w:type="dxa"/>
            <w:gridSpan w:val="2"/>
            <w:tcBorders>
              <w:top w:val="nil"/>
              <w:left w:val="nil"/>
              <w:bottom w:val="nil"/>
              <w:right w:val="nil"/>
            </w:tcBorders>
            <w:shd w:val="clear" w:color="000000" w:fill="33CCFF"/>
            <w:vAlign w:val="center"/>
            <w:hideMark/>
          </w:tcPr>
          <w:p w14:paraId="251135D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Improving medium-term planning</w:t>
            </w:r>
          </w:p>
        </w:tc>
        <w:tc>
          <w:tcPr>
            <w:tcW w:w="522" w:type="dxa"/>
            <w:gridSpan w:val="2"/>
            <w:tcBorders>
              <w:top w:val="nil"/>
              <w:left w:val="nil"/>
              <w:bottom w:val="nil"/>
              <w:right w:val="nil"/>
            </w:tcBorders>
            <w:shd w:val="clear" w:color="000000" w:fill="33CCFF"/>
            <w:vAlign w:val="center"/>
            <w:hideMark/>
          </w:tcPr>
          <w:p w14:paraId="204B36A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007B507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33CCFF"/>
            <w:vAlign w:val="center"/>
            <w:hideMark/>
          </w:tcPr>
          <w:p w14:paraId="15CAFC3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33CCFF"/>
            <w:vAlign w:val="center"/>
            <w:hideMark/>
          </w:tcPr>
          <w:p w14:paraId="273A7DA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09F46E4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33CCFF"/>
            <w:vAlign w:val="center"/>
            <w:hideMark/>
          </w:tcPr>
          <w:p w14:paraId="0137E89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58E185B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33CCFF"/>
            <w:vAlign w:val="center"/>
            <w:hideMark/>
          </w:tcPr>
          <w:p w14:paraId="5ED36B7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33CCFF"/>
            <w:vAlign w:val="center"/>
            <w:hideMark/>
          </w:tcPr>
          <w:p w14:paraId="6FCDFDA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4C89F36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634C4FC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33CCFF"/>
            <w:vAlign w:val="center"/>
            <w:hideMark/>
          </w:tcPr>
          <w:p w14:paraId="019D3B1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33CCFF"/>
            <w:vAlign w:val="center"/>
            <w:hideMark/>
          </w:tcPr>
          <w:p w14:paraId="07F0CB3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33CCFF"/>
            <w:vAlign w:val="center"/>
            <w:hideMark/>
          </w:tcPr>
          <w:p w14:paraId="3BB1632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1F36013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33CCFF"/>
            <w:vAlign w:val="center"/>
            <w:hideMark/>
          </w:tcPr>
          <w:p w14:paraId="75DA3B2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08F84598" w14:textId="77777777" w:rsidTr="00595060">
        <w:trPr>
          <w:trHeight w:val="315"/>
        </w:trPr>
        <w:tc>
          <w:tcPr>
            <w:tcW w:w="702" w:type="dxa"/>
            <w:gridSpan w:val="2"/>
            <w:tcBorders>
              <w:top w:val="nil"/>
              <w:left w:val="nil"/>
              <w:bottom w:val="nil"/>
              <w:right w:val="nil"/>
            </w:tcBorders>
            <w:shd w:val="clear" w:color="auto" w:fill="auto"/>
            <w:vAlign w:val="bottom"/>
            <w:hideMark/>
          </w:tcPr>
          <w:p w14:paraId="658F346A"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41DABC4C"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single" w:sz="8" w:space="0" w:color="auto"/>
            </w:tcBorders>
            <w:shd w:val="clear" w:color="auto" w:fill="auto"/>
            <w:vAlign w:val="bottom"/>
            <w:hideMark/>
          </w:tcPr>
          <w:p w14:paraId="7F7677C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1770" w:type="dxa"/>
            <w:gridSpan w:val="2"/>
            <w:tcBorders>
              <w:top w:val="single" w:sz="8" w:space="0" w:color="auto"/>
              <w:left w:val="nil"/>
              <w:bottom w:val="single" w:sz="8" w:space="0" w:color="auto"/>
              <w:right w:val="nil"/>
            </w:tcBorders>
            <w:shd w:val="clear" w:color="auto" w:fill="auto"/>
            <w:vAlign w:val="center"/>
            <w:hideMark/>
          </w:tcPr>
          <w:p w14:paraId="7EDD70F7"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single" w:sz="8" w:space="0" w:color="auto"/>
              <w:left w:val="nil"/>
              <w:bottom w:val="single" w:sz="8" w:space="0" w:color="auto"/>
              <w:right w:val="single" w:sz="8" w:space="0" w:color="auto"/>
            </w:tcBorders>
            <w:shd w:val="clear" w:color="auto" w:fill="auto"/>
            <w:vAlign w:val="center"/>
            <w:hideMark/>
          </w:tcPr>
          <w:p w14:paraId="1043C120" w14:textId="0A258419" w:rsidR="00C93723" w:rsidRPr="00D30847" w:rsidRDefault="00307D27" w:rsidP="00C93723">
            <w:pPr>
              <w:spacing w:after="0" w:line="240" w:lineRule="auto"/>
              <w:rPr>
                <w:rFonts w:eastAsia="Times New Roman" w:cs="Calibri"/>
                <w:sz w:val="16"/>
                <w:szCs w:val="16"/>
                <w:lang w:val="en-GB"/>
              </w:rPr>
            </w:pPr>
            <w:r w:rsidRPr="00D30847">
              <w:rPr>
                <w:rFonts w:eastAsia="Times New Roman" w:cs="Calibri"/>
                <w:sz w:val="16"/>
                <w:szCs w:val="16"/>
                <w:lang w:val="en-GB"/>
              </w:rPr>
              <w:t>Medium-Term Fiscal Strategy based on a sectoral approach and determination of medium term expenditures ceilings</w:t>
            </w:r>
          </w:p>
        </w:tc>
        <w:tc>
          <w:tcPr>
            <w:tcW w:w="522" w:type="dxa"/>
            <w:gridSpan w:val="2"/>
            <w:tcBorders>
              <w:top w:val="single" w:sz="8" w:space="0" w:color="auto"/>
              <w:left w:val="nil"/>
              <w:bottom w:val="single" w:sz="8" w:space="0" w:color="auto"/>
              <w:right w:val="single" w:sz="8" w:space="0" w:color="auto"/>
            </w:tcBorders>
            <w:shd w:val="clear" w:color="000000" w:fill="0000FF"/>
            <w:vAlign w:val="center"/>
            <w:hideMark/>
          </w:tcPr>
          <w:p w14:paraId="125492D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5190F32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single" w:sz="8" w:space="0" w:color="auto"/>
              <w:left w:val="nil"/>
              <w:bottom w:val="single" w:sz="8" w:space="0" w:color="auto"/>
              <w:right w:val="single" w:sz="8" w:space="0" w:color="auto"/>
            </w:tcBorders>
            <w:shd w:val="clear" w:color="000000" w:fill="0000FF"/>
            <w:vAlign w:val="center"/>
            <w:hideMark/>
          </w:tcPr>
          <w:p w14:paraId="40CD04D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single" w:sz="8" w:space="0" w:color="auto"/>
              <w:left w:val="nil"/>
              <w:bottom w:val="single" w:sz="8" w:space="0" w:color="auto"/>
              <w:right w:val="single" w:sz="8" w:space="0" w:color="auto"/>
            </w:tcBorders>
            <w:shd w:val="clear" w:color="000000" w:fill="0000FF"/>
            <w:vAlign w:val="center"/>
            <w:hideMark/>
          </w:tcPr>
          <w:p w14:paraId="143FBEF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6C8DE42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single" w:sz="8" w:space="0" w:color="auto"/>
              <w:left w:val="nil"/>
              <w:bottom w:val="single" w:sz="8" w:space="0" w:color="auto"/>
              <w:right w:val="single" w:sz="8" w:space="0" w:color="auto"/>
            </w:tcBorders>
            <w:shd w:val="clear" w:color="000000" w:fill="0000FF"/>
            <w:vAlign w:val="center"/>
            <w:hideMark/>
          </w:tcPr>
          <w:p w14:paraId="1A7728A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686053C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single" w:sz="8" w:space="0" w:color="auto"/>
              <w:left w:val="nil"/>
              <w:bottom w:val="single" w:sz="8" w:space="0" w:color="auto"/>
              <w:right w:val="single" w:sz="8" w:space="0" w:color="auto"/>
            </w:tcBorders>
            <w:shd w:val="clear" w:color="000000" w:fill="0000FF"/>
            <w:vAlign w:val="center"/>
            <w:hideMark/>
          </w:tcPr>
          <w:p w14:paraId="527AFED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000000" w:fill="0000FF"/>
            <w:vAlign w:val="center"/>
            <w:hideMark/>
          </w:tcPr>
          <w:p w14:paraId="538E65A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18DD92D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0756917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single" w:sz="8" w:space="0" w:color="auto"/>
              <w:left w:val="nil"/>
              <w:bottom w:val="single" w:sz="8" w:space="0" w:color="auto"/>
              <w:right w:val="single" w:sz="8" w:space="0" w:color="auto"/>
            </w:tcBorders>
            <w:shd w:val="clear" w:color="000000" w:fill="0000FF"/>
            <w:vAlign w:val="center"/>
            <w:hideMark/>
          </w:tcPr>
          <w:p w14:paraId="1F17D39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000000" w:fill="0000FF"/>
            <w:vAlign w:val="center"/>
            <w:hideMark/>
          </w:tcPr>
          <w:p w14:paraId="701CC1E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single" w:sz="8" w:space="0" w:color="auto"/>
              <w:left w:val="nil"/>
              <w:bottom w:val="single" w:sz="8" w:space="0" w:color="auto"/>
              <w:right w:val="single" w:sz="8" w:space="0" w:color="auto"/>
            </w:tcBorders>
            <w:shd w:val="clear" w:color="000000" w:fill="0000FF"/>
            <w:vAlign w:val="center"/>
            <w:hideMark/>
          </w:tcPr>
          <w:p w14:paraId="1A48E09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78DDCB5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single" w:sz="8" w:space="0" w:color="auto"/>
              <w:left w:val="nil"/>
              <w:bottom w:val="single" w:sz="8" w:space="0" w:color="auto"/>
              <w:right w:val="single" w:sz="8" w:space="0" w:color="auto"/>
            </w:tcBorders>
            <w:shd w:val="clear" w:color="000000" w:fill="0000FF"/>
            <w:vAlign w:val="center"/>
            <w:hideMark/>
          </w:tcPr>
          <w:p w14:paraId="6FCF90F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471411ED" w14:textId="77777777" w:rsidTr="00595060">
        <w:trPr>
          <w:trHeight w:val="457"/>
        </w:trPr>
        <w:tc>
          <w:tcPr>
            <w:tcW w:w="702" w:type="dxa"/>
            <w:gridSpan w:val="2"/>
            <w:tcBorders>
              <w:top w:val="nil"/>
              <w:left w:val="nil"/>
              <w:bottom w:val="nil"/>
              <w:right w:val="nil"/>
            </w:tcBorders>
            <w:shd w:val="clear" w:color="000000" w:fill="33CCFF"/>
            <w:vAlign w:val="center"/>
            <w:hideMark/>
          </w:tcPr>
          <w:p w14:paraId="00E5009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33CCFF"/>
            <w:vAlign w:val="center"/>
            <w:hideMark/>
          </w:tcPr>
          <w:p w14:paraId="6C534FE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046" w:type="dxa"/>
            <w:gridSpan w:val="4"/>
            <w:tcBorders>
              <w:top w:val="nil"/>
              <w:left w:val="nil"/>
              <w:bottom w:val="nil"/>
              <w:right w:val="nil"/>
            </w:tcBorders>
            <w:shd w:val="clear" w:color="000000" w:fill="33CCFF"/>
            <w:vAlign w:val="center"/>
            <w:hideMark/>
          </w:tcPr>
          <w:p w14:paraId="532C541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2.</w:t>
            </w:r>
          </w:p>
        </w:tc>
        <w:tc>
          <w:tcPr>
            <w:tcW w:w="3258" w:type="dxa"/>
            <w:gridSpan w:val="2"/>
            <w:tcBorders>
              <w:top w:val="nil"/>
              <w:left w:val="nil"/>
              <w:bottom w:val="nil"/>
              <w:right w:val="nil"/>
            </w:tcBorders>
            <w:shd w:val="clear" w:color="000000" w:fill="33CCFF"/>
            <w:vAlign w:val="center"/>
            <w:hideMark/>
          </w:tcPr>
          <w:p w14:paraId="66A2C43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xml:space="preserve">Improving sectoral approach of budget planning and development and implementation of bylaws </w:t>
            </w:r>
          </w:p>
        </w:tc>
        <w:tc>
          <w:tcPr>
            <w:tcW w:w="522" w:type="dxa"/>
            <w:gridSpan w:val="2"/>
            <w:tcBorders>
              <w:top w:val="nil"/>
              <w:left w:val="nil"/>
              <w:bottom w:val="nil"/>
              <w:right w:val="nil"/>
            </w:tcBorders>
            <w:shd w:val="clear" w:color="000000" w:fill="33CCFF"/>
            <w:vAlign w:val="center"/>
            <w:hideMark/>
          </w:tcPr>
          <w:p w14:paraId="0D4DF48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02AABFA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33CCFF"/>
            <w:vAlign w:val="center"/>
            <w:hideMark/>
          </w:tcPr>
          <w:p w14:paraId="6B863C2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33CCFF"/>
            <w:vAlign w:val="center"/>
            <w:hideMark/>
          </w:tcPr>
          <w:p w14:paraId="17BDCA7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670DB14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33CCFF"/>
            <w:vAlign w:val="center"/>
            <w:hideMark/>
          </w:tcPr>
          <w:p w14:paraId="13565CB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732F983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33CCFF"/>
            <w:vAlign w:val="center"/>
            <w:hideMark/>
          </w:tcPr>
          <w:p w14:paraId="03F0727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33CCFF"/>
            <w:vAlign w:val="center"/>
            <w:hideMark/>
          </w:tcPr>
          <w:p w14:paraId="3A64277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2F4A806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582BF10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33CCFF"/>
            <w:vAlign w:val="center"/>
            <w:hideMark/>
          </w:tcPr>
          <w:p w14:paraId="28C9EFE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33CCFF"/>
            <w:vAlign w:val="center"/>
            <w:hideMark/>
          </w:tcPr>
          <w:p w14:paraId="66048B3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33CCFF"/>
            <w:vAlign w:val="center"/>
            <w:hideMark/>
          </w:tcPr>
          <w:p w14:paraId="575E90B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61E238A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33CCFF"/>
            <w:vAlign w:val="center"/>
            <w:hideMark/>
          </w:tcPr>
          <w:p w14:paraId="3EA47B1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01A623E8" w14:textId="77777777" w:rsidTr="00595060">
        <w:trPr>
          <w:trHeight w:val="301"/>
        </w:trPr>
        <w:tc>
          <w:tcPr>
            <w:tcW w:w="702" w:type="dxa"/>
            <w:gridSpan w:val="2"/>
            <w:tcBorders>
              <w:top w:val="nil"/>
              <w:left w:val="nil"/>
              <w:bottom w:val="nil"/>
              <w:right w:val="nil"/>
            </w:tcBorders>
            <w:shd w:val="clear" w:color="auto" w:fill="auto"/>
            <w:vAlign w:val="bottom"/>
            <w:hideMark/>
          </w:tcPr>
          <w:p w14:paraId="68009DBE"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7AB06A65"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single" w:sz="8" w:space="0" w:color="auto"/>
            </w:tcBorders>
            <w:shd w:val="clear" w:color="auto" w:fill="auto"/>
            <w:vAlign w:val="bottom"/>
            <w:hideMark/>
          </w:tcPr>
          <w:p w14:paraId="5CEEA5DE"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1770" w:type="dxa"/>
            <w:gridSpan w:val="2"/>
            <w:tcBorders>
              <w:top w:val="single" w:sz="8" w:space="0" w:color="auto"/>
              <w:left w:val="nil"/>
              <w:bottom w:val="single" w:sz="8" w:space="0" w:color="auto"/>
              <w:right w:val="nil"/>
            </w:tcBorders>
            <w:shd w:val="clear" w:color="auto" w:fill="auto"/>
            <w:vAlign w:val="center"/>
            <w:hideMark/>
          </w:tcPr>
          <w:p w14:paraId="4A5E152F"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single" w:sz="8" w:space="0" w:color="auto"/>
              <w:left w:val="nil"/>
              <w:bottom w:val="single" w:sz="8" w:space="0" w:color="auto"/>
              <w:right w:val="single" w:sz="8" w:space="0" w:color="auto"/>
            </w:tcBorders>
            <w:shd w:val="clear" w:color="auto" w:fill="auto"/>
            <w:vAlign w:val="center"/>
            <w:hideMark/>
          </w:tcPr>
          <w:p w14:paraId="165F7642"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xml:space="preserve">Preparing and implementing OBL bylaws </w:t>
            </w:r>
          </w:p>
        </w:tc>
        <w:tc>
          <w:tcPr>
            <w:tcW w:w="522" w:type="dxa"/>
            <w:gridSpan w:val="2"/>
            <w:tcBorders>
              <w:top w:val="single" w:sz="8" w:space="0" w:color="auto"/>
              <w:left w:val="nil"/>
              <w:bottom w:val="single" w:sz="8" w:space="0" w:color="auto"/>
              <w:right w:val="single" w:sz="8" w:space="0" w:color="auto"/>
            </w:tcBorders>
            <w:shd w:val="clear" w:color="000000" w:fill="0000FF"/>
            <w:vAlign w:val="center"/>
            <w:hideMark/>
          </w:tcPr>
          <w:p w14:paraId="67486EB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60CC007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single" w:sz="8" w:space="0" w:color="auto"/>
              <w:left w:val="nil"/>
              <w:bottom w:val="single" w:sz="8" w:space="0" w:color="auto"/>
              <w:right w:val="single" w:sz="8" w:space="0" w:color="auto"/>
            </w:tcBorders>
            <w:shd w:val="clear" w:color="000000" w:fill="0000FF"/>
            <w:vAlign w:val="center"/>
            <w:hideMark/>
          </w:tcPr>
          <w:p w14:paraId="0D3A2EC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single" w:sz="8" w:space="0" w:color="auto"/>
              <w:left w:val="nil"/>
              <w:bottom w:val="single" w:sz="8" w:space="0" w:color="auto"/>
              <w:right w:val="single" w:sz="8" w:space="0" w:color="auto"/>
            </w:tcBorders>
            <w:shd w:val="clear" w:color="000000" w:fill="0000FF"/>
            <w:vAlign w:val="center"/>
            <w:hideMark/>
          </w:tcPr>
          <w:p w14:paraId="0C21F49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0DB2273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single" w:sz="8" w:space="0" w:color="auto"/>
              <w:left w:val="nil"/>
              <w:bottom w:val="single" w:sz="8" w:space="0" w:color="auto"/>
              <w:right w:val="single" w:sz="8" w:space="0" w:color="auto"/>
            </w:tcBorders>
            <w:shd w:val="clear" w:color="000000" w:fill="0000FF"/>
            <w:vAlign w:val="center"/>
            <w:hideMark/>
          </w:tcPr>
          <w:p w14:paraId="06965BD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514D32A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single" w:sz="8" w:space="0" w:color="auto"/>
              <w:left w:val="nil"/>
              <w:bottom w:val="single" w:sz="8" w:space="0" w:color="auto"/>
              <w:right w:val="single" w:sz="8" w:space="0" w:color="auto"/>
            </w:tcBorders>
            <w:shd w:val="clear" w:color="000000" w:fill="0000FF"/>
            <w:vAlign w:val="center"/>
            <w:hideMark/>
          </w:tcPr>
          <w:p w14:paraId="199DD0D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000000" w:fill="0000FF"/>
            <w:vAlign w:val="center"/>
            <w:hideMark/>
          </w:tcPr>
          <w:p w14:paraId="5661B89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7DF2AB8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61AB48D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single" w:sz="8" w:space="0" w:color="auto"/>
              <w:left w:val="nil"/>
              <w:bottom w:val="single" w:sz="8" w:space="0" w:color="auto"/>
              <w:right w:val="single" w:sz="8" w:space="0" w:color="auto"/>
            </w:tcBorders>
            <w:shd w:val="clear" w:color="000000" w:fill="0000FF"/>
            <w:vAlign w:val="center"/>
            <w:hideMark/>
          </w:tcPr>
          <w:p w14:paraId="031712A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000000" w:fill="0000FF"/>
            <w:vAlign w:val="center"/>
            <w:hideMark/>
          </w:tcPr>
          <w:p w14:paraId="2732D49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single" w:sz="8" w:space="0" w:color="auto"/>
              <w:left w:val="nil"/>
              <w:bottom w:val="single" w:sz="8" w:space="0" w:color="auto"/>
              <w:right w:val="single" w:sz="8" w:space="0" w:color="auto"/>
            </w:tcBorders>
            <w:shd w:val="clear" w:color="000000" w:fill="0000FF"/>
            <w:vAlign w:val="center"/>
            <w:hideMark/>
          </w:tcPr>
          <w:p w14:paraId="6411F1A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1F718EB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single" w:sz="8" w:space="0" w:color="auto"/>
              <w:left w:val="nil"/>
              <w:bottom w:val="single" w:sz="8" w:space="0" w:color="auto"/>
              <w:right w:val="single" w:sz="8" w:space="0" w:color="auto"/>
            </w:tcBorders>
            <w:shd w:val="clear" w:color="000000" w:fill="0000FF"/>
            <w:vAlign w:val="center"/>
            <w:hideMark/>
          </w:tcPr>
          <w:p w14:paraId="627D72B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2014E70E" w14:textId="77777777" w:rsidTr="00595060">
        <w:trPr>
          <w:trHeight w:val="520"/>
        </w:trPr>
        <w:tc>
          <w:tcPr>
            <w:tcW w:w="702" w:type="dxa"/>
            <w:gridSpan w:val="2"/>
            <w:tcBorders>
              <w:top w:val="nil"/>
              <w:left w:val="nil"/>
              <w:bottom w:val="nil"/>
              <w:right w:val="nil"/>
            </w:tcBorders>
            <w:shd w:val="clear" w:color="auto" w:fill="auto"/>
            <w:vAlign w:val="bottom"/>
            <w:hideMark/>
          </w:tcPr>
          <w:p w14:paraId="5DBC3DD1"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199C6028"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single" w:sz="8" w:space="0" w:color="auto"/>
            </w:tcBorders>
            <w:shd w:val="clear" w:color="auto" w:fill="auto"/>
            <w:vAlign w:val="bottom"/>
            <w:hideMark/>
          </w:tcPr>
          <w:p w14:paraId="1F21ACAF"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1770" w:type="dxa"/>
            <w:gridSpan w:val="2"/>
            <w:tcBorders>
              <w:top w:val="nil"/>
              <w:left w:val="nil"/>
              <w:bottom w:val="single" w:sz="8" w:space="0" w:color="auto"/>
              <w:right w:val="nil"/>
            </w:tcBorders>
            <w:shd w:val="clear" w:color="auto" w:fill="auto"/>
            <w:vAlign w:val="center"/>
            <w:hideMark/>
          </w:tcPr>
          <w:p w14:paraId="69EA7A5B"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6364EB85"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Preparing and implementing several types of classifications - administrative/organizational, economic, program, functional classifications, as well as classification of sources of financing</w:t>
            </w:r>
          </w:p>
        </w:tc>
        <w:tc>
          <w:tcPr>
            <w:tcW w:w="522" w:type="dxa"/>
            <w:gridSpan w:val="2"/>
            <w:tcBorders>
              <w:top w:val="single" w:sz="4" w:space="0" w:color="auto"/>
              <w:left w:val="nil"/>
              <w:bottom w:val="single" w:sz="4" w:space="0" w:color="auto"/>
              <w:right w:val="single" w:sz="4" w:space="0" w:color="auto"/>
            </w:tcBorders>
            <w:shd w:val="clear" w:color="auto" w:fill="0000FF"/>
            <w:vAlign w:val="center"/>
            <w:hideMark/>
          </w:tcPr>
          <w:p w14:paraId="31AC2DD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single" w:sz="4" w:space="0" w:color="auto"/>
              <w:left w:val="nil"/>
              <w:bottom w:val="single" w:sz="4" w:space="0" w:color="auto"/>
              <w:right w:val="single" w:sz="4" w:space="0" w:color="auto"/>
            </w:tcBorders>
            <w:shd w:val="clear" w:color="auto" w:fill="0000FF"/>
            <w:vAlign w:val="center"/>
            <w:hideMark/>
          </w:tcPr>
          <w:p w14:paraId="3566CFB2"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82" w:type="dxa"/>
            <w:gridSpan w:val="3"/>
            <w:tcBorders>
              <w:top w:val="single" w:sz="4" w:space="0" w:color="auto"/>
              <w:left w:val="nil"/>
              <w:bottom w:val="single" w:sz="4" w:space="0" w:color="auto"/>
              <w:right w:val="single" w:sz="4" w:space="0" w:color="auto"/>
            </w:tcBorders>
            <w:shd w:val="clear" w:color="auto" w:fill="0000FF"/>
            <w:vAlign w:val="center"/>
            <w:hideMark/>
          </w:tcPr>
          <w:p w14:paraId="443AA38D"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80" w:type="dxa"/>
            <w:gridSpan w:val="3"/>
            <w:tcBorders>
              <w:top w:val="single" w:sz="4" w:space="0" w:color="auto"/>
              <w:left w:val="nil"/>
              <w:bottom w:val="single" w:sz="4" w:space="0" w:color="auto"/>
              <w:right w:val="single" w:sz="4" w:space="0" w:color="auto"/>
            </w:tcBorders>
            <w:shd w:val="clear" w:color="auto" w:fill="0000FF"/>
            <w:vAlign w:val="center"/>
            <w:hideMark/>
          </w:tcPr>
          <w:p w14:paraId="18A1216E"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88C3E3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373AD7B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677228F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219AB9B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47D3727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15DB99B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24A51B2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6D0FBC4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0FB6B51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6F4E810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31B900E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21644E1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942045" w:rsidRPr="00D30847" w14:paraId="13A6FCA1" w14:textId="77777777" w:rsidTr="00595060">
        <w:trPr>
          <w:trHeight w:val="615"/>
        </w:trPr>
        <w:tc>
          <w:tcPr>
            <w:tcW w:w="702" w:type="dxa"/>
            <w:gridSpan w:val="2"/>
            <w:tcBorders>
              <w:top w:val="nil"/>
              <w:left w:val="nil"/>
              <w:bottom w:val="nil"/>
              <w:right w:val="nil"/>
            </w:tcBorders>
            <w:shd w:val="clear" w:color="auto" w:fill="auto"/>
            <w:vAlign w:val="bottom"/>
            <w:hideMark/>
          </w:tcPr>
          <w:p w14:paraId="5CF0D2FC" w14:textId="77777777" w:rsidR="00942045" w:rsidRPr="00D30847" w:rsidRDefault="00942045" w:rsidP="00942045">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1DDAF1A7"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single" w:sz="8" w:space="0" w:color="auto"/>
            </w:tcBorders>
            <w:shd w:val="clear" w:color="auto" w:fill="auto"/>
            <w:vAlign w:val="bottom"/>
            <w:hideMark/>
          </w:tcPr>
          <w:p w14:paraId="737560EB"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1770" w:type="dxa"/>
            <w:gridSpan w:val="2"/>
            <w:tcBorders>
              <w:top w:val="nil"/>
              <w:left w:val="nil"/>
              <w:bottom w:val="single" w:sz="8" w:space="0" w:color="auto"/>
              <w:right w:val="nil"/>
            </w:tcBorders>
            <w:shd w:val="clear" w:color="auto" w:fill="auto"/>
            <w:vAlign w:val="center"/>
            <w:hideMark/>
          </w:tcPr>
          <w:p w14:paraId="7913FB9F"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3.</w:t>
            </w:r>
          </w:p>
        </w:tc>
        <w:tc>
          <w:tcPr>
            <w:tcW w:w="3258" w:type="dxa"/>
            <w:gridSpan w:val="2"/>
            <w:tcBorders>
              <w:top w:val="nil"/>
              <w:left w:val="nil"/>
              <w:bottom w:val="single" w:sz="8" w:space="0" w:color="auto"/>
              <w:right w:val="single" w:sz="8" w:space="0" w:color="auto"/>
            </w:tcBorders>
            <w:shd w:val="clear" w:color="auto" w:fill="auto"/>
            <w:vAlign w:val="center"/>
            <w:hideMark/>
          </w:tcPr>
          <w:p w14:paraId="0EA90477"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Strengthening of capacities, training of employees of the MoF and budget beneficiaries</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051D0CE5" w14:textId="575159E1"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4684617E" w14:textId="6CA86516"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5F9CF05E" w14:textId="56081BD4"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22BE3EEF" w14:textId="482310B8"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781292B"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3115485D"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1885E770"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640C6A62"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4B5A225E"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5BE55826"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8738825"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533A9ADA"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0A538BDE"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422981FD"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4D6CA58B"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5C17AF25"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51DC2678" w14:textId="77777777" w:rsidTr="00595060">
        <w:trPr>
          <w:trHeight w:val="315"/>
        </w:trPr>
        <w:tc>
          <w:tcPr>
            <w:tcW w:w="702" w:type="dxa"/>
            <w:gridSpan w:val="2"/>
            <w:tcBorders>
              <w:top w:val="nil"/>
              <w:left w:val="nil"/>
              <w:bottom w:val="nil"/>
              <w:right w:val="nil"/>
            </w:tcBorders>
            <w:shd w:val="clear" w:color="000000" w:fill="33CCFF"/>
            <w:vAlign w:val="center"/>
            <w:hideMark/>
          </w:tcPr>
          <w:p w14:paraId="08366C5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33CCFF"/>
            <w:vAlign w:val="center"/>
            <w:hideMark/>
          </w:tcPr>
          <w:p w14:paraId="2AE6A31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046" w:type="dxa"/>
            <w:gridSpan w:val="4"/>
            <w:tcBorders>
              <w:top w:val="nil"/>
              <w:left w:val="nil"/>
              <w:bottom w:val="nil"/>
              <w:right w:val="nil"/>
            </w:tcBorders>
            <w:shd w:val="clear" w:color="000000" w:fill="33CCFF"/>
            <w:vAlign w:val="center"/>
            <w:hideMark/>
          </w:tcPr>
          <w:p w14:paraId="6D0A80C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3.</w:t>
            </w:r>
          </w:p>
        </w:tc>
        <w:tc>
          <w:tcPr>
            <w:tcW w:w="3258" w:type="dxa"/>
            <w:gridSpan w:val="2"/>
            <w:tcBorders>
              <w:top w:val="nil"/>
              <w:left w:val="nil"/>
              <w:bottom w:val="nil"/>
              <w:right w:val="nil"/>
            </w:tcBorders>
            <w:shd w:val="clear" w:color="000000" w:fill="33CCFF"/>
            <w:vAlign w:val="center"/>
            <w:hideMark/>
          </w:tcPr>
          <w:p w14:paraId="46FAC4E1" w14:textId="5385FB54" w:rsidR="00C93723" w:rsidRPr="00D30847" w:rsidRDefault="009309E3" w:rsidP="001C4890">
            <w:pPr>
              <w:spacing w:after="0" w:line="240" w:lineRule="auto"/>
              <w:rPr>
                <w:rFonts w:eastAsia="Times New Roman" w:cs="Calibri"/>
                <w:b/>
                <w:bCs/>
                <w:sz w:val="16"/>
                <w:szCs w:val="16"/>
                <w:lang w:val="en-GB"/>
              </w:rPr>
            </w:pPr>
            <w:r w:rsidRPr="00D30847">
              <w:rPr>
                <w:rFonts w:eastAsia="Times New Roman" w:cs="Calibri"/>
                <w:b/>
                <w:bCs/>
                <w:sz w:val="16"/>
                <w:szCs w:val="16"/>
                <w:lang w:val="en-GB"/>
              </w:rPr>
              <w:t>Improved performance based budget</w:t>
            </w:r>
          </w:p>
        </w:tc>
        <w:tc>
          <w:tcPr>
            <w:tcW w:w="522" w:type="dxa"/>
            <w:gridSpan w:val="2"/>
            <w:tcBorders>
              <w:top w:val="nil"/>
              <w:left w:val="nil"/>
              <w:bottom w:val="nil"/>
              <w:right w:val="nil"/>
            </w:tcBorders>
            <w:shd w:val="clear" w:color="000000" w:fill="33CCFF"/>
            <w:vAlign w:val="center"/>
            <w:hideMark/>
          </w:tcPr>
          <w:p w14:paraId="1D5FD85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00FA301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33CCFF"/>
            <w:vAlign w:val="center"/>
            <w:hideMark/>
          </w:tcPr>
          <w:p w14:paraId="19145AB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33CCFF"/>
            <w:vAlign w:val="center"/>
            <w:hideMark/>
          </w:tcPr>
          <w:p w14:paraId="3CEA0A2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7995864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33CCFF"/>
            <w:vAlign w:val="center"/>
            <w:hideMark/>
          </w:tcPr>
          <w:p w14:paraId="784D21D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4217287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33CCFF"/>
            <w:vAlign w:val="center"/>
            <w:hideMark/>
          </w:tcPr>
          <w:p w14:paraId="0D78397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33CCFF"/>
            <w:vAlign w:val="center"/>
            <w:hideMark/>
          </w:tcPr>
          <w:p w14:paraId="58417B1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631B508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29EC657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33CCFF"/>
            <w:vAlign w:val="center"/>
            <w:hideMark/>
          </w:tcPr>
          <w:p w14:paraId="6CFC6E3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33CCFF"/>
            <w:vAlign w:val="center"/>
            <w:hideMark/>
          </w:tcPr>
          <w:p w14:paraId="2B1C85A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33CCFF"/>
            <w:vAlign w:val="center"/>
            <w:hideMark/>
          </w:tcPr>
          <w:p w14:paraId="00410E1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5AC69D2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33CCFF"/>
            <w:vAlign w:val="center"/>
            <w:hideMark/>
          </w:tcPr>
          <w:p w14:paraId="1088241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942045" w:rsidRPr="00D30847" w14:paraId="3B90D6A3" w14:textId="77777777" w:rsidTr="00595060">
        <w:trPr>
          <w:trHeight w:val="466"/>
        </w:trPr>
        <w:tc>
          <w:tcPr>
            <w:tcW w:w="702" w:type="dxa"/>
            <w:gridSpan w:val="2"/>
            <w:tcBorders>
              <w:top w:val="nil"/>
              <w:left w:val="nil"/>
              <w:bottom w:val="nil"/>
              <w:right w:val="nil"/>
            </w:tcBorders>
            <w:shd w:val="clear" w:color="auto" w:fill="auto"/>
            <w:vAlign w:val="bottom"/>
            <w:hideMark/>
          </w:tcPr>
          <w:p w14:paraId="05BCAD54" w14:textId="77777777" w:rsidR="00942045" w:rsidRPr="00D30847" w:rsidRDefault="00942045" w:rsidP="00942045">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325219ED"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single" w:sz="4" w:space="0" w:color="auto"/>
            </w:tcBorders>
            <w:shd w:val="clear" w:color="auto" w:fill="auto"/>
            <w:vAlign w:val="bottom"/>
            <w:hideMark/>
          </w:tcPr>
          <w:p w14:paraId="12B96B99"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single" w:sz="4" w:space="0" w:color="auto"/>
              <w:left w:val="single" w:sz="4" w:space="0" w:color="auto"/>
              <w:bottom w:val="single" w:sz="4" w:space="0" w:color="auto"/>
            </w:tcBorders>
            <w:shd w:val="clear" w:color="auto" w:fill="auto"/>
            <w:vAlign w:val="center"/>
            <w:hideMark/>
          </w:tcPr>
          <w:p w14:paraId="6E617F88"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single" w:sz="4" w:space="0" w:color="auto"/>
              <w:bottom w:val="single" w:sz="4" w:space="0" w:color="auto"/>
              <w:right w:val="single" w:sz="4" w:space="0" w:color="auto"/>
            </w:tcBorders>
            <w:shd w:val="clear" w:color="auto" w:fill="auto"/>
            <w:vAlign w:val="center"/>
            <w:hideMark/>
          </w:tcPr>
          <w:p w14:paraId="2D667207" w14:textId="7F31DF54"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xml:space="preserve">Developing </w:t>
            </w:r>
            <w:r w:rsidR="009309E3" w:rsidRPr="00D30847">
              <w:rPr>
                <w:rFonts w:eastAsia="Times New Roman" w:cs="Calibri"/>
                <w:sz w:val="16"/>
                <w:szCs w:val="16"/>
                <w:lang w:val="en-GB"/>
              </w:rPr>
              <w:t xml:space="preserve">of </w:t>
            </w:r>
            <w:r w:rsidRPr="00D30847">
              <w:rPr>
                <w:rFonts w:eastAsia="Times New Roman" w:cs="Calibri"/>
                <w:sz w:val="16"/>
                <w:szCs w:val="16"/>
                <w:lang w:val="en-GB"/>
              </w:rPr>
              <w:t>multi-year indicators for measuring the success in the implementation of budget policies</w:t>
            </w:r>
          </w:p>
        </w:tc>
        <w:tc>
          <w:tcPr>
            <w:tcW w:w="522" w:type="dxa"/>
            <w:gridSpan w:val="2"/>
            <w:tcBorders>
              <w:top w:val="nil"/>
              <w:left w:val="single" w:sz="4" w:space="0" w:color="auto"/>
              <w:bottom w:val="single" w:sz="8" w:space="0" w:color="auto"/>
              <w:right w:val="single" w:sz="8" w:space="0" w:color="auto"/>
            </w:tcBorders>
            <w:shd w:val="clear" w:color="000000" w:fill="0000FF"/>
            <w:vAlign w:val="center"/>
            <w:hideMark/>
          </w:tcPr>
          <w:p w14:paraId="4E31467E" w14:textId="4772E38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536A2258" w14:textId="2643F6CB"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29B46A41" w14:textId="260E1A72"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095D02C1" w14:textId="12D23909"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single" w:sz="4" w:space="0" w:color="auto"/>
              <w:left w:val="nil"/>
              <w:bottom w:val="single" w:sz="4" w:space="0" w:color="auto"/>
              <w:right w:val="single" w:sz="4" w:space="0" w:color="auto"/>
            </w:tcBorders>
            <w:shd w:val="clear" w:color="000000" w:fill="0000FF"/>
            <w:vAlign w:val="center"/>
            <w:hideMark/>
          </w:tcPr>
          <w:p w14:paraId="503F4FFF"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single" w:sz="4" w:space="0" w:color="auto"/>
              <w:left w:val="nil"/>
              <w:bottom w:val="single" w:sz="4" w:space="0" w:color="auto"/>
              <w:right w:val="single" w:sz="4" w:space="0" w:color="auto"/>
            </w:tcBorders>
            <w:shd w:val="clear" w:color="000000" w:fill="0000FF"/>
            <w:vAlign w:val="center"/>
            <w:hideMark/>
          </w:tcPr>
          <w:p w14:paraId="27ECD815"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4" w:space="0" w:color="auto"/>
              <w:left w:val="nil"/>
              <w:bottom w:val="single" w:sz="4" w:space="0" w:color="auto"/>
              <w:right w:val="single" w:sz="4" w:space="0" w:color="auto"/>
            </w:tcBorders>
            <w:shd w:val="clear" w:color="000000" w:fill="0000FF"/>
            <w:vAlign w:val="center"/>
            <w:hideMark/>
          </w:tcPr>
          <w:p w14:paraId="442A6D6D"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single" w:sz="4" w:space="0" w:color="auto"/>
              <w:left w:val="nil"/>
              <w:bottom w:val="single" w:sz="4" w:space="0" w:color="auto"/>
              <w:right w:val="single" w:sz="4" w:space="0" w:color="auto"/>
            </w:tcBorders>
            <w:shd w:val="clear" w:color="000000" w:fill="0000FF"/>
            <w:vAlign w:val="center"/>
            <w:hideMark/>
          </w:tcPr>
          <w:p w14:paraId="2AB4D999"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4" w:space="0" w:color="auto"/>
              <w:left w:val="nil"/>
              <w:bottom w:val="single" w:sz="4" w:space="0" w:color="auto"/>
              <w:right w:val="single" w:sz="4" w:space="0" w:color="auto"/>
            </w:tcBorders>
            <w:shd w:val="clear" w:color="000000" w:fill="0000FF"/>
            <w:vAlign w:val="center"/>
            <w:hideMark/>
          </w:tcPr>
          <w:p w14:paraId="770C84BE"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4" w:space="0" w:color="auto"/>
              <w:left w:val="nil"/>
              <w:bottom w:val="single" w:sz="4" w:space="0" w:color="auto"/>
              <w:right w:val="single" w:sz="4" w:space="0" w:color="auto"/>
            </w:tcBorders>
            <w:shd w:val="clear" w:color="000000" w:fill="0000FF"/>
            <w:vAlign w:val="center"/>
            <w:hideMark/>
          </w:tcPr>
          <w:p w14:paraId="364D55C6"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4" w:space="0" w:color="auto"/>
              <w:left w:val="nil"/>
              <w:bottom w:val="single" w:sz="4" w:space="0" w:color="auto"/>
              <w:right w:val="single" w:sz="4" w:space="0" w:color="auto"/>
            </w:tcBorders>
            <w:shd w:val="clear" w:color="000000" w:fill="0000FF"/>
            <w:vAlign w:val="center"/>
            <w:hideMark/>
          </w:tcPr>
          <w:p w14:paraId="4FE0645F"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single" w:sz="4" w:space="0" w:color="auto"/>
              <w:left w:val="nil"/>
              <w:bottom w:val="single" w:sz="4" w:space="0" w:color="auto"/>
              <w:right w:val="single" w:sz="4" w:space="0" w:color="auto"/>
            </w:tcBorders>
            <w:shd w:val="clear" w:color="000000" w:fill="0000FF"/>
            <w:vAlign w:val="center"/>
            <w:hideMark/>
          </w:tcPr>
          <w:p w14:paraId="6E776960"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4" w:space="0" w:color="auto"/>
              <w:left w:val="nil"/>
              <w:bottom w:val="single" w:sz="4" w:space="0" w:color="auto"/>
              <w:right w:val="single" w:sz="4" w:space="0" w:color="auto"/>
            </w:tcBorders>
            <w:shd w:val="clear" w:color="000000" w:fill="0000FF"/>
            <w:vAlign w:val="center"/>
            <w:hideMark/>
          </w:tcPr>
          <w:p w14:paraId="7612720C"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single" w:sz="4" w:space="0" w:color="auto"/>
              <w:left w:val="nil"/>
              <w:bottom w:val="single" w:sz="4" w:space="0" w:color="auto"/>
              <w:right w:val="single" w:sz="4" w:space="0" w:color="auto"/>
            </w:tcBorders>
            <w:shd w:val="clear" w:color="000000" w:fill="0000FF"/>
            <w:vAlign w:val="center"/>
            <w:hideMark/>
          </w:tcPr>
          <w:p w14:paraId="3CAE1F09"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4" w:space="0" w:color="auto"/>
              <w:left w:val="nil"/>
              <w:bottom w:val="single" w:sz="4" w:space="0" w:color="auto"/>
              <w:right w:val="single" w:sz="4" w:space="0" w:color="auto"/>
            </w:tcBorders>
            <w:shd w:val="clear" w:color="000000" w:fill="0000FF"/>
            <w:vAlign w:val="center"/>
            <w:hideMark/>
          </w:tcPr>
          <w:p w14:paraId="7EE96CAA"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single" w:sz="4" w:space="0" w:color="auto"/>
              <w:left w:val="nil"/>
              <w:bottom w:val="single" w:sz="4" w:space="0" w:color="auto"/>
              <w:right w:val="single" w:sz="4" w:space="0" w:color="auto"/>
            </w:tcBorders>
            <w:shd w:val="clear" w:color="000000" w:fill="0000FF"/>
            <w:vAlign w:val="center"/>
            <w:hideMark/>
          </w:tcPr>
          <w:p w14:paraId="5BFAB223"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0835D304" w14:textId="77777777" w:rsidTr="00595060">
        <w:trPr>
          <w:trHeight w:val="615"/>
        </w:trPr>
        <w:tc>
          <w:tcPr>
            <w:tcW w:w="702" w:type="dxa"/>
            <w:gridSpan w:val="2"/>
            <w:tcBorders>
              <w:top w:val="nil"/>
              <w:left w:val="nil"/>
              <w:bottom w:val="nil"/>
              <w:right w:val="nil"/>
            </w:tcBorders>
            <w:shd w:val="clear" w:color="auto" w:fill="auto"/>
            <w:vAlign w:val="bottom"/>
            <w:hideMark/>
          </w:tcPr>
          <w:p w14:paraId="3E86F099"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59C8FF10"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single" w:sz="4" w:space="0" w:color="auto"/>
            </w:tcBorders>
            <w:shd w:val="clear" w:color="auto" w:fill="auto"/>
            <w:vAlign w:val="bottom"/>
            <w:hideMark/>
          </w:tcPr>
          <w:p w14:paraId="0EEDEEB8"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single" w:sz="4" w:space="0" w:color="auto"/>
              <w:left w:val="single" w:sz="4" w:space="0" w:color="auto"/>
              <w:bottom w:val="single" w:sz="4" w:space="0" w:color="auto"/>
            </w:tcBorders>
            <w:shd w:val="clear" w:color="auto" w:fill="auto"/>
            <w:vAlign w:val="center"/>
            <w:hideMark/>
          </w:tcPr>
          <w:p w14:paraId="58EBBD84"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single" w:sz="4" w:space="0" w:color="auto"/>
              <w:bottom w:val="single" w:sz="4" w:space="0" w:color="auto"/>
              <w:right w:val="single" w:sz="4" w:space="0" w:color="auto"/>
            </w:tcBorders>
            <w:shd w:val="clear" w:color="auto" w:fill="auto"/>
            <w:vAlign w:val="center"/>
            <w:hideMark/>
          </w:tcPr>
          <w:p w14:paraId="66D26564"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xml:space="preserve">Preparing procedures for monitoring the impact of sectoral policies on performance indicators </w:t>
            </w:r>
          </w:p>
        </w:tc>
        <w:tc>
          <w:tcPr>
            <w:tcW w:w="522" w:type="dxa"/>
            <w:gridSpan w:val="2"/>
            <w:tcBorders>
              <w:top w:val="nil"/>
              <w:left w:val="single" w:sz="4" w:space="0" w:color="auto"/>
              <w:bottom w:val="single" w:sz="4" w:space="0" w:color="auto"/>
              <w:right w:val="single" w:sz="4" w:space="0" w:color="auto"/>
            </w:tcBorders>
            <w:shd w:val="clear" w:color="auto" w:fill="0000FF"/>
            <w:vAlign w:val="center"/>
            <w:hideMark/>
          </w:tcPr>
          <w:p w14:paraId="30889182"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4" w:space="0" w:color="auto"/>
              <w:right w:val="single" w:sz="4" w:space="0" w:color="auto"/>
            </w:tcBorders>
            <w:shd w:val="clear" w:color="auto" w:fill="0000FF"/>
            <w:vAlign w:val="center"/>
            <w:hideMark/>
          </w:tcPr>
          <w:p w14:paraId="0242FC7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82" w:type="dxa"/>
            <w:gridSpan w:val="3"/>
            <w:tcBorders>
              <w:top w:val="nil"/>
              <w:left w:val="nil"/>
              <w:bottom w:val="single" w:sz="4" w:space="0" w:color="auto"/>
              <w:right w:val="single" w:sz="4" w:space="0" w:color="auto"/>
            </w:tcBorders>
            <w:shd w:val="clear" w:color="auto" w:fill="0000FF"/>
            <w:vAlign w:val="center"/>
            <w:hideMark/>
          </w:tcPr>
          <w:p w14:paraId="5EDB818C"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80" w:type="dxa"/>
            <w:gridSpan w:val="3"/>
            <w:tcBorders>
              <w:top w:val="nil"/>
              <w:left w:val="nil"/>
              <w:bottom w:val="single" w:sz="4" w:space="0" w:color="auto"/>
              <w:right w:val="single" w:sz="4" w:space="0" w:color="auto"/>
            </w:tcBorders>
            <w:shd w:val="clear" w:color="auto" w:fill="0000FF"/>
            <w:vAlign w:val="center"/>
            <w:hideMark/>
          </w:tcPr>
          <w:p w14:paraId="2605B36D"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4" w:space="0" w:color="auto"/>
              <w:right w:val="single" w:sz="4" w:space="0" w:color="auto"/>
            </w:tcBorders>
            <w:shd w:val="clear" w:color="000000" w:fill="0000FF"/>
            <w:vAlign w:val="center"/>
            <w:hideMark/>
          </w:tcPr>
          <w:p w14:paraId="43C125B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4" w:space="0" w:color="auto"/>
              <w:right w:val="single" w:sz="4" w:space="0" w:color="auto"/>
            </w:tcBorders>
            <w:shd w:val="clear" w:color="000000" w:fill="0000FF"/>
            <w:vAlign w:val="center"/>
            <w:hideMark/>
          </w:tcPr>
          <w:p w14:paraId="63D1353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4" w:space="0" w:color="auto"/>
              <w:right w:val="single" w:sz="4" w:space="0" w:color="auto"/>
            </w:tcBorders>
            <w:shd w:val="clear" w:color="000000" w:fill="0000FF"/>
            <w:vAlign w:val="center"/>
            <w:hideMark/>
          </w:tcPr>
          <w:p w14:paraId="6BF2BD3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4" w:space="0" w:color="auto"/>
              <w:right w:val="single" w:sz="4" w:space="0" w:color="auto"/>
            </w:tcBorders>
            <w:shd w:val="clear" w:color="000000" w:fill="0000FF"/>
            <w:vAlign w:val="center"/>
            <w:hideMark/>
          </w:tcPr>
          <w:p w14:paraId="5A50EE9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4" w:space="0" w:color="auto"/>
              <w:right w:val="single" w:sz="4" w:space="0" w:color="auto"/>
            </w:tcBorders>
            <w:shd w:val="clear" w:color="000000" w:fill="0000FF"/>
            <w:vAlign w:val="center"/>
            <w:hideMark/>
          </w:tcPr>
          <w:p w14:paraId="6DDD34E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4" w:space="0" w:color="auto"/>
              <w:right w:val="single" w:sz="4" w:space="0" w:color="auto"/>
            </w:tcBorders>
            <w:shd w:val="clear" w:color="000000" w:fill="0000FF"/>
            <w:vAlign w:val="center"/>
            <w:hideMark/>
          </w:tcPr>
          <w:p w14:paraId="5A44326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4" w:space="0" w:color="auto"/>
              <w:right w:val="single" w:sz="4" w:space="0" w:color="auto"/>
            </w:tcBorders>
            <w:shd w:val="clear" w:color="000000" w:fill="0000FF"/>
            <w:vAlign w:val="center"/>
            <w:hideMark/>
          </w:tcPr>
          <w:p w14:paraId="054F60A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4" w:space="0" w:color="auto"/>
              <w:right w:val="single" w:sz="4" w:space="0" w:color="auto"/>
            </w:tcBorders>
            <w:shd w:val="clear" w:color="000000" w:fill="0000FF"/>
            <w:vAlign w:val="center"/>
            <w:hideMark/>
          </w:tcPr>
          <w:p w14:paraId="513AE2F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4" w:space="0" w:color="auto"/>
              <w:right w:val="single" w:sz="4" w:space="0" w:color="auto"/>
            </w:tcBorders>
            <w:shd w:val="clear" w:color="000000" w:fill="0000FF"/>
            <w:vAlign w:val="center"/>
            <w:hideMark/>
          </w:tcPr>
          <w:p w14:paraId="5B212B5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4" w:space="0" w:color="auto"/>
              <w:right w:val="single" w:sz="4" w:space="0" w:color="auto"/>
            </w:tcBorders>
            <w:shd w:val="clear" w:color="000000" w:fill="0000FF"/>
            <w:vAlign w:val="center"/>
            <w:hideMark/>
          </w:tcPr>
          <w:p w14:paraId="22878E4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4" w:space="0" w:color="auto"/>
              <w:right w:val="single" w:sz="4" w:space="0" w:color="auto"/>
            </w:tcBorders>
            <w:shd w:val="clear" w:color="000000" w:fill="0000FF"/>
            <w:vAlign w:val="center"/>
            <w:hideMark/>
          </w:tcPr>
          <w:p w14:paraId="4569268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4" w:space="0" w:color="auto"/>
              <w:right w:val="single" w:sz="4" w:space="0" w:color="auto"/>
            </w:tcBorders>
            <w:shd w:val="clear" w:color="000000" w:fill="0000FF"/>
            <w:vAlign w:val="center"/>
            <w:hideMark/>
          </w:tcPr>
          <w:p w14:paraId="6DF918B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61DC508D" w14:textId="77777777" w:rsidTr="00595060">
        <w:trPr>
          <w:trHeight w:val="142"/>
        </w:trPr>
        <w:tc>
          <w:tcPr>
            <w:tcW w:w="702" w:type="dxa"/>
            <w:gridSpan w:val="2"/>
            <w:tcBorders>
              <w:top w:val="nil"/>
              <w:left w:val="nil"/>
              <w:bottom w:val="nil"/>
              <w:right w:val="nil"/>
            </w:tcBorders>
            <w:shd w:val="clear" w:color="000000" w:fill="33CCFF"/>
            <w:vAlign w:val="center"/>
            <w:hideMark/>
          </w:tcPr>
          <w:p w14:paraId="13ECEC4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33CCFF"/>
            <w:vAlign w:val="center"/>
            <w:hideMark/>
          </w:tcPr>
          <w:p w14:paraId="0331905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046" w:type="dxa"/>
            <w:gridSpan w:val="4"/>
            <w:tcBorders>
              <w:top w:val="nil"/>
              <w:left w:val="nil"/>
              <w:bottom w:val="nil"/>
              <w:right w:val="nil"/>
            </w:tcBorders>
            <w:shd w:val="clear" w:color="000000" w:fill="33CCFF"/>
            <w:vAlign w:val="center"/>
            <w:hideMark/>
          </w:tcPr>
          <w:p w14:paraId="1F7A97E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4.</w:t>
            </w:r>
          </w:p>
        </w:tc>
        <w:tc>
          <w:tcPr>
            <w:tcW w:w="3258" w:type="dxa"/>
            <w:gridSpan w:val="2"/>
            <w:tcBorders>
              <w:top w:val="nil"/>
              <w:left w:val="nil"/>
              <w:bottom w:val="nil"/>
              <w:right w:val="nil"/>
            </w:tcBorders>
            <w:shd w:val="clear" w:color="000000" w:fill="33CCFF"/>
            <w:vAlign w:val="center"/>
            <w:hideMark/>
          </w:tcPr>
          <w:p w14:paraId="3D21FA9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Spending review</w:t>
            </w:r>
          </w:p>
        </w:tc>
        <w:tc>
          <w:tcPr>
            <w:tcW w:w="522" w:type="dxa"/>
            <w:gridSpan w:val="2"/>
            <w:tcBorders>
              <w:top w:val="nil"/>
              <w:left w:val="nil"/>
              <w:bottom w:val="nil"/>
              <w:right w:val="nil"/>
            </w:tcBorders>
            <w:shd w:val="clear" w:color="000000" w:fill="33CCFF"/>
            <w:vAlign w:val="center"/>
            <w:hideMark/>
          </w:tcPr>
          <w:p w14:paraId="5B967D5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3754602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33CCFF"/>
            <w:vAlign w:val="center"/>
            <w:hideMark/>
          </w:tcPr>
          <w:p w14:paraId="3AFAA72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33CCFF"/>
            <w:vAlign w:val="center"/>
            <w:hideMark/>
          </w:tcPr>
          <w:p w14:paraId="3CEBEA0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417DB40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33CCFF"/>
            <w:vAlign w:val="center"/>
            <w:hideMark/>
          </w:tcPr>
          <w:p w14:paraId="0E6F83A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671B3A3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33CCFF"/>
            <w:vAlign w:val="center"/>
            <w:hideMark/>
          </w:tcPr>
          <w:p w14:paraId="1A9657C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33CCFF"/>
            <w:vAlign w:val="center"/>
            <w:hideMark/>
          </w:tcPr>
          <w:p w14:paraId="14B265C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1AF7602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1F2FADD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33CCFF"/>
            <w:vAlign w:val="center"/>
            <w:hideMark/>
          </w:tcPr>
          <w:p w14:paraId="032D523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33CCFF"/>
            <w:vAlign w:val="center"/>
            <w:hideMark/>
          </w:tcPr>
          <w:p w14:paraId="7CB7255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33CCFF"/>
            <w:vAlign w:val="center"/>
            <w:hideMark/>
          </w:tcPr>
          <w:p w14:paraId="1921AC3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3BD8B0B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33CCFF"/>
            <w:vAlign w:val="center"/>
            <w:hideMark/>
          </w:tcPr>
          <w:p w14:paraId="03013F0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64555644" w14:textId="77777777" w:rsidTr="00595060">
        <w:trPr>
          <w:trHeight w:val="466"/>
        </w:trPr>
        <w:tc>
          <w:tcPr>
            <w:tcW w:w="702" w:type="dxa"/>
            <w:gridSpan w:val="2"/>
            <w:tcBorders>
              <w:top w:val="nil"/>
              <w:left w:val="nil"/>
              <w:bottom w:val="nil"/>
              <w:right w:val="nil"/>
            </w:tcBorders>
            <w:shd w:val="clear" w:color="auto" w:fill="auto"/>
            <w:vAlign w:val="bottom"/>
            <w:hideMark/>
          </w:tcPr>
          <w:p w14:paraId="5C0B1CF8"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31634E94"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single" w:sz="8" w:space="0" w:color="auto"/>
            </w:tcBorders>
            <w:shd w:val="clear" w:color="auto" w:fill="auto"/>
            <w:vAlign w:val="bottom"/>
            <w:hideMark/>
          </w:tcPr>
          <w:p w14:paraId="49CA609A"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1770" w:type="dxa"/>
            <w:gridSpan w:val="2"/>
            <w:tcBorders>
              <w:top w:val="single" w:sz="8" w:space="0" w:color="auto"/>
              <w:left w:val="nil"/>
              <w:bottom w:val="single" w:sz="8" w:space="0" w:color="auto"/>
              <w:right w:val="nil"/>
            </w:tcBorders>
            <w:shd w:val="clear" w:color="auto" w:fill="auto"/>
            <w:vAlign w:val="center"/>
            <w:hideMark/>
          </w:tcPr>
          <w:p w14:paraId="73E8CFCE"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single" w:sz="8" w:space="0" w:color="auto"/>
              <w:left w:val="nil"/>
              <w:bottom w:val="single" w:sz="8" w:space="0" w:color="auto"/>
              <w:right w:val="single" w:sz="8" w:space="0" w:color="auto"/>
            </w:tcBorders>
            <w:shd w:val="clear" w:color="auto" w:fill="auto"/>
            <w:vAlign w:val="center"/>
            <w:hideMark/>
          </w:tcPr>
          <w:p w14:paraId="4579063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Build capacity at the MoF and line ministries for conducting Spending Reviews  on a regular base</w:t>
            </w:r>
          </w:p>
        </w:tc>
        <w:tc>
          <w:tcPr>
            <w:tcW w:w="522" w:type="dxa"/>
            <w:gridSpan w:val="2"/>
            <w:tcBorders>
              <w:top w:val="single" w:sz="8" w:space="0" w:color="auto"/>
              <w:left w:val="nil"/>
              <w:bottom w:val="single" w:sz="8" w:space="0" w:color="auto"/>
              <w:right w:val="single" w:sz="8" w:space="0" w:color="auto"/>
            </w:tcBorders>
            <w:shd w:val="clear" w:color="auto" w:fill="0000FF"/>
            <w:vAlign w:val="center"/>
            <w:hideMark/>
          </w:tcPr>
          <w:p w14:paraId="4EEFAFD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auto" w:fill="0000FF"/>
            <w:vAlign w:val="center"/>
            <w:hideMark/>
          </w:tcPr>
          <w:p w14:paraId="5C389DD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single" w:sz="8" w:space="0" w:color="auto"/>
              <w:left w:val="nil"/>
              <w:bottom w:val="single" w:sz="8" w:space="0" w:color="auto"/>
              <w:right w:val="single" w:sz="8" w:space="0" w:color="auto"/>
            </w:tcBorders>
            <w:shd w:val="clear" w:color="auto" w:fill="0000FF"/>
            <w:vAlign w:val="center"/>
            <w:hideMark/>
          </w:tcPr>
          <w:p w14:paraId="030D4FA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single" w:sz="8" w:space="0" w:color="auto"/>
              <w:left w:val="nil"/>
              <w:bottom w:val="single" w:sz="8" w:space="0" w:color="auto"/>
              <w:right w:val="single" w:sz="8" w:space="0" w:color="auto"/>
            </w:tcBorders>
            <w:shd w:val="clear" w:color="auto" w:fill="0000FF"/>
            <w:vAlign w:val="center"/>
            <w:hideMark/>
          </w:tcPr>
          <w:p w14:paraId="30B572C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3C008C6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single" w:sz="8" w:space="0" w:color="auto"/>
              <w:left w:val="nil"/>
              <w:bottom w:val="single" w:sz="8" w:space="0" w:color="auto"/>
              <w:right w:val="single" w:sz="8" w:space="0" w:color="auto"/>
            </w:tcBorders>
            <w:shd w:val="clear" w:color="000000" w:fill="0000FF"/>
            <w:vAlign w:val="center"/>
            <w:hideMark/>
          </w:tcPr>
          <w:p w14:paraId="7C17ACB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334A3CD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single" w:sz="8" w:space="0" w:color="auto"/>
              <w:left w:val="nil"/>
              <w:bottom w:val="single" w:sz="8" w:space="0" w:color="auto"/>
              <w:right w:val="single" w:sz="8" w:space="0" w:color="auto"/>
            </w:tcBorders>
            <w:shd w:val="clear" w:color="000000" w:fill="0000FF"/>
            <w:vAlign w:val="center"/>
            <w:hideMark/>
          </w:tcPr>
          <w:p w14:paraId="420C622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000000" w:fill="0000FF"/>
            <w:vAlign w:val="center"/>
            <w:hideMark/>
          </w:tcPr>
          <w:p w14:paraId="701EB43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64F5268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2BD3126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single" w:sz="8" w:space="0" w:color="auto"/>
              <w:left w:val="nil"/>
              <w:bottom w:val="single" w:sz="8" w:space="0" w:color="auto"/>
              <w:right w:val="single" w:sz="8" w:space="0" w:color="auto"/>
            </w:tcBorders>
            <w:shd w:val="clear" w:color="000000" w:fill="0000FF"/>
            <w:vAlign w:val="center"/>
            <w:hideMark/>
          </w:tcPr>
          <w:p w14:paraId="5B76F18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000000" w:fill="0000FF"/>
            <w:vAlign w:val="center"/>
            <w:hideMark/>
          </w:tcPr>
          <w:p w14:paraId="7D1DCE7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single" w:sz="8" w:space="0" w:color="auto"/>
              <w:left w:val="nil"/>
              <w:bottom w:val="single" w:sz="8" w:space="0" w:color="auto"/>
              <w:right w:val="single" w:sz="8" w:space="0" w:color="auto"/>
            </w:tcBorders>
            <w:shd w:val="clear" w:color="000000" w:fill="0000FF"/>
            <w:vAlign w:val="center"/>
            <w:hideMark/>
          </w:tcPr>
          <w:p w14:paraId="7B87A5E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1DF502D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single" w:sz="8" w:space="0" w:color="auto"/>
              <w:left w:val="nil"/>
              <w:bottom w:val="single" w:sz="8" w:space="0" w:color="auto"/>
              <w:right w:val="single" w:sz="8" w:space="0" w:color="auto"/>
            </w:tcBorders>
            <w:shd w:val="clear" w:color="000000" w:fill="0000FF"/>
            <w:vAlign w:val="center"/>
            <w:hideMark/>
          </w:tcPr>
          <w:p w14:paraId="5B79A25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627D064E" w14:textId="77777777" w:rsidTr="00595060">
        <w:trPr>
          <w:trHeight w:val="394"/>
        </w:trPr>
        <w:tc>
          <w:tcPr>
            <w:tcW w:w="702" w:type="dxa"/>
            <w:gridSpan w:val="2"/>
            <w:tcBorders>
              <w:top w:val="nil"/>
              <w:left w:val="nil"/>
              <w:bottom w:val="nil"/>
              <w:right w:val="nil"/>
            </w:tcBorders>
            <w:shd w:val="clear" w:color="auto" w:fill="auto"/>
            <w:vAlign w:val="bottom"/>
            <w:hideMark/>
          </w:tcPr>
          <w:p w14:paraId="38DB622B"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5351E1F0"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single" w:sz="8" w:space="0" w:color="auto"/>
            </w:tcBorders>
            <w:shd w:val="clear" w:color="auto" w:fill="auto"/>
            <w:vAlign w:val="bottom"/>
            <w:hideMark/>
          </w:tcPr>
          <w:p w14:paraId="0755979F"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1770" w:type="dxa"/>
            <w:gridSpan w:val="2"/>
            <w:tcBorders>
              <w:top w:val="nil"/>
              <w:left w:val="nil"/>
              <w:bottom w:val="single" w:sz="8" w:space="0" w:color="auto"/>
              <w:right w:val="nil"/>
            </w:tcBorders>
            <w:shd w:val="clear" w:color="auto" w:fill="auto"/>
            <w:vAlign w:val="center"/>
            <w:hideMark/>
          </w:tcPr>
          <w:p w14:paraId="79A663A8"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7F4A2D5F" w14:textId="225BEA20"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xml:space="preserve">Prepare and adopt </w:t>
            </w:r>
            <w:r w:rsidR="00750984" w:rsidRPr="00D30847">
              <w:rPr>
                <w:rFonts w:eastAsia="Times New Roman" w:cs="Calibri"/>
                <w:sz w:val="16"/>
                <w:szCs w:val="16"/>
                <w:lang w:val="en-GB"/>
              </w:rPr>
              <w:t>methodology</w:t>
            </w:r>
            <w:r w:rsidRPr="00D30847">
              <w:rPr>
                <w:rFonts w:eastAsia="Times New Roman" w:cs="Calibri"/>
                <w:sz w:val="16"/>
                <w:szCs w:val="16"/>
                <w:lang w:val="en-GB"/>
              </w:rPr>
              <w:t xml:space="preserve"> with defining criteria and procedures for conducting Spending review</w:t>
            </w:r>
          </w:p>
        </w:tc>
        <w:tc>
          <w:tcPr>
            <w:tcW w:w="522" w:type="dxa"/>
            <w:gridSpan w:val="2"/>
            <w:tcBorders>
              <w:top w:val="nil"/>
              <w:left w:val="nil"/>
              <w:bottom w:val="single" w:sz="8" w:space="0" w:color="auto"/>
              <w:right w:val="single" w:sz="8" w:space="0" w:color="auto"/>
            </w:tcBorders>
            <w:shd w:val="clear" w:color="auto" w:fill="0000FF"/>
            <w:vAlign w:val="center"/>
            <w:hideMark/>
          </w:tcPr>
          <w:p w14:paraId="5BBB93C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4620A29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auto" w:fill="0000FF"/>
            <w:vAlign w:val="center"/>
            <w:hideMark/>
          </w:tcPr>
          <w:p w14:paraId="6D0A534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auto" w:fill="0000FF"/>
            <w:vAlign w:val="center"/>
            <w:hideMark/>
          </w:tcPr>
          <w:p w14:paraId="402964C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F0C9AC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719ADF1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5D6D7FE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4CD06ED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733961E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7B6EE54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685E3AA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01FC96C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5231D53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5CCCA4C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31DA26F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1915557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703DF21A" w14:textId="77777777" w:rsidTr="00595060">
        <w:trPr>
          <w:trHeight w:val="241"/>
        </w:trPr>
        <w:tc>
          <w:tcPr>
            <w:tcW w:w="702" w:type="dxa"/>
            <w:gridSpan w:val="2"/>
            <w:tcBorders>
              <w:top w:val="nil"/>
              <w:left w:val="nil"/>
              <w:bottom w:val="nil"/>
              <w:right w:val="nil"/>
            </w:tcBorders>
            <w:shd w:val="clear" w:color="auto" w:fill="auto"/>
            <w:vAlign w:val="bottom"/>
            <w:hideMark/>
          </w:tcPr>
          <w:p w14:paraId="7167C822"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3575AC79"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single" w:sz="8" w:space="0" w:color="auto"/>
            </w:tcBorders>
            <w:shd w:val="clear" w:color="auto" w:fill="auto"/>
            <w:vAlign w:val="bottom"/>
            <w:hideMark/>
          </w:tcPr>
          <w:p w14:paraId="7E667BFD"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1770" w:type="dxa"/>
            <w:gridSpan w:val="2"/>
            <w:tcBorders>
              <w:top w:val="nil"/>
              <w:left w:val="nil"/>
              <w:bottom w:val="single" w:sz="8" w:space="0" w:color="auto"/>
              <w:right w:val="nil"/>
            </w:tcBorders>
            <w:shd w:val="clear" w:color="auto" w:fill="auto"/>
            <w:vAlign w:val="center"/>
            <w:hideMark/>
          </w:tcPr>
          <w:p w14:paraId="3CAF978A"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3.</w:t>
            </w:r>
          </w:p>
        </w:tc>
        <w:tc>
          <w:tcPr>
            <w:tcW w:w="3258" w:type="dxa"/>
            <w:gridSpan w:val="2"/>
            <w:tcBorders>
              <w:top w:val="nil"/>
              <w:left w:val="nil"/>
              <w:bottom w:val="single" w:sz="8" w:space="0" w:color="auto"/>
              <w:right w:val="single" w:sz="8" w:space="0" w:color="auto"/>
            </w:tcBorders>
            <w:shd w:val="clear" w:color="auto" w:fill="auto"/>
            <w:vAlign w:val="center"/>
            <w:hideMark/>
          </w:tcPr>
          <w:p w14:paraId="3755621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xml:space="preserve">Spending review as a basis for appropriate budgeting for the next mid-term period </w:t>
            </w:r>
          </w:p>
        </w:tc>
        <w:tc>
          <w:tcPr>
            <w:tcW w:w="522" w:type="dxa"/>
            <w:gridSpan w:val="2"/>
            <w:tcBorders>
              <w:top w:val="nil"/>
              <w:left w:val="nil"/>
              <w:bottom w:val="single" w:sz="8" w:space="0" w:color="auto"/>
              <w:right w:val="single" w:sz="8" w:space="0" w:color="auto"/>
            </w:tcBorders>
            <w:shd w:val="clear" w:color="000000" w:fill="FFFFFF"/>
            <w:vAlign w:val="center"/>
            <w:hideMark/>
          </w:tcPr>
          <w:p w14:paraId="61A03DA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FFFFFF"/>
            <w:vAlign w:val="center"/>
            <w:hideMark/>
          </w:tcPr>
          <w:p w14:paraId="5B6B20B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FFFFFF"/>
            <w:vAlign w:val="center"/>
            <w:hideMark/>
          </w:tcPr>
          <w:p w14:paraId="37D1F00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FFFFFF"/>
            <w:vAlign w:val="center"/>
            <w:hideMark/>
          </w:tcPr>
          <w:p w14:paraId="0BF2328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658A4EA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auto" w:fill="auto"/>
            <w:vAlign w:val="center"/>
            <w:hideMark/>
          </w:tcPr>
          <w:p w14:paraId="05F800B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164007C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auto" w:fill="auto"/>
            <w:vAlign w:val="center"/>
            <w:hideMark/>
          </w:tcPr>
          <w:p w14:paraId="3176557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0000FF"/>
            <w:vAlign w:val="center"/>
            <w:hideMark/>
          </w:tcPr>
          <w:p w14:paraId="23B8EA8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080B11E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2BBA3C8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auto" w:fill="0000FF"/>
            <w:vAlign w:val="center"/>
            <w:hideMark/>
          </w:tcPr>
          <w:p w14:paraId="22B10C0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7D27C54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79C8395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114CA4E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445E49B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4DD19181" w14:textId="77777777" w:rsidTr="00B84551">
        <w:trPr>
          <w:trHeight w:val="300"/>
        </w:trPr>
        <w:tc>
          <w:tcPr>
            <w:tcW w:w="702" w:type="dxa"/>
            <w:gridSpan w:val="2"/>
            <w:tcBorders>
              <w:top w:val="nil"/>
              <w:left w:val="nil"/>
              <w:bottom w:val="nil"/>
              <w:right w:val="nil"/>
            </w:tcBorders>
            <w:shd w:val="clear" w:color="000000" w:fill="00FF00"/>
            <w:vAlign w:val="center"/>
            <w:hideMark/>
          </w:tcPr>
          <w:p w14:paraId="137DB16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510" w:type="dxa"/>
            <w:gridSpan w:val="6"/>
            <w:tcBorders>
              <w:top w:val="nil"/>
              <w:left w:val="nil"/>
              <w:bottom w:val="nil"/>
              <w:right w:val="nil"/>
            </w:tcBorders>
            <w:shd w:val="clear" w:color="000000" w:fill="00FF00"/>
            <w:vAlign w:val="center"/>
            <w:hideMark/>
          </w:tcPr>
          <w:p w14:paraId="580A994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Priority 2.</w:t>
            </w:r>
          </w:p>
        </w:tc>
        <w:tc>
          <w:tcPr>
            <w:tcW w:w="3258" w:type="dxa"/>
            <w:gridSpan w:val="2"/>
            <w:tcBorders>
              <w:top w:val="nil"/>
              <w:left w:val="nil"/>
              <w:bottom w:val="nil"/>
              <w:right w:val="nil"/>
            </w:tcBorders>
            <w:shd w:val="clear" w:color="000000" w:fill="00FF00"/>
            <w:vAlign w:val="center"/>
            <w:hideMark/>
          </w:tcPr>
          <w:p w14:paraId="29A7E84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Strengthened public investment management</w:t>
            </w:r>
          </w:p>
        </w:tc>
        <w:tc>
          <w:tcPr>
            <w:tcW w:w="522" w:type="dxa"/>
            <w:gridSpan w:val="2"/>
            <w:tcBorders>
              <w:top w:val="nil"/>
              <w:left w:val="nil"/>
              <w:bottom w:val="nil"/>
              <w:right w:val="nil"/>
            </w:tcBorders>
            <w:shd w:val="clear" w:color="000000" w:fill="00FF00"/>
            <w:vAlign w:val="center"/>
            <w:hideMark/>
          </w:tcPr>
          <w:p w14:paraId="2985D1D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0DCF0E5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00FF00"/>
            <w:vAlign w:val="center"/>
            <w:hideMark/>
          </w:tcPr>
          <w:p w14:paraId="5B665AD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00FF00"/>
            <w:vAlign w:val="center"/>
            <w:hideMark/>
          </w:tcPr>
          <w:p w14:paraId="00B833F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35AE4B3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00FF00"/>
            <w:vAlign w:val="center"/>
            <w:hideMark/>
          </w:tcPr>
          <w:p w14:paraId="7A89726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05F789E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00FF00"/>
            <w:vAlign w:val="center"/>
            <w:hideMark/>
          </w:tcPr>
          <w:p w14:paraId="04732A2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5124167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707DE0D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28267DC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00FF00"/>
            <w:vAlign w:val="center"/>
            <w:hideMark/>
          </w:tcPr>
          <w:p w14:paraId="67B3280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5F14A43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00FF00"/>
            <w:vAlign w:val="center"/>
            <w:hideMark/>
          </w:tcPr>
          <w:p w14:paraId="35EC808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4D0AF3B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00FF00"/>
            <w:vAlign w:val="center"/>
            <w:hideMark/>
          </w:tcPr>
          <w:p w14:paraId="383469F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049DE0DF" w14:textId="77777777" w:rsidTr="00595060">
        <w:trPr>
          <w:trHeight w:val="333"/>
        </w:trPr>
        <w:tc>
          <w:tcPr>
            <w:tcW w:w="702" w:type="dxa"/>
            <w:gridSpan w:val="2"/>
            <w:tcBorders>
              <w:top w:val="nil"/>
              <w:left w:val="nil"/>
              <w:bottom w:val="nil"/>
              <w:right w:val="nil"/>
            </w:tcBorders>
            <w:shd w:val="clear" w:color="000000" w:fill="6FE7FF"/>
            <w:vAlign w:val="center"/>
            <w:hideMark/>
          </w:tcPr>
          <w:p w14:paraId="7BC7CFD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3B7E2E7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046" w:type="dxa"/>
            <w:gridSpan w:val="4"/>
            <w:tcBorders>
              <w:top w:val="nil"/>
              <w:left w:val="nil"/>
              <w:bottom w:val="nil"/>
              <w:right w:val="nil"/>
            </w:tcBorders>
            <w:shd w:val="clear" w:color="000000" w:fill="6FE7FF"/>
            <w:vAlign w:val="center"/>
            <w:hideMark/>
          </w:tcPr>
          <w:p w14:paraId="72CA967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1.</w:t>
            </w:r>
          </w:p>
        </w:tc>
        <w:tc>
          <w:tcPr>
            <w:tcW w:w="3258" w:type="dxa"/>
            <w:gridSpan w:val="2"/>
            <w:tcBorders>
              <w:top w:val="nil"/>
              <w:left w:val="nil"/>
              <w:bottom w:val="nil"/>
              <w:right w:val="nil"/>
            </w:tcBorders>
            <w:shd w:val="clear" w:color="000000" w:fill="6FE7FF"/>
            <w:vAlign w:val="center"/>
            <w:hideMark/>
          </w:tcPr>
          <w:p w14:paraId="60FBA614" w14:textId="0A69CD99"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xml:space="preserve">Efficient </w:t>
            </w:r>
            <w:r w:rsidR="00E3130A" w:rsidRPr="00D30847">
              <w:rPr>
                <w:rFonts w:eastAsia="Times New Roman" w:cs="Calibri"/>
                <w:b/>
                <w:bCs/>
                <w:sz w:val="16"/>
                <w:szCs w:val="16"/>
                <w:lang w:val="en-GB"/>
              </w:rPr>
              <w:t>coordination</w:t>
            </w:r>
            <w:r w:rsidRPr="00D30847">
              <w:rPr>
                <w:rFonts w:eastAsia="Times New Roman" w:cs="Calibri"/>
                <w:b/>
                <w:bCs/>
                <w:sz w:val="16"/>
                <w:szCs w:val="16"/>
                <w:lang w:val="en-GB"/>
              </w:rPr>
              <w:t xml:space="preserve"> and development of public investment management processes</w:t>
            </w:r>
          </w:p>
        </w:tc>
        <w:tc>
          <w:tcPr>
            <w:tcW w:w="522" w:type="dxa"/>
            <w:gridSpan w:val="2"/>
            <w:tcBorders>
              <w:top w:val="nil"/>
              <w:left w:val="nil"/>
              <w:bottom w:val="nil"/>
              <w:right w:val="nil"/>
            </w:tcBorders>
            <w:shd w:val="clear" w:color="000000" w:fill="6FE7FF"/>
            <w:vAlign w:val="center"/>
            <w:hideMark/>
          </w:tcPr>
          <w:p w14:paraId="311F2C8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13FAFF2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6FE7FF"/>
            <w:vAlign w:val="center"/>
            <w:hideMark/>
          </w:tcPr>
          <w:p w14:paraId="1F1BF83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6FE7FF"/>
            <w:vAlign w:val="center"/>
            <w:hideMark/>
          </w:tcPr>
          <w:p w14:paraId="0F0DA5B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199BAB5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6FE7FF"/>
            <w:vAlign w:val="center"/>
            <w:hideMark/>
          </w:tcPr>
          <w:p w14:paraId="0407CE4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3A80D50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6FE7FF"/>
            <w:vAlign w:val="center"/>
            <w:hideMark/>
          </w:tcPr>
          <w:p w14:paraId="7B785A1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5324C5D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44C6F72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2004DE3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6FE7FF"/>
            <w:vAlign w:val="center"/>
            <w:hideMark/>
          </w:tcPr>
          <w:p w14:paraId="75CE13F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7DE19E3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6FE7FF"/>
            <w:vAlign w:val="center"/>
            <w:hideMark/>
          </w:tcPr>
          <w:p w14:paraId="53804F0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7C6449F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6FE7FF"/>
            <w:vAlign w:val="center"/>
            <w:hideMark/>
          </w:tcPr>
          <w:p w14:paraId="2E761F5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813709" w:rsidRPr="00D30847" w14:paraId="356A2FBC" w14:textId="77777777" w:rsidTr="00595060">
        <w:trPr>
          <w:trHeight w:val="376"/>
        </w:trPr>
        <w:tc>
          <w:tcPr>
            <w:tcW w:w="702" w:type="dxa"/>
            <w:gridSpan w:val="2"/>
            <w:tcBorders>
              <w:top w:val="nil"/>
              <w:left w:val="nil"/>
              <w:bottom w:val="nil"/>
              <w:right w:val="nil"/>
            </w:tcBorders>
            <w:shd w:val="clear" w:color="auto" w:fill="auto"/>
            <w:vAlign w:val="bottom"/>
            <w:hideMark/>
          </w:tcPr>
          <w:p w14:paraId="37C87353" w14:textId="77777777" w:rsidR="00942045" w:rsidRPr="00D30847" w:rsidRDefault="00942045" w:rsidP="00942045">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1FFD065B"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48E9844F"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single" w:sz="8" w:space="0" w:color="auto"/>
              <w:left w:val="single" w:sz="8" w:space="0" w:color="auto"/>
              <w:bottom w:val="single" w:sz="8" w:space="0" w:color="auto"/>
              <w:right w:val="nil"/>
            </w:tcBorders>
            <w:shd w:val="clear" w:color="auto" w:fill="auto"/>
            <w:vAlign w:val="center"/>
            <w:hideMark/>
          </w:tcPr>
          <w:p w14:paraId="4185ADD4"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single" w:sz="8" w:space="0" w:color="auto"/>
              <w:left w:val="nil"/>
              <w:bottom w:val="single" w:sz="8" w:space="0" w:color="auto"/>
              <w:right w:val="single" w:sz="8" w:space="0" w:color="auto"/>
            </w:tcBorders>
            <w:shd w:val="clear" w:color="auto" w:fill="auto"/>
            <w:vAlign w:val="center"/>
            <w:hideMark/>
          </w:tcPr>
          <w:p w14:paraId="406A83C5"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Strengthen the supporting legal framework for PIM</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514DE9AB" w14:textId="1B85803F"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350A1B71" w14:textId="6698B7EA"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5FCB7B1E" w14:textId="6E82056F"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1C3F092A" w14:textId="5384C428"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394F4CE0" w14:textId="12F2334C"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auto" w:fill="0000FF"/>
            <w:vAlign w:val="center"/>
            <w:hideMark/>
          </w:tcPr>
          <w:p w14:paraId="32450531" w14:textId="42E6255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1CE4FE26" w14:textId="5E344F43"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auto" w:fill="0000FF"/>
            <w:vAlign w:val="center"/>
            <w:hideMark/>
          </w:tcPr>
          <w:p w14:paraId="17F6A703" w14:textId="62C361CA"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auto" w:fill="0000FF"/>
            <w:vAlign w:val="center"/>
            <w:hideMark/>
          </w:tcPr>
          <w:p w14:paraId="6C71E233"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auto" w:fill="0000FF"/>
            <w:vAlign w:val="center"/>
            <w:hideMark/>
          </w:tcPr>
          <w:p w14:paraId="67FF9CA3"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auto" w:fill="0000FF"/>
            <w:vAlign w:val="center"/>
            <w:hideMark/>
          </w:tcPr>
          <w:p w14:paraId="5428F873"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single" w:sz="8" w:space="0" w:color="auto"/>
              <w:left w:val="nil"/>
              <w:bottom w:val="single" w:sz="8" w:space="0" w:color="auto"/>
              <w:right w:val="single" w:sz="8" w:space="0" w:color="auto"/>
            </w:tcBorders>
            <w:shd w:val="clear" w:color="auto" w:fill="0000FF"/>
            <w:vAlign w:val="center"/>
            <w:hideMark/>
          </w:tcPr>
          <w:p w14:paraId="42D02872"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auto" w:fill="0000FF"/>
            <w:vAlign w:val="center"/>
            <w:hideMark/>
          </w:tcPr>
          <w:p w14:paraId="46AC80FE"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single" w:sz="8" w:space="0" w:color="auto"/>
              <w:left w:val="nil"/>
              <w:bottom w:val="single" w:sz="8" w:space="0" w:color="auto"/>
              <w:right w:val="single" w:sz="8" w:space="0" w:color="auto"/>
            </w:tcBorders>
            <w:shd w:val="clear" w:color="auto" w:fill="0000FF"/>
            <w:vAlign w:val="center"/>
            <w:hideMark/>
          </w:tcPr>
          <w:p w14:paraId="62DD7979"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auto" w:fill="0000FF"/>
            <w:vAlign w:val="center"/>
            <w:hideMark/>
          </w:tcPr>
          <w:p w14:paraId="6589F1B1"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single" w:sz="8" w:space="0" w:color="auto"/>
              <w:left w:val="nil"/>
              <w:bottom w:val="single" w:sz="8" w:space="0" w:color="auto"/>
              <w:right w:val="single" w:sz="8" w:space="0" w:color="auto"/>
            </w:tcBorders>
            <w:shd w:val="clear" w:color="auto" w:fill="0000FF"/>
            <w:vAlign w:val="center"/>
            <w:hideMark/>
          </w:tcPr>
          <w:p w14:paraId="780A123A"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942045" w:rsidRPr="00D30847" w14:paraId="5AD64B0E" w14:textId="77777777" w:rsidTr="00595060">
        <w:trPr>
          <w:trHeight w:val="331"/>
        </w:trPr>
        <w:tc>
          <w:tcPr>
            <w:tcW w:w="702" w:type="dxa"/>
            <w:gridSpan w:val="2"/>
            <w:tcBorders>
              <w:top w:val="nil"/>
              <w:left w:val="nil"/>
              <w:bottom w:val="nil"/>
              <w:right w:val="nil"/>
            </w:tcBorders>
            <w:shd w:val="clear" w:color="auto" w:fill="auto"/>
            <w:vAlign w:val="bottom"/>
            <w:hideMark/>
          </w:tcPr>
          <w:p w14:paraId="45B61218" w14:textId="77777777" w:rsidR="00942045" w:rsidRPr="00D30847" w:rsidRDefault="00942045" w:rsidP="00942045">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74E0F18A"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749F3EA1"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1C329E4D"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5CEFB488"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Strengthen the institutional capacity of the MoF in the PIM system</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72EDA6F6" w14:textId="29625E08"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222B183D" w14:textId="4291335F"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6A4DB326" w14:textId="7DEB8B35"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41DEB496" w14:textId="056E117F"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7C2BB08" w14:textId="6176B46B"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248DE1E6" w14:textId="37CA31EE"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721FECAC" w14:textId="51BC6E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4DC7848F" w14:textId="5E51E0FA"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7A35485F" w14:textId="195A0281"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69267053" w14:textId="0FFE3630"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2B01E43" w14:textId="6A39CDE1"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3985985A" w14:textId="6CE3EF33"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55328E63" w14:textId="18813D3C"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0F8D46B5" w14:textId="5510FD7B"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39DE3FF5" w14:textId="3230F4A5"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1E48684E" w14:textId="2492C131"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7B7DA920" w14:textId="77777777" w:rsidTr="00595060">
        <w:trPr>
          <w:trHeight w:val="286"/>
        </w:trPr>
        <w:tc>
          <w:tcPr>
            <w:tcW w:w="702" w:type="dxa"/>
            <w:gridSpan w:val="2"/>
            <w:tcBorders>
              <w:top w:val="nil"/>
              <w:left w:val="nil"/>
              <w:bottom w:val="nil"/>
              <w:right w:val="nil"/>
            </w:tcBorders>
            <w:shd w:val="clear" w:color="000000" w:fill="6FE7FF"/>
            <w:vAlign w:val="center"/>
            <w:hideMark/>
          </w:tcPr>
          <w:p w14:paraId="6A0A464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2737FF9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046" w:type="dxa"/>
            <w:gridSpan w:val="4"/>
            <w:tcBorders>
              <w:top w:val="nil"/>
              <w:left w:val="nil"/>
              <w:bottom w:val="nil"/>
              <w:right w:val="nil"/>
            </w:tcBorders>
            <w:shd w:val="clear" w:color="000000" w:fill="6FE7FF"/>
            <w:vAlign w:val="center"/>
            <w:hideMark/>
          </w:tcPr>
          <w:p w14:paraId="2A553B3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2.</w:t>
            </w:r>
          </w:p>
        </w:tc>
        <w:tc>
          <w:tcPr>
            <w:tcW w:w="3258" w:type="dxa"/>
            <w:gridSpan w:val="2"/>
            <w:tcBorders>
              <w:top w:val="nil"/>
              <w:left w:val="nil"/>
              <w:bottom w:val="nil"/>
              <w:right w:val="nil"/>
            </w:tcBorders>
            <w:shd w:val="clear" w:color="000000" w:fill="6FE7FF"/>
            <w:vAlign w:val="center"/>
            <w:hideMark/>
          </w:tcPr>
          <w:p w14:paraId="22CD946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Established single pipeline of appraised capital public investment projects</w:t>
            </w:r>
          </w:p>
        </w:tc>
        <w:tc>
          <w:tcPr>
            <w:tcW w:w="522" w:type="dxa"/>
            <w:gridSpan w:val="2"/>
            <w:tcBorders>
              <w:top w:val="nil"/>
              <w:left w:val="nil"/>
              <w:bottom w:val="single" w:sz="4" w:space="0" w:color="auto"/>
              <w:right w:val="nil"/>
            </w:tcBorders>
            <w:shd w:val="clear" w:color="000000" w:fill="6FE7FF"/>
            <w:vAlign w:val="center"/>
            <w:hideMark/>
          </w:tcPr>
          <w:p w14:paraId="43C2408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4" w:space="0" w:color="auto"/>
              <w:right w:val="nil"/>
            </w:tcBorders>
            <w:shd w:val="clear" w:color="000000" w:fill="6FE7FF"/>
            <w:vAlign w:val="center"/>
            <w:hideMark/>
          </w:tcPr>
          <w:p w14:paraId="0E334FF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4" w:space="0" w:color="auto"/>
              <w:right w:val="nil"/>
            </w:tcBorders>
            <w:shd w:val="clear" w:color="000000" w:fill="6FE7FF"/>
            <w:vAlign w:val="center"/>
            <w:hideMark/>
          </w:tcPr>
          <w:p w14:paraId="618FA26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4" w:space="0" w:color="auto"/>
              <w:right w:val="nil"/>
            </w:tcBorders>
            <w:shd w:val="clear" w:color="000000" w:fill="6FE7FF"/>
            <w:vAlign w:val="center"/>
            <w:hideMark/>
          </w:tcPr>
          <w:p w14:paraId="5E5623E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4" w:space="0" w:color="auto"/>
              <w:right w:val="nil"/>
            </w:tcBorders>
            <w:shd w:val="clear" w:color="000000" w:fill="6FE7FF"/>
            <w:vAlign w:val="center"/>
            <w:hideMark/>
          </w:tcPr>
          <w:p w14:paraId="29AD4B7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4" w:space="0" w:color="auto"/>
              <w:right w:val="nil"/>
            </w:tcBorders>
            <w:shd w:val="clear" w:color="000000" w:fill="6FE7FF"/>
            <w:vAlign w:val="center"/>
            <w:hideMark/>
          </w:tcPr>
          <w:p w14:paraId="7835AEB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4" w:space="0" w:color="auto"/>
              <w:right w:val="nil"/>
            </w:tcBorders>
            <w:shd w:val="clear" w:color="000000" w:fill="6FE7FF"/>
            <w:vAlign w:val="center"/>
            <w:hideMark/>
          </w:tcPr>
          <w:p w14:paraId="3E7C4DB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4" w:space="0" w:color="auto"/>
              <w:right w:val="nil"/>
            </w:tcBorders>
            <w:shd w:val="clear" w:color="000000" w:fill="6FE7FF"/>
            <w:vAlign w:val="center"/>
            <w:hideMark/>
          </w:tcPr>
          <w:p w14:paraId="41BE37F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4" w:space="0" w:color="auto"/>
              <w:right w:val="nil"/>
            </w:tcBorders>
            <w:shd w:val="clear" w:color="000000" w:fill="6FE7FF"/>
            <w:vAlign w:val="center"/>
            <w:hideMark/>
          </w:tcPr>
          <w:p w14:paraId="39764B2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4" w:space="0" w:color="auto"/>
              <w:right w:val="nil"/>
            </w:tcBorders>
            <w:shd w:val="clear" w:color="000000" w:fill="6FE7FF"/>
            <w:vAlign w:val="center"/>
            <w:hideMark/>
          </w:tcPr>
          <w:p w14:paraId="0A2D44F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4" w:space="0" w:color="auto"/>
              <w:right w:val="nil"/>
            </w:tcBorders>
            <w:shd w:val="clear" w:color="000000" w:fill="6FE7FF"/>
            <w:vAlign w:val="center"/>
            <w:hideMark/>
          </w:tcPr>
          <w:p w14:paraId="05BBD45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4" w:space="0" w:color="auto"/>
              <w:right w:val="nil"/>
            </w:tcBorders>
            <w:shd w:val="clear" w:color="000000" w:fill="6FE7FF"/>
            <w:vAlign w:val="center"/>
            <w:hideMark/>
          </w:tcPr>
          <w:p w14:paraId="11CD8C7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4" w:space="0" w:color="auto"/>
              <w:right w:val="nil"/>
            </w:tcBorders>
            <w:shd w:val="clear" w:color="000000" w:fill="6FE7FF"/>
            <w:vAlign w:val="center"/>
            <w:hideMark/>
          </w:tcPr>
          <w:p w14:paraId="15932F1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4" w:space="0" w:color="auto"/>
              <w:right w:val="nil"/>
            </w:tcBorders>
            <w:shd w:val="clear" w:color="000000" w:fill="6FE7FF"/>
            <w:vAlign w:val="center"/>
            <w:hideMark/>
          </w:tcPr>
          <w:p w14:paraId="4A82481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4" w:space="0" w:color="auto"/>
              <w:right w:val="nil"/>
            </w:tcBorders>
            <w:shd w:val="clear" w:color="000000" w:fill="6FE7FF"/>
            <w:vAlign w:val="center"/>
            <w:hideMark/>
          </w:tcPr>
          <w:p w14:paraId="03157AA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4" w:space="0" w:color="auto"/>
              <w:right w:val="nil"/>
            </w:tcBorders>
            <w:shd w:val="clear" w:color="000000" w:fill="6FE7FF"/>
            <w:vAlign w:val="center"/>
            <w:hideMark/>
          </w:tcPr>
          <w:p w14:paraId="6A0FCEC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942045" w:rsidRPr="00D30847" w14:paraId="7848543D" w14:textId="77777777" w:rsidTr="00595060">
        <w:trPr>
          <w:trHeight w:val="313"/>
        </w:trPr>
        <w:tc>
          <w:tcPr>
            <w:tcW w:w="702" w:type="dxa"/>
            <w:gridSpan w:val="2"/>
            <w:tcBorders>
              <w:top w:val="nil"/>
              <w:left w:val="nil"/>
              <w:bottom w:val="nil"/>
              <w:right w:val="nil"/>
            </w:tcBorders>
            <w:shd w:val="clear" w:color="auto" w:fill="auto"/>
            <w:vAlign w:val="bottom"/>
            <w:hideMark/>
          </w:tcPr>
          <w:p w14:paraId="1ECE1DDF" w14:textId="77777777" w:rsidR="00942045" w:rsidRPr="00D30847" w:rsidRDefault="00942045" w:rsidP="00942045">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645CC78E"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566080BB"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single" w:sz="8" w:space="0" w:color="auto"/>
              <w:left w:val="single" w:sz="8" w:space="0" w:color="auto"/>
              <w:bottom w:val="single" w:sz="8" w:space="0" w:color="auto"/>
              <w:right w:val="nil"/>
            </w:tcBorders>
            <w:shd w:val="clear" w:color="auto" w:fill="auto"/>
            <w:vAlign w:val="center"/>
            <w:hideMark/>
          </w:tcPr>
          <w:p w14:paraId="4F376039"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single" w:sz="8" w:space="0" w:color="auto"/>
              <w:left w:val="nil"/>
              <w:bottom w:val="single" w:sz="8" w:space="0" w:color="auto"/>
              <w:right w:val="single" w:sz="4" w:space="0" w:color="auto"/>
            </w:tcBorders>
            <w:shd w:val="clear" w:color="auto" w:fill="auto"/>
            <w:vAlign w:val="center"/>
            <w:hideMark/>
          </w:tcPr>
          <w:p w14:paraId="1A733FD4"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Develop general public investment project appraisal methodology</w:t>
            </w:r>
          </w:p>
        </w:tc>
        <w:tc>
          <w:tcPr>
            <w:tcW w:w="522" w:type="dxa"/>
            <w:gridSpan w:val="2"/>
            <w:tcBorders>
              <w:top w:val="single" w:sz="4" w:space="0" w:color="auto"/>
              <w:left w:val="single" w:sz="4" w:space="0" w:color="auto"/>
              <w:bottom w:val="single" w:sz="4" w:space="0" w:color="auto"/>
              <w:right w:val="single" w:sz="4" w:space="0" w:color="auto"/>
            </w:tcBorders>
            <w:shd w:val="clear" w:color="000000" w:fill="0000FF"/>
            <w:vAlign w:val="center"/>
            <w:hideMark/>
          </w:tcPr>
          <w:p w14:paraId="526468AE" w14:textId="397BD743"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single" w:sz="4" w:space="0" w:color="auto"/>
              <w:left w:val="single" w:sz="4" w:space="0" w:color="auto"/>
              <w:bottom w:val="single" w:sz="4" w:space="0" w:color="auto"/>
              <w:right w:val="single" w:sz="4" w:space="0" w:color="auto"/>
            </w:tcBorders>
            <w:shd w:val="clear" w:color="000000" w:fill="0000FF"/>
            <w:vAlign w:val="center"/>
            <w:hideMark/>
          </w:tcPr>
          <w:p w14:paraId="7110ABAE" w14:textId="4F8FAC44"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82" w:type="dxa"/>
            <w:gridSpan w:val="3"/>
            <w:tcBorders>
              <w:top w:val="single" w:sz="4" w:space="0" w:color="auto"/>
              <w:left w:val="single" w:sz="4" w:space="0" w:color="auto"/>
              <w:bottom w:val="single" w:sz="4" w:space="0" w:color="auto"/>
              <w:right w:val="single" w:sz="4" w:space="0" w:color="auto"/>
            </w:tcBorders>
            <w:shd w:val="clear" w:color="000000" w:fill="0000FF"/>
            <w:vAlign w:val="center"/>
            <w:hideMark/>
          </w:tcPr>
          <w:p w14:paraId="27973590" w14:textId="39E369E5"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80" w:type="dxa"/>
            <w:gridSpan w:val="3"/>
            <w:tcBorders>
              <w:top w:val="single" w:sz="4" w:space="0" w:color="auto"/>
              <w:left w:val="single" w:sz="4" w:space="0" w:color="auto"/>
              <w:bottom w:val="single" w:sz="4" w:space="0" w:color="auto"/>
              <w:right w:val="single" w:sz="4" w:space="0" w:color="auto"/>
            </w:tcBorders>
            <w:shd w:val="clear" w:color="000000" w:fill="0000FF"/>
            <w:vAlign w:val="center"/>
            <w:hideMark/>
          </w:tcPr>
          <w:p w14:paraId="6EEE98D2" w14:textId="2AD8D240"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69A361" w14:textId="2C94AF6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AD9A14" w14:textId="03C6A0BB"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FCC2F0" w14:textId="7FCD5EAD"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CF4A94" w14:textId="557648F4"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56CDDFF"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C8D2507"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D24986"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75B5433"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5B9FD0B"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2D8B01"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D3A7072"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5F8790B"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942045" w:rsidRPr="00D30847" w14:paraId="33CE3F80" w14:textId="77777777" w:rsidTr="00595060">
        <w:trPr>
          <w:trHeight w:val="322"/>
        </w:trPr>
        <w:tc>
          <w:tcPr>
            <w:tcW w:w="702" w:type="dxa"/>
            <w:gridSpan w:val="2"/>
            <w:tcBorders>
              <w:top w:val="nil"/>
              <w:left w:val="nil"/>
              <w:bottom w:val="nil"/>
              <w:right w:val="nil"/>
            </w:tcBorders>
            <w:shd w:val="clear" w:color="auto" w:fill="auto"/>
            <w:vAlign w:val="bottom"/>
            <w:hideMark/>
          </w:tcPr>
          <w:p w14:paraId="09D49FAD" w14:textId="77777777" w:rsidR="00942045" w:rsidRPr="00D30847" w:rsidRDefault="00942045" w:rsidP="00942045">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3CFE5889"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04974B73"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3B363FC9"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4" w:space="0" w:color="auto"/>
            </w:tcBorders>
            <w:shd w:val="clear" w:color="auto" w:fill="auto"/>
            <w:vAlign w:val="center"/>
            <w:hideMark/>
          </w:tcPr>
          <w:p w14:paraId="2B39E706"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Establish standard criteria for project selection/prioritization</w:t>
            </w:r>
          </w:p>
        </w:tc>
        <w:tc>
          <w:tcPr>
            <w:tcW w:w="522" w:type="dxa"/>
            <w:gridSpan w:val="2"/>
            <w:tcBorders>
              <w:top w:val="single" w:sz="4" w:space="0" w:color="auto"/>
              <w:left w:val="single" w:sz="4" w:space="0" w:color="auto"/>
              <w:bottom w:val="single" w:sz="4" w:space="0" w:color="auto"/>
              <w:right w:val="single" w:sz="4" w:space="0" w:color="auto"/>
            </w:tcBorders>
            <w:shd w:val="clear" w:color="000000" w:fill="0000FF"/>
            <w:vAlign w:val="center"/>
            <w:hideMark/>
          </w:tcPr>
          <w:p w14:paraId="6760A552" w14:textId="7980B308"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single" w:sz="4" w:space="0" w:color="auto"/>
              <w:left w:val="single" w:sz="4" w:space="0" w:color="auto"/>
              <w:bottom w:val="single" w:sz="4" w:space="0" w:color="auto"/>
              <w:right w:val="single" w:sz="4" w:space="0" w:color="auto"/>
            </w:tcBorders>
            <w:shd w:val="clear" w:color="000000" w:fill="0000FF"/>
            <w:vAlign w:val="center"/>
            <w:hideMark/>
          </w:tcPr>
          <w:p w14:paraId="01B33A52" w14:textId="030D49C4"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82" w:type="dxa"/>
            <w:gridSpan w:val="3"/>
            <w:tcBorders>
              <w:top w:val="single" w:sz="4" w:space="0" w:color="auto"/>
              <w:left w:val="single" w:sz="4" w:space="0" w:color="auto"/>
              <w:bottom w:val="single" w:sz="4" w:space="0" w:color="auto"/>
              <w:right w:val="single" w:sz="4" w:space="0" w:color="auto"/>
            </w:tcBorders>
            <w:shd w:val="clear" w:color="000000" w:fill="0000FF"/>
            <w:vAlign w:val="center"/>
            <w:hideMark/>
          </w:tcPr>
          <w:p w14:paraId="53D1151C" w14:textId="63D91B19"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80" w:type="dxa"/>
            <w:gridSpan w:val="3"/>
            <w:tcBorders>
              <w:top w:val="single" w:sz="4" w:space="0" w:color="auto"/>
              <w:left w:val="single" w:sz="4" w:space="0" w:color="auto"/>
              <w:bottom w:val="single" w:sz="4" w:space="0" w:color="auto"/>
              <w:right w:val="single" w:sz="4" w:space="0" w:color="auto"/>
            </w:tcBorders>
            <w:shd w:val="clear" w:color="000000" w:fill="0000FF"/>
            <w:vAlign w:val="center"/>
            <w:hideMark/>
          </w:tcPr>
          <w:p w14:paraId="1723AB4B" w14:textId="3DB331CC"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6F17BD" w14:textId="393302E1"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EE900B" w14:textId="73008B1C"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18BC6D" w14:textId="6209A1B1"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0197E9" w14:textId="09B849F4"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92D9837"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5355643"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3B31D7"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BF3D55A"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44CCC25"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405108"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B714C1D"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481D4D1"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942045" w:rsidRPr="00D30847" w14:paraId="6D413E71" w14:textId="77777777" w:rsidTr="00595060">
        <w:trPr>
          <w:trHeight w:val="615"/>
        </w:trPr>
        <w:tc>
          <w:tcPr>
            <w:tcW w:w="702" w:type="dxa"/>
            <w:gridSpan w:val="2"/>
            <w:tcBorders>
              <w:top w:val="nil"/>
              <w:left w:val="nil"/>
              <w:bottom w:val="nil"/>
              <w:right w:val="nil"/>
            </w:tcBorders>
            <w:shd w:val="clear" w:color="auto" w:fill="auto"/>
            <w:vAlign w:val="bottom"/>
            <w:hideMark/>
          </w:tcPr>
          <w:p w14:paraId="0A66E8CC" w14:textId="77777777" w:rsidR="00942045" w:rsidRPr="00D30847" w:rsidRDefault="00942045" w:rsidP="00942045">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28FD7EAD"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1FF17EE7"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0E9E2569"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3.</w:t>
            </w:r>
          </w:p>
        </w:tc>
        <w:tc>
          <w:tcPr>
            <w:tcW w:w="3258" w:type="dxa"/>
            <w:gridSpan w:val="2"/>
            <w:tcBorders>
              <w:top w:val="nil"/>
              <w:left w:val="nil"/>
              <w:bottom w:val="single" w:sz="8" w:space="0" w:color="auto"/>
              <w:right w:val="single" w:sz="8" w:space="0" w:color="auto"/>
            </w:tcBorders>
            <w:shd w:val="clear" w:color="auto" w:fill="auto"/>
            <w:vAlign w:val="center"/>
            <w:hideMark/>
          </w:tcPr>
          <w:p w14:paraId="640DD72D"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xml:space="preserve">Provide training to MoF professionals on project appraisal and review of </w:t>
            </w:r>
            <w:proofErr w:type="spellStart"/>
            <w:r w:rsidRPr="00D30847">
              <w:rPr>
                <w:rFonts w:eastAsia="Times New Roman" w:cs="Calibri"/>
                <w:sz w:val="16"/>
                <w:szCs w:val="16"/>
                <w:lang w:val="en-GB"/>
              </w:rPr>
              <w:t>preinvestment</w:t>
            </w:r>
            <w:proofErr w:type="spellEnd"/>
            <w:r w:rsidRPr="00D30847">
              <w:rPr>
                <w:rFonts w:eastAsia="Times New Roman" w:cs="Calibri"/>
                <w:sz w:val="16"/>
                <w:szCs w:val="16"/>
                <w:lang w:val="en-GB"/>
              </w:rPr>
              <w:t xml:space="preserve"> studies</w:t>
            </w:r>
          </w:p>
        </w:tc>
        <w:tc>
          <w:tcPr>
            <w:tcW w:w="522" w:type="dxa"/>
            <w:gridSpan w:val="2"/>
            <w:tcBorders>
              <w:top w:val="single" w:sz="4" w:space="0" w:color="auto"/>
              <w:left w:val="nil"/>
              <w:bottom w:val="single" w:sz="8" w:space="0" w:color="auto"/>
              <w:right w:val="single" w:sz="8" w:space="0" w:color="auto"/>
            </w:tcBorders>
            <w:shd w:val="clear" w:color="000000" w:fill="0000FF"/>
            <w:vAlign w:val="center"/>
            <w:hideMark/>
          </w:tcPr>
          <w:p w14:paraId="0204D5BC" w14:textId="5DCCF59D"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single" w:sz="4" w:space="0" w:color="auto"/>
              <w:left w:val="nil"/>
              <w:bottom w:val="single" w:sz="8" w:space="0" w:color="auto"/>
              <w:right w:val="single" w:sz="8" w:space="0" w:color="auto"/>
            </w:tcBorders>
            <w:shd w:val="clear" w:color="000000" w:fill="0000FF"/>
            <w:vAlign w:val="center"/>
            <w:hideMark/>
          </w:tcPr>
          <w:p w14:paraId="0E882E7E" w14:textId="20A07278"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82" w:type="dxa"/>
            <w:gridSpan w:val="3"/>
            <w:tcBorders>
              <w:top w:val="single" w:sz="4" w:space="0" w:color="auto"/>
              <w:left w:val="nil"/>
              <w:bottom w:val="single" w:sz="8" w:space="0" w:color="auto"/>
              <w:right w:val="single" w:sz="8" w:space="0" w:color="auto"/>
            </w:tcBorders>
            <w:shd w:val="clear" w:color="000000" w:fill="0000FF"/>
            <w:vAlign w:val="center"/>
            <w:hideMark/>
          </w:tcPr>
          <w:p w14:paraId="196C5D29" w14:textId="27660A44"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80" w:type="dxa"/>
            <w:gridSpan w:val="3"/>
            <w:tcBorders>
              <w:top w:val="single" w:sz="4" w:space="0" w:color="auto"/>
              <w:left w:val="nil"/>
              <w:bottom w:val="single" w:sz="8" w:space="0" w:color="auto"/>
              <w:right w:val="single" w:sz="8" w:space="0" w:color="auto"/>
            </w:tcBorders>
            <w:shd w:val="clear" w:color="000000" w:fill="0000FF"/>
            <w:vAlign w:val="center"/>
            <w:hideMark/>
          </w:tcPr>
          <w:p w14:paraId="6D3EC003" w14:textId="1873828F"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4" w:space="0" w:color="auto"/>
              <w:left w:val="nil"/>
              <w:bottom w:val="single" w:sz="8" w:space="0" w:color="auto"/>
              <w:right w:val="single" w:sz="8" w:space="0" w:color="auto"/>
            </w:tcBorders>
            <w:shd w:val="clear" w:color="000000" w:fill="0000FF"/>
            <w:vAlign w:val="center"/>
            <w:hideMark/>
          </w:tcPr>
          <w:p w14:paraId="1B59364B" w14:textId="00DD41B6"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single" w:sz="4" w:space="0" w:color="auto"/>
              <w:left w:val="nil"/>
              <w:bottom w:val="single" w:sz="8" w:space="0" w:color="auto"/>
              <w:right w:val="single" w:sz="8" w:space="0" w:color="auto"/>
            </w:tcBorders>
            <w:shd w:val="clear" w:color="000000" w:fill="0000FF"/>
            <w:vAlign w:val="center"/>
            <w:hideMark/>
          </w:tcPr>
          <w:p w14:paraId="488490D2" w14:textId="6CCCFCF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4" w:space="0" w:color="auto"/>
              <w:left w:val="nil"/>
              <w:bottom w:val="single" w:sz="8" w:space="0" w:color="auto"/>
              <w:right w:val="single" w:sz="8" w:space="0" w:color="auto"/>
            </w:tcBorders>
            <w:shd w:val="clear" w:color="000000" w:fill="0000FF"/>
            <w:vAlign w:val="center"/>
            <w:hideMark/>
          </w:tcPr>
          <w:p w14:paraId="20B49D43" w14:textId="31B9FF54"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single" w:sz="4" w:space="0" w:color="auto"/>
              <w:left w:val="nil"/>
              <w:bottom w:val="single" w:sz="8" w:space="0" w:color="auto"/>
              <w:right w:val="single" w:sz="8" w:space="0" w:color="auto"/>
            </w:tcBorders>
            <w:shd w:val="clear" w:color="000000" w:fill="0000FF"/>
            <w:vAlign w:val="center"/>
            <w:hideMark/>
          </w:tcPr>
          <w:p w14:paraId="4C01C611" w14:textId="55811009"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4" w:space="0" w:color="auto"/>
              <w:left w:val="nil"/>
              <w:bottom w:val="single" w:sz="8" w:space="0" w:color="auto"/>
              <w:right w:val="single" w:sz="8" w:space="0" w:color="auto"/>
            </w:tcBorders>
            <w:shd w:val="clear" w:color="000000" w:fill="0000FF"/>
            <w:vAlign w:val="center"/>
            <w:hideMark/>
          </w:tcPr>
          <w:p w14:paraId="7B1852E3" w14:textId="6519848B"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3"/>
            <w:tcBorders>
              <w:top w:val="single" w:sz="4" w:space="0" w:color="auto"/>
              <w:left w:val="nil"/>
              <w:bottom w:val="single" w:sz="8" w:space="0" w:color="auto"/>
              <w:right w:val="single" w:sz="8" w:space="0" w:color="auto"/>
            </w:tcBorders>
            <w:shd w:val="clear" w:color="000000" w:fill="0000FF"/>
            <w:vAlign w:val="center"/>
            <w:hideMark/>
          </w:tcPr>
          <w:p w14:paraId="6F30D110" w14:textId="29E8ABF1"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single" w:sz="4" w:space="0" w:color="auto"/>
              <w:left w:val="nil"/>
              <w:bottom w:val="single" w:sz="8" w:space="0" w:color="auto"/>
              <w:right w:val="single" w:sz="8" w:space="0" w:color="auto"/>
            </w:tcBorders>
            <w:shd w:val="clear" w:color="000000" w:fill="0000FF"/>
            <w:vAlign w:val="center"/>
            <w:hideMark/>
          </w:tcPr>
          <w:p w14:paraId="3ED143BB" w14:textId="00B6CBF3"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22" w:type="dxa"/>
            <w:gridSpan w:val="3"/>
            <w:tcBorders>
              <w:top w:val="single" w:sz="4" w:space="0" w:color="auto"/>
              <w:left w:val="nil"/>
              <w:bottom w:val="single" w:sz="8" w:space="0" w:color="auto"/>
              <w:right w:val="single" w:sz="8" w:space="0" w:color="auto"/>
            </w:tcBorders>
            <w:shd w:val="clear" w:color="000000" w:fill="0000FF"/>
            <w:vAlign w:val="center"/>
            <w:hideMark/>
          </w:tcPr>
          <w:p w14:paraId="7D202C94" w14:textId="3BF36979"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4"/>
            <w:tcBorders>
              <w:top w:val="single" w:sz="4" w:space="0" w:color="auto"/>
              <w:left w:val="nil"/>
              <w:bottom w:val="single" w:sz="8" w:space="0" w:color="auto"/>
              <w:right w:val="single" w:sz="8" w:space="0" w:color="auto"/>
            </w:tcBorders>
            <w:shd w:val="clear" w:color="000000" w:fill="0000FF"/>
            <w:vAlign w:val="center"/>
            <w:hideMark/>
          </w:tcPr>
          <w:p w14:paraId="565B2D30" w14:textId="2A121DA6"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2"/>
            <w:tcBorders>
              <w:top w:val="single" w:sz="4" w:space="0" w:color="auto"/>
              <w:left w:val="nil"/>
              <w:bottom w:val="single" w:sz="8" w:space="0" w:color="auto"/>
              <w:right w:val="single" w:sz="8" w:space="0" w:color="auto"/>
            </w:tcBorders>
            <w:shd w:val="clear" w:color="000000" w:fill="0000FF"/>
            <w:vAlign w:val="center"/>
            <w:hideMark/>
          </w:tcPr>
          <w:p w14:paraId="02E17B5C" w14:textId="18FC9709"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3"/>
            <w:tcBorders>
              <w:top w:val="single" w:sz="4" w:space="0" w:color="auto"/>
              <w:left w:val="nil"/>
              <w:bottom w:val="single" w:sz="8" w:space="0" w:color="auto"/>
              <w:right w:val="single" w:sz="8" w:space="0" w:color="auto"/>
            </w:tcBorders>
            <w:shd w:val="clear" w:color="000000" w:fill="0000FF"/>
            <w:vAlign w:val="center"/>
            <w:hideMark/>
          </w:tcPr>
          <w:p w14:paraId="1F4621A2" w14:textId="47CDDC93"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648" w:type="dxa"/>
            <w:gridSpan w:val="3"/>
            <w:tcBorders>
              <w:top w:val="single" w:sz="4" w:space="0" w:color="auto"/>
              <w:left w:val="nil"/>
              <w:bottom w:val="single" w:sz="8" w:space="0" w:color="auto"/>
              <w:right w:val="single" w:sz="8" w:space="0" w:color="auto"/>
            </w:tcBorders>
            <w:shd w:val="clear" w:color="000000" w:fill="0000FF"/>
            <w:vAlign w:val="center"/>
            <w:hideMark/>
          </w:tcPr>
          <w:p w14:paraId="608519F2" w14:textId="269CB985"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r>
      <w:tr w:rsidR="00813709" w:rsidRPr="00D30847" w14:paraId="1EEB1002" w14:textId="77777777" w:rsidTr="00595060">
        <w:trPr>
          <w:trHeight w:val="70"/>
        </w:trPr>
        <w:tc>
          <w:tcPr>
            <w:tcW w:w="702" w:type="dxa"/>
            <w:gridSpan w:val="2"/>
            <w:tcBorders>
              <w:top w:val="nil"/>
              <w:left w:val="nil"/>
              <w:bottom w:val="nil"/>
              <w:right w:val="nil"/>
            </w:tcBorders>
            <w:shd w:val="clear" w:color="auto" w:fill="auto"/>
            <w:vAlign w:val="bottom"/>
            <w:hideMark/>
          </w:tcPr>
          <w:p w14:paraId="7B05539B" w14:textId="77777777" w:rsidR="00942045" w:rsidRPr="00D30847" w:rsidRDefault="00942045" w:rsidP="00942045">
            <w:pPr>
              <w:spacing w:after="0" w:line="240" w:lineRule="auto"/>
              <w:rPr>
                <w:rFonts w:eastAsia="Times New Roman" w:cs="Calibri"/>
                <w:sz w:val="16"/>
                <w:szCs w:val="16"/>
                <w:lang w:val="en-GB"/>
              </w:rPr>
            </w:pPr>
          </w:p>
        </w:tc>
        <w:tc>
          <w:tcPr>
            <w:tcW w:w="464" w:type="dxa"/>
            <w:gridSpan w:val="2"/>
            <w:tcBorders>
              <w:top w:val="nil"/>
              <w:left w:val="nil"/>
              <w:bottom w:val="nil"/>
              <w:right w:val="nil"/>
            </w:tcBorders>
            <w:shd w:val="clear" w:color="auto" w:fill="auto"/>
            <w:vAlign w:val="bottom"/>
            <w:hideMark/>
          </w:tcPr>
          <w:p w14:paraId="16656A81"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4BB3A0D1"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452D567B"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4.</w:t>
            </w:r>
          </w:p>
        </w:tc>
        <w:tc>
          <w:tcPr>
            <w:tcW w:w="3258" w:type="dxa"/>
            <w:gridSpan w:val="2"/>
            <w:tcBorders>
              <w:top w:val="nil"/>
              <w:left w:val="nil"/>
              <w:bottom w:val="single" w:sz="8" w:space="0" w:color="auto"/>
              <w:right w:val="single" w:sz="8" w:space="0" w:color="auto"/>
            </w:tcBorders>
            <w:shd w:val="clear" w:color="auto" w:fill="auto"/>
            <w:vAlign w:val="center"/>
            <w:hideMark/>
          </w:tcPr>
          <w:p w14:paraId="775B7D61"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Provide training to budget users/</w:t>
            </w:r>
            <w:proofErr w:type="spellStart"/>
            <w:r w:rsidRPr="00D30847">
              <w:rPr>
                <w:rFonts w:eastAsia="Times New Roman" w:cs="Calibri"/>
                <w:sz w:val="16"/>
                <w:szCs w:val="16"/>
                <w:lang w:val="en-GB"/>
              </w:rPr>
              <w:t>SoEs</w:t>
            </w:r>
            <w:proofErr w:type="spellEnd"/>
            <w:r w:rsidRPr="00D30847">
              <w:rPr>
                <w:rFonts w:eastAsia="Times New Roman" w:cs="Calibri"/>
                <w:sz w:val="16"/>
                <w:szCs w:val="16"/>
                <w:lang w:val="en-GB"/>
              </w:rPr>
              <w:t>/LSGUs professionals on project formulation appraisal and selection</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0BE5E422" w14:textId="716D48F5"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D6DA36D" w14:textId="51974DC2"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4223537B" w14:textId="6C899D5C"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60466914" w14:textId="5CC8AE0D"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083A047A" w14:textId="79F2F064"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auto" w:fill="0000FF"/>
            <w:vAlign w:val="center"/>
            <w:hideMark/>
          </w:tcPr>
          <w:p w14:paraId="34CA787D" w14:textId="4383131B"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567D27C7" w14:textId="666B8BA6"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auto" w:fill="0000FF"/>
            <w:vAlign w:val="center"/>
            <w:hideMark/>
          </w:tcPr>
          <w:p w14:paraId="1A6BEB5E" w14:textId="16C28E7F"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0000FF"/>
            <w:vAlign w:val="center"/>
            <w:hideMark/>
          </w:tcPr>
          <w:p w14:paraId="3931221B" w14:textId="1EE80701"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2CF63F0D" w14:textId="21C259A4"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7DDD9602" w14:textId="679B3249"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auto" w:fill="0000FF"/>
            <w:vAlign w:val="center"/>
            <w:hideMark/>
          </w:tcPr>
          <w:p w14:paraId="38D0C516" w14:textId="397E910E"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0000FF"/>
            <w:vAlign w:val="center"/>
            <w:hideMark/>
          </w:tcPr>
          <w:p w14:paraId="3C25A84C" w14:textId="6A816994"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0000FF"/>
            <w:vAlign w:val="center"/>
            <w:hideMark/>
          </w:tcPr>
          <w:p w14:paraId="0BB63425" w14:textId="3082C8DF"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67FB1C52" w14:textId="32ED2C95"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0000FF"/>
            <w:vAlign w:val="center"/>
            <w:hideMark/>
          </w:tcPr>
          <w:p w14:paraId="277A6E6D" w14:textId="170D9B48"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r>
      <w:tr w:rsidR="00C93723" w:rsidRPr="00D30847" w14:paraId="77CB5744" w14:textId="77777777" w:rsidTr="00595060">
        <w:trPr>
          <w:trHeight w:val="315"/>
        </w:trPr>
        <w:tc>
          <w:tcPr>
            <w:tcW w:w="702" w:type="dxa"/>
            <w:gridSpan w:val="2"/>
            <w:tcBorders>
              <w:top w:val="nil"/>
              <w:left w:val="nil"/>
              <w:bottom w:val="nil"/>
              <w:right w:val="nil"/>
            </w:tcBorders>
            <w:shd w:val="clear" w:color="000000" w:fill="6FE7FF"/>
            <w:vAlign w:val="center"/>
            <w:hideMark/>
          </w:tcPr>
          <w:p w14:paraId="3AD1F05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22FE551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046" w:type="dxa"/>
            <w:gridSpan w:val="4"/>
            <w:tcBorders>
              <w:top w:val="nil"/>
              <w:left w:val="nil"/>
              <w:bottom w:val="nil"/>
              <w:right w:val="nil"/>
            </w:tcBorders>
            <w:shd w:val="clear" w:color="000000" w:fill="6FE7FF"/>
            <w:vAlign w:val="center"/>
            <w:hideMark/>
          </w:tcPr>
          <w:p w14:paraId="1212DCC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3.</w:t>
            </w:r>
          </w:p>
        </w:tc>
        <w:tc>
          <w:tcPr>
            <w:tcW w:w="3258" w:type="dxa"/>
            <w:gridSpan w:val="2"/>
            <w:tcBorders>
              <w:top w:val="nil"/>
              <w:left w:val="nil"/>
              <w:bottom w:val="nil"/>
              <w:right w:val="nil"/>
            </w:tcBorders>
            <w:shd w:val="clear" w:color="000000" w:fill="6FE7FF"/>
            <w:vAlign w:val="center"/>
            <w:hideMark/>
          </w:tcPr>
          <w:p w14:paraId="78AD539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Efficient and effective monitoring of capital investments</w:t>
            </w:r>
          </w:p>
        </w:tc>
        <w:tc>
          <w:tcPr>
            <w:tcW w:w="522" w:type="dxa"/>
            <w:gridSpan w:val="2"/>
            <w:tcBorders>
              <w:top w:val="nil"/>
              <w:left w:val="nil"/>
              <w:bottom w:val="nil"/>
              <w:right w:val="nil"/>
            </w:tcBorders>
            <w:shd w:val="clear" w:color="000000" w:fill="6FE7FF"/>
            <w:vAlign w:val="center"/>
            <w:hideMark/>
          </w:tcPr>
          <w:p w14:paraId="2C6D1E7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7136040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6FE7FF"/>
            <w:vAlign w:val="center"/>
            <w:hideMark/>
          </w:tcPr>
          <w:p w14:paraId="40449F9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6FE7FF"/>
            <w:vAlign w:val="center"/>
            <w:hideMark/>
          </w:tcPr>
          <w:p w14:paraId="23AB15D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75716C2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6FE7FF"/>
            <w:vAlign w:val="center"/>
            <w:hideMark/>
          </w:tcPr>
          <w:p w14:paraId="1B4E59C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27D7D44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6FE7FF"/>
            <w:vAlign w:val="center"/>
            <w:hideMark/>
          </w:tcPr>
          <w:p w14:paraId="1DF79A9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3EF22A7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6B53ACA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0413A74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6FE7FF"/>
            <w:vAlign w:val="center"/>
            <w:hideMark/>
          </w:tcPr>
          <w:p w14:paraId="010577E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49D5D7B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6FE7FF"/>
            <w:vAlign w:val="center"/>
            <w:hideMark/>
          </w:tcPr>
          <w:p w14:paraId="2BC0AE6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19EF18C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6FE7FF"/>
            <w:vAlign w:val="center"/>
            <w:hideMark/>
          </w:tcPr>
          <w:p w14:paraId="0495899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942045" w:rsidRPr="00D30847" w14:paraId="23617A52" w14:textId="77777777" w:rsidTr="00595060">
        <w:trPr>
          <w:trHeight w:val="367"/>
        </w:trPr>
        <w:tc>
          <w:tcPr>
            <w:tcW w:w="702" w:type="dxa"/>
            <w:gridSpan w:val="2"/>
            <w:tcBorders>
              <w:top w:val="nil"/>
              <w:left w:val="nil"/>
              <w:bottom w:val="nil"/>
              <w:right w:val="nil"/>
            </w:tcBorders>
            <w:shd w:val="clear" w:color="auto" w:fill="auto"/>
            <w:vAlign w:val="bottom"/>
            <w:hideMark/>
          </w:tcPr>
          <w:p w14:paraId="4EDFB281" w14:textId="77777777" w:rsidR="00942045" w:rsidRPr="00D30847" w:rsidRDefault="00942045" w:rsidP="00942045">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76CFE0CB"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1FEFB519"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single" w:sz="8" w:space="0" w:color="auto"/>
              <w:left w:val="single" w:sz="8" w:space="0" w:color="auto"/>
              <w:bottom w:val="single" w:sz="8" w:space="0" w:color="auto"/>
              <w:right w:val="nil"/>
            </w:tcBorders>
            <w:shd w:val="clear" w:color="auto" w:fill="auto"/>
            <w:vAlign w:val="center"/>
            <w:hideMark/>
          </w:tcPr>
          <w:p w14:paraId="4A03428B"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single" w:sz="8" w:space="0" w:color="auto"/>
              <w:left w:val="nil"/>
              <w:bottom w:val="single" w:sz="8" w:space="0" w:color="auto"/>
              <w:right w:val="single" w:sz="8" w:space="0" w:color="auto"/>
            </w:tcBorders>
            <w:shd w:val="clear" w:color="auto" w:fill="auto"/>
            <w:vAlign w:val="center"/>
            <w:hideMark/>
          </w:tcPr>
          <w:p w14:paraId="7A1CACC1"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Introduce procedures for risk-based centralized monitoring</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391C5549" w14:textId="7439731B"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F009E06" w14:textId="707626EB"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25BB111E" w14:textId="05240442"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148C6393" w14:textId="69DE28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68D4B04D" w14:textId="0069251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427C7920" w14:textId="6510A7E9"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3C3FA3D5" w14:textId="539BDAF0"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707CE8BC" w14:textId="188CD94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02F963A5" w14:textId="1D8A6E89"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3470616C" w14:textId="60715A46"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565633B8" w14:textId="7C207D5E"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440AEF43" w14:textId="2CEC7DDC"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7289B9E0" w14:textId="65D25EC8"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28ACACBB" w14:textId="3B09B3AD"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036B3A35" w14:textId="4A294D53"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43A4C68A" w14:textId="60E90BA6"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r>
      <w:tr w:rsidR="00942045" w:rsidRPr="00D30847" w14:paraId="67A0239B" w14:textId="77777777" w:rsidTr="00595060">
        <w:trPr>
          <w:trHeight w:val="313"/>
        </w:trPr>
        <w:tc>
          <w:tcPr>
            <w:tcW w:w="702" w:type="dxa"/>
            <w:gridSpan w:val="2"/>
            <w:tcBorders>
              <w:top w:val="nil"/>
              <w:left w:val="nil"/>
              <w:bottom w:val="nil"/>
              <w:right w:val="nil"/>
            </w:tcBorders>
            <w:shd w:val="clear" w:color="auto" w:fill="auto"/>
            <w:vAlign w:val="bottom"/>
            <w:hideMark/>
          </w:tcPr>
          <w:p w14:paraId="6D9E5BA0" w14:textId="77777777" w:rsidR="00942045" w:rsidRPr="00D30847" w:rsidRDefault="00942045" w:rsidP="00942045">
            <w:pPr>
              <w:spacing w:after="0" w:line="240" w:lineRule="auto"/>
              <w:rPr>
                <w:rFonts w:eastAsia="Times New Roman" w:cs="Calibri"/>
                <w:sz w:val="16"/>
                <w:szCs w:val="16"/>
                <w:lang w:val="en-GB"/>
              </w:rPr>
            </w:pPr>
          </w:p>
        </w:tc>
        <w:tc>
          <w:tcPr>
            <w:tcW w:w="464" w:type="dxa"/>
            <w:gridSpan w:val="2"/>
            <w:tcBorders>
              <w:top w:val="nil"/>
              <w:left w:val="nil"/>
              <w:bottom w:val="nil"/>
              <w:right w:val="nil"/>
            </w:tcBorders>
            <w:shd w:val="clear" w:color="auto" w:fill="auto"/>
            <w:vAlign w:val="bottom"/>
            <w:hideMark/>
          </w:tcPr>
          <w:p w14:paraId="6F2E0009"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52C43D4C"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4D707954"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6EEB7ADB"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Introduce a formal requirement for ex-post review of completed projects</w:t>
            </w:r>
          </w:p>
        </w:tc>
        <w:tc>
          <w:tcPr>
            <w:tcW w:w="522" w:type="dxa"/>
            <w:gridSpan w:val="2"/>
            <w:tcBorders>
              <w:top w:val="nil"/>
              <w:left w:val="nil"/>
              <w:bottom w:val="single" w:sz="8" w:space="0" w:color="auto"/>
              <w:right w:val="single" w:sz="8" w:space="0" w:color="auto"/>
            </w:tcBorders>
            <w:shd w:val="clear" w:color="000000" w:fill="FFFFFF"/>
            <w:vAlign w:val="center"/>
            <w:hideMark/>
          </w:tcPr>
          <w:p w14:paraId="5AD5209D"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FFFFFF"/>
            <w:vAlign w:val="center"/>
            <w:hideMark/>
          </w:tcPr>
          <w:p w14:paraId="3D510705"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FFFFFF"/>
            <w:vAlign w:val="center"/>
            <w:hideMark/>
          </w:tcPr>
          <w:p w14:paraId="68871871"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FFFFFF"/>
            <w:vAlign w:val="center"/>
            <w:hideMark/>
          </w:tcPr>
          <w:p w14:paraId="21C187C9"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882F09B" w14:textId="2FC79472"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725521D4" w14:textId="2BA755F9"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46FFB2B5" w14:textId="25B3C232"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5A77AAC9" w14:textId="7FD39C19"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3BDFC37A" w14:textId="69205285"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125AECB9" w14:textId="6DE85CE6"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45384109" w14:textId="02D5D692"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1A23C938" w14:textId="5D48EF95"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69EB1FBD" w14:textId="1701FFE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7C2D90EA" w14:textId="5458F9F4"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7B1D597D" w14:textId="05C69D99"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2FFF139C" w14:textId="0C98EBF5"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942045" w:rsidRPr="00D30847" w14:paraId="3C02E190" w14:textId="77777777" w:rsidTr="00595060">
        <w:trPr>
          <w:trHeight w:val="169"/>
        </w:trPr>
        <w:tc>
          <w:tcPr>
            <w:tcW w:w="702" w:type="dxa"/>
            <w:gridSpan w:val="2"/>
            <w:tcBorders>
              <w:top w:val="nil"/>
              <w:left w:val="nil"/>
              <w:bottom w:val="nil"/>
              <w:right w:val="nil"/>
            </w:tcBorders>
            <w:shd w:val="clear" w:color="auto" w:fill="auto"/>
            <w:vAlign w:val="bottom"/>
            <w:hideMark/>
          </w:tcPr>
          <w:p w14:paraId="0582ECA5" w14:textId="77777777" w:rsidR="00942045" w:rsidRPr="00D30847" w:rsidRDefault="00942045" w:rsidP="00942045">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0ABD28AC"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15CE00D7"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1B02EDFB"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3.</w:t>
            </w:r>
          </w:p>
        </w:tc>
        <w:tc>
          <w:tcPr>
            <w:tcW w:w="3258" w:type="dxa"/>
            <w:gridSpan w:val="2"/>
            <w:tcBorders>
              <w:top w:val="nil"/>
              <w:left w:val="nil"/>
              <w:bottom w:val="single" w:sz="8" w:space="0" w:color="auto"/>
              <w:right w:val="single" w:sz="8" w:space="0" w:color="auto"/>
            </w:tcBorders>
            <w:shd w:val="clear" w:color="auto" w:fill="auto"/>
            <w:vAlign w:val="center"/>
            <w:hideMark/>
          </w:tcPr>
          <w:p w14:paraId="5A7080A9"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Develop a short-term IT solution for PIM</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2904C25D" w14:textId="6EF57A4A"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36A14400" w14:textId="634EC21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63BA8226" w14:textId="37DF57C2"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051FD6F5" w14:textId="5C98E41B"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31861EBD" w14:textId="247A71E6"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0156192C" w14:textId="56E57CC3"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5F105EA9" w14:textId="6611A5A3"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120C63A6" w14:textId="4619FF65"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FFFFFF"/>
            <w:vAlign w:val="center"/>
            <w:hideMark/>
          </w:tcPr>
          <w:p w14:paraId="0057859D"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FFFFFF"/>
            <w:vAlign w:val="center"/>
            <w:hideMark/>
          </w:tcPr>
          <w:p w14:paraId="38AD9541"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FFFFFF"/>
            <w:vAlign w:val="center"/>
            <w:hideMark/>
          </w:tcPr>
          <w:p w14:paraId="7643A173"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FFFFFF"/>
            <w:vAlign w:val="center"/>
            <w:hideMark/>
          </w:tcPr>
          <w:p w14:paraId="1B95A1E7"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FFFFFF"/>
            <w:vAlign w:val="center"/>
            <w:hideMark/>
          </w:tcPr>
          <w:p w14:paraId="5670EEC3"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FFFFFF"/>
            <w:vAlign w:val="center"/>
            <w:hideMark/>
          </w:tcPr>
          <w:p w14:paraId="4584927F"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FFFFFF"/>
            <w:vAlign w:val="center"/>
            <w:hideMark/>
          </w:tcPr>
          <w:p w14:paraId="09F4DBF2"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FFFFFF"/>
            <w:vAlign w:val="center"/>
            <w:hideMark/>
          </w:tcPr>
          <w:p w14:paraId="11A6832C"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1F68146C" w14:textId="77777777" w:rsidTr="00B84551">
        <w:trPr>
          <w:trHeight w:val="223"/>
        </w:trPr>
        <w:tc>
          <w:tcPr>
            <w:tcW w:w="702" w:type="dxa"/>
            <w:gridSpan w:val="2"/>
            <w:tcBorders>
              <w:top w:val="nil"/>
              <w:left w:val="nil"/>
              <w:bottom w:val="nil"/>
              <w:right w:val="nil"/>
            </w:tcBorders>
            <w:shd w:val="clear" w:color="000000" w:fill="00FF00"/>
            <w:vAlign w:val="center"/>
            <w:hideMark/>
          </w:tcPr>
          <w:p w14:paraId="55941C1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510" w:type="dxa"/>
            <w:gridSpan w:val="6"/>
            <w:tcBorders>
              <w:top w:val="nil"/>
              <w:left w:val="nil"/>
              <w:bottom w:val="nil"/>
              <w:right w:val="nil"/>
            </w:tcBorders>
            <w:shd w:val="clear" w:color="000000" w:fill="00FF00"/>
            <w:vAlign w:val="center"/>
            <w:hideMark/>
          </w:tcPr>
          <w:p w14:paraId="2E0682D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xml:space="preserve"> Priority 3.</w:t>
            </w:r>
          </w:p>
        </w:tc>
        <w:tc>
          <w:tcPr>
            <w:tcW w:w="3258" w:type="dxa"/>
            <w:gridSpan w:val="2"/>
            <w:tcBorders>
              <w:top w:val="nil"/>
              <w:left w:val="nil"/>
              <w:bottom w:val="nil"/>
              <w:right w:val="nil"/>
            </w:tcBorders>
            <w:shd w:val="clear" w:color="000000" w:fill="00FF00"/>
            <w:vAlign w:val="center"/>
            <w:hideMark/>
          </w:tcPr>
          <w:p w14:paraId="4AD6157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Strengthen the accounting of budgets and budget users</w:t>
            </w:r>
          </w:p>
        </w:tc>
        <w:tc>
          <w:tcPr>
            <w:tcW w:w="522" w:type="dxa"/>
            <w:gridSpan w:val="2"/>
            <w:tcBorders>
              <w:top w:val="nil"/>
              <w:left w:val="nil"/>
              <w:bottom w:val="nil"/>
              <w:right w:val="nil"/>
            </w:tcBorders>
            <w:shd w:val="clear" w:color="000000" w:fill="00FF00"/>
            <w:vAlign w:val="center"/>
            <w:hideMark/>
          </w:tcPr>
          <w:p w14:paraId="1202929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07BF216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00FF00"/>
            <w:vAlign w:val="center"/>
            <w:hideMark/>
          </w:tcPr>
          <w:p w14:paraId="4A7003E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00FF00"/>
            <w:vAlign w:val="center"/>
            <w:hideMark/>
          </w:tcPr>
          <w:p w14:paraId="4653100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7B99FB0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00FF00"/>
            <w:vAlign w:val="center"/>
            <w:hideMark/>
          </w:tcPr>
          <w:p w14:paraId="5D41629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3070035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00FF00"/>
            <w:vAlign w:val="center"/>
            <w:hideMark/>
          </w:tcPr>
          <w:p w14:paraId="543BE05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181A400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4216040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61A5A46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00FF00"/>
            <w:vAlign w:val="center"/>
            <w:hideMark/>
          </w:tcPr>
          <w:p w14:paraId="2AA1338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054189C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00FF00"/>
            <w:vAlign w:val="center"/>
            <w:hideMark/>
          </w:tcPr>
          <w:p w14:paraId="3E5017D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21AFB74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00FF00"/>
            <w:vAlign w:val="center"/>
            <w:hideMark/>
          </w:tcPr>
          <w:p w14:paraId="6D16D14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352D878C" w14:textId="77777777" w:rsidTr="00595060">
        <w:trPr>
          <w:trHeight w:val="378"/>
        </w:trPr>
        <w:tc>
          <w:tcPr>
            <w:tcW w:w="702" w:type="dxa"/>
            <w:gridSpan w:val="2"/>
            <w:tcBorders>
              <w:top w:val="nil"/>
              <w:left w:val="nil"/>
              <w:bottom w:val="nil"/>
              <w:right w:val="nil"/>
            </w:tcBorders>
            <w:shd w:val="clear" w:color="000000" w:fill="6FE7FF"/>
            <w:vAlign w:val="center"/>
            <w:hideMark/>
          </w:tcPr>
          <w:p w14:paraId="76E4358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2BE70C2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59CB361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1.</w:t>
            </w:r>
          </w:p>
        </w:tc>
        <w:tc>
          <w:tcPr>
            <w:tcW w:w="1770" w:type="dxa"/>
            <w:gridSpan w:val="2"/>
            <w:tcBorders>
              <w:top w:val="nil"/>
              <w:left w:val="nil"/>
              <w:bottom w:val="single" w:sz="8" w:space="0" w:color="auto"/>
              <w:right w:val="nil"/>
            </w:tcBorders>
            <w:shd w:val="clear" w:color="000000" w:fill="6FE7FF"/>
            <w:vAlign w:val="center"/>
            <w:hideMark/>
          </w:tcPr>
          <w:p w14:paraId="63E8354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258" w:type="dxa"/>
            <w:gridSpan w:val="2"/>
            <w:tcBorders>
              <w:top w:val="nil"/>
              <w:left w:val="nil"/>
              <w:bottom w:val="single" w:sz="8" w:space="0" w:color="auto"/>
              <w:right w:val="nil"/>
            </w:tcBorders>
            <w:shd w:val="clear" w:color="000000" w:fill="6FE7FF"/>
            <w:vAlign w:val="center"/>
            <w:hideMark/>
          </w:tcPr>
          <w:p w14:paraId="5E51B658" w14:textId="560798C3" w:rsidR="00C93723" w:rsidRPr="00D30847" w:rsidRDefault="00885942"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Harmonization of the legal framework for accounting of budgets and budget users with the new  Budgets Law</w:t>
            </w:r>
          </w:p>
        </w:tc>
        <w:tc>
          <w:tcPr>
            <w:tcW w:w="522" w:type="dxa"/>
            <w:gridSpan w:val="2"/>
            <w:tcBorders>
              <w:top w:val="nil"/>
              <w:left w:val="nil"/>
              <w:bottom w:val="single" w:sz="8" w:space="0" w:color="auto"/>
              <w:right w:val="nil"/>
            </w:tcBorders>
            <w:shd w:val="clear" w:color="000000" w:fill="6FE7FF"/>
            <w:vAlign w:val="center"/>
            <w:hideMark/>
          </w:tcPr>
          <w:p w14:paraId="7FCD32F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7E294E9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8" w:space="0" w:color="auto"/>
              <w:right w:val="nil"/>
            </w:tcBorders>
            <w:shd w:val="clear" w:color="000000" w:fill="6FE7FF"/>
            <w:vAlign w:val="center"/>
            <w:hideMark/>
          </w:tcPr>
          <w:p w14:paraId="11B9433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0B5348C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151CBB7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8" w:space="0" w:color="auto"/>
              <w:right w:val="nil"/>
            </w:tcBorders>
            <w:shd w:val="clear" w:color="000000" w:fill="6FE7FF"/>
            <w:vAlign w:val="center"/>
            <w:hideMark/>
          </w:tcPr>
          <w:p w14:paraId="0A4F7EC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26C01A0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32B4123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412B388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32251CA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54C97C6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8" w:space="0" w:color="auto"/>
              <w:right w:val="nil"/>
            </w:tcBorders>
            <w:shd w:val="clear" w:color="000000" w:fill="6FE7FF"/>
            <w:vAlign w:val="center"/>
            <w:hideMark/>
          </w:tcPr>
          <w:p w14:paraId="50B547D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5590E7B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3315C8D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65C7DCB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8" w:space="0" w:color="auto"/>
              <w:right w:val="nil"/>
            </w:tcBorders>
            <w:shd w:val="clear" w:color="000000" w:fill="6FE7FF"/>
            <w:vAlign w:val="center"/>
            <w:hideMark/>
          </w:tcPr>
          <w:p w14:paraId="3F6C34A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71363134" w14:textId="77777777" w:rsidTr="00595060">
        <w:trPr>
          <w:trHeight w:val="759"/>
        </w:trPr>
        <w:tc>
          <w:tcPr>
            <w:tcW w:w="702" w:type="dxa"/>
            <w:gridSpan w:val="2"/>
            <w:tcBorders>
              <w:top w:val="nil"/>
              <w:left w:val="nil"/>
              <w:bottom w:val="nil"/>
              <w:right w:val="nil"/>
            </w:tcBorders>
            <w:shd w:val="clear" w:color="auto" w:fill="auto"/>
            <w:vAlign w:val="bottom"/>
            <w:hideMark/>
          </w:tcPr>
          <w:p w14:paraId="2EB5D044"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10038258"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71AC21F0"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739EE85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nil"/>
              <w:left w:val="nil"/>
              <w:bottom w:val="single" w:sz="8" w:space="0" w:color="auto"/>
              <w:right w:val="single" w:sz="8" w:space="0" w:color="auto"/>
            </w:tcBorders>
            <w:shd w:val="clear" w:color="auto" w:fill="auto"/>
            <w:vAlign w:val="center"/>
            <w:hideMark/>
          </w:tcPr>
          <w:p w14:paraId="3243A6F9" w14:textId="2BF56A9F" w:rsidR="00C93723" w:rsidRPr="00D30847" w:rsidRDefault="00885942" w:rsidP="00C93723">
            <w:pPr>
              <w:spacing w:after="0" w:line="240" w:lineRule="auto"/>
              <w:rPr>
                <w:rFonts w:eastAsia="Times New Roman" w:cs="Calibri"/>
                <w:sz w:val="16"/>
                <w:szCs w:val="16"/>
                <w:lang w:val="en-GB"/>
              </w:rPr>
            </w:pPr>
            <w:r w:rsidRPr="00D30847">
              <w:rPr>
                <w:rFonts w:eastAsia="Times New Roman" w:cs="Calibri"/>
                <w:sz w:val="16"/>
                <w:szCs w:val="16"/>
                <w:lang w:val="en-GB"/>
              </w:rPr>
              <w:t>Revision of the existing legal framework and detecting the need for the adoption of a new regulation for accounting of budgets and budget users</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68696AC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2F33649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61A5A83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2B33909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743EAA5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12" w:type="dxa"/>
            <w:gridSpan w:val="3"/>
            <w:tcBorders>
              <w:top w:val="nil"/>
              <w:left w:val="nil"/>
              <w:bottom w:val="single" w:sz="8" w:space="0" w:color="auto"/>
              <w:right w:val="single" w:sz="8" w:space="0" w:color="auto"/>
            </w:tcBorders>
            <w:shd w:val="clear" w:color="auto" w:fill="auto"/>
            <w:vAlign w:val="center"/>
            <w:hideMark/>
          </w:tcPr>
          <w:p w14:paraId="23191835"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14C26C05"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40" w:type="dxa"/>
            <w:gridSpan w:val="3"/>
            <w:tcBorders>
              <w:top w:val="nil"/>
              <w:left w:val="nil"/>
              <w:bottom w:val="single" w:sz="8" w:space="0" w:color="auto"/>
              <w:right w:val="single" w:sz="8" w:space="0" w:color="auto"/>
            </w:tcBorders>
            <w:shd w:val="clear" w:color="auto" w:fill="auto"/>
            <w:vAlign w:val="center"/>
            <w:hideMark/>
          </w:tcPr>
          <w:p w14:paraId="01B6A93A"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5786CC64"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695C0C9E"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0B5CF6A6"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22" w:type="dxa"/>
            <w:gridSpan w:val="3"/>
            <w:tcBorders>
              <w:top w:val="nil"/>
              <w:left w:val="nil"/>
              <w:bottom w:val="single" w:sz="8" w:space="0" w:color="auto"/>
              <w:right w:val="single" w:sz="8" w:space="0" w:color="auto"/>
            </w:tcBorders>
            <w:shd w:val="clear" w:color="auto" w:fill="auto"/>
            <w:vAlign w:val="center"/>
            <w:hideMark/>
          </w:tcPr>
          <w:p w14:paraId="086EEB57"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22472274"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1E01784F"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39714312"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4926D13F"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r>
      <w:tr w:rsidR="00C93723" w:rsidRPr="00D30847" w14:paraId="770B4DF2" w14:textId="77777777" w:rsidTr="00595060">
        <w:trPr>
          <w:trHeight w:val="656"/>
        </w:trPr>
        <w:tc>
          <w:tcPr>
            <w:tcW w:w="702" w:type="dxa"/>
            <w:gridSpan w:val="2"/>
            <w:tcBorders>
              <w:top w:val="nil"/>
              <w:left w:val="nil"/>
              <w:bottom w:val="nil"/>
              <w:right w:val="nil"/>
            </w:tcBorders>
            <w:shd w:val="clear" w:color="auto" w:fill="auto"/>
            <w:vAlign w:val="bottom"/>
            <w:hideMark/>
          </w:tcPr>
          <w:p w14:paraId="470A977E" w14:textId="77777777" w:rsidR="00C93723" w:rsidRPr="00D30847" w:rsidRDefault="00C93723" w:rsidP="00C93723">
            <w:pPr>
              <w:spacing w:after="0" w:line="240" w:lineRule="auto"/>
              <w:rPr>
                <w:rFonts w:eastAsia="Times New Roman" w:cs="Calibri"/>
                <w:sz w:val="16"/>
                <w:szCs w:val="16"/>
                <w:lang w:val="en-GB"/>
              </w:rPr>
            </w:pPr>
          </w:p>
        </w:tc>
        <w:tc>
          <w:tcPr>
            <w:tcW w:w="464" w:type="dxa"/>
            <w:gridSpan w:val="2"/>
            <w:tcBorders>
              <w:top w:val="nil"/>
              <w:left w:val="nil"/>
              <w:bottom w:val="nil"/>
              <w:right w:val="nil"/>
            </w:tcBorders>
            <w:shd w:val="clear" w:color="auto" w:fill="auto"/>
            <w:vAlign w:val="bottom"/>
            <w:hideMark/>
          </w:tcPr>
          <w:p w14:paraId="7C62A37F"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6F274076"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4FE0DC7D"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0077775D" w14:textId="2F0287C7" w:rsidR="00C93723" w:rsidRPr="00D30847" w:rsidRDefault="00885942" w:rsidP="00C93723">
            <w:pPr>
              <w:spacing w:after="0" w:line="240" w:lineRule="auto"/>
              <w:rPr>
                <w:rFonts w:eastAsia="Times New Roman" w:cs="Calibri"/>
                <w:sz w:val="16"/>
                <w:szCs w:val="16"/>
                <w:lang w:val="en-GB"/>
              </w:rPr>
            </w:pPr>
            <w:r w:rsidRPr="00D30847">
              <w:rPr>
                <w:rFonts w:eastAsia="Times New Roman" w:cs="Calibri"/>
                <w:sz w:val="16"/>
                <w:szCs w:val="16"/>
                <w:lang w:val="en-GB"/>
              </w:rPr>
              <w:t xml:space="preserve">Revision of the existing </w:t>
            </w:r>
            <w:r w:rsidR="00BE1CE0" w:rsidRPr="00D30847">
              <w:rPr>
                <w:rFonts w:eastAsia="Times New Roman" w:cs="Calibri"/>
                <w:sz w:val="16"/>
                <w:szCs w:val="16"/>
                <w:lang w:val="en-GB"/>
              </w:rPr>
              <w:t>bylaws</w:t>
            </w:r>
            <w:r w:rsidRPr="00D30847">
              <w:rPr>
                <w:rFonts w:eastAsia="Times New Roman" w:cs="Calibri"/>
                <w:sz w:val="16"/>
                <w:szCs w:val="16"/>
                <w:lang w:val="en-GB"/>
              </w:rPr>
              <w:t xml:space="preserve"> and detecting the need for the adoption of a new bylaws for accounting of budgets and budget users</w:t>
            </w:r>
          </w:p>
        </w:tc>
        <w:tc>
          <w:tcPr>
            <w:tcW w:w="522" w:type="dxa"/>
            <w:gridSpan w:val="2"/>
            <w:tcBorders>
              <w:top w:val="nil"/>
              <w:left w:val="nil"/>
              <w:bottom w:val="single" w:sz="8" w:space="0" w:color="auto"/>
              <w:right w:val="single" w:sz="8" w:space="0" w:color="auto"/>
            </w:tcBorders>
            <w:shd w:val="clear" w:color="auto" w:fill="0000FF"/>
            <w:vAlign w:val="center"/>
            <w:hideMark/>
          </w:tcPr>
          <w:p w14:paraId="022AD6FF"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4086AE8F"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82" w:type="dxa"/>
            <w:gridSpan w:val="3"/>
            <w:tcBorders>
              <w:top w:val="nil"/>
              <w:left w:val="nil"/>
              <w:bottom w:val="single" w:sz="8" w:space="0" w:color="auto"/>
              <w:right w:val="single" w:sz="8" w:space="0" w:color="auto"/>
            </w:tcBorders>
            <w:shd w:val="clear" w:color="auto" w:fill="0000FF"/>
            <w:vAlign w:val="center"/>
            <w:hideMark/>
          </w:tcPr>
          <w:p w14:paraId="09E37296"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80" w:type="dxa"/>
            <w:gridSpan w:val="3"/>
            <w:tcBorders>
              <w:top w:val="nil"/>
              <w:left w:val="nil"/>
              <w:bottom w:val="single" w:sz="8" w:space="0" w:color="auto"/>
              <w:right w:val="single" w:sz="8" w:space="0" w:color="auto"/>
            </w:tcBorders>
            <w:shd w:val="clear" w:color="auto" w:fill="0000FF"/>
            <w:vAlign w:val="center"/>
            <w:hideMark/>
          </w:tcPr>
          <w:p w14:paraId="75AFAC6C"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6F76937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auto" w:fill="auto"/>
            <w:vAlign w:val="center"/>
            <w:hideMark/>
          </w:tcPr>
          <w:p w14:paraId="3303E2D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37215AB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auto" w:fill="auto"/>
            <w:vAlign w:val="center"/>
            <w:hideMark/>
          </w:tcPr>
          <w:p w14:paraId="15A31DA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2DB5D927"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34587134"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3FFBAF08"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22" w:type="dxa"/>
            <w:gridSpan w:val="3"/>
            <w:tcBorders>
              <w:top w:val="nil"/>
              <w:left w:val="nil"/>
              <w:bottom w:val="single" w:sz="8" w:space="0" w:color="auto"/>
              <w:right w:val="single" w:sz="8" w:space="0" w:color="auto"/>
            </w:tcBorders>
            <w:shd w:val="clear" w:color="auto" w:fill="auto"/>
            <w:vAlign w:val="center"/>
            <w:hideMark/>
          </w:tcPr>
          <w:p w14:paraId="3576A94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244843A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035784F5"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4F945C15"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099D6A7F"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r>
      <w:tr w:rsidR="0043671D" w:rsidRPr="00D30847" w14:paraId="2E07A403" w14:textId="77777777" w:rsidTr="00595060">
        <w:trPr>
          <w:trHeight w:val="378"/>
        </w:trPr>
        <w:tc>
          <w:tcPr>
            <w:tcW w:w="702" w:type="dxa"/>
            <w:gridSpan w:val="2"/>
            <w:tcBorders>
              <w:top w:val="nil"/>
              <w:left w:val="nil"/>
              <w:bottom w:val="nil"/>
              <w:right w:val="nil"/>
            </w:tcBorders>
            <w:shd w:val="clear" w:color="000000" w:fill="6FE7FF"/>
            <w:vAlign w:val="center"/>
            <w:hideMark/>
          </w:tcPr>
          <w:p w14:paraId="3F905E19" w14:textId="77777777"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2076C3F2" w14:textId="77777777"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0747CCBF" w14:textId="5401E39E" w:rsidR="0043671D" w:rsidRPr="00D30847" w:rsidRDefault="00BE1CE0"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2</w:t>
            </w:r>
            <w:r w:rsidR="0043671D" w:rsidRPr="00D30847">
              <w:rPr>
                <w:rFonts w:eastAsia="Times New Roman" w:cs="Calibri"/>
                <w:b/>
                <w:bCs/>
                <w:sz w:val="16"/>
                <w:szCs w:val="16"/>
                <w:lang w:val="en-GB"/>
              </w:rPr>
              <w:t>.</w:t>
            </w:r>
          </w:p>
        </w:tc>
        <w:tc>
          <w:tcPr>
            <w:tcW w:w="1770" w:type="dxa"/>
            <w:gridSpan w:val="2"/>
            <w:tcBorders>
              <w:top w:val="nil"/>
              <w:left w:val="nil"/>
              <w:bottom w:val="single" w:sz="8" w:space="0" w:color="auto"/>
              <w:right w:val="nil"/>
            </w:tcBorders>
            <w:shd w:val="clear" w:color="000000" w:fill="6FE7FF"/>
            <w:vAlign w:val="center"/>
            <w:hideMark/>
          </w:tcPr>
          <w:p w14:paraId="688666D8" w14:textId="77777777"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258" w:type="dxa"/>
            <w:gridSpan w:val="2"/>
            <w:tcBorders>
              <w:top w:val="nil"/>
              <w:left w:val="nil"/>
              <w:bottom w:val="single" w:sz="8" w:space="0" w:color="auto"/>
              <w:right w:val="nil"/>
            </w:tcBorders>
            <w:shd w:val="clear" w:color="000000" w:fill="6FE7FF"/>
            <w:vAlign w:val="center"/>
            <w:hideMark/>
          </w:tcPr>
          <w:p w14:paraId="072453CC" w14:textId="2032EA7E"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Strengthening the accounting system of budgets and budget users by building of capacities of accountants employed in the public sector</w:t>
            </w:r>
          </w:p>
        </w:tc>
        <w:tc>
          <w:tcPr>
            <w:tcW w:w="522" w:type="dxa"/>
            <w:gridSpan w:val="2"/>
            <w:tcBorders>
              <w:top w:val="nil"/>
              <w:left w:val="nil"/>
              <w:bottom w:val="single" w:sz="8" w:space="0" w:color="auto"/>
              <w:right w:val="nil"/>
            </w:tcBorders>
            <w:shd w:val="clear" w:color="000000" w:fill="6FE7FF"/>
            <w:vAlign w:val="center"/>
            <w:hideMark/>
          </w:tcPr>
          <w:p w14:paraId="17AF7F18" w14:textId="77777777"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42AB8838" w14:textId="77777777"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8" w:space="0" w:color="auto"/>
              <w:right w:val="nil"/>
            </w:tcBorders>
            <w:shd w:val="clear" w:color="000000" w:fill="6FE7FF"/>
            <w:vAlign w:val="center"/>
            <w:hideMark/>
          </w:tcPr>
          <w:p w14:paraId="4995B7A4" w14:textId="77777777"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0FB2EC9E" w14:textId="77777777"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5E2C1B4D" w14:textId="77777777"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8" w:space="0" w:color="auto"/>
              <w:right w:val="nil"/>
            </w:tcBorders>
            <w:shd w:val="clear" w:color="000000" w:fill="6FE7FF"/>
            <w:vAlign w:val="center"/>
            <w:hideMark/>
          </w:tcPr>
          <w:p w14:paraId="5D2031C3" w14:textId="77777777"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3721E90C" w14:textId="77777777"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2AF637B8" w14:textId="77777777"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42C456D3" w14:textId="77777777"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0143B359" w14:textId="77777777"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1D4416E1" w14:textId="77777777"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8" w:space="0" w:color="auto"/>
              <w:right w:val="nil"/>
            </w:tcBorders>
            <w:shd w:val="clear" w:color="000000" w:fill="6FE7FF"/>
            <w:vAlign w:val="center"/>
            <w:hideMark/>
          </w:tcPr>
          <w:p w14:paraId="582E7C65" w14:textId="77777777"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0A671F0D" w14:textId="77777777"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311EE42E" w14:textId="77777777"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092483DE" w14:textId="77777777"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8" w:space="0" w:color="auto"/>
              <w:right w:val="nil"/>
            </w:tcBorders>
            <w:shd w:val="clear" w:color="000000" w:fill="6FE7FF"/>
            <w:vAlign w:val="center"/>
            <w:hideMark/>
          </w:tcPr>
          <w:p w14:paraId="58E3963E" w14:textId="77777777" w:rsidR="0043671D" w:rsidRPr="00D30847" w:rsidRDefault="0043671D" w:rsidP="007F1B89">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43671D" w:rsidRPr="00D30847" w14:paraId="40776C80" w14:textId="77777777" w:rsidTr="00595060">
        <w:trPr>
          <w:trHeight w:val="601"/>
        </w:trPr>
        <w:tc>
          <w:tcPr>
            <w:tcW w:w="702" w:type="dxa"/>
            <w:gridSpan w:val="2"/>
            <w:tcBorders>
              <w:top w:val="nil"/>
              <w:left w:val="nil"/>
              <w:bottom w:val="nil"/>
              <w:right w:val="nil"/>
            </w:tcBorders>
            <w:shd w:val="clear" w:color="auto" w:fill="auto"/>
            <w:vAlign w:val="bottom"/>
            <w:hideMark/>
          </w:tcPr>
          <w:p w14:paraId="762BD89C" w14:textId="77777777" w:rsidR="0043671D" w:rsidRPr="00D30847" w:rsidRDefault="0043671D" w:rsidP="007F1B89">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0B21CA7E" w14:textId="77777777" w:rsidR="0043671D" w:rsidRPr="00D30847" w:rsidRDefault="0043671D" w:rsidP="007F1B89">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2A61F3F4" w14:textId="77777777" w:rsidR="0043671D" w:rsidRPr="00D30847" w:rsidRDefault="0043671D" w:rsidP="007F1B89">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0AD8A99E"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nil"/>
              <w:left w:val="nil"/>
              <w:bottom w:val="single" w:sz="8" w:space="0" w:color="auto"/>
              <w:right w:val="single" w:sz="8" w:space="0" w:color="auto"/>
            </w:tcBorders>
            <w:shd w:val="clear" w:color="auto" w:fill="auto"/>
            <w:vAlign w:val="center"/>
            <w:hideMark/>
          </w:tcPr>
          <w:p w14:paraId="6BE346ED" w14:textId="4F24DA7D"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xml:space="preserve">Training for accountants employed in the public for to the legal framework for accounting of budgets and budget users </w:t>
            </w:r>
          </w:p>
        </w:tc>
        <w:tc>
          <w:tcPr>
            <w:tcW w:w="522" w:type="dxa"/>
            <w:gridSpan w:val="2"/>
            <w:tcBorders>
              <w:top w:val="nil"/>
              <w:left w:val="nil"/>
              <w:bottom w:val="single" w:sz="8" w:space="0" w:color="auto"/>
              <w:right w:val="single" w:sz="8" w:space="0" w:color="auto"/>
            </w:tcBorders>
            <w:shd w:val="clear" w:color="auto" w:fill="auto"/>
            <w:vAlign w:val="center"/>
            <w:hideMark/>
          </w:tcPr>
          <w:p w14:paraId="0924E5B7" w14:textId="77777777" w:rsidR="0043671D" w:rsidRPr="00D30847" w:rsidRDefault="0043671D" w:rsidP="007F1B8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678D5B72" w14:textId="77777777" w:rsidR="0043671D" w:rsidRPr="00D30847" w:rsidRDefault="0043671D" w:rsidP="007F1B8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34FA0692" w14:textId="77777777" w:rsidR="0043671D" w:rsidRPr="00D30847" w:rsidRDefault="0043671D" w:rsidP="007F1B8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76DAE6ED" w14:textId="77777777" w:rsidR="0043671D" w:rsidRPr="00D30847" w:rsidRDefault="0043671D" w:rsidP="007F1B8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46DA14C6"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12" w:type="dxa"/>
            <w:gridSpan w:val="3"/>
            <w:tcBorders>
              <w:top w:val="nil"/>
              <w:left w:val="nil"/>
              <w:bottom w:val="single" w:sz="8" w:space="0" w:color="auto"/>
              <w:right w:val="single" w:sz="8" w:space="0" w:color="auto"/>
            </w:tcBorders>
            <w:shd w:val="clear" w:color="auto" w:fill="0000FF"/>
            <w:vAlign w:val="center"/>
            <w:hideMark/>
          </w:tcPr>
          <w:p w14:paraId="375BC161"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56166AB9"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40" w:type="dxa"/>
            <w:gridSpan w:val="3"/>
            <w:tcBorders>
              <w:top w:val="nil"/>
              <w:left w:val="nil"/>
              <w:bottom w:val="single" w:sz="8" w:space="0" w:color="auto"/>
              <w:right w:val="single" w:sz="8" w:space="0" w:color="auto"/>
            </w:tcBorders>
            <w:shd w:val="clear" w:color="auto" w:fill="0000FF"/>
            <w:vAlign w:val="center"/>
            <w:hideMark/>
          </w:tcPr>
          <w:p w14:paraId="350915CC"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4"/>
            <w:tcBorders>
              <w:top w:val="nil"/>
              <w:left w:val="nil"/>
              <w:bottom w:val="single" w:sz="8" w:space="0" w:color="auto"/>
              <w:right w:val="single" w:sz="8" w:space="0" w:color="auto"/>
            </w:tcBorders>
            <w:shd w:val="clear" w:color="auto" w:fill="0000FF"/>
            <w:vAlign w:val="center"/>
            <w:hideMark/>
          </w:tcPr>
          <w:p w14:paraId="3895FDBD"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6D341233"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01AB26DE"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22" w:type="dxa"/>
            <w:gridSpan w:val="3"/>
            <w:tcBorders>
              <w:top w:val="nil"/>
              <w:left w:val="nil"/>
              <w:bottom w:val="single" w:sz="8" w:space="0" w:color="auto"/>
              <w:right w:val="single" w:sz="8" w:space="0" w:color="auto"/>
            </w:tcBorders>
            <w:shd w:val="clear" w:color="auto" w:fill="0000FF"/>
            <w:vAlign w:val="center"/>
            <w:hideMark/>
          </w:tcPr>
          <w:p w14:paraId="1DFEBB56"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4"/>
            <w:tcBorders>
              <w:top w:val="nil"/>
              <w:left w:val="nil"/>
              <w:bottom w:val="single" w:sz="8" w:space="0" w:color="auto"/>
              <w:right w:val="single" w:sz="8" w:space="0" w:color="auto"/>
            </w:tcBorders>
            <w:shd w:val="clear" w:color="auto" w:fill="0000FF"/>
            <w:vAlign w:val="center"/>
            <w:hideMark/>
          </w:tcPr>
          <w:p w14:paraId="50659DEC"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2"/>
            <w:tcBorders>
              <w:top w:val="nil"/>
              <w:left w:val="nil"/>
              <w:bottom w:val="single" w:sz="8" w:space="0" w:color="auto"/>
              <w:right w:val="single" w:sz="8" w:space="0" w:color="auto"/>
            </w:tcBorders>
            <w:shd w:val="clear" w:color="auto" w:fill="0000FF"/>
            <w:vAlign w:val="center"/>
            <w:hideMark/>
          </w:tcPr>
          <w:p w14:paraId="656842BF"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6BD57552"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48" w:type="dxa"/>
            <w:gridSpan w:val="3"/>
            <w:tcBorders>
              <w:top w:val="nil"/>
              <w:left w:val="nil"/>
              <w:bottom w:val="single" w:sz="8" w:space="0" w:color="auto"/>
              <w:right w:val="single" w:sz="8" w:space="0" w:color="auto"/>
            </w:tcBorders>
            <w:shd w:val="clear" w:color="auto" w:fill="0000FF"/>
            <w:vAlign w:val="center"/>
            <w:hideMark/>
          </w:tcPr>
          <w:p w14:paraId="7702C61E"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r>
      <w:tr w:rsidR="0043671D" w:rsidRPr="00D30847" w14:paraId="2056B7EF" w14:textId="77777777" w:rsidTr="00595060">
        <w:trPr>
          <w:trHeight w:val="421"/>
        </w:trPr>
        <w:tc>
          <w:tcPr>
            <w:tcW w:w="702" w:type="dxa"/>
            <w:gridSpan w:val="2"/>
            <w:tcBorders>
              <w:top w:val="nil"/>
              <w:left w:val="nil"/>
              <w:bottom w:val="nil"/>
              <w:right w:val="nil"/>
            </w:tcBorders>
            <w:shd w:val="clear" w:color="auto" w:fill="auto"/>
            <w:vAlign w:val="bottom"/>
            <w:hideMark/>
          </w:tcPr>
          <w:p w14:paraId="408A513A" w14:textId="77777777" w:rsidR="0043671D" w:rsidRPr="00D30847" w:rsidRDefault="0043671D" w:rsidP="007F1B89">
            <w:pPr>
              <w:spacing w:after="0" w:line="240" w:lineRule="auto"/>
              <w:rPr>
                <w:rFonts w:eastAsia="Times New Roman" w:cs="Calibri"/>
                <w:sz w:val="16"/>
                <w:szCs w:val="16"/>
                <w:lang w:val="en-GB"/>
              </w:rPr>
            </w:pPr>
          </w:p>
        </w:tc>
        <w:tc>
          <w:tcPr>
            <w:tcW w:w="464" w:type="dxa"/>
            <w:gridSpan w:val="2"/>
            <w:tcBorders>
              <w:top w:val="nil"/>
              <w:left w:val="nil"/>
              <w:bottom w:val="nil"/>
              <w:right w:val="nil"/>
            </w:tcBorders>
            <w:shd w:val="clear" w:color="auto" w:fill="auto"/>
            <w:vAlign w:val="bottom"/>
            <w:hideMark/>
          </w:tcPr>
          <w:p w14:paraId="155AF909" w14:textId="77777777" w:rsidR="0043671D" w:rsidRPr="00D30847" w:rsidRDefault="0043671D" w:rsidP="007F1B89">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5E109560" w14:textId="77777777" w:rsidR="0043671D" w:rsidRPr="00D30847" w:rsidRDefault="0043671D" w:rsidP="007F1B89">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3D3F6C2D"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56641174" w14:textId="1B50DA20"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Training for accountants employed in the public for to th</w:t>
            </w:r>
            <w:r w:rsidR="00BE1CE0" w:rsidRPr="00D30847">
              <w:rPr>
                <w:rFonts w:eastAsia="Times New Roman" w:cs="Calibri"/>
                <w:sz w:val="16"/>
                <w:szCs w:val="16"/>
                <w:lang w:val="en-GB"/>
              </w:rPr>
              <w:t>e by</w:t>
            </w:r>
            <w:r w:rsidRPr="00D30847">
              <w:rPr>
                <w:rFonts w:eastAsia="Times New Roman" w:cs="Calibri"/>
                <w:sz w:val="16"/>
                <w:szCs w:val="16"/>
                <w:lang w:val="en-GB"/>
              </w:rPr>
              <w:t xml:space="preserve">laws for accounting of budgets and budget users </w:t>
            </w:r>
          </w:p>
        </w:tc>
        <w:tc>
          <w:tcPr>
            <w:tcW w:w="522" w:type="dxa"/>
            <w:gridSpan w:val="2"/>
            <w:tcBorders>
              <w:top w:val="nil"/>
              <w:left w:val="nil"/>
              <w:bottom w:val="single" w:sz="8" w:space="0" w:color="auto"/>
              <w:right w:val="single" w:sz="8" w:space="0" w:color="auto"/>
            </w:tcBorders>
            <w:shd w:val="clear" w:color="auto" w:fill="auto"/>
            <w:vAlign w:val="center"/>
            <w:hideMark/>
          </w:tcPr>
          <w:p w14:paraId="57FE7F4F"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5966D051"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82" w:type="dxa"/>
            <w:gridSpan w:val="3"/>
            <w:tcBorders>
              <w:top w:val="nil"/>
              <w:left w:val="nil"/>
              <w:bottom w:val="single" w:sz="8" w:space="0" w:color="auto"/>
              <w:right w:val="single" w:sz="8" w:space="0" w:color="auto"/>
            </w:tcBorders>
            <w:shd w:val="clear" w:color="auto" w:fill="0000FF"/>
            <w:vAlign w:val="center"/>
            <w:hideMark/>
          </w:tcPr>
          <w:p w14:paraId="58528C5D"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80" w:type="dxa"/>
            <w:gridSpan w:val="3"/>
            <w:tcBorders>
              <w:top w:val="nil"/>
              <w:left w:val="nil"/>
              <w:bottom w:val="single" w:sz="8" w:space="0" w:color="auto"/>
              <w:right w:val="single" w:sz="8" w:space="0" w:color="auto"/>
            </w:tcBorders>
            <w:shd w:val="clear" w:color="auto" w:fill="0000FF"/>
            <w:vAlign w:val="center"/>
            <w:hideMark/>
          </w:tcPr>
          <w:p w14:paraId="71DFBCED"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2F5FB494" w14:textId="77777777" w:rsidR="0043671D" w:rsidRPr="00D30847" w:rsidRDefault="0043671D" w:rsidP="007F1B8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059F5B93" w14:textId="77777777" w:rsidR="0043671D" w:rsidRPr="00D30847" w:rsidRDefault="0043671D" w:rsidP="007F1B8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4D88C6A8" w14:textId="77777777" w:rsidR="0043671D" w:rsidRPr="00D30847" w:rsidRDefault="0043671D" w:rsidP="007F1B8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1339F3F9" w14:textId="77777777" w:rsidR="0043671D" w:rsidRPr="00D30847" w:rsidRDefault="0043671D" w:rsidP="007F1B89">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0000FF"/>
            <w:vAlign w:val="center"/>
            <w:hideMark/>
          </w:tcPr>
          <w:p w14:paraId="3151623D"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1A327C47"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1DD67986"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22" w:type="dxa"/>
            <w:gridSpan w:val="3"/>
            <w:tcBorders>
              <w:top w:val="nil"/>
              <w:left w:val="nil"/>
              <w:bottom w:val="single" w:sz="8" w:space="0" w:color="auto"/>
              <w:right w:val="single" w:sz="8" w:space="0" w:color="auto"/>
            </w:tcBorders>
            <w:shd w:val="clear" w:color="auto" w:fill="0000FF"/>
            <w:vAlign w:val="center"/>
            <w:hideMark/>
          </w:tcPr>
          <w:p w14:paraId="4800D954"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4"/>
            <w:tcBorders>
              <w:top w:val="nil"/>
              <w:left w:val="nil"/>
              <w:bottom w:val="single" w:sz="8" w:space="0" w:color="auto"/>
              <w:right w:val="single" w:sz="8" w:space="0" w:color="auto"/>
            </w:tcBorders>
            <w:shd w:val="clear" w:color="auto" w:fill="0000FF"/>
            <w:vAlign w:val="center"/>
            <w:hideMark/>
          </w:tcPr>
          <w:p w14:paraId="639E4893"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2"/>
            <w:tcBorders>
              <w:top w:val="nil"/>
              <w:left w:val="nil"/>
              <w:bottom w:val="single" w:sz="8" w:space="0" w:color="auto"/>
              <w:right w:val="single" w:sz="8" w:space="0" w:color="auto"/>
            </w:tcBorders>
            <w:shd w:val="clear" w:color="auto" w:fill="0000FF"/>
            <w:vAlign w:val="center"/>
            <w:hideMark/>
          </w:tcPr>
          <w:p w14:paraId="4A53202B"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7205F99E"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48" w:type="dxa"/>
            <w:gridSpan w:val="3"/>
            <w:tcBorders>
              <w:top w:val="nil"/>
              <w:left w:val="nil"/>
              <w:bottom w:val="single" w:sz="8" w:space="0" w:color="auto"/>
              <w:right w:val="single" w:sz="8" w:space="0" w:color="auto"/>
            </w:tcBorders>
            <w:shd w:val="clear" w:color="auto" w:fill="0000FF"/>
            <w:vAlign w:val="center"/>
            <w:hideMark/>
          </w:tcPr>
          <w:p w14:paraId="6A462718" w14:textId="77777777" w:rsidR="0043671D" w:rsidRPr="00D30847" w:rsidRDefault="0043671D" w:rsidP="007F1B89">
            <w:pPr>
              <w:spacing w:after="0" w:line="240" w:lineRule="auto"/>
              <w:rPr>
                <w:rFonts w:eastAsia="Times New Roman" w:cs="Calibri"/>
                <w:sz w:val="16"/>
                <w:szCs w:val="16"/>
                <w:lang w:val="en-GB"/>
              </w:rPr>
            </w:pPr>
            <w:r w:rsidRPr="00D30847">
              <w:rPr>
                <w:rFonts w:eastAsia="Times New Roman" w:cs="Calibri"/>
                <w:sz w:val="16"/>
                <w:szCs w:val="16"/>
                <w:lang w:val="en-GB"/>
              </w:rPr>
              <w:t> </w:t>
            </w:r>
          </w:p>
        </w:tc>
      </w:tr>
      <w:tr w:rsidR="001A6953" w:rsidRPr="00D30847" w14:paraId="149DDA29" w14:textId="77777777" w:rsidTr="00453DBE">
        <w:trPr>
          <w:trHeight w:val="300"/>
        </w:trPr>
        <w:tc>
          <w:tcPr>
            <w:tcW w:w="15210" w:type="dxa"/>
            <w:gridSpan w:val="55"/>
            <w:tcBorders>
              <w:top w:val="nil"/>
              <w:left w:val="nil"/>
              <w:bottom w:val="nil"/>
              <w:right w:val="nil"/>
            </w:tcBorders>
            <w:shd w:val="clear" w:color="auto" w:fill="FFFFFF" w:themeFill="background1"/>
          </w:tcPr>
          <w:tbl>
            <w:tblPr>
              <w:tblW w:w="15210" w:type="dxa"/>
              <w:tblLayout w:type="fixed"/>
              <w:tblLook w:val="04A0" w:firstRow="1" w:lastRow="0" w:firstColumn="1" w:lastColumn="0" w:noHBand="0" w:noVBand="1"/>
            </w:tblPr>
            <w:tblGrid>
              <w:gridCol w:w="3680"/>
              <w:gridCol w:w="3416"/>
              <w:gridCol w:w="547"/>
              <w:gridCol w:w="396"/>
              <w:gridCol w:w="610"/>
              <w:gridCol w:w="503"/>
              <w:gridCol w:w="396"/>
              <w:gridCol w:w="642"/>
              <w:gridCol w:w="472"/>
              <w:gridCol w:w="566"/>
              <w:gridCol w:w="472"/>
              <w:gridCol w:w="472"/>
              <w:gridCol w:w="396"/>
              <w:gridCol w:w="547"/>
              <w:gridCol w:w="472"/>
              <w:gridCol w:w="472"/>
              <w:gridCol w:w="472"/>
              <w:gridCol w:w="679"/>
            </w:tblGrid>
            <w:tr w:rsidR="001A6953" w:rsidRPr="00D30847" w14:paraId="446A9252" w14:textId="77777777" w:rsidTr="00800970">
              <w:trPr>
                <w:trHeight w:val="300"/>
              </w:trPr>
              <w:tc>
                <w:tcPr>
                  <w:tcW w:w="3510" w:type="dxa"/>
                  <w:tcBorders>
                    <w:top w:val="nil"/>
                    <w:left w:val="nil"/>
                    <w:bottom w:val="nil"/>
                    <w:right w:val="nil"/>
                  </w:tcBorders>
                  <w:shd w:val="clear" w:color="000000" w:fill="00FF00"/>
                  <w:vAlign w:val="center"/>
                  <w:hideMark/>
                </w:tcPr>
                <w:p w14:paraId="0818C9C1"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Priority 4.</w:t>
                  </w:r>
                </w:p>
              </w:tc>
              <w:tc>
                <w:tcPr>
                  <w:tcW w:w="3258" w:type="dxa"/>
                  <w:tcBorders>
                    <w:top w:val="nil"/>
                    <w:left w:val="nil"/>
                    <w:bottom w:val="nil"/>
                    <w:right w:val="nil"/>
                  </w:tcBorders>
                  <w:shd w:val="clear" w:color="000000" w:fill="00FF00"/>
                  <w:vAlign w:val="center"/>
                  <w:hideMark/>
                </w:tcPr>
                <w:p w14:paraId="3A00A544"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Public finance management at the local level</w:t>
                  </w:r>
                </w:p>
              </w:tc>
              <w:tc>
                <w:tcPr>
                  <w:tcW w:w="522" w:type="dxa"/>
                  <w:tcBorders>
                    <w:top w:val="nil"/>
                    <w:left w:val="nil"/>
                    <w:bottom w:val="nil"/>
                    <w:right w:val="nil"/>
                  </w:tcBorders>
                  <w:shd w:val="clear" w:color="000000" w:fill="00FF00"/>
                  <w:vAlign w:val="center"/>
                  <w:hideMark/>
                </w:tcPr>
                <w:p w14:paraId="45D0E55D"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tcBorders>
                    <w:top w:val="nil"/>
                    <w:left w:val="nil"/>
                    <w:bottom w:val="nil"/>
                    <w:right w:val="nil"/>
                  </w:tcBorders>
                  <w:shd w:val="clear" w:color="000000" w:fill="00FF00"/>
                  <w:vAlign w:val="center"/>
                  <w:hideMark/>
                </w:tcPr>
                <w:p w14:paraId="79FBFB72"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tcBorders>
                    <w:top w:val="nil"/>
                    <w:left w:val="nil"/>
                    <w:bottom w:val="nil"/>
                    <w:right w:val="nil"/>
                  </w:tcBorders>
                  <w:shd w:val="clear" w:color="000000" w:fill="00FF00"/>
                  <w:vAlign w:val="center"/>
                  <w:hideMark/>
                </w:tcPr>
                <w:p w14:paraId="52EA3C60"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tcBorders>
                    <w:top w:val="nil"/>
                    <w:left w:val="nil"/>
                    <w:bottom w:val="nil"/>
                    <w:right w:val="nil"/>
                  </w:tcBorders>
                  <w:shd w:val="clear" w:color="000000" w:fill="00FF00"/>
                  <w:vAlign w:val="center"/>
                  <w:hideMark/>
                </w:tcPr>
                <w:p w14:paraId="7F1B015E"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tcBorders>
                    <w:top w:val="nil"/>
                    <w:left w:val="nil"/>
                    <w:bottom w:val="nil"/>
                    <w:right w:val="nil"/>
                  </w:tcBorders>
                  <w:shd w:val="clear" w:color="000000" w:fill="00FF00"/>
                  <w:vAlign w:val="center"/>
                  <w:hideMark/>
                </w:tcPr>
                <w:p w14:paraId="4A1072D3"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tcBorders>
                    <w:top w:val="nil"/>
                    <w:left w:val="nil"/>
                    <w:bottom w:val="nil"/>
                    <w:right w:val="nil"/>
                  </w:tcBorders>
                  <w:shd w:val="clear" w:color="000000" w:fill="00FF00"/>
                  <w:vAlign w:val="center"/>
                  <w:hideMark/>
                </w:tcPr>
                <w:p w14:paraId="7411F645"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tcBorders>
                    <w:top w:val="nil"/>
                    <w:left w:val="nil"/>
                    <w:bottom w:val="nil"/>
                    <w:right w:val="nil"/>
                  </w:tcBorders>
                  <w:shd w:val="clear" w:color="000000" w:fill="00FF00"/>
                  <w:vAlign w:val="center"/>
                  <w:hideMark/>
                </w:tcPr>
                <w:p w14:paraId="7021AB4D"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tcBorders>
                    <w:top w:val="nil"/>
                    <w:left w:val="nil"/>
                    <w:bottom w:val="nil"/>
                    <w:right w:val="nil"/>
                  </w:tcBorders>
                  <w:shd w:val="clear" w:color="000000" w:fill="00FF00"/>
                  <w:vAlign w:val="center"/>
                  <w:hideMark/>
                </w:tcPr>
                <w:p w14:paraId="56B59B16"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tcBorders>
                    <w:top w:val="nil"/>
                    <w:left w:val="nil"/>
                    <w:bottom w:val="nil"/>
                    <w:right w:val="nil"/>
                  </w:tcBorders>
                  <w:shd w:val="clear" w:color="000000" w:fill="00FF00"/>
                  <w:vAlign w:val="center"/>
                  <w:hideMark/>
                </w:tcPr>
                <w:p w14:paraId="100B8D69"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tcBorders>
                    <w:top w:val="nil"/>
                    <w:left w:val="nil"/>
                    <w:bottom w:val="nil"/>
                    <w:right w:val="nil"/>
                  </w:tcBorders>
                  <w:shd w:val="clear" w:color="000000" w:fill="00FF00"/>
                  <w:vAlign w:val="center"/>
                  <w:hideMark/>
                </w:tcPr>
                <w:p w14:paraId="263CB6A2"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tcBorders>
                    <w:top w:val="nil"/>
                    <w:left w:val="nil"/>
                    <w:bottom w:val="nil"/>
                    <w:right w:val="nil"/>
                  </w:tcBorders>
                  <w:shd w:val="clear" w:color="000000" w:fill="00FF00"/>
                  <w:vAlign w:val="center"/>
                  <w:hideMark/>
                </w:tcPr>
                <w:p w14:paraId="02373541"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tcBorders>
                    <w:top w:val="nil"/>
                    <w:left w:val="nil"/>
                    <w:bottom w:val="nil"/>
                    <w:right w:val="nil"/>
                  </w:tcBorders>
                  <w:shd w:val="clear" w:color="000000" w:fill="00FF00"/>
                  <w:vAlign w:val="center"/>
                  <w:hideMark/>
                </w:tcPr>
                <w:p w14:paraId="1B02AE45"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tcBorders>
                    <w:top w:val="nil"/>
                    <w:left w:val="nil"/>
                    <w:bottom w:val="nil"/>
                    <w:right w:val="nil"/>
                  </w:tcBorders>
                  <w:shd w:val="clear" w:color="000000" w:fill="00FF00"/>
                  <w:vAlign w:val="center"/>
                  <w:hideMark/>
                </w:tcPr>
                <w:p w14:paraId="50E454A0"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tcBorders>
                    <w:top w:val="nil"/>
                    <w:left w:val="nil"/>
                    <w:bottom w:val="nil"/>
                    <w:right w:val="nil"/>
                  </w:tcBorders>
                  <w:shd w:val="clear" w:color="000000" w:fill="00FF00"/>
                  <w:vAlign w:val="center"/>
                  <w:hideMark/>
                </w:tcPr>
                <w:p w14:paraId="628F5A83"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tcBorders>
                    <w:top w:val="nil"/>
                    <w:left w:val="nil"/>
                    <w:bottom w:val="nil"/>
                    <w:right w:val="nil"/>
                  </w:tcBorders>
                  <w:shd w:val="clear" w:color="000000" w:fill="00FF00"/>
                  <w:vAlign w:val="center"/>
                  <w:hideMark/>
                </w:tcPr>
                <w:p w14:paraId="30902C02"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tcBorders>
                    <w:top w:val="nil"/>
                    <w:left w:val="nil"/>
                    <w:bottom w:val="nil"/>
                    <w:right w:val="nil"/>
                  </w:tcBorders>
                  <w:shd w:val="clear" w:color="000000" w:fill="00FF00"/>
                  <w:vAlign w:val="center"/>
                  <w:hideMark/>
                </w:tcPr>
                <w:p w14:paraId="25F50918"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bl>
          <w:p w14:paraId="4E25A0FD" w14:textId="77777777" w:rsidR="001A6953" w:rsidRPr="00D30847" w:rsidRDefault="001A6953" w:rsidP="001A6953">
            <w:pPr>
              <w:spacing w:after="0" w:line="240" w:lineRule="auto"/>
              <w:rPr>
                <w:rFonts w:eastAsia="Times New Roman" w:cs="Calibri"/>
                <w:b/>
                <w:bCs/>
                <w:sz w:val="16"/>
                <w:szCs w:val="16"/>
                <w:lang w:val="en-GB"/>
              </w:rPr>
            </w:pPr>
          </w:p>
        </w:tc>
      </w:tr>
      <w:tr w:rsidR="001A6953" w:rsidRPr="00D30847" w14:paraId="453BF8B4" w14:textId="77777777" w:rsidTr="00453DBE">
        <w:trPr>
          <w:trHeight w:val="300"/>
        </w:trPr>
        <w:tc>
          <w:tcPr>
            <w:tcW w:w="15210" w:type="dxa"/>
            <w:gridSpan w:val="55"/>
            <w:tcBorders>
              <w:top w:val="nil"/>
              <w:left w:val="nil"/>
              <w:bottom w:val="nil"/>
              <w:right w:val="nil"/>
            </w:tcBorders>
            <w:shd w:val="clear" w:color="auto" w:fill="FFFFFF" w:themeFill="background1"/>
          </w:tcPr>
          <w:tbl>
            <w:tblPr>
              <w:tblW w:w="15210" w:type="dxa"/>
              <w:tblLayout w:type="fixed"/>
              <w:tblLook w:val="04A0" w:firstRow="1" w:lastRow="0" w:firstColumn="1" w:lastColumn="0" w:noHBand="0" w:noVBand="1"/>
            </w:tblPr>
            <w:tblGrid>
              <w:gridCol w:w="1007"/>
              <w:gridCol w:w="2673"/>
              <w:gridCol w:w="3416"/>
              <w:gridCol w:w="547"/>
              <w:gridCol w:w="396"/>
              <w:gridCol w:w="610"/>
              <w:gridCol w:w="503"/>
              <w:gridCol w:w="396"/>
              <w:gridCol w:w="642"/>
              <w:gridCol w:w="472"/>
              <w:gridCol w:w="566"/>
              <w:gridCol w:w="472"/>
              <w:gridCol w:w="472"/>
              <w:gridCol w:w="396"/>
              <w:gridCol w:w="547"/>
              <w:gridCol w:w="472"/>
              <w:gridCol w:w="472"/>
              <w:gridCol w:w="472"/>
              <w:gridCol w:w="679"/>
            </w:tblGrid>
            <w:tr w:rsidR="001A6953" w:rsidRPr="00D30847" w14:paraId="52797D4A" w14:textId="77777777" w:rsidTr="00800970">
              <w:trPr>
                <w:trHeight w:val="333"/>
              </w:trPr>
              <w:tc>
                <w:tcPr>
                  <w:tcW w:w="960" w:type="dxa"/>
                  <w:tcBorders>
                    <w:top w:val="nil"/>
                    <w:left w:val="nil"/>
                    <w:bottom w:val="nil"/>
                    <w:right w:val="nil"/>
                  </w:tcBorders>
                  <w:shd w:val="clear" w:color="000000" w:fill="6FE7FF"/>
                  <w:vAlign w:val="center"/>
                  <w:hideMark/>
                </w:tcPr>
                <w:p w14:paraId="14FF795E"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2550" w:type="dxa"/>
                  <w:tcBorders>
                    <w:top w:val="nil"/>
                    <w:left w:val="nil"/>
                    <w:bottom w:val="nil"/>
                    <w:right w:val="nil"/>
                  </w:tcBorders>
                  <w:shd w:val="clear" w:color="000000" w:fill="6FE7FF"/>
                  <w:vAlign w:val="center"/>
                  <w:hideMark/>
                </w:tcPr>
                <w:p w14:paraId="27DFBFFA"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1.</w:t>
                  </w:r>
                </w:p>
              </w:tc>
              <w:tc>
                <w:tcPr>
                  <w:tcW w:w="3258" w:type="dxa"/>
                  <w:tcBorders>
                    <w:top w:val="nil"/>
                    <w:left w:val="nil"/>
                    <w:bottom w:val="nil"/>
                    <w:right w:val="nil"/>
                  </w:tcBorders>
                  <w:shd w:val="clear" w:color="000000" w:fill="6FE7FF"/>
                  <w:vAlign w:val="center"/>
                  <w:hideMark/>
                </w:tcPr>
                <w:p w14:paraId="4DD48F78"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Improving budget planning of local self-government units</w:t>
                  </w:r>
                </w:p>
              </w:tc>
              <w:tc>
                <w:tcPr>
                  <w:tcW w:w="522" w:type="dxa"/>
                  <w:tcBorders>
                    <w:top w:val="nil"/>
                    <w:left w:val="nil"/>
                    <w:bottom w:val="nil"/>
                    <w:right w:val="nil"/>
                  </w:tcBorders>
                  <w:shd w:val="clear" w:color="000000" w:fill="6FE7FF"/>
                  <w:vAlign w:val="center"/>
                  <w:hideMark/>
                </w:tcPr>
                <w:p w14:paraId="6E90CA87"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tcBorders>
                    <w:top w:val="nil"/>
                    <w:left w:val="nil"/>
                    <w:bottom w:val="nil"/>
                    <w:right w:val="nil"/>
                  </w:tcBorders>
                  <w:shd w:val="clear" w:color="000000" w:fill="6FE7FF"/>
                  <w:vAlign w:val="center"/>
                  <w:hideMark/>
                </w:tcPr>
                <w:p w14:paraId="43B69860"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tcBorders>
                    <w:top w:val="nil"/>
                    <w:left w:val="nil"/>
                    <w:bottom w:val="nil"/>
                    <w:right w:val="nil"/>
                  </w:tcBorders>
                  <w:shd w:val="clear" w:color="000000" w:fill="6FE7FF"/>
                  <w:vAlign w:val="center"/>
                  <w:hideMark/>
                </w:tcPr>
                <w:p w14:paraId="4F00741D"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tcBorders>
                    <w:top w:val="nil"/>
                    <w:left w:val="nil"/>
                    <w:bottom w:val="nil"/>
                    <w:right w:val="nil"/>
                  </w:tcBorders>
                  <w:shd w:val="clear" w:color="000000" w:fill="6FE7FF"/>
                  <w:vAlign w:val="center"/>
                  <w:hideMark/>
                </w:tcPr>
                <w:p w14:paraId="5F73632F"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tcBorders>
                    <w:top w:val="nil"/>
                    <w:left w:val="nil"/>
                    <w:bottom w:val="nil"/>
                    <w:right w:val="nil"/>
                  </w:tcBorders>
                  <w:shd w:val="clear" w:color="000000" w:fill="6FE7FF"/>
                  <w:vAlign w:val="center"/>
                  <w:hideMark/>
                </w:tcPr>
                <w:p w14:paraId="68B0FC6E"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tcBorders>
                    <w:top w:val="nil"/>
                    <w:left w:val="nil"/>
                    <w:bottom w:val="nil"/>
                    <w:right w:val="nil"/>
                  </w:tcBorders>
                  <w:shd w:val="clear" w:color="000000" w:fill="6FE7FF"/>
                  <w:vAlign w:val="center"/>
                  <w:hideMark/>
                </w:tcPr>
                <w:p w14:paraId="68D0F98D"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tcBorders>
                    <w:top w:val="nil"/>
                    <w:left w:val="nil"/>
                    <w:bottom w:val="nil"/>
                    <w:right w:val="nil"/>
                  </w:tcBorders>
                  <w:shd w:val="clear" w:color="000000" w:fill="6FE7FF"/>
                  <w:vAlign w:val="center"/>
                  <w:hideMark/>
                </w:tcPr>
                <w:p w14:paraId="34027E26"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tcBorders>
                    <w:top w:val="nil"/>
                    <w:left w:val="nil"/>
                    <w:bottom w:val="nil"/>
                    <w:right w:val="nil"/>
                  </w:tcBorders>
                  <w:shd w:val="clear" w:color="000000" w:fill="6FE7FF"/>
                  <w:vAlign w:val="center"/>
                  <w:hideMark/>
                </w:tcPr>
                <w:p w14:paraId="5EAE4F2B"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tcBorders>
                    <w:top w:val="nil"/>
                    <w:left w:val="nil"/>
                    <w:bottom w:val="nil"/>
                    <w:right w:val="nil"/>
                  </w:tcBorders>
                  <w:shd w:val="clear" w:color="000000" w:fill="6FE7FF"/>
                  <w:vAlign w:val="center"/>
                  <w:hideMark/>
                </w:tcPr>
                <w:p w14:paraId="60201CE1"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tcBorders>
                    <w:top w:val="nil"/>
                    <w:left w:val="nil"/>
                    <w:bottom w:val="nil"/>
                    <w:right w:val="nil"/>
                  </w:tcBorders>
                  <w:shd w:val="clear" w:color="000000" w:fill="6FE7FF"/>
                  <w:vAlign w:val="center"/>
                  <w:hideMark/>
                </w:tcPr>
                <w:p w14:paraId="4B00D208"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tcBorders>
                    <w:top w:val="nil"/>
                    <w:left w:val="nil"/>
                    <w:bottom w:val="nil"/>
                    <w:right w:val="nil"/>
                  </w:tcBorders>
                  <w:shd w:val="clear" w:color="000000" w:fill="6FE7FF"/>
                  <w:vAlign w:val="center"/>
                  <w:hideMark/>
                </w:tcPr>
                <w:p w14:paraId="79866521"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tcBorders>
                    <w:top w:val="nil"/>
                    <w:left w:val="nil"/>
                    <w:bottom w:val="nil"/>
                    <w:right w:val="nil"/>
                  </w:tcBorders>
                  <w:shd w:val="clear" w:color="000000" w:fill="6FE7FF"/>
                  <w:vAlign w:val="center"/>
                  <w:hideMark/>
                </w:tcPr>
                <w:p w14:paraId="33E2963B"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tcBorders>
                    <w:top w:val="nil"/>
                    <w:left w:val="nil"/>
                    <w:bottom w:val="nil"/>
                    <w:right w:val="nil"/>
                  </w:tcBorders>
                  <w:shd w:val="clear" w:color="000000" w:fill="6FE7FF"/>
                  <w:vAlign w:val="center"/>
                  <w:hideMark/>
                </w:tcPr>
                <w:p w14:paraId="16AA1700"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tcBorders>
                    <w:top w:val="nil"/>
                    <w:left w:val="nil"/>
                    <w:bottom w:val="nil"/>
                    <w:right w:val="nil"/>
                  </w:tcBorders>
                  <w:shd w:val="clear" w:color="000000" w:fill="6FE7FF"/>
                  <w:vAlign w:val="center"/>
                  <w:hideMark/>
                </w:tcPr>
                <w:p w14:paraId="16410C02"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tcBorders>
                    <w:top w:val="nil"/>
                    <w:left w:val="nil"/>
                    <w:bottom w:val="nil"/>
                    <w:right w:val="nil"/>
                  </w:tcBorders>
                  <w:shd w:val="clear" w:color="000000" w:fill="6FE7FF"/>
                  <w:vAlign w:val="center"/>
                  <w:hideMark/>
                </w:tcPr>
                <w:p w14:paraId="58765442"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tcBorders>
                    <w:top w:val="nil"/>
                    <w:left w:val="nil"/>
                    <w:bottom w:val="nil"/>
                    <w:right w:val="nil"/>
                  </w:tcBorders>
                  <w:shd w:val="clear" w:color="000000" w:fill="6FE7FF"/>
                  <w:vAlign w:val="center"/>
                  <w:hideMark/>
                </w:tcPr>
                <w:p w14:paraId="4E8B5645"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bl>
          <w:p w14:paraId="61B704B2" w14:textId="77777777" w:rsidR="001A6953" w:rsidRPr="00D30847" w:rsidRDefault="001A6953" w:rsidP="001A6953">
            <w:pPr>
              <w:spacing w:after="0" w:line="240" w:lineRule="auto"/>
              <w:rPr>
                <w:rFonts w:eastAsia="Times New Roman" w:cs="Calibri"/>
                <w:b/>
                <w:bCs/>
                <w:sz w:val="16"/>
                <w:szCs w:val="16"/>
                <w:lang w:val="en-GB"/>
              </w:rPr>
            </w:pPr>
          </w:p>
        </w:tc>
      </w:tr>
      <w:tr w:rsidR="001A6953" w:rsidRPr="00D30847" w14:paraId="48C59DC3" w14:textId="77777777" w:rsidTr="00453DBE">
        <w:trPr>
          <w:trHeight w:val="300"/>
        </w:trPr>
        <w:tc>
          <w:tcPr>
            <w:tcW w:w="15210" w:type="dxa"/>
            <w:gridSpan w:val="55"/>
            <w:tcBorders>
              <w:top w:val="nil"/>
              <w:left w:val="nil"/>
              <w:bottom w:val="nil"/>
              <w:right w:val="nil"/>
            </w:tcBorders>
            <w:shd w:val="clear" w:color="auto" w:fill="FFFFFF" w:themeFill="background1"/>
          </w:tcPr>
          <w:tbl>
            <w:tblPr>
              <w:tblW w:w="15210" w:type="dxa"/>
              <w:tblLayout w:type="fixed"/>
              <w:tblLook w:val="04A0" w:firstRow="1" w:lastRow="0" w:firstColumn="1" w:lastColumn="0" w:noHBand="0" w:noVBand="1"/>
            </w:tblPr>
            <w:tblGrid>
              <w:gridCol w:w="1007"/>
              <w:gridCol w:w="1371"/>
              <w:gridCol w:w="1302"/>
              <w:gridCol w:w="3416"/>
              <w:gridCol w:w="547"/>
              <w:gridCol w:w="396"/>
              <w:gridCol w:w="610"/>
              <w:gridCol w:w="503"/>
              <w:gridCol w:w="396"/>
              <w:gridCol w:w="642"/>
              <w:gridCol w:w="472"/>
              <w:gridCol w:w="566"/>
              <w:gridCol w:w="472"/>
              <w:gridCol w:w="472"/>
              <w:gridCol w:w="396"/>
              <w:gridCol w:w="547"/>
              <w:gridCol w:w="472"/>
              <w:gridCol w:w="472"/>
              <w:gridCol w:w="472"/>
              <w:gridCol w:w="679"/>
            </w:tblGrid>
            <w:tr w:rsidR="001A6953" w:rsidRPr="00D30847" w14:paraId="0054C82F" w14:textId="77777777" w:rsidTr="00BE1CE0">
              <w:trPr>
                <w:trHeight w:val="376"/>
              </w:trPr>
              <w:tc>
                <w:tcPr>
                  <w:tcW w:w="960" w:type="dxa"/>
                  <w:tcBorders>
                    <w:top w:val="nil"/>
                    <w:left w:val="nil"/>
                    <w:bottom w:val="nil"/>
                    <w:right w:val="nil"/>
                  </w:tcBorders>
                  <w:shd w:val="clear" w:color="auto" w:fill="FFFFFF" w:themeFill="background1"/>
                  <w:vAlign w:val="bottom"/>
                  <w:hideMark/>
                </w:tcPr>
                <w:p w14:paraId="37AA57F0" w14:textId="77777777" w:rsidR="001A6953" w:rsidRPr="00D30847" w:rsidRDefault="001A6953" w:rsidP="001A6953">
                  <w:pPr>
                    <w:spacing w:after="0" w:line="240" w:lineRule="auto"/>
                    <w:rPr>
                      <w:rFonts w:ascii="Times New Roman" w:eastAsia="Times New Roman" w:hAnsi="Times New Roman"/>
                      <w:sz w:val="16"/>
                      <w:szCs w:val="16"/>
                      <w:lang w:val="en-GB"/>
                    </w:rPr>
                  </w:pPr>
                </w:p>
              </w:tc>
              <w:tc>
                <w:tcPr>
                  <w:tcW w:w="1308" w:type="dxa"/>
                  <w:tcBorders>
                    <w:top w:val="nil"/>
                    <w:left w:val="nil"/>
                    <w:bottom w:val="nil"/>
                    <w:right w:val="nil"/>
                  </w:tcBorders>
                  <w:shd w:val="clear" w:color="auto" w:fill="FFFFFF" w:themeFill="background1"/>
                  <w:vAlign w:val="bottom"/>
                  <w:hideMark/>
                </w:tcPr>
                <w:p w14:paraId="1CFC57F3" w14:textId="77777777" w:rsidR="001A6953" w:rsidRPr="00D30847" w:rsidRDefault="001A6953" w:rsidP="001A6953">
                  <w:pPr>
                    <w:spacing w:after="0" w:line="240" w:lineRule="auto"/>
                    <w:rPr>
                      <w:rFonts w:ascii="Times New Roman" w:eastAsia="Times New Roman" w:hAnsi="Times New Roman"/>
                      <w:sz w:val="16"/>
                      <w:szCs w:val="16"/>
                      <w:lang w:val="en-GB"/>
                    </w:rPr>
                  </w:pPr>
                </w:p>
              </w:tc>
              <w:tc>
                <w:tcPr>
                  <w:tcW w:w="1242" w:type="dxa"/>
                  <w:tcBorders>
                    <w:top w:val="single" w:sz="8" w:space="0" w:color="auto"/>
                    <w:left w:val="single" w:sz="8" w:space="0" w:color="auto"/>
                    <w:bottom w:val="single" w:sz="8" w:space="0" w:color="auto"/>
                    <w:right w:val="nil"/>
                  </w:tcBorders>
                  <w:shd w:val="clear" w:color="auto" w:fill="FFFFFF" w:themeFill="background1"/>
                  <w:vAlign w:val="center"/>
                  <w:hideMark/>
                </w:tcPr>
                <w:p w14:paraId="17C6BCE0" w14:textId="77777777" w:rsidR="001A6953" w:rsidRPr="00D30847" w:rsidRDefault="001A6953" w:rsidP="001A695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tcBorders>
                    <w:top w:val="single" w:sz="8" w:space="0" w:color="auto"/>
                    <w:left w:val="nil"/>
                    <w:bottom w:val="single" w:sz="8" w:space="0" w:color="auto"/>
                    <w:right w:val="single" w:sz="8" w:space="0" w:color="auto"/>
                  </w:tcBorders>
                  <w:shd w:val="clear" w:color="auto" w:fill="FFFFFF" w:themeFill="background1"/>
                  <w:vAlign w:val="center"/>
                  <w:hideMark/>
                </w:tcPr>
                <w:p w14:paraId="3E48AEAC" w14:textId="77777777" w:rsidR="001A6953" w:rsidRPr="00D30847" w:rsidRDefault="001A6953" w:rsidP="001A6953">
                  <w:pPr>
                    <w:spacing w:after="0" w:line="240" w:lineRule="auto"/>
                    <w:rPr>
                      <w:rFonts w:eastAsia="Times New Roman" w:cs="Calibri"/>
                      <w:sz w:val="16"/>
                      <w:szCs w:val="16"/>
                      <w:lang w:val="en-GB"/>
                    </w:rPr>
                  </w:pPr>
                  <w:r w:rsidRPr="00D30847">
                    <w:rPr>
                      <w:rFonts w:eastAsia="Times New Roman" w:cs="Calibri"/>
                      <w:sz w:val="16"/>
                      <w:szCs w:val="16"/>
                      <w:lang w:val="en-GB"/>
                    </w:rPr>
                    <w:t>Adoption of a new Law on Financing of Local Self-Government Units</w:t>
                  </w:r>
                </w:p>
              </w:tc>
              <w:tc>
                <w:tcPr>
                  <w:tcW w:w="522" w:type="dxa"/>
                  <w:tcBorders>
                    <w:top w:val="nil"/>
                    <w:left w:val="nil"/>
                    <w:bottom w:val="single" w:sz="4" w:space="0" w:color="auto"/>
                    <w:right w:val="single" w:sz="4" w:space="0" w:color="auto"/>
                  </w:tcBorders>
                  <w:shd w:val="clear" w:color="auto" w:fill="0000FF"/>
                  <w:vAlign w:val="bottom"/>
                  <w:hideMark/>
                </w:tcPr>
                <w:p w14:paraId="0561D966" w14:textId="77777777" w:rsidR="001A6953" w:rsidRPr="00D30847" w:rsidRDefault="001A6953" w:rsidP="001A6953">
                  <w:pPr>
                    <w:spacing w:after="0" w:line="240" w:lineRule="auto"/>
                    <w:rPr>
                      <w:rFonts w:eastAsia="Times New Roman" w:cs="Calibri"/>
                      <w:sz w:val="16"/>
                      <w:szCs w:val="16"/>
                      <w:lang w:val="en-GB"/>
                    </w:rPr>
                  </w:pPr>
                </w:p>
              </w:tc>
              <w:tc>
                <w:tcPr>
                  <w:tcW w:w="378" w:type="dxa"/>
                  <w:tcBorders>
                    <w:top w:val="nil"/>
                    <w:left w:val="nil"/>
                    <w:bottom w:val="single" w:sz="4" w:space="0" w:color="auto"/>
                    <w:right w:val="single" w:sz="4" w:space="0" w:color="auto"/>
                  </w:tcBorders>
                  <w:shd w:val="clear" w:color="auto" w:fill="0000FF"/>
                  <w:vAlign w:val="center"/>
                  <w:hideMark/>
                </w:tcPr>
                <w:p w14:paraId="15DDDA86" w14:textId="77777777" w:rsidR="001A6953" w:rsidRPr="00D30847" w:rsidRDefault="001A6953" w:rsidP="001A6953">
                  <w:pPr>
                    <w:spacing w:after="0" w:line="240" w:lineRule="auto"/>
                    <w:rPr>
                      <w:rFonts w:eastAsia="Times New Roman" w:cs="Calibri"/>
                      <w:sz w:val="16"/>
                      <w:szCs w:val="16"/>
                      <w:lang w:val="en-GB"/>
                    </w:rPr>
                  </w:pPr>
                </w:p>
              </w:tc>
              <w:tc>
                <w:tcPr>
                  <w:tcW w:w="582" w:type="dxa"/>
                  <w:tcBorders>
                    <w:top w:val="nil"/>
                    <w:left w:val="nil"/>
                    <w:bottom w:val="single" w:sz="4" w:space="0" w:color="auto"/>
                    <w:right w:val="single" w:sz="4" w:space="0" w:color="auto"/>
                  </w:tcBorders>
                  <w:shd w:val="clear" w:color="auto" w:fill="0000FF"/>
                  <w:vAlign w:val="center"/>
                  <w:hideMark/>
                </w:tcPr>
                <w:p w14:paraId="7B15108E" w14:textId="77777777" w:rsidR="001A6953" w:rsidRPr="00D30847" w:rsidRDefault="001A6953" w:rsidP="001A6953">
                  <w:pPr>
                    <w:spacing w:after="0" w:line="240" w:lineRule="auto"/>
                    <w:rPr>
                      <w:rFonts w:eastAsia="Times New Roman" w:cs="Calibri"/>
                      <w:sz w:val="16"/>
                      <w:szCs w:val="16"/>
                      <w:lang w:val="en-GB"/>
                    </w:rPr>
                  </w:pPr>
                </w:p>
              </w:tc>
              <w:tc>
                <w:tcPr>
                  <w:tcW w:w="480" w:type="dxa"/>
                  <w:tcBorders>
                    <w:top w:val="nil"/>
                    <w:left w:val="nil"/>
                    <w:bottom w:val="single" w:sz="4" w:space="0" w:color="auto"/>
                    <w:right w:val="single" w:sz="4" w:space="0" w:color="auto"/>
                  </w:tcBorders>
                  <w:shd w:val="clear" w:color="auto" w:fill="0000FF"/>
                  <w:vAlign w:val="center"/>
                  <w:hideMark/>
                </w:tcPr>
                <w:p w14:paraId="72291B88" w14:textId="77777777" w:rsidR="001A6953" w:rsidRPr="00D30847" w:rsidRDefault="001A6953" w:rsidP="001A6953">
                  <w:pPr>
                    <w:spacing w:after="0" w:line="240" w:lineRule="auto"/>
                    <w:rPr>
                      <w:rFonts w:eastAsia="Times New Roman" w:cs="Calibri"/>
                      <w:sz w:val="16"/>
                      <w:szCs w:val="16"/>
                      <w:lang w:val="en-GB"/>
                    </w:rPr>
                  </w:pPr>
                </w:p>
              </w:tc>
              <w:tc>
                <w:tcPr>
                  <w:tcW w:w="378" w:type="dxa"/>
                  <w:tcBorders>
                    <w:top w:val="nil"/>
                    <w:left w:val="nil"/>
                    <w:bottom w:val="single" w:sz="4" w:space="0" w:color="auto"/>
                    <w:right w:val="single" w:sz="4" w:space="0" w:color="auto"/>
                  </w:tcBorders>
                  <w:shd w:val="clear" w:color="auto" w:fill="0000FF"/>
                  <w:vAlign w:val="center"/>
                  <w:hideMark/>
                </w:tcPr>
                <w:p w14:paraId="2E122BAA"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612" w:type="dxa"/>
                  <w:tcBorders>
                    <w:top w:val="nil"/>
                    <w:left w:val="nil"/>
                    <w:bottom w:val="single" w:sz="4" w:space="0" w:color="auto"/>
                    <w:right w:val="single" w:sz="4" w:space="0" w:color="auto"/>
                  </w:tcBorders>
                  <w:shd w:val="clear" w:color="auto" w:fill="0000FF"/>
                  <w:vAlign w:val="center"/>
                  <w:hideMark/>
                </w:tcPr>
                <w:p w14:paraId="0A21EAF5"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nil"/>
                    <w:left w:val="nil"/>
                    <w:bottom w:val="single" w:sz="4" w:space="0" w:color="auto"/>
                    <w:right w:val="single" w:sz="4" w:space="0" w:color="auto"/>
                  </w:tcBorders>
                  <w:shd w:val="clear" w:color="auto" w:fill="0000FF"/>
                  <w:vAlign w:val="center"/>
                  <w:hideMark/>
                </w:tcPr>
                <w:p w14:paraId="523F7672"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540" w:type="dxa"/>
                  <w:tcBorders>
                    <w:top w:val="nil"/>
                    <w:left w:val="nil"/>
                    <w:bottom w:val="single" w:sz="4" w:space="0" w:color="auto"/>
                    <w:right w:val="single" w:sz="4" w:space="0" w:color="auto"/>
                  </w:tcBorders>
                  <w:shd w:val="clear" w:color="auto" w:fill="0000FF"/>
                  <w:vAlign w:val="center"/>
                  <w:hideMark/>
                </w:tcPr>
                <w:p w14:paraId="67AFCB27"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nil"/>
                    <w:left w:val="nil"/>
                    <w:bottom w:val="single" w:sz="4" w:space="0" w:color="auto"/>
                    <w:right w:val="single" w:sz="4" w:space="0" w:color="auto"/>
                  </w:tcBorders>
                  <w:shd w:val="clear" w:color="auto" w:fill="auto"/>
                  <w:vAlign w:val="center"/>
                  <w:hideMark/>
                </w:tcPr>
                <w:p w14:paraId="5E118BE8"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nil"/>
                    <w:left w:val="nil"/>
                    <w:bottom w:val="single" w:sz="4" w:space="0" w:color="auto"/>
                    <w:right w:val="single" w:sz="4" w:space="0" w:color="auto"/>
                  </w:tcBorders>
                  <w:shd w:val="clear" w:color="auto" w:fill="auto"/>
                  <w:vAlign w:val="center"/>
                  <w:hideMark/>
                </w:tcPr>
                <w:p w14:paraId="62311CF8"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378" w:type="dxa"/>
                  <w:tcBorders>
                    <w:top w:val="nil"/>
                    <w:left w:val="nil"/>
                    <w:bottom w:val="single" w:sz="4" w:space="0" w:color="auto"/>
                    <w:right w:val="single" w:sz="4" w:space="0" w:color="auto"/>
                  </w:tcBorders>
                  <w:shd w:val="clear" w:color="auto" w:fill="auto"/>
                  <w:vAlign w:val="center"/>
                  <w:hideMark/>
                </w:tcPr>
                <w:p w14:paraId="11314032"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522" w:type="dxa"/>
                  <w:tcBorders>
                    <w:top w:val="nil"/>
                    <w:left w:val="nil"/>
                    <w:bottom w:val="single" w:sz="4" w:space="0" w:color="auto"/>
                    <w:right w:val="single" w:sz="4" w:space="0" w:color="auto"/>
                  </w:tcBorders>
                  <w:shd w:val="clear" w:color="auto" w:fill="auto"/>
                  <w:vAlign w:val="center"/>
                  <w:hideMark/>
                </w:tcPr>
                <w:p w14:paraId="2978796F"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nil"/>
                    <w:left w:val="nil"/>
                    <w:bottom w:val="single" w:sz="4" w:space="0" w:color="auto"/>
                    <w:right w:val="single" w:sz="4" w:space="0" w:color="auto"/>
                  </w:tcBorders>
                  <w:shd w:val="clear" w:color="auto" w:fill="FFFFFF" w:themeFill="background1"/>
                  <w:vAlign w:val="bottom"/>
                  <w:hideMark/>
                </w:tcPr>
                <w:p w14:paraId="0DD764CE"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nil"/>
                    <w:left w:val="nil"/>
                    <w:bottom w:val="single" w:sz="4" w:space="0" w:color="auto"/>
                    <w:right w:val="single" w:sz="4" w:space="0" w:color="auto"/>
                  </w:tcBorders>
                  <w:shd w:val="clear" w:color="auto" w:fill="FFFFFF" w:themeFill="background1"/>
                  <w:vAlign w:val="bottom"/>
                  <w:hideMark/>
                </w:tcPr>
                <w:p w14:paraId="1B42DF45"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nil"/>
                    <w:left w:val="nil"/>
                    <w:bottom w:val="single" w:sz="4" w:space="0" w:color="auto"/>
                    <w:right w:val="single" w:sz="4" w:space="0" w:color="auto"/>
                  </w:tcBorders>
                  <w:shd w:val="clear" w:color="auto" w:fill="FFFFFF" w:themeFill="background1"/>
                  <w:vAlign w:val="bottom"/>
                  <w:hideMark/>
                </w:tcPr>
                <w:p w14:paraId="6F7C28E3"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648" w:type="dxa"/>
                  <w:tcBorders>
                    <w:top w:val="nil"/>
                    <w:left w:val="nil"/>
                    <w:bottom w:val="single" w:sz="4" w:space="0" w:color="auto"/>
                    <w:right w:val="single" w:sz="4" w:space="0" w:color="auto"/>
                  </w:tcBorders>
                  <w:shd w:val="clear" w:color="auto" w:fill="FFFFFF" w:themeFill="background1"/>
                  <w:vAlign w:val="bottom"/>
                  <w:hideMark/>
                </w:tcPr>
                <w:p w14:paraId="09398FF8" w14:textId="77777777" w:rsidR="001A6953" w:rsidRPr="00D30847" w:rsidRDefault="001A6953" w:rsidP="001A6953">
                  <w:pPr>
                    <w:spacing w:after="0" w:line="240" w:lineRule="auto"/>
                    <w:jc w:val="center"/>
                    <w:rPr>
                      <w:rFonts w:eastAsia="Times New Roman" w:cs="Calibri"/>
                      <w:color w:val="FFFFFF"/>
                      <w:sz w:val="16"/>
                      <w:szCs w:val="16"/>
                      <w:lang w:val="en-GB"/>
                    </w:rPr>
                  </w:pPr>
                </w:p>
              </w:tc>
            </w:tr>
          </w:tbl>
          <w:p w14:paraId="16F17942" w14:textId="77777777" w:rsidR="001A6953" w:rsidRPr="00D30847" w:rsidRDefault="001A6953" w:rsidP="001A6953">
            <w:pPr>
              <w:spacing w:after="0" w:line="240" w:lineRule="auto"/>
              <w:rPr>
                <w:rFonts w:eastAsia="Times New Roman" w:cs="Calibri"/>
                <w:b/>
                <w:bCs/>
                <w:sz w:val="16"/>
                <w:szCs w:val="16"/>
                <w:lang w:val="en-GB"/>
              </w:rPr>
            </w:pPr>
          </w:p>
        </w:tc>
      </w:tr>
      <w:tr w:rsidR="001A6953" w:rsidRPr="00D30847" w14:paraId="40AA323A" w14:textId="77777777" w:rsidTr="00453DBE">
        <w:trPr>
          <w:trHeight w:val="300"/>
        </w:trPr>
        <w:tc>
          <w:tcPr>
            <w:tcW w:w="15210" w:type="dxa"/>
            <w:gridSpan w:val="55"/>
            <w:tcBorders>
              <w:top w:val="nil"/>
              <w:left w:val="nil"/>
              <w:bottom w:val="nil"/>
              <w:right w:val="nil"/>
            </w:tcBorders>
            <w:shd w:val="clear" w:color="auto" w:fill="FFFFFF" w:themeFill="background1"/>
          </w:tcPr>
          <w:tbl>
            <w:tblPr>
              <w:tblW w:w="15210" w:type="dxa"/>
              <w:tblLayout w:type="fixed"/>
              <w:tblLook w:val="04A0" w:firstRow="1" w:lastRow="0" w:firstColumn="1" w:lastColumn="0" w:noHBand="0" w:noVBand="1"/>
            </w:tblPr>
            <w:tblGrid>
              <w:gridCol w:w="1007"/>
              <w:gridCol w:w="1371"/>
              <w:gridCol w:w="1302"/>
              <w:gridCol w:w="3416"/>
              <w:gridCol w:w="547"/>
              <w:gridCol w:w="396"/>
              <w:gridCol w:w="610"/>
              <w:gridCol w:w="503"/>
              <w:gridCol w:w="396"/>
              <w:gridCol w:w="642"/>
              <w:gridCol w:w="472"/>
              <w:gridCol w:w="566"/>
              <w:gridCol w:w="472"/>
              <w:gridCol w:w="472"/>
              <w:gridCol w:w="396"/>
              <w:gridCol w:w="547"/>
              <w:gridCol w:w="472"/>
              <w:gridCol w:w="472"/>
              <w:gridCol w:w="472"/>
              <w:gridCol w:w="679"/>
            </w:tblGrid>
            <w:tr w:rsidR="001A6953" w:rsidRPr="00D30847" w14:paraId="4EDA1785" w14:textId="77777777" w:rsidTr="00BE1CE0">
              <w:trPr>
                <w:trHeight w:val="331"/>
              </w:trPr>
              <w:tc>
                <w:tcPr>
                  <w:tcW w:w="960" w:type="dxa"/>
                  <w:tcBorders>
                    <w:top w:val="nil"/>
                    <w:left w:val="nil"/>
                    <w:bottom w:val="nil"/>
                    <w:right w:val="nil"/>
                  </w:tcBorders>
                  <w:shd w:val="clear" w:color="auto" w:fill="FFFFFF" w:themeFill="background1"/>
                  <w:vAlign w:val="bottom"/>
                  <w:hideMark/>
                </w:tcPr>
                <w:p w14:paraId="78B43A0A" w14:textId="77777777" w:rsidR="001A6953" w:rsidRPr="00D30847" w:rsidRDefault="001A6953" w:rsidP="001A6953">
                  <w:pPr>
                    <w:spacing w:after="0" w:line="240" w:lineRule="auto"/>
                    <w:rPr>
                      <w:rFonts w:ascii="Times New Roman" w:eastAsia="Times New Roman" w:hAnsi="Times New Roman"/>
                      <w:sz w:val="16"/>
                      <w:szCs w:val="16"/>
                      <w:lang w:val="en-GB"/>
                    </w:rPr>
                  </w:pPr>
                </w:p>
              </w:tc>
              <w:tc>
                <w:tcPr>
                  <w:tcW w:w="1308" w:type="dxa"/>
                  <w:tcBorders>
                    <w:top w:val="nil"/>
                    <w:left w:val="nil"/>
                    <w:bottom w:val="nil"/>
                    <w:right w:val="nil"/>
                  </w:tcBorders>
                  <w:shd w:val="clear" w:color="auto" w:fill="FFFFFF" w:themeFill="background1"/>
                  <w:vAlign w:val="bottom"/>
                  <w:hideMark/>
                </w:tcPr>
                <w:p w14:paraId="352379C9" w14:textId="77777777" w:rsidR="001A6953" w:rsidRPr="00D30847" w:rsidRDefault="001A6953" w:rsidP="001A6953">
                  <w:pPr>
                    <w:spacing w:after="0" w:line="240" w:lineRule="auto"/>
                    <w:rPr>
                      <w:rFonts w:ascii="Times New Roman" w:eastAsia="Times New Roman" w:hAnsi="Times New Roman"/>
                      <w:sz w:val="16"/>
                      <w:szCs w:val="16"/>
                      <w:lang w:val="en-GB"/>
                    </w:rPr>
                  </w:pPr>
                </w:p>
              </w:tc>
              <w:tc>
                <w:tcPr>
                  <w:tcW w:w="1242" w:type="dxa"/>
                  <w:tcBorders>
                    <w:top w:val="nil"/>
                    <w:left w:val="single" w:sz="8" w:space="0" w:color="auto"/>
                    <w:bottom w:val="single" w:sz="8" w:space="0" w:color="auto"/>
                    <w:right w:val="nil"/>
                  </w:tcBorders>
                  <w:shd w:val="clear" w:color="auto" w:fill="FFFFFF" w:themeFill="background1"/>
                  <w:vAlign w:val="center"/>
                  <w:hideMark/>
                </w:tcPr>
                <w:p w14:paraId="2D03DA14" w14:textId="77777777" w:rsidR="001A6953" w:rsidRPr="00D30847" w:rsidRDefault="001A6953" w:rsidP="001A695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tcBorders>
                    <w:top w:val="nil"/>
                    <w:left w:val="nil"/>
                    <w:bottom w:val="single" w:sz="8" w:space="0" w:color="auto"/>
                    <w:right w:val="single" w:sz="8" w:space="0" w:color="auto"/>
                  </w:tcBorders>
                  <w:shd w:val="clear" w:color="auto" w:fill="FFFFFF" w:themeFill="background1"/>
                  <w:vAlign w:val="center"/>
                  <w:hideMark/>
                </w:tcPr>
                <w:p w14:paraId="07D204BD" w14:textId="77777777" w:rsidR="001A6953" w:rsidRPr="00D30847" w:rsidRDefault="001A6953" w:rsidP="001A6953">
                  <w:pPr>
                    <w:spacing w:after="0" w:line="240" w:lineRule="auto"/>
                    <w:rPr>
                      <w:rFonts w:eastAsia="Times New Roman" w:cs="Calibri"/>
                      <w:sz w:val="16"/>
                      <w:szCs w:val="16"/>
                      <w:lang w:val="en-GB"/>
                    </w:rPr>
                  </w:pPr>
                  <w:r w:rsidRPr="00D30847">
                    <w:rPr>
                      <w:rFonts w:eastAsia="Times New Roman" w:cs="Calibri"/>
                      <w:sz w:val="16"/>
                      <w:szCs w:val="16"/>
                      <w:lang w:val="en-GB"/>
                    </w:rPr>
                    <w:t>Preparation of by-laws from the Law on Financing of Local Self-Government Units</w:t>
                  </w:r>
                </w:p>
              </w:tc>
              <w:tc>
                <w:tcPr>
                  <w:tcW w:w="522" w:type="dxa"/>
                  <w:tcBorders>
                    <w:top w:val="nil"/>
                    <w:left w:val="nil"/>
                    <w:bottom w:val="single" w:sz="4" w:space="0" w:color="auto"/>
                    <w:right w:val="single" w:sz="4" w:space="0" w:color="auto"/>
                  </w:tcBorders>
                  <w:shd w:val="clear" w:color="auto" w:fill="FFFFFF" w:themeFill="background1"/>
                  <w:vAlign w:val="center"/>
                  <w:hideMark/>
                </w:tcPr>
                <w:p w14:paraId="1F0C877A" w14:textId="77777777" w:rsidR="001A6953" w:rsidRPr="00D30847" w:rsidRDefault="001A6953" w:rsidP="001A6953">
                  <w:pPr>
                    <w:spacing w:after="0" w:line="240" w:lineRule="auto"/>
                    <w:rPr>
                      <w:rFonts w:eastAsia="Times New Roman" w:cs="Calibri"/>
                      <w:sz w:val="16"/>
                      <w:szCs w:val="16"/>
                      <w:lang w:val="en-GB"/>
                    </w:rPr>
                  </w:pPr>
                </w:p>
              </w:tc>
              <w:tc>
                <w:tcPr>
                  <w:tcW w:w="378" w:type="dxa"/>
                  <w:tcBorders>
                    <w:top w:val="nil"/>
                    <w:left w:val="nil"/>
                    <w:bottom w:val="single" w:sz="4" w:space="0" w:color="auto"/>
                    <w:right w:val="single" w:sz="4" w:space="0" w:color="auto"/>
                  </w:tcBorders>
                  <w:shd w:val="clear" w:color="auto" w:fill="FFFFFF" w:themeFill="background1"/>
                  <w:vAlign w:val="center"/>
                  <w:hideMark/>
                </w:tcPr>
                <w:p w14:paraId="3EB60B5E" w14:textId="77777777" w:rsidR="001A6953" w:rsidRPr="00D30847" w:rsidRDefault="001A6953" w:rsidP="001A6953">
                  <w:pPr>
                    <w:spacing w:after="0" w:line="240" w:lineRule="auto"/>
                    <w:rPr>
                      <w:rFonts w:eastAsia="Times New Roman" w:cs="Calibri"/>
                      <w:sz w:val="16"/>
                      <w:szCs w:val="16"/>
                      <w:lang w:val="en-GB"/>
                    </w:rPr>
                  </w:pPr>
                </w:p>
              </w:tc>
              <w:tc>
                <w:tcPr>
                  <w:tcW w:w="582" w:type="dxa"/>
                  <w:tcBorders>
                    <w:top w:val="nil"/>
                    <w:left w:val="nil"/>
                    <w:bottom w:val="single" w:sz="4" w:space="0" w:color="auto"/>
                    <w:right w:val="single" w:sz="4" w:space="0" w:color="auto"/>
                  </w:tcBorders>
                  <w:shd w:val="clear" w:color="auto" w:fill="FFFFFF" w:themeFill="background1"/>
                  <w:vAlign w:val="center"/>
                  <w:hideMark/>
                </w:tcPr>
                <w:p w14:paraId="68DEE9E4" w14:textId="77777777" w:rsidR="001A6953" w:rsidRPr="00D30847" w:rsidRDefault="001A6953" w:rsidP="001A6953">
                  <w:pPr>
                    <w:spacing w:after="0" w:line="240" w:lineRule="auto"/>
                    <w:rPr>
                      <w:rFonts w:eastAsia="Times New Roman" w:cs="Calibri"/>
                      <w:sz w:val="16"/>
                      <w:szCs w:val="16"/>
                      <w:lang w:val="en-GB"/>
                    </w:rPr>
                  </w:pPr>
                </w:p>
              </w:tc>
              <w:tc>
                <w:tcPr>
                  <w:tcW w:w="480" w:type="dxa"/>
                  <w:tcBorders>
                    <w:top w:val="nil"/>
                    <w:left w:val="nil"/>
                    <w:bottom w:val="single" w:sz="4" w:space="0" w:color="auto"/>
                    <w:right w:val="single" w:sz="4" w:space="0" w:color="auto"/>
                  </w:tcBorders>
                  <w:shd w:val="clear" w:color="auto" w:fill="FFFFFF" w:themeFill="background1"/>
                  <w:vAlign w:val="center"/>
                  <w:hideMark/>
                </w:tcPr>
                <w:p w14:paraId="4ABFBA60" w14:textId="77777777" w:rsidR="001A6953" w:rsidRPr="00D30847" w:rsidRDefault="001A6953" w:rsidP="001A6953">
                  <w:pPr>
                    <w:spacing w:after="0" w:line="240" w:lineRule="auto"/>
                    <w:rPr>
                      <w:rFonts w:eastAsia="Times New Roman" w:cs="Calibri"/>
                      <w:sz w:val="16"/>
                      <w:szCs w:val="16"/>
                      <w:lang w:val="en-GB"/>
                    </w:rPr>
                  </w:pPr>
                </w:p>
              </w:tc>
              <w:tc>
                <w:tcPr>
                  <w:tcW w:w="378" w:type="dxa"/>
                  <w:tcBorders>
                    <w:top w:val="nil"/>
                    <w:left w:val="nil"/>
                    <w:bottom w:val="single" w:sz="4" w:space="0" w:color="auto"/>
                    <w:right w:val="single" w:sz="4" w:space="0" w:color="auto"/>
                  </w:tcBorders>
                  <w:shd w:val="clear" w:color="auto" w:fill="0000FF"/>
                  <w:vAlign w:val="center"/>
                  <w:hideMark/>
                </w:tcPr>
                <w:p w14:paraId="385DD9F4"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612" w:type="dxa"/>
                  <w:tcBorders>
                    <w:top w:val="nil"/>
                    <w:left w:val="nil"/>
                    <w:bottom w:val="single" w:sz="4" w:space="0" w:color="auto"/>
                    <w:right w:val="single" w:sz="4" w:space="0" w:color="auto"/>
                  </w:tcBorders>
                  <w:shd w:val="clear" w:color="auto" w:fill="0000FF"/>
                  <w:vAlign w:val="center"/>
                  <w:hideMark/>
                </w:tcPr>
                <w:p w14:paraId="037F40C2"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nil"/>
                    <w:left w:val="nil"/>
                    <w:bottom w:val="single" w:sz="4" w:space="0" w:color="auto"/>
                    <w:right w:val="single" w:sz="4" w:space="0" w:color="auto"/>
                  </w:tcBorders>
                  <w:shd w:val="clear" w:color="auto" w:fill="0000FF"/>
                  <w:vAlign w:val="center"/>
                  <w:hideMark/>
                </w:tcPr>
                <w:p w14:paraId="43E40128"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540" w:type="dxa"/>
                  <w:tcBorders>
                    <w:top w:val="nil"/>
                    <w:left w:val="nil"/>
                    <w:bottom w:val="single" w:sz="4" w:space="0" w:color="auto"/>
                    <w:right w:val="single" w:sz="4" w:space="0" w:color="auto"/>
                  </w:tcBorders>
                  <w:shd w:val="clear" w:color="auto" w:fill="0000FF"/>
                  <w:vAlign w:val="center"/>
                  <w:hideMark/>
                </w:tcPr>
                <w:p w14:paraId="1D0D3B97"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nil"/>
                    <w:left w:val="nil"/>
                    <w:bottom w:val="single" w:sz="4" w:space="0" w:color="auto"/>
                    <w:right w:val="single" w:sz="4" w:space="0" w:color="auto"/>
                  </w:tcBorders>
                  <w:shd w:val="clear" w:color="auto" w:fill="FFFFFF" w:themeFill="background1"/>
                  <w:vAlign w:val="center"/>
                  <w:hideMark/>
                </w:tcPr>
                <w:p w14:paraId="1FB3E474" w14:textId="77777777" w:rsidR="001A6953" w:rsidRPr="00D30847" w:rsidRDefault="001A6953" w:rsidP="001A6953">
                  <w:pPr>
                    <w:spacing w:after="0" w:line="240" w:lineRule="auto"/>
                    <w:rPr>
                      <w:rFonts w:eastAsia="Times New Roman" w:cs="Calibri"/>
                      <w:sz w:val="16"/>
                      <w:szCs w:val="16"/>
                      <w:lang w:val="en-GB"/>
                    </w:rPr>
                  </w:pPr>
                </w:p>
              </w:tc>
              <w:tc>
                <w:tcPr>
                  <w:tcW w:w="450" w:type="dxa"/>
                  <w:tcBorders>
                    <w:top w:val="nil"/>
                    <w:left w:val="nil"/>
                    <w:bottom w:val="single" w:sz="4" w:space="0" w:color="auto"/>
                    <w:right w:val="single" w:sz="4" w:space="0" w:color="auto"/>
                  </w:tcBorders>
                  <w:shd w:val="clear" w:color="auto" w:fill="FFFFFF" w:themeFill="background1"/>
                  <w:vAlign w:val="center"/>
                  <w:hideMark/>
                </w:tcPr>
                <w:p w14:paraId="534FEC63" w14:textId="77777777" w:rsidR="001A6953" w:rsidRPr="00D30847" w:rsidRDefault="001A6953" w:rsidP="001A6953">
                  <w:pPr>
                    <w:spacing w:after="0" w:line="240" w:lineRule="auto"/>
                    <w:rPr>
                      <w:rFonts w:eastAsia="Times New Roman" w:cs="Calibri"/>
                      <w:sz w:val="16"/>
                      <w:szCs w:val="16"/>
                      <w:lang w:val="en-GB"/>
                    </w:rPr>
                  </w:pPr>
                </w:p>
              </w:tc>
              <w:tc>
                <w:tcPr>
                  <w:tcW w:w="378" w:type="dxa"/>
                  <w:tcBorders>
                    <w:top w:val="nil"/>
                    <w:left w:val="nil"/>
                    <w:bottom w:val="single" w:sz="4" w:space="0" w:color="auto"/>
                    <w:right w:val="single" w:sz="4" w:space="0" w:color="auto"/>
                  </w:tcBorders>
                  <w:shd w:val="clear" w:color="auto" w:fill="auto"/>
                  <w:vAlign w:val="center"/>
                  <w:hideMark/>
                </w:tcPr>
                <w:p w14:paraId="3C2C7F49" w14:textId="77777777" w:rsidR="001A6953" w:rsidRPr="00D30847" w:rsidRDefault="001A6953" w:rsidP="001A6953">
                  <w:pPr>
                    <w:spacing w:after="0" w:line="240" w:lineRule="auto"/>
                    <w:rPr>
                      <w:rFonts w:eastAsia="Times New Roman" w:cs="Calibri"/>
                      <w:sz w:val="16"/>
                      <w:szCs w:val="16"/>
                      <w:lang w:val="en-GB"/>
                    </w:rPr>
                  </w:pPr>
                </w:p>
              </w:tc>
              <w:tc>
                <w:tcPr>
                  <w:tcW w:w="522" w:type="dxa"/>
                  <w:tcBorders>
                    <w:top w:val="nil"/>
                    <w:left w:val="nil"/>
                    <w:bottom w:val="single" w:sz="4" w:space="0" w:color="auto"/>
                    <w:right w:val="single" w:sz="4" w:space="0" w:color="auto"/>
                  </w:tcBorders>
                  <w:shd w:val="clear" w:color="auto" w:fill="auto"/>
                  <w:vAlign w:val="center"/>
                  <w:hideMark/>
                </w:tcPr>
                <w:p w14:paraId="121BEDE3" w14:textId="77777777" w:rsidR="001A6953" w:rsidRPr="00D30847" w:rsidRDefault="001A6953" w:rsidP="001A6953">
                  <w:pPr>
                    <w:spacing w:after="0" w:line="240" w:lineRule="auto"/>
                    <w:rPr>
                      <w:rFonts w:eastAsia="Times New Roman" w:cs="Calibri"/>
                      <w:sz w:val="16"/>
                      <w:szCs w:val="16"/>
                      <w:lang w:val="en-GB"/>
                    </w:rPr>
                  </w:pPr>
                </w:p>
              </w:tc>
              <w:tc>
                <w:tcPr>
                  <w:tcW w:w="450" w:type="dxa"/>
                  <w:tcBorders>
                    <w:top w:val="nil"/>
                    <w:left w:val="nil"/>
                    <w:bottom w:val="single" w:sz="4" w:space="0" w:color="auto"/>
                    <w:right w:val="single" w:sz="4" w:space="0" w:color="auto"/>
                  </w:tcBorders>
                  <w:shd w:val="clear" w:color="auto" w:fill="FFFFFF" w:themeFill="background1"/>
                  <w:vAlign w:val="center"/>
                  <w:hideMark/>
                </w:tcPr>
                <w:p w14:paraId="5481D330"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nil"/>
                    <w:left w:val="nil"/>
                    <w:bottom w:val="single" w:sz="4" w:space="0" w:color="auto"/>
                    <w:right w:val="single" w:sz="4" w:space="0" w:color="auto"/>
                  </w:tcBorders>
                  <w:shd w:val="clear" w:color="auto" w:fill="FFFFFF" w:themeFill="background1"/>
                  <w:vAlign w:val="center"/>
                  <w:hideMark/>
                </w:tcPr>
                <w:p w14:paraId="138FBB59"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nil"/>
                    <w:left w:val="nil"/>
                    <w:bottom w:val="single" w:sz="4" w:space="0" w:color="auto"/>
                    <w:right w:val="single" w:sz="4" w:space="0" w:color="auto"/>
                  </w:tcBorders>
                  <w:shd w:val="clear" w:color="auto" w:fill="FFFFFF" w:themeFill="background1"/>
                  <w:vAlign w:val="center"/>
                  <w:hideMark/>
                </w:tcPr>
                <w:p w14:paraId="0C12EFD2"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648" w:type="dxa"/>
                  <w:tcBorders>
                    <w:top w:val="nil"/>
                    <w:left w:val="nil"/>
                    <w:bottom w:val="single" w:sz="4" w:space="0" w:color="auto"/>
                    <w:right w:val="single" w:sz="4" w:space="0" w:color="auto"/>
                  </w:tcBorders>
                  <w:shd w:val="clear" w:color="auto" w:fill="FFFFFF" w:themeFill="background1"/>
                  <w:vAlign w:val="center"/>
                  <w:hideMark/>
                </w:tcPr>
                <w:p w14:paraId="4D86FE64" w14:textId="77777777" w:rsidR="001A6953" w:rsidRPr="00D30847" w:rsidRDefault="001A6953" w:rsidP="001A6953">
                  <w:pPr>
                    <w:spacing w:after="0" w:line="240" w:lineRule="auto"/>
                    <w:jc w:val="center"/>
                    <w:rPr>
                      <w:rFonts w:eastAsia="Times New Roman" w:cs="Calibri"/>
                      <w:color w:val="FFFFFF"/>
                      <w:sz w:val="16"/>
                      <w:szCs w:val="16"/>
                      <w:lang w:val="en-GB"/>
                    </w:rPr>
                  </w:pPr>
                </w:p>
              </w:tc>
            </w:tr>
          </w:tbl>
          <w:p w14:paraId="402759BB" w14:textId="77777777" w:rsidR="001A6953" w:rsidRPr="00D30847" w:rsidRDefault="001A6953" w:rsidP="001A6953">
            <w:pPr>
              <w:spacing w:after="0" w:line="240" w:lineRule="auto"/>
              <w:rPr>
                <w:rFonts w:eastAsia="Times New Roman" w:cs="Calibri"/>
                <w:b/>
                <w:bCs/>
                <w:sz w:val="16"/>
                <w:szCs w:val="16"/>
                <w:lang w:val="en-GB"/>
              </w:rPr>
            </w:pPr>
          </w:p>
        </w:tc>
      </w:tr>
      <w:tr w:rsidR="001A6953" w:rsidRPr="00D30847" w14:paraId="7C608130" w14:textId="77777777" w:rsidTr="00453DBE">
        <w:trPr>
          <w:trHeight w:val="300"/>
        </w:trPr>
        <w:tc>
          <w:tcPr>
            <w:tcW w:w="15210" w:type="dxa"/>
            <w:gridSpan w:val="55"/>
            <w:tcBorders>
              <w:top w:val="nil"/>
              <w:left w:val="nil"/>
              <w:bottom w:val="nil"/>
              <w:right w:val="nil"/>
            </w:tcBorders>
            <w:shd w:val="clear" w:color="auto" w:fill="FFFFFF" w:themeFill="background1"/>
          </w:tcPr>
          <w:tbl>
            <w:tblPr>
              <w:tblW w:w="15210" w:type="dxa"/>
              <w:tblLayout w:type="fixed"/>
              <w:tblLook w:val="04A0" w:firstRow="1" w:lastRow="0" w:firstColumn="1" w:lastColumn="0" w:noHBand="0" w:noVBand="1"/>
            </w:tblPr>
            <w:tblGrid>
              <w:gridCol w:w="1007"/>
              <w:gridCol w:w="1371"/>
              <w:gridCol w:w="1302"/>
              <w:gridCol w:w="3416"/>
              <w:gridCol w:w="547"/>
              <w:gridCol w:w="396"/>
              <w:gridCol w:w="610"/>
              <w:gridCol w:w="503"/>
              <w:gridCol w:w="396"/>
              <w:gridCol w:w="642"/>
              <w:gridCol w:w="472"/>
              <w:gridCol w:w="566"/>
              <w:gridCol w:w="472"/>
              <w:gridCol w:w="472"/>
              <w:gridCol w:w="396"/>
              <w:gridCol w:w="547"/>
              <w:gridCol w:w="472"/>
              <w:gridCol w:w="472"/>
              <w:gridCol w:w="236"/>
              <w:gridCol w:w="915"/>
            </w:tblGrid>
            <w:tr w:rsidR="001A6953" w:rsidRPr="00D30847" w14:paraId="18BCDFCE" w14:textId="77777777" w:rsidTr="00BE1CE0">
              <w:trPr>
                <w:trHeight w:val="153"/>
              </w:trPr>
              <w:tc>
                <w:tcPr>
                  <w:tcW w:w="1007" w:type="dxa"/>
                  <w:tcBorders>
                    <w:top w:val="nil"/>
                    <w:left w:val="nil"/>
                    <w:bottom w:val="nil"/>
                    <w:right w:val="nil"/>
                  </w:tcBorders>
                  <w:shd w:val="clear" w:color="auto" w:fill="FFFFFF" w:themeFill="background1"/>
                  <w:vAlign w:val="bottom"/>
                </w:tcPr>
                <w:p w14:paraId="1FBC439A" w14:textId="77777777" w:rsidR="001A6953" w:rsidRPr="00D30847" w:rsidRDefault="001A6953" w:rsidP="001A6953">
                  <w:pPr>
                    <w:spacing w:after="0" w:line="240" w:lineRule="auto"/>
                    <w:rPr>
                      <w:rFonts w:ascii="Times New Roman" w:eastAsia="Times New Roman" w:hAnsi="Times New Roman"/>
                      <w:sz w:val="16"/>
                      <w:szCs w:val="16"/>
                      <w:lang w:val="en-GB"/>
                    </w:rPr>
                  </w:pPr>
                </w:p>
              </w:tc>
              <w:tc>
                <w:tcPr>
                  <w:tcW w:w="1371" w:type="dxa"/>
                  <w:tcBorders>
                    <w:top w:val="nil"/>
                    <w:left w:val="nil"/>
                    <w:bottom w:val="nil"/>
                    <w:right w:val="nil"/>
                  </w:tcBorders>
                  <w:shd w:val="clear" w:color="auto" w:fill="FFFFFF" w:themeFill="background1"/>
                  <w:vAlign w:val="bottom"/>
                </w:tcPr>
                <w:p w14:paraId="147A3221" w14:textId="77777777" w:rsidR="001A6953" w:rsidRPr="00D30847" w:rsidRDefault="001A6953" w:rsidP="001A6953">
                  <w:pPr>
                    <w:spacing w:after="0" w:line="240" w:lineRule="auto"/>
                    <w:rPr>
                      <w:rFonts w:ascii="Times New Roman" w:eastAsia="Times New Roman" w:hAnsi="Times New Roman"/>
                      <w:sz w:val="16"/>
                      <w:szCs w:val="16"/>
                      <w:lang w:val="en-GB"/>
                    </w:rPr>
                  </w:pPr>
                </w:p>
              </w:tc>
              <w:tc>
                <w:tcPr>
                  <w:tcW w:w="1302" w:type="dxa"/>
                  <w:tcBorders>
                    <w:top w:val="nil"/>
                    <w:left w:val="single" w:sz="8" w:space="0" w:color="auto"/>
                    <w:bottom w:val="single" w:sz="8" w:space="0" w:color="auto"/>
                    <w:right w:val="nil"/>
                  </w:tcBorders>
                  <w:shd w:val="clear" w:color="auto" w:fill="FFFFFF" w:themeFill="background1"/>
                  <w:vAlign w:val="center"/>
                </w:tcPr>
                <w:p w14:paraId="2EE1E4E5" w14:textId="77777777" w:rsidR="001A6953" w:rsidRPr="00D30847" w:rsidRDefault="001A6953" w:rsidP="001A6953">
                  <w:pPr>
                    <w:spacing w:after="0" w:line="240" w:lineRule="auto"/>
                    <w:rPr>
                      <w:rFonts w:eastAsia="Times New Roman" w:cs="Calibri"/>
                      <w:sz w:val="16"/>
                      <w:szCs w:val="16"/>
                      <w:lang w:val="en-GB"/>
                    </w:rPr>
                  </w:pPr>
                  <w:r w:rsidRPr="00D30847">
                    <w:rPr>
                      <w:rFonts w:eastAsia="Times New Roman" w:cs="Calibri"/>
                      <w:sz w:val="16"/>
                      <w:szCs w:val="16"/>
                      <w:lang w:val="en-GB"/>
                    </w:rPr>
                    <w:t xml:space="preserve">Activity 3. </w:t>
                  </w:r>
                </w:p>
              </w:tc>
              <w:tc>
                <w:tcPr>
                  <w:tcW w:w="3416" w:type="dxa"/>
                  <w:tcBorders>
                    <w:top w:val="nil"/>
                    <w:left w:val="nil"/>
                    <w:bottom w:val="single" w:sz="8" w:space="0" w:color="auto"/>
                    <w:right w:val="single" w:sz="8" w:space="0" w:color="auto"/>
                  </w:tcBorders>
                  <w:shd w:val="clear" w:color="auto" w:fill="FFFFFF" w:themeFill="background1"/>
                  <w:vAlign w:val="center"/>
                </w:tcPr>
                <w:p w14:paraId="2B16F4EB" w14:textId="77777777" w:rsidR="001A6953" w:rsidRPr="00D30847" w:rsidRDefault="001A6953" w:rsidP="001A6953">
                  <w:pPr>
                    <w:spacing w:after="0" w:line="240" w:lineRule="auto"/>
                    <w:rPr>
                      <w:rFonts w:eastAsia="Times New Roman" w:cs="Calibri"/>
                      <w:sz w:val="16"/>
                      <w:szCs w:val="16"/>
                      <w:lang w:val="en-GB"/>
                    </w:rPr>
                  </w:pPr>
                  <w:r w:rsidRPr="00D30847">
                    <w:rPr>
                      <w:rFonts w:eastAsia="Times New Roman" w:cs="Calibri"/>
                      <w:sz w:val="16"/>
                      <w:szCs w:val="16"/>
                      <w:lang w:val="en-GB"/>
                    </w:rPr>
                    <w:t>Medium-term budget planning</w:t>
                  </w:r>
                </w:p>
              </w:tc>
              <w:tc>
                <w:tcPr>
                  <w:tcW w:w="547" w:type="dxa"/>
                  <w:tcBorders>
                    <w:top w:val="single" w:sz="4" w:space="0" w:color="auto"/>
                    <w:left w:val="nil"/>
                    <w:bottom w:val="single" w:sz="4" w:space="0" w:color="auto"/>
                    <w:right w:val="single" w:sz="4" w:space="0" w:color="auto"/>
                  </w:tcBorders>
                  <w:shd w:val="clear" w:color="auto" w:fill="FFFFFF" w:themeFill="background1"/>
                  <w:vAlign w:val="center"/>
                </w:tcPr>
                <w:p w14:paraId="2ABE990A" w14:textId="77777777" w:rsidR="001A6953" w:rsidRPr="00D30847" w:rsidRDefault="001A6953" w:rsidP="001A6953">
                  <w:pPr>
                    <w:spacing w:after="0" w:line="240" w:lineRule="auto"/>
                    <w:rPr>
                      <w:rFonts w:eastAsia="Times New Roman" w:cs="Calibri"/>
                      <w:color w:val="FFFFFF"/>
                      <w:sz w:val="16"/>
                      <w:szCs w:val="16"/>
                      <w:lang w:val="en-GB"/>
                    </w:rPr>
                  </w:pPr>
                </w:p>
              </w:tc>
              <w:tc>
                <w:tcPr>
                  <w:tcW w:w="396" w:type="dxa"/>
                  <w:tcBorders>
                    <w:top w:val="single" w:sz="4" w:space="0" w:color="auto"/>
                    <w:left w:val="nil"/>
                    <w:bottom w:val="single" w:sz="4" w:space="0" w:color="auto"/>
                    <w:right w:val="single" w:sz="4" w:space="0" w:color="auto"/>
                  </w:tcBorders>
                  <w:shd w:val="clear" w:color="auto" w:fill="FFFFFF" w:themeFill="background1"/>
                  <w:vAlign w:val="center"/>
                </w:tcPr>
                <w:p w14:paraId="6D01DAEA" w14:textId="77777777" w:rsidR="001A6953" w:rsidRPr="00D30847" w:rsidRDefault="001A6953" w:rsidP="001A6953">
                  <w:pPr>
                    <w:spacing w:after="0" w:line="240" w:lineRule="auto"/>
                    <w:rPr>
                      <w:rFonts w:eastAsia="Times New Roman" w:cs="Calibri"/>
                      <w:color w:val="FFFFFF"/>
                      <w:sz w:val="16"/>
                      <w:szCs w:val="16"/>
                      <w:lang w:val="en-GB"/>
                    </w:rPr>
                  </w:pPr>
                </w:p>
              </w:tc>
              <w:tc>
                <w:tcPr>
                  <w:tcW w:w="610" w:type="dxa"/>
                  <w:tcBorders>
                    <w:top w:val="single" w:sz="4" w:space="0" w:color="auto"/>
                    <w:left w:val="nil"/>
                    <w:bottom w:val="single" w:sz="4" w:space="0" w:color="auto"/>
                    <w:right w:val="single" w:sz="4" w:space="0" w:color="auto"/>
                  </w:tcBorders>
                  <w:shd w:val="clear" w:color="auto" w:fill="FFFFFF" w:themeFill="background1"/>
                  <w:vAlign w:val="center"/>
                </w:tcPr>
                <w:p w14:paraId="7B382B61" w14:textId="77777777" w:rsidR="001A6953" w:rsidRPr="00D30847" w:rsidRDefault="001A6953" w:rsidP="001A6953">
                  <w:pPr>
                    <w:spacing w:after="0" w:line="240" w:lineRule="auto"/>
                    <w:rPr>
                      <w:rFonts w:eastAsia="Times New Roman" w:cs="Calibri"/>
                      <w:color w:val="FFFFFF"/>
                      <w:sz w:val="16"/>
                      <w:szCs w:val="16"/>
                      <w:lang w:val="en-GB"/>
                    </w:rPr>
                  </w:pPr>
                </w:p>
              </w:tc>
              <w:tc>
                <w:tcPr>
                  <w:tcW w:w="503" w:type="dxa"/>
                  <w:tcBorders>
                    <w:top w:val="single" w:sz="4" w:space="0" w:color="auto"/>
                    <w:left w:val="nil"/>
                    <w:bottom w:val="single" w:sz="4" w:space="0" w:color="auto"/>
                    <w:right w:val="single" w:sz="4" w:space="0" w:color="auto"/>
                  </w:tcBorders>
                  <w:shd w:val="clear" w:color="auto" w:fill="FFFFFF" w:themeFill="background1"/>
                  <w:vAlign w:val="center"/>
                </w:tcPr>
                <w:p w14:paraId="34E5297E" w14:textId="77777777" w:rsidR="001A6953" w:rsidRPr="00D30847" w:rsidRDefault="001A6953" w:rsidP="001A6953">
                  <w:pPr>
                    <w:spacing w:after="0" w:line="240" w:lineRule="auto"/>
                    <w:rPr>
                      <w:rFonts w:eastAsia="Times New Roman" w:cs="Calibri"/>
                      <w:color w:val="FFFFFF"/>
                      <w:sz w:val="16"/>
                      <w:szCs w:val="16"/>
                      <w:lang w:val="en-GB"/>
                    </w:rPr>
                  </w:pPr>
                </w:p>
              </w:tc>
              <w:tc>
                <w:tcPr>
                  <w:tcW w:w="396" w:type="dxa"/>
                  <w:tcBorders>
                    <w:top w:val="single" w:sz="4" w:space="0" w:color="auto"/>
                    <w:left w:val="nil"/>
                    <w:bottom w:val="single" w:sz="4" w:space="0" w:color="auto"/>
                    <w:right w:val="single" w:sz="4" w:space="0" w:color="auto"/>
                  </w:tcBorders>
                  <w:shd w:val="clear" w:color="auto" w:fill="0000FF"/>
                  <w:vAlign w:val="center"/>
                </w:tcPr>
                <w:p w14:paraId="567586FC"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642" w:type="dxa"/>
                  <w:tcBorders>
                    <w:top w:val="single" w:sz="4" w:space="0" w:color="auto"/>
                    <w:left w:val="nil"/>
                    <w:bottom w:val="single" w:sz="4" w:space="0" w:color="auto"/>
                    <w:right w:val="single" w:sz="4" w:space="0" w:color="auto"/>
                  </w:tcBorders>
                  <w:shd w:val="clear" w:color="auto" w:fill="0000FF"/>
                  <w:vAlign w:val="center"/>
                </w:tcPr>
                <w:p w14:paraId="75C864EF"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72" w:type="dxa"/>
                  <w:tcBorders>
                    <w:top w:val="single" w:sz="4" w:space="0" w:color="auto"/>
                    <w:left w:val="nil"/>
                    <w:bottom w:val="single" w:sz="4" w:space="0" w:color="auto"/>
                    <w:right w:val="single" w:sz="4" w:space="0" w:color="auto"/>
                  </w:tcBorders>
                  <w:shd w:val="clear" w:color="auto" w:fill="0000FF"/>
                  <w:vAlign w:val="center"/>
                </w:tcPr>
                <w:p w14:paraId="23D51A8A"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566" w:type="dxa"/>
                  <w:tcBorders>
                    <w:top w:val="single" w:sz="4" w:space="0" w:color="auto"/>
                    <w:left w:val="nil"/>
                    <w:bottom w:val="single" w:sz="4" w:space="0" w:color="auto"/>
                    <w:right w:val="single" w:sz="4" w:space="0" w:color="auto"/>
                  </w:tcBorders>
                  <w:shd w:val="clear" w:color="auto" w:fill="0000FF"/>
                  <w:vAlign w:val="center"/>
                </w:tcPr>
                <w:p w14:paraId="4167E165"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72" w:type="dxa"/>
                  <w:tcBorders>
                    <w:top w:val="single" w:sz="4" w:space="0" w:color="auto"/>
                    <w:left w:val="nil"/>
                    <w:bottom w:val="single" w:sz="4" w:space="0" w:color="auto"/>
                    <w:right w:val="single" w:sz="4" w:space="0" w:color="auto"/>
                  </w:tcBorders>
                  <w:shd w:val="clear" w:color="000000" w:fill="0000FF"/>
                  <w:vAlign w:val="center"/>
                </w:tcPr>
                <w:p w14:paraId="493EC18C" w14:textId="77777777" w:rsidR="001A6953" w:rsidRPr="00D30847" w:rsidRDefault="001A6953" w:rsidP="001A6953">
                  <w:pPr>
                    <w:spacing w:after="0" w:line="240" w:lineRule="auto"/>
                    <w:rPr>
                      <w:rFonts w:eastAsia="Times New Roman" w:cs="Calibri"/>
                      <w:color w:val="FFFFFF"/>
                      <w:sz w:val="16"/>
                      <w:szCs w:val="16"/>
                      <w:lang w:val="en-GB"/>
                    </w:rPr>
                  </w:pPr>
                </w:p>
              </w:tc>
              <w:tc>
                <w:tcPr>
                  <w:tcW w:w="472" w:type="dxa"/>
                  <w:tcBorders>
                    <w:top w:val="single" w:sz="4" w:space="0" w:color="auto"/>
                    <w:left w:val="nil"/>
                    <w:bottom w:val="single" w:sz="4" w:space="0" w:color="auto"/>
                    <w:right w:val="single" w:sz="4" w:space="0" w:color="auto"/>
                  </w:tcBorders>
                  <w:shd w:val="clear" w:color="000000" w:fill="0000FF"/>
                  <w:vAlign w:val="center"/>
                </w:tcPr>
                <w:p w14:paraId="0793FA3E" w14:textId="77777777" w:rsidR="001A6953" w:rsidRPr="00D30847" w:rsidRDefault="001A6953" w:rsidP="001A6953">
                  <w:pPr>
                    <w:spacing w:after="0" w:line="240" w:lineRule="auto"/>
                    <w:rPr>
                      <w:rFonts w:eastAsia="Times New Roman" w:cs="Calibri"/>
                      <w:color w:val="FFFFFF"/>
                      <w:sz w:val="16"/>
                      <w:szCs w:val="16"/>
                      <w:lang w:val="en-GB"/>
                    </w:rPr>
                  </w:pPr>
                </w:p>
              </w:tc>
              <w:tc>
                <w:tcPr>
                  <w:tcW w:w="396" w:type="dxa"/>
                  <w:tcBorders>
                    <w:top w:val="single" w:sz="4" w:space="0" w:color="auto"/>
                    <w:left w:val="nil"/>
                    <w:bottom w:val="single" w:sz="4" w:space="0" w:color="auto"/>
                    <w:right w:val="single" w:sz="4" w:space="0" w:color="auto"/>
                  </w:tcBorders>
                  <w:shd w:val="clear" w:color="000000" w:fill="0000FF"/>
                  <w:vAlign w:val="center"/>
                </w:tcPr>
                <w:p w14:paraId="52F3E2F5" w14:textId="77777777" w:rsidR="001A6953" w:rsidRPr="00D30847" w:rsidRDefault="001A6953" w:rsidP="001A6953">
                  <w:pPr>
                    <w:spacing w:after="0" w:line="240" w:lineRule="auto"/>
                    <w:rPr>
                      <w:rFonts w:eastAsia="Times New Roman" w:cs="Calibri"/>
                      <w:color w:val="FFFFFF"/>
                      <w:sz w:val="16"/>
                      <w:szCs w:val="16"/>
                      <w:lang w:val="en-GB"/>
                    </w:rPr>
                  </w:pPr>
                </w:p>
              </w:tc>
              <w:tc>
                <w:tcPr>
                  <w:tcW w:w="547" w:type="dxa"/>
                  <w:tcBorders>
                    <w:top w:val="single" w:sz="4" w:space="0" w:color="auto"/>
                    <w:left w:val="nil"/>
                    <w:bottom w:val="single" w:sz="4" w:space="0" w:color="auto"/>
                    <w:right w:val="single" w:sz="4" w:space="0" w:color="auto"/>
                  </w:tcBorders>
                  <w:shd w:val="clear" w:color="000000" w:fill="0000FF"/>
                  <w:vAlign w:val="center"/>
                </w:tcPr>
                <w:p w14:paraId="7156A0F3" w14:textId="77777777" w:rsidR="001A6953" w:rsidRPr="00D30847" w:rsidRDefault="001A6953" w:rsidP="001A6953">
                  <w:pPr>
                    <w:spacing w:after="0" w:line="240" w:lineRule="auto"/>
                    <w:rPr>
                      <w:rFonts w:eastAsia="Times New Roman" w:cs="Calibri"/>
                      <w:color w:val="FFFFFF"/>
                      <w:sz w:val="16"/>
                      <w:szCs w:val="16"/>
                      <w:lang w:val="en-GB"/>
                    </w:rPr>
                  </w:pPr>
                </w:p>
              </w:tc>
              <w:tc>
                <w:tcPr>
                  <w:tcW w:w="472" w:type="dxa"/>
                  <w:tcBorders>
                    <w:top w:val="single" w:sz="4" w:space="0" w:color="auto"/>
                    <w:left w:val="nil"/>
                    <w:bottom w:val="single" w:sz="4" w:space="0" w:color="auto"/>
                    <w:right w:val="single" w:sz="4" w:space="0" w:color="auto"/>
                  </w:tcBorders>
                  <w:shd w:val="clear" w:color="auto" w:fill="0000FF"/>
                  <w:vAlign w:val="center"/>
                </w:tcPr>
                <w:p w14:paraId="23698337"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72" w:type="dxa"/>
                  <w:tcBorders>
                    <w:top w:val="single" w:sz="4" w:space="0" w:color="auto"/>
                    <w:left w:val="nil"/>
                    <w:bottom w:val="single" w:sz="4" w:space="0" w:color="auto"/>
                    <w:right w:val="single" w:sz="4" w:space="0" w:color="auto"/>
                  </w:tcBorders>
                  <w:shd w:val="clear" w:color="auto" w:fill="0000FF"/>
                  <w:vAlign w:val="center"/>
                </w:tcPr>
                <w:p w14:paraId="21DB8F0D"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236" w:type="dxa"/>
                  <w:tcBorders>
                    <w:top w:val="single" w:sz="4" w:space="0" w:color="auto"/>
                    <w:left w:val="nil"/>
                    <w:bottom w:val="single" w:sz="4" w:space="0" w:color="auto"/>
                    <w:right w:val="single" w:sz="4" w:space="0" w:color="auto"/>
                  </w:tcBorders>
                  <w:shd w:val="clear" w:color="auto" w:fill="0000F6"/>
                  <w:vAlign w:val="center"/>
                </w:tcPr>
                <w:p w14:paraId="7F0BB6CB"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915" w:type="dxa"/>
                  <w:tcBorders>
                    <w:top w:val="single" w:sz="4" w:space="0" w:color="auto"/>
                    <w:left w:val="nil"/>
                    <w:bottom w:val="single" w:sz="4" w:space="0" w:color="auto"/>
                    <w:right w:val="single" w:sz="4" w:space="0" w:color="auto"/>
                  </w:tcBorders>
                  <w:shd w:val="clear" w:color="auto" w:fill="0000F6"/>
                  <w:vAlign w:val="center"/>
                </w:tcPr>
                <w:p w14:paraId="7F70781D" w14:textId="77777777" w:rsidR="001A6953" w:rsidRPr="00D30847" w:rsidRDefault="001A6953" w:rsidP="001A6953">
                  <w:pPr>
                    <w:spacing w:after="0" w:line="240" w:lineRule="auto"/>
                    <w:jc w:val="center"/>
                    <w:rPr>
                      <w:rFonts w:eastAsia="Times New Roman" w:cs="Calibri"/>
                      <w:color w:val="FFFFFF"/>
                      <w:sz w:val="16"/>
                      <w:szCs w:val="16"/>
                      <w:lang w:val="en-GB"/>
                    </w:rPr>
                  </w:pPr>
                </w:p>
              </w:tc>
            </w:tr>
          </w:tbl>
          <w:p w14:paraId="4C1C7FD2" w14:textId="77777777" w:rsidR="001A6953" w:rsidRPr="00D30847" w:rsidRDefault="001A6953" w:rsidP="001A6953">
            <w:pPr>
              <w:spacing w:after="0" w:line="240" w:lineRule="auto"/>
              <w:rPr>
                <w:rFonts w:eastAsia="Times New Roman" w:cs="Calibri"/>
                <w:b/>
                <w:bCs/>
                <w:sz w:val="16"/>
                <w:szCs w:val="16"/>
                <w:lang w:val="en-GB"/>
              </w:rPr>
            </w:pPr>
          </w:p>
        </w:tc>
      </w:tr>
      <w:tr w:rsidR="001A6953" w:rsidRPr="00D30847" w14:paraId="69CA4C92" w14:textId="77777777" w:rsidTr="00453DBE">
        <w:trPr>
          <w:trHeight w:val="300"/>
        </w:trPr>
        <w:tc>
          <w:tcPr>
            <w:tcW w:w="15210" w:type="dxa"/>
            <w:gridSpan w:val="55"/>
            <w:tcBorders>
              <w:top w:val="nil"/>
              <w:left w:val="nil"/>
              <w:bottom w:val="nil"/>
              <w:right w:val="nil"/>
            </w:tcBorders>
            <w:shd w:val="clear" w:color="auto" w:fill="FFFFFF" w:themeFill="background1"/>
          </w:tcPr>
          <w:tbl>
            <w:tblPr>
              <w:tblW w:w="15210" w:type="dxa"/>
              <w:tblLayout w:type="fixed"/>
              <w:tblLook w:val="04A0" w:firstRow="1" w:lastRow="0" w:firstColumn="1" w:lastColumn="0" w:noHBand="0" w:noVBand="1"/>
            </w:tblPr>
            <w:tblGrid>
              <w:gridCol w:w="1007"/>
              <w:gridCol w:w="1371"/>
              <w:gridCol w:w="1302"/>
              <w:gridCol w:w="3416"/>
              <w:gridCol w:w="547"/>
              <w:gridCol w:w="396"/>
              <w:gridCol w:w="610"/>
              <w:gridCol w:w="503"/>
              <w:gridCol w:w="396"/>
              <w:gridCol w:w="642"/>
              <w:gridCol w:w="472"/>
              <w:gridCol w:w="566"/>
              <w:gridCol w:w="472"/>
              <w:gridCol w:w="472"/>
              <w:gridCol w:w="396"/>
              <w:gridCol w:w="547"/>
              <w:gridCol w:w="472"/>
              <w:gridCol w:w="472"/>
              <w:gridCol w:w="472"/>
              <w:gridCol w:w="679"/>
            </w:tblGrid>
            <w:tr w:rsidR="001A6953" w:rsidRPr="00D30847" w14:paraId="7E3CA542" w14:textId="77777777" w:rsidTr="00C60164">
              <w:trPr>
                <w:trHeight w:val="427"/>
              </w:trPr>
              <w:tc>
                <w:tcPr>
                  <w:tcW w:w="960" w:type="dxa"/>
                  <w:tcBorders>
                    <w:top w:val="nil"/>
                    <w:left w:val="nil"/>
                    <w:bottom w:val="nil"/>
                    <w:right w:val="nil"/>
                  </w:tcBorders>
                  <w:shd w:val="clear" w:color="auto" w:fill="FFFFFF" w:themeFill="background1"/>
                  <w:vAlign w:val="bottom"/>
                </w:tcPr>
                <w:p w14:paraId="06AD4900" w14:textId="77777777" w:rsidR="001A6953" w:rsidRPr="00D30847" w:rsidRDefault="001A6953" w:rsidP="001A6953">
                  <w:pPr>
                    <w:spacing w:after="0" w:line="240" w:lineRule="auto"/>
                    <w:rPr>
                      <w:rFonts w:ascii="Times New Roman" w:eastAsia="Times New Roman" w:hAnsi="Times New Roman"/>
                      <w:sz w:val="16"/>
                      <w:szCs w:val="16"/>
                      <w:lang w:val="en-GB"/>
                    </w:rPr>
                  </w:pPr>
                </w:p>
              </w:tc>
              <w:tc>
                <w:tcPr>
                  <w:tcW w:w="1308" w:type="dxa"/>
                  <w:tcBorders>
                    <w:top w:val="nil"/>
                    <w:left w:val="nil"/>
                    <w:bottom w:val="nil"/>
                    <w:right w:val="nil"/>
                  </w:tcBorders>
                  <w:shd w:val="clear" w:color="auto" w:fill="FFFFFF" w:themeFill="background1"/>
                  <w:vAlign w:val="bottom"/>
                </w:tcPr>
                <w:p w14:paraId="40D64690" w14:textId="77777777" w:rsidR="001A6953" w:rsidRPr="00D30847" w:rsidRDefault="001A6953" w:rsidP="001A6953">
                  <w:pPr>
                    <w:spacing w:after="0" w:line="240" w:lineRule="auto"/>
                    <w:rPr>
                      <w:rFonts w:ascii="Times New Roman" w:eastAsia="Times New Roman" w:hAnsi="Times New Roman"/>
                      <w:sz w:val="16"/>
                      <w:szCs w:val="16"/>
                      <w:lang w:val="en-GB"/>
                    </w:rPr>
                  </w:pPr>
                </w:p>
              </w:tc>
              <w:tc>
                <w:tcPr>
                  <w:tcW w:w="1242" w:type="dxa"/>
                  <w:tcBorders>
                    <w:top w:val="nil"/>
                    <w:left w:val="single" w:sz="8" w:space="0" w:color="auto"/>
                    <w:bottom w:val="single" w:sz="8" w:space="0" w:color="auto"/>
                    <w:right w:val="nil"/>
                  </w:tcBorders>
                  <w:shd w:val="clear" w:color="auto" w:fill="FFFFFF" w:themeFill="background1"/>
                  <w:vAlign w:val="center"/>
                </w:tcPr>
                <w:p w14:paraId="775DD9AD" w14:textId="77777777" w:rsidR="001A6953" w:rsidRPr="00D30847" w:rsidRDefault="001A6953" w:rsidP="001A6953">
                  <w:pPr>
                    <w:spacing w:after="0" w:line="240" w:lineRule="auto"/>
                    <w:rPr>
                      <w:rFonts w:eastAsia="Times New Roman" w:cs="Calibri"/>
                      <w:sz w:val="16"/>
                      <w:szCs w:val="16"/>
                      <w:lang w:val="en-GB"/>
                    </w:rPr>
                  </w:pPr>
                  <w:r w:rsidRPr="00D30847">
                    <w:rPr>
                      <w:rFonts w:eastAsia="Times New Roman" w:cs="Calibri"/>
                      <w:sz w:val="16"/>
                      <w:szCs w:val="16"/>
                      <w:lang w:val="en-GB"/>
                    </w:rPr>
                    <w:t>Activity 4.</w:t>
                  </w:r>
                </w:p>
              </w:tc>
              <w:tc>
                <w:tcPr>
                  <w:tcW w:w="3258" w:type="dxa"/>
                  <w:tcBorders>
                    <w:top w:val="nil"/>
                    <w:left w:val="nil"/>
                    <w:bottom w:val="single" w:sz="8" w:space="0" w:color="auto"/>
                    <w:right w:val="single" w:sz="8" w:space="0" w:color="auto"/>
                  </w:tcBorders>
                  <w:shd w:val="clear" w:color="auto" w:fill="FFFFFF" w:themeFill="background1"/>
                  <w:vAlign w:val="center"/>
                </w:tcPr>
                <w:p w14:paraId="6674BA1B" w14:textId="77777777" w:rsidR="001A6953" w:rsidRPr="00D30847" w:rsidRDefault="001A6953" w:rsidP="001A6953">
                  <w:pPr>
                    <w:spacing w:after="0" w:line="240" w:lineRule="auto"/>
                    <w:rPr>
                      <w:rFonts w:eastAsia="Times New Roman" w:cs="Calibri"/>
                      <w:sz w:val="16"/>
                      <w:szCs w:val="16"/>
                      <w:lang w:val="en-GB"/>
                    </w:rPr>
                  </w:pPr>
                  <w:r w:rsidRPr="00D30847">
                    <w:rPr>
                      <w:rFonts w:eastAsia="Times New Roman" w:cs="Calibri"/>
                      <w:sz w:val="16"/>
                      <w:szCs w:val="16"/>
                      <w:lang w:val="en-GB"/>
                    </w:rPr>
                    <w:t>Trainings to strengthen the capacities of municipal employees for realistic planning of municipal revenues and expenditures</w:t>
                  </w:r>
                </w:p>
              </w:tc>
              <w:tc>
                <w:tcPr>
                  <w:tcW w:w="522" w:type="dxa"/>
                  <w:tcBorders>
                    <w:top w:val="single" w:sz="4" w:space="0" w:color="auto"/>
                    <w:left w:val="nil"/>
                    <w:bottom w:val="single" w:sz="4" w:space="0" w:color="auto"/>
                    <w:right w:val="single" w:sz="4" w:space="0" w:color="auto"/>
                  </w:tcBorders>
                  <w:shd w:val="clear" w:color="000000" w:fill="0000FF"/>
                  <w:vAlign w:val="center"/>
                </w:tcPr>
                <w:p w14:paraId="27148C2E" w14:textId="77777777" w:rsidR="001A6953" w:rsidRPr="00D30847" w:rsidRDefault="001A6953" w:rsidP="001A6953">
                  <w:pPr>
                    <w:spacing w:after="0" w:line="240" w:lineRule="auto"/>
                    <w:rPr>
                      <w:rFonts w:eastAsia="Times New Roman" w:cs="Calibri"/>
                      <w:color w:val="FFFFFF"/>
                      <w:sz w:val="16"/>
                      <w:szCs w:val="16"/>
                      <w:lang w:val="en-GB"/>
                    </w:rPr>
                  </w:pPr>
                </w:p>
              </w:tc>
              <w:tc>
                <w:tcPr>
                  <w:tcW w:w="378" w:type="dxa"/>
                  <w:tcBorders>
                    <w:top w:val="single" w:sz="4" w:space="0" w:color="auto"/>
                    <w:left w:val="nil"/>
                    <w:bottom w:val="single" w:sz="4" w:space="0" w:color="auto"/>
                    <w:right w:val="single" w:sz="4" w:space="0" w:color="auto"/>
                  </w:tcBorders>
                  <w:shd w:val="clear" w:color="000000" w:fill="0000FF"/>
                  <w:vAlign w:val="center"/>
                </w:tcPr>
                <w:p w14:paraId="5A52898A" w14:textId="77777777" w:rsidR="001A6953" w:rsidRPr="00D30847" w:rsidRDefault="001A6953" w:rsidP="001A6953">
                  <w:pPr>
                    <w:spacing w:after="0" w:line="240" w:lineRule="auto"/>
                    <w:rPr>
                      <w:rFonts w:eastAsia="Times New Roman" w:cs="Calibri"/>
                      <w:color w:val="FFFFFF"/>
                      <w:sz w:val="16"/>
                      <w:szCs w:val="16"/>
                      <w:lang w:val="en-GB"/>
                    </w:rPr>
                  </w:pPr>
                </w:p>
              </w:tc>
              <w:tc>
                <w:tcPr>
                  <w:tcW w:w="582" w:type="dxa"/>
                  <w:tcBorders>
                    <w:top w:val="single" w:sz="4" w:space="0" w:color="auto"/>
                    <w:left w:val="nil"/>
                    <w:bottom w:val="single" w:sz="4" w:space="0" w:color="auto"/>
                    <w:right w:val="single" w:sz="4" w:space="0" w:color="auto"/>
                  </w:tcBorders>
                  <w:shd w:val="clear" w:color="000000" w:fill="0000FF"/>
                  <w:vAlign w:val="center"/>
                </w:tcPr>
                <w:p w14:paraId="2B736241" w14:textId="77777777" w:rsidR="001A6953" w:rsidRPr="00D30847" w:rsidRDefault="001A6953" w:rsidP="001A6953">
                  <w:pPr>
                    <w:spacing w:after="0" w:line="240" w:lineRule="auto"/>
                    <w:rPr>
                      <w:rFonts w:eastAsia="Times New Roman" w:cs="Calibri"/>
                      <w:color w:val="FFFFFF"/>
                      <w:sz w:val="16"/>
                      <w:szCs w:val="16"/>
                      <w:lang w:val="en-GB"/>
                    </w:rPr>
                  </w:pPr>
                </w:p>
              </w:tc>
              <w:tc>
                <w:tcPr>
                  <w:tcW w:w="480" w:type="dxa"/>
                  <w:tcBorders>
                    <w:top w:val="single" w:sz="4" w:space="0" w:color="auto"/>
                    <w:left w:val="nil"/>
                    <w:bottom w:val="single" w:sz="4" w:space="0" w:color="auto"/>
                    <w:right w:val="single" w:sz="4" w:space="0" w:color="auto"/>
                  </w:tcBorders>
                  <w:shd w:val="clear" w:color="000000" w:fill="0000FF"/>
                  <w:vAlign w:val="center"/>
                </w:tcPr>
                <w:p w14:paraId="048D1967" w14:textId="77777777" w:rsidR="001A6953" w:rsidRPr="00D30847" w:rsidRDefault="001A6953" w:rsidP="001A6953">
                  <w:pPr>
                    <w:spacing w:after="0" w:line="240" w:lineRule="auto"/>
                    <w:rPr>
                      <w:rFonts w:eastAsia="Times New Roman" w:cs="Calibri"/>
                      <w:color w:val="FFFFFF"/>
                      <w:sz w:val="16"/>
                      <w:szCs w:val="16"/>
                      <w:lang w:val="en-GB"/>
                    </w:rPr>
                  </w:pPr>
                </w:p>
              </w:tc>
              <w:tc>
                <w:tcPr>
                  <w:tcW w:w="378" w:type="dxa"/>
                  <w:tcBorders>
                    <w:top w:val="single" w:sz="4" w:space="0" w:color="auto"/>
                    <w:left w:val="nil"/>
                    <w:bottom w:val="single" w:sz="4" w:space="0" w:color="auto"/>
                    <w:right w:val="single" w:sz="4" w:space="0" w:color="auto"/>
                  </w:tcBorders>
                  <w:shd w:val="clear" w:color="000000" w:fill="0000FF"/>
                  <w:vAlign w:val="center"/>
                </w:tcPr>
                <w:p w14:paraId="34144A54"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612" w:type="dxa"/>
                  <w:tcBorders>
                    <w:top w:val="single" w:sz="4" w:space="0" w:color="auto"/>
                    <w:left w:val="nil"/>
                    <w:bottom w:val="single" w:sz="4" w:space="0" w:color="auto"/>
                    <w:right w:val="single" w:sz="4" w:space="0" w:color="auto"/>
                  </w:tcBorders>
                  <w:shd w:val="clear" w:color="000000" w:fill="0000FF"/>
                  <w:vAlign w:val="center"/>
                </w:tcPr>
                <w:p w14:paraId="09743E0E"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single" w:sz="4" w:space="0" w:color="auto"/>
                    <w:left w:val="nil"/>
                    <w:bottom w:val="single" w:sz="4" w:space="0" w:color="auto"/>
                    <w:right w:val="single" w:sz="4" w:space="0" w:color="auto"/>
                  </w:tcBorders>
                  <w:shd w:val="clear" w:color="000000" w:fill="0000FF"/>
                  <w:vAlign w:val="center"/>
                </w:tcPr>
                <w:p w14:paraId="4B7D41C7"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540" w:type="dxa"/>
                  <w:tcBorders>
                    <w:top w:val="single" w:sz="4" w:space="0" w:color="auto"/>
                    <w:left w:val="nil"/>
                    <w:bottom w:val="single" w:sz="4" w:space="0" w:color="auto"/>
                    <w:right w:val="single" w:sz="4" w:space="0" w:color="auto"/>
                  </w:tcBorders>
                  <w:shd w:val="clear" w:color="000000" w:fill="0000FF"/>
                  <w:vAlign w:val="center"/>
                </w:tcPr>
                <w:p w14:paraId="1F514CF5"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single" w:sz="4" w:space="0" w:color="auto"/>
                    <w:left w:val="nil"/>
                    <w:bottom w:val="single" w:sz="4" w:space="0" w:color="auto"/>
                    <w:right w:val="single" w:sz="4" w:space="0" w:color="auto"/>
                  </w:tcBorders>
                  <w:shd w:val="clear" w:color="000000" w:fill="0000FF"/>
                  <w:vAlign w:val="center"/>
                </w:tcPr>
                <w:p w14:paraId="0D02086E" w14:textId="77777777" w:rsidR="001A6953" w:rsidRPr="00D30847" w:rsidRDefault="001A6953" w:rsidP="001A6953">
                  <w:pPr>
                    <w:spacing w:after="0" w:line="240" w:lineRule="auto"/>
                    <w:rPr>
                      <w:rFonts w:eastAsia="Times New Roman" w:cs="Calibri"/>
                      <w:color w:val="FFFFFF"/>
                      <w:sz w:val="16"/>
                      <w:szCs w:val="16"/>
                      <w:lang w:val="en-GB"/>
                    </w:rPr>
                  </w:pPr>
                </w:p>
              </w:tc>
              <w:tc>
                <w:tcPr>
                  <w:tcW w:w="450" w:type="dxa"/>
                  <w:tcBorders>
                    <w:top w:val="single" w:sz="4" w:space="0" w:color="auto"/>
                    <w:left w:val="nil"/>
                    <w:bottom w:val="single" w:sz="4" w:space="0" w:color="auto"/>
                    <w:right w:val="single" w:sz="4" w:space="0" w:color="auto"/>
                  </w:tcBorders>
                  <w:shd w:val="clear" w:color="000000" w:fill="0000FF"/>
                  <w:vAlign w:val="center"/>
                </w:tcPr>
                <w:p w14:paraId="220A2AFF" w14:textId="77777777" w:rsidR="001A6953" w:rsidRPr="00D30847" w:rsidRDefault="001A6953" w:rsidP="001A6953">
                  <w:pPr>
                    <w:spacing w:after="0" w:line="240" w:lineRule="auto"/>
                    <w:rPr>
                      <w:rFonts w:eastAsia="Times New Roman" w:cs="Calibri"/>
                      <w:color w:val="FFFFFF"/>
                      <w:sz w:val="16"/>
                      <w:szCs w:val="16"/>
                      <w:lang w:val="en-GB"/>
                    </w:rPr>
                  </w:pPr>
                </w:p>
              </w:tc>
              <w:tc>
                <w:tcPr>
                  <w:tcW w:w="378" w:type="dxa"/>
                  <w:tcBorders>
                    <w:top w:val="single" w:sz="4" w:space="0" w:color="auto"/>
                    <w:left w:val="nil"/>
                    <w:bottom w:val="single" w:sz="4" w:space="0" w:color="auto"/>
                    <w:right w:val="single" w:sz="4" w:space="0" w:color="auto"/>
                  </w:tcBorders>
                  <w:shd w:val="clear" w:color="000000" w:fill="0000FF"/>
                  <w:vAlign w:val="center"/>
                </w:tcPr>
                <w:p w14:paraId="7B20339A" w14:textId="77777777" w:rsidR="001A6953" w:rsidRPr="00D30847" w:rsidRDefault="001A6953" w:rsidP="001A6953">
                  <w:pPr>
                    <w:spacing w:after="0" w:line="240" w:lineRule="auto"/>
                    <w:rPr>
                      <w:rFonts w:eastAsia="Times New Roman" w:cs="Calibri"/>
                      <w:color w:val="FFFFFF"/>
                      <w:sz w:val="16"/>
                      <w:szCs w:val="16"/>
                      <w:lang w:val="en-GB"/>
                    </w:rPr>
                  </w:pPr>
                </w:p>
              </w:tc>
              <w:tc>
                <w:tcPr>
                  <w:tcW w:w="522" w:type="dxa"/>
                  <w:tcBorders>
                    <w:top w:val="single" w:sz="4" w:space="0" w:color="auto"/>
                    <w:left w:val="nil"/>
                    <w:bottom w:val="single" w:sz="4" w:space="0" w:color="auto"/>
                    <w:right w:val="single" w:sz="4" w:space="0" w:color="auto"/>
                  </w:tcBorders>
                  <w:shd w:val="clear" w:color="000000" w:fill="0000FF"/>
                  <w:vAlign w:val="center"/>
                </w:tcPr>
                <w:p w14:paraId="1D689947" w14:textId="77777777" w:rsidR="001A6953" w:rsidRPr="00D30847" w:rsidRDefault="001A6953" w:rsidP="001A6953">
                  <w:pPr>
                    <w:spacing w:after="0" w:line="240" w:lineRule="auto"/>
                    <w:rPr>
                      <w:rFonts w:eastAsia="Times New Roman" w:cs="Calibri"/>
                      <w:color w:val="FFFFFF"/>
                      <w:sz w:val="16"/>
                      <w:szCs w:val="16"/>
                      <w:lang w:val="en-GB"/>
                    </w:rPr>
                  </w:pPr>
                </w:p>
              </w:tc>
              <w:tc>
                <w:tcPr>
                  <w:tcW w:w="450" w:type="dxa"/>
                  <w:tcBorders>
                    <w:top w:val="single" w:sz="4" w:space="0" w:color="auto"/>
                    <w:left w:val="nil"/>
                    <w:bottom w:val="single" w:sz="4" w:space="0" w:color="auto"/>
                    <w:right w:val="single" w:sz="4" w:space="0" w:color="auto"/>
                  </w:tcBorders>
                  <w:shd w:val="clear" w:color="000000" w:fill="0000FF"/>
                  <w:vAlign w:val="center"/>
                </w:tcPr>
                <w:p w14:paraId="50CCF5DC"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single" w:sz="4" w:space="0" w:color="auto"/>
                    <w:left w:val="nil"/>
                    <w:bottom w:val="single" w:sz="4" w:space="0" w:color="auto"/>
                    <w:right w:val="single" w:sz="4" w:space="0" w:color="auto"/>
                  </w:tcBorders>
                  <w:shd w:val="clear" w:color="000000" w:fill="0000FF"/>
                  <w:vAlign w:val="center"/>
                </w:tcPr>
                <w:p w14:paraId="6200D42F"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single" w:sz="4" w:space="0" w:color="auto"/>
                    <w:left w:val="nil"/>
                    <w:bottom w:val="single" w:sz="4" w:space="0" w:color="auto"/>
                    <w:right w:val="single" w:sz="4" w:space="0" w:color="auto"/>
                  </w:tcBorders>
                  <w:shd w:val="clear" w:color="000000" w:fill="0000FF"/>
                  <w:vAlign w:val="center"/>
                </w:tcPr>
                <w:p w14:paraId="54D8F20E"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648" w:type="dxa"/>
                  <w:tcBorders>
                    <w:top w:val="single" w:sz="4" w:space="0" w:color="auto"/>
                    <w:left w:val="nil"/>
                    <w:bottom w:val="single" w:sz="4" w:space="0" w:color="auto"/>
                    <w:right w:val="single" w:sz="4" w:space="0" w:color="auto"/>
                  </w:tcBorders>
                  <w:shd w:val="clear" w:color="000000" w:fill="0000FF"/>
                  <w:vAlign w:val="center"/>
                </w:tcPr>
                <w:p w14:paraId="21CADAE7" w14:textId="77777777" w:rsidR="001A6953" w:rsidRPr="00D30847" w:rsidRDefault="001A6953" w:rsidP="001A6953">
                  <w:pPr>
                    <w:spacing w:after="0" w:line="240" w:lineRule="auto"/>
                    <w:jc w:val="center"/>
                    <w:rPr>
                      <w:rFonts w:eastAsia="Times New Roman" w:cs="Calibri"/>
                      <w:color w:val="FFFFFF"/>
                      <w:sz w:val="16"/>
                      <w:szCs w:val="16"/>
                      <w:lang w:val="en-GB"/>
                    </w:rPr>
                  </w:pPr>
                </w:p>
              </w:tc>
            </w:tr>
          </w:tbl>
          <w:p w14:paraId="5CCE1A0D" w14:textId="77777777" w:rsidR="001A6953" w:rsidRPr="00D30847" w:rsidRDefault="001A6953" w:rsidP="001A6953">
            <w:pPr>
              <w:spacing w:after="0" w:line="240" w:lineRule="auto"/>
              <w:rPr>
                <w:rFonts w:eastAsia="Times New Roman" w:cs="Calibri"/>
                <w:b/>
                <w:bCs/>
                <w:sz w:val="16"/>
                <w:szCs w:val="16"/>
                <w:lang w:val="en-GB"/>
              </w:rPr>
            </w:pPr>
          </w:p>
        </w:tc>
      </w:tr>
      <w:tr w:rsidR="001A6953" w:rsidRPr="00D30847" w14:paraId="216F8A55" w14:textId="77777777" w:rsidTr="00453DBE">
        <w:trPr>
          <w:trHeight w:val="300"/>
        </w:trPr>
        <w:tc>
          <w:tcPr>
            <w:tcW w:w="15210" w:type="dxa"/>
            <w:gridSpan w:val="55"/>
            <w:tcBorders>
              <w:top w:val="nil"/>
              <w:left w:val="nil"/>
              <w:bottom w:val="nil"/>
              <w:right w:val="nil"/>
            </w:tcBorders>
            <w:shd w:val="clear" w:color="auto" w:fill="FFFFFF" w:themeFill="background1"/>
          </w:tcPr>
          <w:tbl>
            <w:tblPr>
              <w:tblW w:w="15210" w:type="dxa"/>
              <w:tblLayout w:type="fixed"/>
              <w:tblLook w:val="04A0" w:firstRow="1" w:lastRow="0" w:firstColumn="1" w:lastColumn="0" w:noHBand="0" w:noVBand="1"/>
            </w:tblPr>
            <w:tblGrid>
              <w:gridCol w:w="1007"/>
              <w:gridCol w:w="2673"/>
              <w:gridCol w:w="3416"/>
              <w:gridCol w:w="547"/>
              <w:gridCol w:w="396"/>
              <w:gridCol w:w="610"/>
              <w:gridCol w:w="503"/>
              <w:gridCol w:w="396"/>
              <w:gridCol w:w="642"/>
              <w:gridCol w:w="472"/>
              <w:gridCol w:w="566"/>
              <w:gridCol w:w="472"/>
              <w:gridCol w:w="472"/>
              <w:gridCol w:w="396"/>
              <w:gridCol w:w="547"/>
              <w:gridCol w:w="472"/>
              <w:gridCol w:w="472"/>
              <w:gridCol w:w="472"/>
              <w:gridCol w:w="679"/>
            </w:tblGrid>
            <w:tr w:rsidR="001A6953" w:rsidRPr="00D30847" w14:paraId="4D0D6370" w14:textId="77777777" w:rsidTr="00800970">
              <w:trPr>
                <w:trHeight w:val="286"/>
              </w:trPr>
              <w:tc>
                <w:tcPr>
                  <w:tcW w:w="960" w:type="dxa"/>
                  <w:tcBorders>
                    <w:top w:val="nil"/>
                    <w:left w:val="nil"/>
                    <w:bottom w:val="nil"/>
                    <w:right w:val="nil"/>
                  </w:tcBorders>
                  <w:shd w:val="clear" w:color="000000" w:fill="6FE7FF"/>
                  <w:vAlign w:val="center"/>
                  <w:hideMark/>
                </w:tcPr>
                <w:p w14:paraId="113E8C8C"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2550" w:type="dxa"/>
                  <w:tcBorders>
                    <w:top w:val="nil"/>
                    <w:left w:val="nil"/>
                    <w:bottom w:val="nil"/>
                    <w:right w:val="nil"/>
                  </w:tcBorders>
                  <w:shd w:val="clear" w:color="000000" w:fill="6FE7FF"/>
                  <w:vAlign w:val="center"/>
                  <w:hideMark/>
                </w:tcPr>
                <w:p w14:paraId="27A29B0C"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2.</w:t>
                  </w:r>
                </w:p>
              </w:tc>
              <w:tc>
                <w:tcPr>
                  <w:tcW w:w="3258" w:type="dxa"/>
                  <w:tcBorders>
                    <w:top w:val="nil"/>
                    <w:left w:val="nil"/>
                    <w:bottom w:val="nil"/>
                    <w:right w:val="nil"/>
                  </w:tcBorders>
                  <w:shd w:val="clear" w:color="000000" w:fill="6FE7FF"/>
                  <w:vAlign w:val="center"/>
                  <w:hideMark/>
                </w:tcPr>
                <w:p w14:paraId="2422DA14" w14:textId="662C2BC3"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Financial discipline,</w:t>
                  </w:r>
                  <w:r w:rsidR="00DC10FF" w:rsidRPr="00D30847">
                    <w:rPr>
                      <w:rFonts w:eastAsia="Times New Roman" w:cs="Calibri"/>
                      <w:b/>
                      <w:bCs/>
                      <w:sz w:val="16"/>
                      <w:szCs w:val="16"/>
                      <w:lang w:val="en-GB"/>
                    </w:rPr>
                    <w:t xml:space="preserve"> better </w:t>
                  </w:r>
                  <w:r w:rsidRPr="00D30847">
                    <w:rPr>
                      <w:rFonts w:eastAsia="Times New Roman" w:cs="Calibri"/>
                      <w:b/>
                      <w:bCs/>
                      <w:sz w:val="16"/>
                      <w:szCs w:val="16"/>
                      <w:lang w:val="en-GB"/>
                    </w:rPr>
                    <w:t>transparency and accountability of local government</w:t>
                  </w:r>
                </w:p>
              </w:tc>
              <w:tc>
                <w:tcPr>
                  <w:tcW w:w="522" w:type="dxa"/>
                  <w:tcBorders>
                    <w:top w:val="nil"/>
                    <w:left w:val="nil"/>
                    <w:bottom w:val="nil"/>
                    <w:right w:val="nil"/>
                  </w:tcBorders>
                  <w:shd w:val="clear" w:color="000000" w:fill="6FE7FF"/>
                  <w:vAlign w:val="center"/>
                  <w:hideMark/>
                </w:tcPr>
                <w:p w14:paraId="6814E603"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tcBorders>
                    <w:top w:val="nil"/>
                    <w:left w:val="nil"/>
                    <w:bottom w:val="nil"/>
                    <w:right w:val="nil"/>
                  </w:tcBorders>
                  <w:shd w:val="clear" w:color="000000" w:fill="6FE7FF"/>
                  <w:vAlign w:val="center"/>
                  <w:hideMark/>
                </w:tcPr>
                <w:p w14:paraId="04C8FC80"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tcBorders>
                    <w:top w:val="nil"/>
                    <w:left w:val="nil"/>
                    <w:bottom w:val="nil"/>
                    <w:right w:val="nil"/>
                  </w:tcBorders>
                  <w:shd w:val="clear" w:color="000000" w:fill="6FE7FF"/>
                  <w:vAlign w:val="center"/>
                  <w:hideMark/>
                </w:tcPr>
                <w:p w14:paraId="2D8B7432"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tcBorders>
                    <w:top w:val="nil"/>
                    <w:left w:val="nil"/>
                    <w:bottom w:val="nil"/>
                    <w:right w:val="nil"/>
                  </w:tcBorders>
                  <w:shd w:val="clear" w:color="000000" w:fill="6FE7FF"/>
                  <w:vAlign w:val="center"/>
                  <w:hideMark/>
                </w:tcPr>
                <w:p w14:paraId="59F576C2"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tcBorders>
                    <w:top w:val="nil"/>
                    <w:left w:val="nil"/>
                    <w:bottom w:val="nil"/>
                    <w:right w:val="nil"/>
                  </w:tcBorders>
                  <w:shd w:val="clear" w:color="000000" w:fill="6FE7FF"/>
                  <w:vAlign w:val="center"/>
                  <w:hideMark/>
                </w:tcPr>
                <w:p w14:paraId="38D9CD17"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tcBorders>
                    <w:top w:val="nil"/>
                    <w:left w:val="nil"/>
                    <w:bottom w:val="nil"/>
                    <w:right w:val="nil"/>
                  </w:tcBorders>
                  <w:shd w:val="clear" w:color="000000" w:fill="6FE7FF"/>
                  <w:vAlign w:val="center"/>
                  <w:hideMark/>
                </w:tcPr>
                <w:p w14:paraId="169DB251"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tcBorders>
                    <w:top w:val="nil"/>
                    <w:left w:val="nil"/>
                    <w:bottom w:val="nil"/>
                    <w:right w:val="nil"/>
                  </w:tcBorders>
                  <w:shd w:val="clear" w:color="000000" w:fill="6FE7FF"/>
                  <w:vAlign w:val="center"/>
                  <w:hideMark/>
                </w:tcPr>
                <w:p w14:paraId="3ACE816D"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tcBorders>
                    <w:top w:val="nil"/>
                    <w:left w:val="nil"/>
                    <w:bottom w:val="nil"/>
                    <w:right w:val="nil"/>
                  </w:tcBorders>
                  <w:shd w:val="clear" w:color="000000" w:fill="6FE7FF"/>
                  <w:vAlign w:val="center"/>
                  <w:hideMark/>
                </w:tcPr>
                <w:p w14:paraId="1F480EB0"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tcBorders>
                    <w:top w:val="nil"/>
                    <w:left w:val="nil"/>
                    <w:bottom w:val="nil"/>
                    <w:right w:val="nil"/>
                  </w:tcBorders>
                  <w:shd w:val="clear" w:color="000000" w:fill="6FE7FF"/>
                  <w:vAlign w:val="center"/>
                  <w:hideMark/>
                </w:tcPr>
                <w:p w14:paraId="2A68327B"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tcBorders>
                    <w:top w:val="nil"/>
                    <w:left w:val="nil"/>
                    <w:bottom w:val="nil"/>
                    <w:right w:val="nil"/>
                  </w:tcBorders>
                  <w:shd w:val="clear" w:color="000000" w:fill="6FE7FF"/>
                  <w:vAlign w:val="center"/>
                  <w:hideMark/>
                </w:tcPr>
                <w:p w14:paraId="7A656987"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tcBorders>
                    <w:top w:val="nil"/>
                    <w:left w:val="nil"/>
                    <w:bottom w:val="nil"/>
                    <w:right w:val="nil"/>
                  </w:tcBorders>
                  <w:shd w:val="clear" w:color="000000" w:fill="6FE7FF"/>
                  <w:vAlign w:val="center"/>
                  <w:hideMark/>
                </w:tcPr>
                <w:p w14:paraId="1F8E5FDF"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tcBorders>
                    <w:top w:val="nil"/>
                    <w:left w:val="nil"/>
                    <w:bottom w:val="nil"/>
                    <w:right w:val="nil"/>
                  </w:tcBorders>
                  <w:shd w:val="clear" w:color="000000" w:fill="6FE7FF"/>
                  <w:vAlign w:val="center"/>
                  <w:hideMark/>
                </w:tcPr>
                <w:p w14:paraId="3400C35B"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tcBorders>
                    <w:top w:val="nil"/>
                    <w:left w:val="nil"/>
                    <w:bottom w:val="nil"/>
                    <w:right w:val="nil"/>
                  </w:tcBorders>
                  <w:shd w:val="clear" w:color="000000" w:fill="6FE7FF"/>
                  <w:vAlign w:val="center"/>
                  <w:hideMark/>
                </w:tcPr>
                <w:p w14:paraId="1C534FA1"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tcBorders>
                    <w:top w:val="nil"/>
                    <w:left w:val="nil"/>
                    <w:bottom w:val="nil"/>
                    <w:right w:val="nil"/>
                  </w:tcBorders>
                  <w:shd w:val="clear" w:color="000000" w:fill="6FE7FF"/>
                  <w:vAlign w:val="center"/>
                  <w:hideMark/>
                </w:tcPr>
                <w:p w14:paraId="43229799"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tcBorders>
                    <w:top w:val="nil"/>
                    <w:left w:val="nil"/>
                    <w:bottom w:val="nil"/>
                    <w:right w:val="nil"/>
                  </w:tcBorders>
                  <w:shd w:val="clear" w:color="000000" w:fill="6FE7FF"/>
                  <w:vAlign w:val="center"/>
                  <w:hideMark/>
                </w:tcPr>
                <w:p w14:paraId="211EA6B2"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tcBorders>
                    <w:top w:val="nil"/>
                    <w:left w:val="nil"/>
                    <w:bottom w:val="nil"/>
                    <w:right w:val="nil"/>
                  </w:tcBorders>
                  <w:shd w:val="clear" w:color="000000" w:fill="6FE7FF"/>
                  <w:vAlign w:val="center"/>
                  <w:hideMark/>
                </w:tcPr>
                <w:p w14:paraId="2FEDB389" w14:textId="77777777" w:rsidR="001A6953" w:rsidRPr="00D30847" w:rsidRDefault="001A6953" w:rsidP="001A695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bl>
          <w:p w14:paraId="40AF557E" w14:textId="77777777" w:rsidR="001A6953" w:rsidRPr="00D30847" w:rsidRDefault="001A6953" w:rsidP="001A6953">
            <w:pPr>
              <w:spacing w:after="0" w:line="240" w:lineRule="auto"/>
              <w:rPr>
                <w:rFonts w:eastAsia="Times New Roman" w:cs="Calibri"/>
                <w:b/>
                <w:bCs/>
                <w:sz w:val="16"/>
                <w:szCs w:val="16"/>
                <w:lang w:val="en-GB"/>
              </w:rPr>
            </w:pPr>
          </w:p>
        </w:tc>
      </w:tr>
      <w:tr w:rsidR="001A6953" w:rsidRPr="00D30847" w14:paraId="28489466" w14:textId="77777777" w:rsidTr="00453DBE">
        <w:trPr>
          <w:trHeight w:val="300"/>
        </w:trPr>
        <w:tc>
          <w:tcPr>
            <w:tcW w:w="15210" w:type="dxa"/>
            <w:gridSpan w:val="55"/>
            <w:tcBorders>
              <w:top w:val="nil"/>
              <w:left w:val="nil"/>
              <w:bottom w:val="nil"/>
              <w:right w:val="nil"/>
            </w:tcBorders>
            <w:shd w:val="clear" w:color="auto" w:fill="FFFFFF" w:themeFill="background1"/>
          </w:tcPr>
          <w:tbl>
            <w:tblPr>
              <w:tblW w:w="15210" w:type="dxa"/>
              <w:tblLayout w:type="fixed"/>
              <w:tblLook w:val="04A0" w:firstRow="1" w:lastRow="0" w:firstColumn="1" w:lastColumn="0" w:noHBand="0" w:noVBand="1"/>
            </w:tblPr>
            <w:tblGrid>
              <w:gridCol w:w="1007"/>
              <w:gridCol w:w="1371"/>
              <w:gridCol w:w="1302"/>
              <w:gridCol w:w="3416"/>
              <w:gridCol w:w="547"/>
              <w:gridCol w:w="396"/>
              <w:gridCol w:w="610"/>
              <w:gridCol w:w="503"/>
              <w:gridCol w:w="396"/>
              <w:gridCol w:w="642"/>
              <w:gridCol w:w="472"/>
              <w:gridCol w:w="566"/>
              <w:gridCol w:w="472"/>
              <w:gridCol w:w="472"/>
              <w:gridCol w:w="396"/>
              <w:gridCol w:w="547"/>
              <w:gridCol w:w="472"/>
              <w:gridCol w:w="472"/>
              <w:gridCol w:w="472"/>
              <w:gridCol w:w="679"/>
            </w:tblGrid>
            <w:tr w:rsidR="001A6953" w:rsidRPr="00D30847" w14:paraId="3A1A57E0" w14:textId="77777777" w:rsidTr="00DC10FF">
              <w:trPr>
                <w:trHeight w:val="313"/>
              </w:trPr>
              <w:tc>
                <w:tcPr>
                  <w:tcW w:w="960" w:type="dxa"/>
                  <w:tcBorders>
                    <w:top w:val="nil"/>
                    <w:left w:val="nil"/>
                    <w:bottom w:val="nil"/>
                    <w:right w:val="nil"/>
                  </w:tcBorders>
                  <w:shd w:val="clear" w:color="auto" w:fill="FFFFFF" w:themeFill="background1"/>
                  <w:vAlign w:val="bottom"/>
                  <w:hideMark/>
                </w:tcPr>
                <w:p w14:paraId="1082D753" w14:textId="77777777" w:rsidR="001A6953" w:rsidRPr="00D30847" w:rsidRDefault="001A6953" w:rsidP="001A6953">
                  <w:pPr>
                    <w:spacing w:after="0" w:line="240" w:lineRule="auto"/>
                    <w:rPr>
                      <w:rFonts w:ascii="Times New Roman" w:eastAsia="Times New Roman" w:hAnsi="Times New Roman"/>
                      <w:sz w:val="16"/>
                      <w:szCs w:val="16"/>
                      <w:lang w:val="en-GB"/>
                    </w:rPr>
                  </w:pPr>
                </w:p>
              </w:tc>
              <w:tc>
                <w:tcPr>
                  <w:tcW w:w="1308" w:type="dxa"/>
                  <w:tcBorders>
                    <w:top w:val="nil"/>
                    <w:left w:val="nil"/>
                    <w:bottom w:val="nil"/>
                    <w:right w:val="nil"/>
                  </w:tcBorders>
                  <w:shd w:val="clear" w:color="auto" w:fill="FFFFFF" w:themeFill="background1"/>
                  <w:vAlign w:val="bottom"/>
                  <w:hideMark/>
                </w:tcPr>
                <w:p w14:paraId="068B4F31" w14:textId="77777777" w:rsidR="001A6953" w:rsidRPr="00D30847" w:rsidRDefault="001A6953" w:rsidP="001A6953">
                  <w:pPr>
                    <w:spacing w:after="0" w:line="240" w:lineRule="auto"/>
                    <w:rPr>
                      <w:rFonts w:ascii="Times New Roman" w:eastAsia="Times New Roman" w:hAnsi="Times New Roman"/>
                      <w:sz w:val="16"/>
                      <w:szCs w:val="16"/>
                      <w:lang w:val="en-GB"/>
                    </w:rPr>
                  </w:pPr>
                </w:p>
              </w:tc>
              <w:tc>
                <w:tcPr>
                  <w:tcW w:w="1242" w:type="dxa"/>
                  <w:tcBorders>
                    <w:top w:val="single" w:sz="8" w:space="0" w:color="auto"/>
                    <w:left w:val="single" w:sz="8" w:space="0" w:color="auto"/>
                    <w:bottom w:val="single" w:sz="8" w:space="0" w:color="auto"/>
                    <w:right w:val="nil"/>
                  </w:tcBorders>
                  <w:shd w:val="clear" w:color="auto" w:fill="FFFFFF" w:themeFill="background1"/>
                  <w:vAlign w:val="center"/>
                  <w:hideMark/>
                </w:tcPr>
                <w:p w14:paraId="2969BB95" w14:textId="77777777" w:rsidR="001A6953" w:rsidRPr="00D30847" w:rsidRDefault="001A6953" w:rsidP="001A695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tcBorders>
                    <w:top w:val="single" w:sz="8" w:space="0" w:color="auto"/>
                    <w:left w:val="nil"/>
                    <w:bottom w:val="single" w:sz="8" w:space="0" w:color="auto"/>
                    <w:right w:val="single" w:sz="8" w:space="0" w:color="auto"/>
                  </w:tcBorders>
                  <w:shd w:val="clear" w:color="auto" w:fill="FFFFFF" w:themeFill="background1"/>
                  <w:vAlign w:val="center"/>
                  <w:hideMark/>
                </w:tcPr>
                <w:p w14:paraId="584E001F" w14:textId="77777777" w:rsidR="001A6953" w:rsidRPr="00D30847" w:rsidRDefault="001A6953" w:rsidP="001A6953">
                  <w:pPr>
                    <w:spacing w:after="0" w:line="240" w:lineRule="auto"/>
                    <w:rPr>
                      <w:rFonts w:eastAsia="Times New Roman" w:cs="Calibri"/>
                      <w:sz w:val="16"/>
                      <w:szCs w:val="16"/>
                      <w:lang w:val="en-GB"/>
                    </w:rPr>
                  </w:pPr>
                  <w:r w:rsidRPr="00D30847">
                    <w:rPr>
                      <w:rFonts w:eastAsia="Times New Roman" w:cs="Calibri"/>
                      <w:sz w:val="16"/>
                      <w:szCs w:val="16"/>
                      <w:lang w:val="en-GB"/>
                    </w:rPr>
                    <w:t>Preparation of a financial instability procedure</w:t>
                  </w:r>
                </w:p>
              </w:tc>
              <w:tc>
                <w:tcPr>
                  <w:tcW w:w="522" w:type="dxa"/>
                  <w:tcBorders>
                    <w:top w:val="single" w:sz="4" w:space="0" w:color="auto"/>
                    <w:left w:val="nil"/>
                    <w:bottom w:val="single" w:sz="4" w:space="0" w:color="auto"/>
                    <w:right w:val="single" w:sz="4" w:space="0" w:color="auto"/>
                  </w:tcBorders>
                  <w:shd w:val="clear" w:color="auto" w:fill="0000FF"/>
                  <w:vAlign w:val="center"/>
                  <w:hideMark/>
                </w:tcPr>
                <w:p w14:paraId="4367798E" w14:textId="77777777" w:rsidR="001A6953" w:rsidRPr="00D30847" w:rsidRDefault="001A6953" w:rsidP="001A6953">
                  <w:pPr>
                    <w:spacing w:after="0" w:line="240" w:lineRule="auto"/>
                    <w:rPr>
                      <w:rFonts w:eastAsia="Times New Roman" w:cs="Calibri"/>
                      <w:sz w:val="16"/>
                      <w:szCs w:val="16"/>
                      <w:lang w:val="en-GB"/>
                    </w:rPr>
                  </w:pPr>
                </w:p>
              </w:tc>
              <w:tc>
                <w:tcPr>
                  <w:tcW w:w="378" w:type="dxa"/>
                  <w:tcBorders>
                    <w:top w:val="single" w:sz="4" w:space="0" w:color="auto"/>
                    <w:left w:val="nil"/>
                    <w:bottom w:val="single" w:sz="4" w:space="0" w:color="auto"/>
                    <w:right w:val="single" w:sz="4" w:space="0" w:color="auto"/>
                  </w:tcBorders>
                  <w:shd w:val="clear" w:color="auto" w:fill="0000FF"/>
                  <w:vAlign w:val="center"/>
                  <w:hideMark/>
                </w:tcPr>
                <w:p w14:paraId="73AF23AF" w14:textId="77777777" w:rsidR="001A6953" w:rsidRPr="00D30847" w:rsidRDefault="001A6953" w:rsidP="001A6953">
                  <w:pPr>
                    <w:spacing w:after="0" w:line="240" w:lineRule="auto"/>
                    <w:rPr>
                      <w:rFonts w:eastAsia="Times New Roman" w:cs="Calibri"/>
                      <w:sz w:val="16"/>
                      <w:szCs w:val="16"/>
                      <w:lang w:val="en-GB"/>
                    </w:rPr>
                  </w:pPr>
                </w:p>
              </w:tc>
              <w:tc>
                <w:tcPr>
                  <w:tcW w:w="582" w:type="dxa"/>
                  <w:tcBorders>
                    <w:top w:val="single" w:sz="4" w:space="0" w:color="auto"/>
                    <w:left w:val="nil"/>
                    <w:bottom w:val="single" w:sz="4" w:space="0" w:color="auto"/>
                    <w:right w:val="single" w:sz="4" w:space="0" w:color="auto"/>
                  </w:tcBorders>
                  <w:shd w:val="clear" w:color="auto" w:fill="0000FF"/>
                  <w:vAlign w:val="center"/>
                  <w:hideMark/>
                </w:tcPr>
                <w:p w14:paraId="20F8EE62" w14:textId="77777777" w:rsidR="001A6953" w:rsidRPr="00D30847" w:rsidRDefault="001A6953" w:rsidP="001A6953">
                  <w:pPr>
                    <w:spacing w:after="0" w:line="240" w:lineRule="auto"/>
                    <w:rPr>
                      <w:rFonts w:eastAsia="Times New Roman" w:cs="Calibri"/>
                      <w:sz w:val="16"/>
                      <w:szCs w:val="16"/>
                      <w:lang w:val="en-GB"/>
                    </w:rPr>
                  </w:pPr>
                </w:p>
              </w:tc>
              <w:tc>
                <w:tcPr>
                  <w:tcW w:w="480" w:type="dxa"/>
                  <w:tcBorders>
                    <w:top w:val="single" w:sz="4" w:space="0" w:color="auto"/>
                    <w:left w:val="nil"/>
                    <w:bottom w:val="single" w:sz="4" w:space="0" w:color="auto"/>
                    <w:right w:val="single" w:sz="4" w:space="0" w:color="auto"/>
                  </w:tcBorders>
                  <w:shd w:val="clear" w:color="auto" w:fill="0000FF"/>
                  <w:vAlign w:val="center"/>
                  <w:hideMark/>
                </w:tcPr>
                <w:p w14:paraId="08DDD82F" w14:textId="77777777" w:rsidR="001A6953" w:rsidRPr="00D30847" w:rsidRDefault="001A6953" w:rsidP="001A6953">
                  <w:pPr>
                    <w:spacing w:after="0" w:line="240" w:lineRule="auto"/>
                    <w:rPr>
                      <w:rFonts w:eastAsia="Times New Roman" w:cs="Calibri"/>
                      <w:sz w:val="16"/>
                      <w:szCs w:val="16"/>
                      <w:lang w:val="en-GB"/>
                    </w:rPr>
                  </w:pPr>
                </w:p>
              </w:tc>
              <w:tc>
                <w:tcPr>
                  <w:tcW w:w="378" w:type="dxa"/>
                  <w:tcBorders>
                    <w:top w:val="single" w:sz="4" w:space="0" w:color="auto"/>
                    <w:left w:val="nil"/>
                    <w:bottom w:val="single" w:sz="4" w:space="0" w:color="auto"/>
                    <w:right w:val="single" w:sz="4" w:space="0" w:color="auto"/>
                  </w:tcBorders>
                  <w:shd w:val="clear" w:color="auto" w:fill="0000FF"/>
                  <w:vAlign w:val="center"/>
                  <w:hideMark/>
                </w:tcPr>
                <w:p w14:paraId="41BB277D"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612" w:type="dxa"/>
                  <w:tcBorders>
                    <w:top w:val="single" w:sz="4" w:space="0" w:color="auto"/>
                    <w:left w:val="nil"/>
                    <w:bottom w:val="single" w:sz="4" w:space="0" w:color="auto"/>
                    <w:right w:val="single" w:sz="4" w:space="0" w:color="auto"/>
                  </w:tcBorders>
                  <w:shd w:val="clear" w:color="auto" w:fill="0000FF"/>
                  <w:vAlign w:val="center"/>
                  <w:hideMark/>
                </w:tcPr>
                <w:p w14:paraId="43E6CAE4"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single" w:sz="4" w:space="0" w:color="auto"/>
                    <w:left w:val="nil"/>
                    <w:bottom w:val="single" w:sz="4" w:space="0" w:color="auto"/>
                    <w:right w:val="single" w:sz="4" w:space="0" w:color="auto"/>
                  </w:tcBorders>
                  <w:shd w:val="clear" w:color="auto" w:fill="0000FF"/>
                  <w:vAlign w:val="center"/>
                  <w:hideMark/>
                </w:tcPr>
                <w:p w14:paraId="08025690"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540" w:type="dxa"/>
                  <w:tcBorders>
                    <w:top w:val="single" w:sz="4" w:space="0" w:color="auto"/>
                    <w:left w:val="nil"/>
                    <w:bottom w:val="single" w:sz="4" w:space="0" w:color="auto"/>
                    <w:right w:val="single" w:sz="4" w:space="0" w:color="auto"/>
                  </w:tcBorders>
                  <w:shd w:val="clear" w:color="auto" w:fill="0000FF"/>
                  <w:vAlign w:val="center"/>
                  <w:hideMark/>
                </w:tcPr>
                <w:p w14:paraId="5CBF7B99"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single" w:sz="4" w:space="0" w:color="auto"/>
                    <w:left w:val="nil"/>
                    <w:bottom w:val="single" w:sz="4" w:space="0" w:color="auto"/>
                    <w:right w:val="single" w:sz="4" w:space="0" w:color="auto"/>
                  </w:tcBorders>
                  <w:shd w:val="clear" w:color="auto" w:fill="FFFFFF"/>
                  <w:vAlign w:val="center"/>
                  <w:hideMark/>
                </w:tcPr>
                <w:p w14:paraId="38F579A5"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single" w:sz="4" w:space="0" w:color="auto"/>
                    <w:left w:val="nil"/>
                    <w:bottom w:val="single" w:sz="4" w:space="0" w:color="auto"/>
                    <w:right w:val="single" w:sz="4" w:space="0" w:color="auto"/>
                  </w:tcBorders>
                  <w:shd w:val="clear" w:color="auto" w:fill="FFFFFF"/>
                  <w:vAlign w:val="center"/>
                  <w:hideMark/>
                </w:tcPr>
                <w:p w14:paraId="3C487959"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378" w:type="dxa"/>
                  <w:tcBorders>
                    <w:top w:val="single" w:sz="4" w:space="0" w:color="auto"/>
                    <w:left w:val="nil"/>
                    <w:bottom w:val="single" w:sz="4" w:space="0" w:color="auto"/>
                    <w:right w:val="single" w:sz="4" w:space="0" w:color="auto"/>
                  </w:tcBorders>
                  <w:shd w:val="clear" w:color="auto" w:fill="FFFFFF"/>
                  <w:vAlign w:val="center"/>
                  <w:hideMark/>
                </w:tcPr>
                <w:p w14:paraId="43640CF8"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522" w:type="dxa"/>
                  <w:tcBorders>
                    <w:top w:val="single" w:sz="4" w:space="0" w:color="auto"/>
                    <w:left w:val="nil"/>
                    <w:bottom w:val="single" w:sz="4" w:space="0" w:color="auto"/>
                    <w:right w:val="single" w:sz="4" w:space="0" w:color="auto"/>
                  </w:tcBorders>
                  <w:shd w:val="clear" w:color="auto" w:fill="FFFFFF"/>
                  <w:vAlign w:val="center"/>
                  <w:hideMark/>
                </w:tcPr>
                <w:p w14:paraId="7052646D"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single" w:sz="4" w:space="0" w:color="auto"/>
                    <w:left w:val="nil"/>
                    <w:bottom w:val="single" w:sz="4" w:space="0" w:color="auto"/>
                    <w:right w:val="single" w:sz="4" w:space="0" w:color="auto"/>
                  </w:tcBorders>
                  <w:shd w:val="clear" w:color="auto" w:fill="FFFFFF"/>
                  <w:vAlign w:val="center"/>
                  <w:hideMark/>
                </w:tcPr>
                <w:p w14:paraId="23E39DBD"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single" w:sz="4" w:space="0" w:color="auto"/>
                    <w:left w:val="nil"/>
                    <w:bottom w:val="single" w:sz="4" w:space="0" w:color="auto"/>
                    <w:right w:val="single" w:sz="4" w:space="0" w:color="auto"/>
                  </w:tcBorders>
                  <w:shd w:val="clear" w:color="auto" w:fill="FFFFFF"/>
                  <w:vAlign w:val="center"/>
                  <w:hideMark/>
                </w:tcPr>
                <w:p w14:paraId="6E27241D"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single" w:sz="4" w:space="0" w:color="auto"/>
                    <w:left w:val="nil"/>
                    <w:bottom w:val="single" w:sz="4" w:space="0" w:color="auto"/>
                    <w:right w:val="single" w:sz="4" w:space="0" w:color="auto"/>
                  </w:tcBorders>
                  <w:shd w:val="clear" w:color="auto" w:fill="FFFFFF"/>
                  <w:vAlign w:val="center"/>
                  <w:hideMark/>
                </w:tcPr>
                <w:p w14:paraId="6EA15F2C"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648" w:type="dxa"/>
                  <w:tcBorders>
                    <w:top w:val="single" w:sz="4" w:space="0" w:color="auto"/>
                    <w:left w:val="nil"/>
                    <w:bottom w:val="single" w:sz="4" w:space="0" w:color="auto"/>
                    <w:right w:val="single" w:sz="4" w:space="0" w:color="auto"/>
                  </w:tcBorders>
                  <w:shd w:val="clear" w:color="auto" w:fill="FFFFFF"/>
                  <w:vAlign w:val="center"/>
                  <w:hideMark/>
                </w:tcPr>
                <w:p w14:paraId="3FCD17E4" w14:textId="77777777" w:rsidR="001A6953" w:rsidRPr="00D30847" w:rsidRDefault="001A6953" w:rsidP="001A6953">
                  <w:pPr>
                    <w:spacing w:after="0" w:line="240" w:lineRule="auto"/>
                    <w:jc w:val="center"/>
                    <w:rPr>
                      <w:rFonts w:eastAsia="Times New Roman" w:cs="Calibri"/>
                      <w:color w:val="FFFFFF"/>
                      <w:sz w:val="16"/>
                      <w:szCs w:val="16"/>
                      <w:lang w:val="en-GB"/>
                    </w:rPr>
                  </w:pPr>
                </w:p>
              </w:tc>
            </w:tr>
          </w:tbl>
          <w:p w14:paraId="1FFC2C9F" w14:textId="77777777" w:rsidR="001A6953" w:rsidRPr="00D30847" w:rsidRDefault="001A6953" w:rsidP="001A6953">
            <w:pPr>
              <w:spacing w:after="0" w:line="240" w:lineRule="auto"/>
              <w:rPr>
                <w:rFonts w:eastAsia="Times New Roman" w:cs="Calibri"/>
                <w:b/>
                <w:bCs/>
                <w:sz w:val="16"/>
                <w:szCs w:val="16"/>
                <w:lang w:val="en-GB"/>
              </w:rPr>
            </w:pPr>
          </w:p>
        </w:tc>
      </w:tr>
      <w:tr w:rsidR="001A6953" w:rsidRPr="00D30847" w14:paraId="454F292D" w14:textId="77777777" w:rsidTr="00453DBE">
        <w:trPr>
          <w:trHeight w:val="300"/>
        </w:trPr>
        <w:tc>
          <w:tcPr>
            <w:tcW w:w="15210" w:type="dxa"/>
            <w:gridSpan w:val="55"/>
            <w:tcBorders>
              <w:top w:val="nil"/>
              <w:left w:val="nil"/>
              <w:bottom w:val="nil"/>
              <w:right w:val="nil"/>
            </w:tcBorders>
            <w:shd w:val="clear" w:color="auto" w:fill="FFFFFF" w:themeFill="background1"/>
          </w:tcPr>
          <w:tbl>
            <w:tblPr>
              <w:tblW w:w="15210" w:type="dxa"/>
              <w:tblLayout w:type="fixed"/>
              <w:tblLook w:val="04A0" w:firstRow="1" w:lastRow="0" w:firstColumn="1" w:lastColumn="0" w:noHBand="0" w:noVBand="1"/>
            </w:tblPr>
            <w:tblGrid>
              <w:gridCol w:w="1007"/>
              <w:gridCol w:w="1371"/>
              <w:gridCol w:w="1302"/>
              <w:gridCol w:w="3416"/>
              <w:gridCol w:w="547"/>
              <w:gridCol w:w="396"/>
              <w:gridCol w:w="610"/>
              <w:gridCol w:w="503"/>
              <w:gridCol w:w="396"/>
              <w:gridCol w:w="642"/>
              <w:gridCol w:w="472"/>
              <w:gridCol w:w="566"/>
              <w:gridCol w:w="472"/>
              <w:gridCol w:w="472"/>
              <w:gridCol w:w="396"/>
              <w:gridCol w:w="547"/>
              <w:gridCol w:w="472"/>
              <w:gridCol w:w="472"/>
              <w:gridCol w:w="472"/>
              <w:gridCol w:w="679"/>
            </w:tblGrid>
            <w:tr w:rsidR="001A6953" w:rsidRPr="00D30847" w14:paraId="199FE9BF" w14:textId="77777777" w:rsidTr="00DF0C16">
              <w:trPr>
                <w:trHeight w:val="322"/>
              </w:trPr>
              <w:tc>
                <w:tcPr>
                  <w:tcW w:w="960" w:type="dxa"/>
                  <w:tcBorders>
                    <w:top w:val="nil"/>
                    <w:left w:val="nil"/>
                    <w:bottom w:val="nil"/>
                    <w:right w:val="nil"/>
                  </w:tcBorders>
                  <w:shd w:val="clear" w:color="auto" w:fill="FFFFFF" w:themeFill="background1"/>
                  <w:vAlign w:val="bottom"/>
                  <w:hideMark/>
                </w:tcPr>
                <w:p w14:paraId="4E995721" w14:textId="77777777" w:rsidR="001A6953" w:rsidRPr="00D30847" w:rsidRDefault="001A6953" w:rsidP="001A6953">
                  <w:pPr>
                    <w:spacing w:after="0" w:line="240" w:lineRule="auto"/>
                    <w:rPr>
                      <w:rFonts w:ascii="Times New Roman" w:eastAsia="Times New Roman" w:hAnsi="Times New Roman"/>
                      <w:sz w:val="16"/>
                      <w:szCs w:val="16"/>
                      <w:lang w:val="en-GB"/>
                    </w:rPr>
                  </w:pPr>
                </w:p>
              </w:tc>
              <w:tc>
                <w:tcPr>
                  <w:tcW w:w="1308" w:type="dxa"/>
                  <w:tcBorders>
                    <w:top w:val="nil"/>
                    <w:left w:val="nil"/>
                    <w:bottom w:val="nil"/>
                    <w:right w:val="nil"/>
                  </w:tcBorders>
                  <w:shd w:val="clear" w:color="auto" w:fill="FFFFFF" w:themeFill="background1"/>
                  <w:vAlign w:val="bottom"/>
                  <w:hideMark/>
                </w:tcPr>
                <w:p w14:paraId="6BB0604E" w14:textId="77777777" w:rsidR="001A6953" w:rsidRPr="00D30847" w:rsidRDefault="001A6953" w:rsidP="001A6953">
                  <w:pPr>
                    <w:spacing w:after="0" w:line="240" w:lineRule="auto"/>
                    <w:rPr>
                      <w:rFonts w:ascii="Times New Roman" w:eastAsia="Times New Roman" w:hAnsi="Times New Roman"/>
                      <w:sz w:val="16"/>
                      <w:szCs w:val="16"/>
                      <w:lang w:val="en-GB"/>
                    </w:rPr>
                  </w:pPr>
                </w:p>
              </w:tc>
              <w:tc>
                <w:tcPr>
                  <w:tcW w:w="1242" w:type="dxa"/>
                  <w:tcBorders>
                    <w:top w:val="nil"/>
                    <w:left w:val="single" w:sz="8" w:space="0" w:color="auto"/>
                    <w:bottom w:val="single" w:sz="8" w:space="0" w:color="auto"/>
                    <w:right w:val="nil"/>
                  </w:tcBorders>
                  <w:shd w:val="clear" w:color="auto" w:fill="FFFFFF" w:themeFill="background1"/>
                  <w:vAlign w:val="center"/>
                  <w:hideMark/>
                </w:tcPr>
                <w:p w14:paraId="686B8FF0" w14:textId="77777777" w:rsidR="001A6953" w:rsidRPr="00D30847" w:rsidRDefault="001A6953" w:rsidP="001A695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tcBorders>
                    <w:top w:val="nil"/>
                    <w:left w:val="nil"/>
                    <w:bottom w:val="single" w:sz="8" w:space="0" w:color="auto"/>
                    <w:right w:val="single" w:sz="8" w:space="0" w:color="auto"/>
                  </w:tcBorders>
                  <w:shd w:val="clear" w:color="auto" w:fill="FFFFFF" w:themeFill="background1"/>
                  <w:vAlign w:val="center"/>
                  <w:hideMark/>
                </w:tcPr>
                <w:p w14:paraId="017DD0EB" w14:textId="77777777" w:rsidR="001A6953" w:rsidRPr="00D30847" w:rsidRDefault="001A6953" w:rsidP="001A6953">
                  <w:pPr>
                    <w:spacing w:after="0" w:line="240" w:lineRule="auto"/>
                    <w:rPr>
                      <w:rFonts w:eastAsia="Times New Roman" w:cs="Calibri"/>
                      <w:sz w:val="16"/>
                      <w:szCs w:val="16"/>
                      <w:lang w:val="en-GB"/>
                    </w:rPr>
                  </w:pPr>
                  <w:r w:rsidRPr="00D30847">
                    <w:rPr>
                      <w:rFonts w:eastAsia="Times New Roman" w:cs="Calibri"/>
                      <w:sz w:val="16"/>
                      <w:szCs w:val="16"/>
                      <w:lang w:val="en-GB"/>
                    </w:rPr>
                    <w:t>Monitoring the transparency of municipalities</w:t>
                  </w:r>
                </w:p>
              </w:tc>
              <w:tc>
                <w:tcPr>
                  <w:tcW w:w="522" w:type="dxa"/>
                  <w:tcBorders>
                    <w:top w:val="single" w:sz="4" w:space="0" w:color="auto"/>
                    <w:left w:val="nil"/>
                    <w:bottom w:val="single" w:sz="4" w:space="0" w:color="auto"/>
                    <w:right w:val="single" w:sz="4" w:space="0" w:color="auto"/>
                  </w:tcBorders>
                  <w:shd w:val="clear" w:color="000000" w:fill="0000FF"/>
                  <w:vAlign w:val="center"/>
                  <w:hideMark/>
                </w:tcPr>
                <w:p w14:paraId="52C47BF8" w14:textId="77777777" w:rsidR="001A6953" w:rsidRPr="00D30847" w:rsidRDefault="001A6953" w:rsidP="001A6953">
                  <w:pPr>
                    <w:spacing w:after="0" w:line="240" w:lineRule="auto"/>
                    <w:rPr>
                      <w:rFonts w:eastAsia="Times New Roman" w:cs="Calibri"/>
                      <w:sz w:val="16"/>
                      <w:szCs w:val="16"/>
                      <w:lang w:val="en-GB"/>
                    </w:rPr>
                  </w:pPr>
                </w:p>
              </w:tc>
              <w:tc>
                <w:tcPr>
                  <w:tcW w:w="378" w:type="dxa"/>
                  <w:tcBorders>
                    <w:top w:val="single" w:sz="4" w:space="0" w:color="auto"/>
                    <w:left w:val="nil"/>
                    <w:bottom w:val="single" w:sz="4" w:space="0" w:color="auto"/>
                    <w:right w:val="single" w:sz="4" w:space="0" w:color="auto"/>
                  </w:tcBorders>
                  <w:shd w:val="clear" w:color="000000" w:fill="0000FF"/>
                  <w:vAlign w:val="center"/>
                  <w:hideMark/>
                </w:tcPr>
                <w:p w14:paraId="56D4C690" w14:textId="77777777" w:rsidR="001A6953" w:rsidRPr="00D30847" w:rsidRDefault="001A6953" w:rsidP="001A6953">
                  <w:pPr>
                    <w:spacing w:after="0" w:line="240" w:lineRule="auto"/>
                    <w:rPr>
                      <w:rFonts w:eastAsia="Times New Roman" w:cs="Calibri"/>
                      <w:sz w:val="16"/>
                      <w:szCs w:val="16"/>
                      <w:lang w:val="en-GB"/>
                    </w:rPr>
                  </w:pPr>
                </w:p>
              </w:tc>
              <w:tc>
                <w:tcPr>
                  <w:tcW w:w="582" w:type="dxa"/>
                  <w:tcBorders>
                    <w:top w:val="single" w:sz="4" w:space="0" w:color="auto"/>
                    <w:left w:val="nil"/>
                    <w:bottom w:val="single" w:sz="4" w:space="0" w:color="auto"/>
                    <w:right w:val="single" w:sz="4" w:space="0" w:color="auto"/>
                  </w:tcBorders>
                  <w:shd w:val="clear" w:color="000000" w:fill="0000FF"/>
                  <w:vAlign w:val="center"/>
                  <w:hideMark/>
                </w:tcPr>
                <w:p w14:paraId="3BD27614" w14:textId="77777777" w:rsidR="001A6953" w:rsidRPr="00D30847" w:rsidRDefault="001A6953" w:rsidP="001A6953">
                  <w:pPr>
                    <w:spacing w:after="0" w:line="240" w:lineRule="auto"/>
                    <w:rPr>
                      <w:rFonts w:eastAsia="Times New Roman" w:cs="Calibri"/>
                      <w:sz w:val="16"/>
                      <w:szCs w:val="16"/>
                      <w:lang w:val="en-GB"/>
                    </w:rPr>
                  </w:pPr>
                </w:p>
              </w:tc>
              <w:tc>
                <w:tcPr>
                  <w:tcW w:w="480" w:type="dxa"/>
                  <w:tcBorders>
                    <w:top w:val="single" w:sz="4" w:space="0" w:color="auto"/>
                    <w:left w:val="nil"/>
                    <w:bottom w:val="single" w:sz="4" w:space="0" w:color="auto"/>
                    <w:right w:val="single" w:sz="4" w:space="0" w:color="auto"/>
                  </w:tcBorders>
                  <w:shd w:val="clear" w:color="000000" w:fill="0000FF"/>
                  <w:vAlign w:val="center"/>
                  <w:hideMark/>
                </w:tcPr>
                <w:p w14:paraId="1408A919" w14:textId="77777777" w:rsidR="001A6953" w:rsidRPr="00D30847" w:rsidRDefault="001A6953" w:rsidP="001A6953">
                  <w:pPr>
                    <w:spacing w:after="0" w:line="240" w:lineRule="auto"/>
                    <w:rPr>
                      <w:rFonts w:eastAsia="Times New Roman" w:cs="Calibri"/>
                      <w:sz w:val="16"/>
                      <w:szCs w:val="16"/>
                      <w:lang w:val="en-GB"/>
                    </w:rPr>
                  </w:pPr>
                </w:p>
              </w:tc>
              <w:tc>
                <w:tcPr>
                  <w:tcW w:w="378" w:type="dxa"/>
                  <w:tcBorders>
                    <w:top w:val="single" w:sz="4" w:space="0" w:color="auto"/>
                    <w:left w:val="nil"/>
                    <w:bottom w:val="single" w:sz="4" w:space="0" w:color="auto"/>
                    <w:right w:val="single" w:sz="4" w:space="0" w:color="auto"/>
                  </w:tcBorders>
                  <w:shd w:val="clear" w:color="000000" w:fill="0000FF"/>
                  <w:vAlign w:val="center"/>
                  <w:hideMark/>
                </w:tcPr>
                <w:p w14:paraId="2B4BD0AA"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612" w:type="dxa"/>
                  <w:tcBorders>
                    <w:top w:val="single" w:sz="4" w:space="0" w:color="auto"/>
                    <w:left w:val="nil"/>
                    <w:bottom w:val="single" w:sz="4" w:space="0" w:color="auto"/>
                    <w:right w:val="single" w:sz="4" w:space="0" w:color="auto"/>
                  </w:tcBorders>
                  <w:shd w:val="clear" w:color="000000" w:fill="0000FF"/>
                  <w:vAlign w:val="center"/>
                  <w:hideMark/>
                </w:tcPr>
                <w:p w14:paraId="1690E686"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single" w:sz="4" w:space="0" w:color="auto"/>
                    <w:left w:val="nil"/>
                    <w:bottom w:val="single" w:sz="4" w:space="0" w:color="auto"/>
                    <w:right w:val="single" w:sz="4" w:space="0" w:color="auto"/>
                  </w:tcBorders>
                  <w:shd w:val="clear" w:color="000000" w:fill="0000FF"/>
                  <w:vAlign w:val="center"/>
                  <w:hideMark/>
                </w:tcPr>
                <w:p w14:paraId="4FE85136"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540" w:type="dxa"/>
                  <w:tcBorders>
                    <w:top w:val="single" w:sz="4" w:space="0" w:color="auto"/>
                    <w:left w:val="nil"/>
                    <w:bottom w:val="single" w:sz="4" w:space="0" w:color="auto"/>
                    <w:right w:val="single" w:sz="4" w:space="0" w:color="auto"/>
                  </w:tcBorders>
                  <w:shd w:val="clear" w:color="000000" w:fill="0000FF"/>
                  <w:vAlign w:val="center"/>
                  <w:hideMark/>
                </w:tcPr>
                <w:p w14:paraId="1E8056BE"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single" w:sz="4" w:space="0" w:color="auto"/>
                    <w:left w:val="nil"/>
                    <w:bottom w:val="single" w:sz="4" w:space="0" w:color="auto"/>
                    <w:right w:val="single" w:sz="4" w:space="0" w:color="auto"/>
                  </w:tcBorders>
                  <w:shd w:val="clear" w:color="000000" w:fill="0000FF"/>
                  <w:vAlign w:val="center"/>
                  <w:hideMark/>
                </w:tcPr>
                <w:p w14:paraId="3C8C6D7F"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single" w:sz="4" w:space="0" w:color="auto"/>
                    <w:left w:val="nil"/>
                    <w:bottom w:val="single" w:sz="4" w:space="0" w:color="auto"/>
                    <w:right w:val="single" w:sz="4" w:space="0" w:color="auto"/>
                  </w:tcBorders>
                  <w:shd w:val="clear" w:color="000000" w:fill="0000FF"/>
                  <w:vAlign w:val="center"/>
                  <w:hideMark/>
                </w:tcPr>
                <w:p w14:paraId="72517CFF"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378" w:type="dxa"/>
                  <w:tcBorders>
                    <w:top w:val="single" w:sz="4" w:space="0" w:color="auto"/>
                    <w:left w:val="nil"/>
                    <w:bottom w:val="single" w:sz="4" w:space="0" w:color="auto"/>
                    <w:right w:val="single" w:sz="4" w:space="0" w:color="auto"/>
                  </w:tcBorders>
                  <w:shd w:val="clear" w:color="000000" w:fill="0000FF"/>
                  <w:vAlign w:val="center"/>
                  <w:hideMark/>
                </w:tcPr>
                <w:p w14:paraId="3B353700"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522" w:type="dxa"/>
                  <w:tcBorders>
                    <w:top w:val="single" w:sz="4" w:space="0" w:color="auto"/>
                    <w:left w:val="nil"/>
                    <w:bottom w:val="single" w:sz="4" w:space="0" w:color="auto"/>
                    <w:right w:val="single" w:sz="4" w:space="0" w:color="auto"/>
                  </w:tcBorders>
                  <w:shd w:val="clear" w:color="000000" w:fill="0000FF"/>
                  <w:vAlign w:val="center"/>
                  <w:hideMark/>
                </w:tcPr>
                <w:p w14:paraId="038BD84A"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single" w:sz="4" w:space="0" w:color="auto"/>
                    <w:left w:val="nil"/>
                    <w:bottom w:val="single" w:sz="4" w:space="0" w:color="auto"/>
                    <w:right w:val="single" w:sz="4" w:space="0" w:color="auto"/>
                  </w:tcBorders>
                  <w:shd w:val="clear" w:color="000000" w:fill="0000FF"/>
                  <w:vAlign w:val="center"/>
                  <w:hideMark/>
                </w:tcPr>
                <w:p w14:paraId="26F547D5"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single" w:sz="4" w:space="0" w:color="auto"/>
                    <w:left w:val="nil"/>
                    <w:bottom w:val="single" w:sz="4" w:space="0" w:color="auto"/>
                    <w:right w:val="single" w:sz="4" w:space="0" w:color="auto"/>
                  </w:tcBorders>
                  <w:shd w:val="clear" w:color="000000" w:fill="0000FF"/>
                  <w:vAlign w:val="center"/>
                  <w:hideMark/>
                </w:tcPr>
                <w:p w14:paraId="2AD16BA8"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450" w:type="dxa"/>
                  <w:tcBorders>
                    <w:top w:val="single" w:sz="4" w:space="0" w:color="auto"/>
                    <w:left w:val="nil"/>
                    <w:bottom w:val="single" w:sz="4" w:space="0" w:color="auto"/>
                    <w:right w:val="single" w:sz="4" w:space="0" w:color="auto"/>
                  </w:tcBorders>
                  <w:shd w:val="clear" w:color="000000" w:fill="0000FF"/>
                  <w:vAlign w:val="center"/>
                  <w:hideMark/>
                </w:tcPr>
                <w:p w14:paraId="3F1BC521" w14:textId="77777777" w:rsidR="001A6953" w:rsidRPr="00D30847" w:rsidRDefault="001A6953" w:rsidP="001A6953">
                  <w:pPr>
                    <w:spacing w:after="0" w:line="240" w:lineRule="auto"/>
                    <w:jc w:val="center"/>
                    <w:rPr>
                      <w:rFonts w:eastAsia="Times New Roman" w:cs="Calibri"/>
                      <w:color w:val="FFFFFF"/>
                      <w:sz w:val="16"/>
                      <w:szCs w:val="16"/>
                      <w:lang w:val="en-GB"/>
                    </w:rPr>
                  </w:pPr>
                </w:p>
              </w:tc>
              <w:tc>
                <w:tcPr>
                  <w:tcW w:w="648" w:type="dxa"/>
                  <w:tcBorders>
                    <w:top w:val="single" w:sz="4" w:space="0" w:color="auto"/>
                    <w:left w:val="nil"/>
                    <w:bottom w:val="single" w:sz="4" w:space="0" w:color="auto"/>
                    <w:right w:val="single" w:sz="4" w:space="0" w:color="auto"/>
                  </w:tcBorders>
                  <w:shd w:val="clear" w:color="000000" w:fill="0000FF"/>
                  <w:vAlign w:val="center"/>
                  <w:hideMark/>
                </w:tcPr>
                <w:p w14:paraId="27664633" w14:textId="77777777" w:rsidR="001A6953" w:rsidRPr="00D30847" w:rsidRDefault="001A6953" w:rsidP="001A6953">
                  <w:pPr>
                    <w:spacing w:after="0" w:line="240" w:lineRule="auto"/>
                    <w:jc w:val="center"/>
                    <w:rPr>
                      <w:rFonts w:eastAsia="Times New Roman" w:cs="Calibri"/>
                      <w:color w:val="FFFFFF"/>
                      <w:sz w:val="16"/>
                      <w:szCs w:val="16"/>
                      <w:lang w:val="en-GB"/>
                    </w:rPr>
                  </w:pPr>
                </w:p>
              </w:tc>
            </w:tr>
          </w:tbl>
          <w:p w14:paraId="7251C067" w14:textId="77777777" w:rsidR="001A6953" w:rsidRPr="00D30847" w:rsidRDefault="001A6953" w:rsidP="001A6953">
            <w:pPr>
              <w:spacing w:after="0" w:line="240" w:lineRule="auto"/>
              <w:rPr>
                <w:rFonts w:eastAsia="Times New Roman" w:cs="Calibri"/>
                <w:b/>
                <w:bCs/>
                <w:sz w:val="16"/>
                <w:szCs w:val="16"/>
                <w:lang w:val="en-GB"/>
              </w:rPr>
            </w:pPr>
          </w:p>
        </w:tc>
      </w:tr>
      <w:tr w:rsidR="00C93723" w:rsidRPr="00D30847" w14:paraId="734486B8" w14:textId="77777777" w:rsidTr="00B84551">
        <w:trPr>
          <w:trHeight w:val="300"/>
        </w:trPr>
        <w:tc>
          <w:tcPr>
            <w:tcW w:w="15210" w:type="dxa"/>
            <w:gridSpan w:val="55"/>
            <w:tcBorders>
              <w:top w:val="nil"/>
              <w:left w:val="nil"/>
              <w:bottom w:val="nil"/>
              <w:right w:val="nil"/>
            </w:tcBorders>
            <w:shd w:val="clear" w:color="000000" w:fill="33CCFF"/>
            <w:vAlign w:val="center"/>
            <w:hideMark/>
          </w:tcPr>
          <w:p w14:paraId="30BD8FD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Pillar IV - Public Procurement</w:t>
            </w:r>
          </w:p>
        </w:tc>
      </w:tr>
      <w:tr w:rsidR="00C93723" w:rsidRPr="00D30847" w14:paraId="50C60022" w14:textId="77777777" w:rsidTr="00B84551">
        <w:trPr>
          <w:trHeight w:val="300"/>
        </w:trPr>
        <w:tc>
          <w:tcPr>
            <w:tcW w:w="702" w:type="dxa"/>
            <w:gridSpan w:val="2"/>
            <w:tcBorders>
              <w:top w:val="nil"/>
              <w:left w:val="nil"/>
              <w:bottom w:val="nil"/>
              <w:right w:val="nil"/>
            </w:tcBorders>
            <w:shd w:val="clear" w:color="000000" w:fill="00FF00"/>
            <w:vAlign w:val="center"/>
            <w:hideMark/>
          </w:tcPr>
          <w:p w14:paraId="26F1299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510" w:type="dxa"/>
            <w:gridSpan w:val="6"/>
            <w:tcBorders>
              <w:top w:val="nil"/>
              <w:left w:val="nil"/>
              <w:bottom w:val="nil"/>
              <w:right w:val="nil"/>
            </w:tcBorders>
            <w:shd w:val="clear" w:color="000000" w:fill="00FF00"/>
            <w:vAlign w:val="center"/>
            <w:hideMark/>
          </w:tcPr>
          <w:p w14:paraId="0CD583A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Priority 1.</w:t>
            </w:r>
          </w:p>
        </w:tc>
        <w:tc>
          <w:tcPr>
            <w:tcW w:w="3258" w:type="dxa"/>
            <w:gridSpan w:val="2"/>
            <w:tcBorders>
              <w:top w:val="nil"/>
              <w:left w:val="nil"/>
              <w:bottom w:val="nil"/>
              <w:right w:val="nil"/>
            </w:tcBorders>
            <w:shd w:val="clear" w:color="000000" w:fill="00FF00"/>
            <w:vAlign w:val="center"/>
            <w:hideMark/>
          </w:tcPr>
          <w:p w14:paraId="7628C34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Public procurement policy</w:t>
            </w:r>
          </w:p>
        </w:tc>
        <w:tc>
          <w:tcPr>
            <w:tcW w:w="522" w:type="dxa"/>
            <w:gridSpan w:val="2"/>
            <w:tcBorders>
              <w:top w:val="nil"/>
              <w:left w:val="nil"/>
              <w:bottom w:val="nil"/>
              <w:right w:val="nil"/>
            </w:tcBorders>
            <w:shd w:val="clear" w:color="000000" w:fill="00FF00"/>
            <w:vAlign w:val="center"/>
            <w:hideMark/>
          </w:tcPr>
          <w:p w14:paraId="14D7A52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2FE78B7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00FF00"/>
            <w:vAlign w:val="center"/>
            <w:hideMark/>
          </w:tcPr>
          <w:p w14:paraId="60DEBE0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00FF00"/>
            <w:vAlign w:val="center"/>
            <w:hideMark/>
          </w:tcPr>
          <w:p w14:paraId="5C2C21C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24189AF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00FF00"/>
            <w:vAlign w:val="center"/>
            <w:hideMark/>
          </w:tcPr>
          <w:p w14:paraId="5EFE077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5271453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00FF00"/>
            <w:vAlign w:val="center"/>
            <w:hideMark/>
          </w:tcPr>
          <w:p w14:paraId="5E79E2F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050410B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08021C2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53FF4F5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00FF00"/>
            <w:vAlign w:val="center"/>
            <w:hideMark/>
          </w:tcPr>
          <w:p w14:paraId="0494E0B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5E7E2B0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00FF00"/>
            <w:vAlign w:val="center"/>
            <w:hideMark/>
          </w:tcPr>
          <w:p w14:paraId="2945246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5C93399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00FF00"/>
            <w:vAlign w:val="center"/>
            <w:hideMark/>
          </w:tcPr>
          <w:p w14:paraId="1716624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735C4CDE" w14:textId="77777777" w:rsidTr="00595060">
        <w:trPr>
          <w:trHeight w:val="693"/>
        </w:trPr>
        <w:tc>
          <w:tcPr>
            <w:tcW w:w="702" w:type="dxa"/>
            <w:gridSpan w:val="2"/>
            <w:tcBorders>
              <w:top w:val="nil"/>
              <w:left w:val="nil"/>
              <w:bottom w:val="nil"/>
              <w:right w:val="nil"/>
            </w:tcBorders>
            <w:shd w:val="clear" w:color="000000" w:fill="6FE7FF"/>
            <w:vAlign w:val="center"/>
            <w:hideMark/>
          </w:tcPr>
          <w:p w14:paraId="5700023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366237C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710366F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1.</w:t>
            </w:r>
          </w:p>
        </w:tc>
        <w:tc>
          <w:tcPr>
            <w:tcW w:w="1417" w:type="dxa"/>
            <w:tcBorders>
              <w:top w:val="nil"/>
              <w:left w:val="nil"/>
              <w:bottom w:val="single" w:sz="8" w:space="0" w:color="auto"/>
              <w:right w:val="nil"/>
            </w:tcBorders>
            <w:shd w:val="clear" w:color="000000" w:fill="6FE7FF"/>
            <w:vAlign w:val="center"/>
            <w:hideMark/>
          </w:tcPr>
          <w:p w14:paraId="2A9149F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611" w:type="dxa"/>
            <w:gridSpan w:val="3"/>
            <w:tcBorders>
              <w:top w:val="nil"/>
              <w:left w:val="nil"/>
              <w:bottom w:val="single" w:sz="8" w:space="0" w:color="auto"/>
              <w:right w:val="nil"/>
            </w:tcBorders>
            <w:shd w:val="clear" w:color="000000" w:fill="6FE7FF"/>
            <w:vAlign w:val="center"/>
            <w:hideMark/>
          </w:tcPr>
          <w:p w14:paraId="22CEC8D2" w14:textId="1F1A804E" w:rsidR="00C93723" w:rsidRPr="00D30847" w:rsidRDefault="000331F8"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Improving the cooperation among the key institutions in the public procurement system</w:t>
            </w:r>
          </w:p>
        </w:tc>
        <w:tc>
          <w:tcPr>
            <w:tcW w:w="522" w:type="dxa"/>
            <w:gridSpan w:val="2"/>
            <w:tcBorders>
              <w:top w:val="nil"/>
              <w:left w:val="nil"/>
              <w:bottom w:val="single" w:sz="8" w:space="0" w:color="auto"/>
              <w:right w:val="nil"/>
            </w:tcBorders>
            <w:shd w:val="clear" w:color="000000" w:fill="6FE7FF"/>
            <w:vAlign w:val="center"/>
            <w:hideMark/>
          </w:tcPr>
          <w:p w14:paraId="71FAD61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3EF3F3D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8" w:space="0" w:color="auto"/>
              <w:right w:val="nil"/>
            </w:tcBorders>
            <w:shd w:val="clear" w:color="000000" w:fill="6FE7FF"/>
            <w:vAlign w:val="center"/>
            <w:hideMark/>
          </w:tcPr>
          <w:p w14:paraId="2FDF587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2651149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0F8F8C0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8" w:space="0" w:color="auto"/>
              <w:right w:val="nil"/>
            </w:tcBorders>
            <w:shd w:val="clear" w:color="000000" w:fill="6FE7FF"/>
            <w:vAlign w:val="center"/>
            <w:hideMark/>
          </w:tcPr>
          <w:p w14:paraId="10FC5BC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3C59128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40293C0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08EFE69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766D8B0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637BDF3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8" w:space="0" w:color="auto"/>
              <w:right w:val="nil"/>
            </w:tcBorders>
            <w:shd w:val="clear" w:color="000000" w:fill="6FE7FF"/>
            <w:vAlign w:val="center"/>
            <w:hideMark/>
          </w:tcPr>
          <w:p w14:paraId="222F201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04EDF2E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378C9A1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2800BFE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8" w:space="0" w:color="auto"/>
              <w:right w:val="nil"/>
            </w:tcBorders>
            <w:shd w:val="clear" w:color="000000" w:fill="6FE7FF"/>
            <w:vAlign w:val="center"/>
            <w:hideMark/>
          </w:tcPr>
          <w:p w14:paraId="3FCE95F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942045" w:rsidRPr="00D30847" w14:paraId="6B309928" w14:textId="77777777" w:rsidTr="00595060">
        <w:trPr>
          <w:trHeight w:val="340"/>
        </w:trPr>
        <w:tc>
          <w:tcPr>
            <w:tcW w:w="702" w:type="dxa"/>
            <w:gridSpan w:val="2"/>
            <w:tcBorders>
              <w:top w:val="nil"/>
              <w:left w:val="nil"/>
              <w:bottom w:val="nil"/>
              <w:right w:val="nil"/>
            </w:tcBorders>
            <w:shd w:val="clear" w:color="auto" w:fill="auto"/>
            <w:vAlign w:val="bottom"/>
            <w:hideMark/>
          </w:tcPr>
          <w:p w14:paraId="36FDD191" w14:textId="77777777" w:rsidR="00942045" w:rsidRPr="00D30847" w:rsidRDefault="00942045" w:rsidP="00942045">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425D7753"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16B78837"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417" w:type="dxa"/>
            <w:tcBorders>
              <w:top w:val="nil"/>
              <w:left w:val="single" w:sz="8" w:space="0" w:color="auto"/>
              <w:bottom w:val="single" w:sz="8" w:space="0" w:color="auto"/>
              <w:right w:val="nil"/>
            </w:tcBorders>
            <w:shd w:val="clear" w:color="auto" w:fill="auto"/>
            <w:vAlign w:val="center"/>
            <w:hideMark/>
          </w:tcPr>
          <w:p w14:paraId="19F17063"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611" w:type="dxa"/>
            <w:gridSpan w:val="3"/>
            <w:tcBorders>
              <w:top w:val="nil"/>
              <w:left w:val="nil"/>
              <w:bottom w:val="single" w:sz="8" w:space="0" w:color="auto"/>
              <w:right w:val="single" w:sz="8" w:space="0" w:color="auto"/>
            </w:tcBorders>
            <w:shd w:val="clear" w:color="auto" w:fill="auto"/>
            <w:vAlign w:val="center"/>
            <w:hideMark/>
          </w:tcPr>
          <w:p w14:paraId="5E71479A" w14:textId="541610E4" w:rsidR="00942045" w:rsidRPr="00D30847" w:rsidRDefault="00595060" w:rsidP="00942045">
            <w:pPr>
              <w:spacing w:after="0" w:line="240" w:lineRule="auto"/>
              <w:rPr>
                <w:rFonts w:eastAsia="Times New Roman" w:cs="Calibri"/>
                <w:sz w:val="16"/>
                <w:szCs w:val="16"/>
                <w:lang w:val="en-GB"/>
              </w:rPr>
            </w:pPr>
            <w:r w:rsidRPr="00D30847">
              <w:rPr>
                <w:rFonts w:eastAsia="Times New Roman" w:cs="Calibri"/>
                <w:sz w:val="16"/>
                <w:szCs w:val="16"/>
                <w:lang w:val="en-GB"/>
              </w:rPr>
              <w:t>Regular communication and coordination of Advisory group of the key institutions in the procurement system</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3AD4BD48" w14:textId="3B928846"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E6E40EF" w14:textId="55C28DCE"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36BDD922" w14:textId="26489C72" w:rsidR="00942045" w:rsidRPr="00D30847" w:rsidRDefault="00942045" w:rsidP="00942045">
            <w:pPr>
              <w:spacing w:after="0" w:line="240" w:lineRule="auto"/>
              <w:rPr>
                <w:rFonts w:eastAsia="Times New Roman" w:cs="Calibri"/>
                <w:color w:val="FF0000"/>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2C3FABB2" w14:textId="73F825C8" w:rsidR="00942045" w:rsidRPr="00D30847" w:rsidRDefault="00942045" w:rsidP="00942045">
            <w:pPr>
              <w:spacing w:after="0" w:line="240" w:lineRule="auto"/>
              <w:rPr>
                <w:rFonts w:eastAsia="Times New Roman" w:cs="Calibri"/>
                <w:color w:val="FF0000"/>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21AA83F0" w14:textId="3801E02F" w:rsidR="00942045" w:rsidRPr="00D30847" w:rsidRDefault="00942045" w:rsidP="00942045">
            <w:pPr>
              <w:spacing w:after="0" w:line="240" w:lineRule="auto"/>
              <w:rPr>
                <w:rFonts w:eastAsia="Times New Roman" w:cs="Calibri"/>
                <w:color w:val="FF0000"/>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2594517A" w14:textId="61E6AD7F" w:rsidR="00942045" w:rsidRPr="00D30847" w:rsidRDefault="00942045" w:rsidP="00942045">
            <w:pPr>
              <w:spacing w:after="0" w:line="240" w:lineRule="auto"/>
              <w:rPr>
                <w:rFonts w:eastAsia="Times New Roman" w:cs="Calibri"/>
                <w:color w:val="FF0000"/>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46066D24" w14:textId="7217A290" w:rsidR="00942045" w:rsidRPr="00D30847" w:rsidRDefault="00942045" w:rsidP="00942045">
            <w:pPr>
              <w:spacing w:after="0" w:line="240" w:lineRule="auto"/>
              <w:rPr>
                <w:rFonts w:eastAsia="Times New Roman" w:cs="Calibri"/>
                <w:color w:val="FF0000"/>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7F95E447" w14:textId="7E7A2824" w:rsidR="00942045" w:rsidRPr="00D30847" w:rsidRDefault="00942045" w:rsidP="00942045">
            <w:pPr>
              <w:spacing w:after="0" w:line="240" w:lineRule="auto"/>
              <w:rPr>
                <w:rFonts w:eastAsia="Times New Roman" w:cs="Calibri"/>
                <w:color w:val="FF0000"/>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34636EB5" w14:textId="0149D414" w:rsidR="00942045" w:rsidRPr="00D30847" w:rsidRDefault="00942045" w:rsidP="00942045">
            <w:pPr>
              <w:spacing w:after="0" w:line="240" w:lineRule="auto"/>
              <w:rPr>
                <w:rFonts w:eastAsia="Times New Roman" w:cs="Calibri"/>
                <w:color w:val="FF0000"/>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659AD36B" w14:textId="72772335" w:rsidR="00942045" w:rsidRPr="00D30847" w:rsidRDefault="00942045" w:rsidP="00942045">
            <w:pPr>
              <w:spacing w:after="0" w:line="240" w:lineRule="auto"/>
              <w:rPr>
                <w:rFonts w:eastAsia="Times New Roman" w:cs="Calibri"/>
                <w:color w:val="FF0000"/>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FAD9C83" w14:textId="7AE93FED" w:rsidR="00942045" w:rsidRPr="00D30847" w:rsidRDefault="00942045" w:rsidP="00942045">
            <w:pPr>
              <w:spacing w:after="0" w:line="240" w:lineRule="auto"/>
              <w:rPr>
                <w:rFonts w:eastAsia="Times New Roman" w:cs="Calibri"/>
                <w:color w:val="FF0000"/>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425A5C54" w14:textId="6543634D" w:rsidR="00942045" w:rsidRPr="00D30847" w:rsidRDefault="00942045" w:rsidP="00942045">
            <w:pPr>
              <w:spacing w:after="0" w:line="240" w:lineRule="auto"/>
              <w:rPr>
                <w:rFonts w:eastAsia="Times New Roman" w:cs="Calibri"/>
                <w:color w:val="FF0000"/>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1F94DD68" w14:textId="3351B15C" w:rsidR="00942045" w:rsidRPr="00D30847" w:rsidRDefault="00942045" w:rsidP="00942045">
            <w:pPr>
              <w:spacing w:after="0" w:line="240" w:lineRule="auto"/>
              <w:rPr>
                <w:rFonts w:eastAsia="Times New Roman" w:cs="Calibri"/>
                <w:color w:val="FF0000"/>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2CFE9EEC" w14:textId="12C6E081" w:rsidR="00942045" w:rsidRPr="00D30847" w:rsidRDefault="00942045" w:rsidP="00942045">
            <w:pPr>
              <w:spacing w:after="0" w:line="240" w:lineRule="auto"/>
              <w:rPr>
                <w:rFonts w:eastAsia="Times New Roman" w:cs="Calibri"/>
                <w:color w:val="FF0000"/>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3F2389CB" w14:textId="6AE826F4" w:rsidR="00942045" w:rsidRPr="00D30847" w:rsidRDefault="00942045" w:rsidP="00942045">
            <w:pPr>
              <w:spacing w:after="0" w:line="240" w:lineRule="auto"/>
              <w:rPr>
                <w:rFonts w:eastAsia="Times New Roman" w:cs="Calibri"/>
                <w:color w:val="FF0000"/>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516A0437" w14:textId="02CEB9A8" w:rsidR="00942045" w:rsidRPr="00D30847" w:rsidRDefault="00942045" w:rsidP="00942045">
            <w:pPr>
              <w:spacing w:after="0" w:line="240" w:lineRule="auto"/>
              <w:rPr>
                <w:rFonts w:eastAsia="Times New Roman" w:cs="Calibri"/>
                <w:color w:val="FF0000"/>
                <w:sz w:val="16"/>
                <w:szCs w:val="16"/>
                <w:lang w:val="en-GB"/>
              </w:rPr>
            </w:pPr>
            <w:r w:rsidRPr="00D30847">
              <w:rPr>
                <w:rFonts w:eastAsia="Times New Roman" w:cs="Calibri"/>
                <w:color w:val="FFFFFF"/>
                <w:sz w:val="16"/>
                <w:szCs w:val="16"/>
                <w:lang w:val="en-GB"/>
              </w:rPr>
              <w:t> </w:t>
            </w:r>
          </w:p>
        </w:tc>
      </w:tr>
      <w:tr w:rsidR="000331F8" w:rsidRPr="00D30847" w14:paraId="5CA07C89" w14:textId="77777777" w:rsidTr="00595060">
        <w:trPr>
          <w:trHeight w:val="693"/>
        </w:trPr>
        <w:tc>
          <w:tcPr>
            <w:tcW w:w="810" w:type="dxa"/>
            <w:gridSpan w:val="3"/>
            <w:tcBorders>
              <w:top w:val="nil"/>
              <w:left w:val="nil"/>
              <w:bottom w:val="nil"/>
              <w:right w:val="nil"/>
            </w:tcBorders>
            <w:shd w:val="clear" w:color="000000" w:fill="6FE7FF"/>
            <w:vAlign w:val="center"/>
            <w:hideMark/>
          </w:tcPr>
          <w:p w14:paraId="6991856C"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56" w:type="dxa"/>
            <w:tcBorders>
              <w:top w:val="nil"/>
              <w:left w:val="nil"/>
              <w:bottom w:val="nil"/>
              <w:right w:val="nil"/>
            </w:tcBorders>
            <w:shd w:val="clear" w:color="000000" w:fill="6FE7FF"/>
            <w:vAlign w:val="center"/>
            <w:hideMark/>
          </w:tcPr>
          <w:p w14:paraId="0EB870B4"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54C87584"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2.</w:t>
            </w:r>
          </w:p>
        </w:tc>
        <w:tc>
          <w:tcPr>
            <w:tcW w:w="1417" w:type="dxa"/>
            <w:tcBorders>
              <w:top w:val="nil"/>
              <w:left w:val="nil"/>
              <w:bottom w:val="single" w:sz="8" w:space="0" w:color="auto"/>
              <w:right w:val="nil"/>
            </w:tcBorders>
            <w:shd w:val="clear" w:color="000000" w:fill="6FE7FF"/>
            <w:vAlign w:val="center"/>
            <w:hideMark/>
          </w:tcPr>
          <w:p w14:paraId="295137C6"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611" w:type="dxa"/>
            <w:gridSpan w:val="3"/>
            <w:tcBorders>
              <w:top w:val="nil"/>
              <w:left w:val="nil"/>
              <w:bottom w:val="single" w:sz="8" w:space="0" w:color="auto"/>
              <w:right w:val="nil"/>
            </w:tcBorders>
            <w:shd w:val="clear" w:color="000000" w:fill="6FE7FF"/>
            <w:vAlign w:val="center"/>
            <w:hideMark/>
          </w:tcPr>
          <w:p w14:paraId="6F33162B" w14:textId="5541CB67" w:rsidR="004315B7" w:rsidRPr="00D30847" w:rsidRDefault="004315B7" w:rsidP="004315B7">
            <w:pPr>
              <w:spacing w:after="0" w:line="240" w:lineRule="auto"/>
              <w:rPr>
                <w:rFonts w:eastAsia="Times New Roman" w:cs="Calibri"/>
                <w:b/>
                <w:bCs/>
                <w:sz w:val="16"/>
                <w:szCs w:val="16"/>
                <w:lang w:val="en-GB"/>
              </w:rPr>
            </w:pPr>
            <w:r w:rsidRPr="00D30847">
              <w:rPr>
                <w:rFonts w:eastAsia="Times New Roman" w:cs="Calibri"/>
                <w:b/>
                <w:bCs/>
                <w:sz w:val="16"/>
                <w:szCs w:val="16"/>
                <w:lang w:val="en-GB"/>
              </w:rPr>
              <w:t xml:space="preserve">Improved </w:t>
            </w:r>
            <w:r w:rsidR="00595060" w:rsidRPr="00D30847">
              <w:rPr>
                <w:rFonts w:eastAsia="Times New Roman" w:cs="Calibri"/>
                <w:b/>
                <w:bCs/>
                <w:sz w:val="16"/>
                <w:szCs w:val="16"/>
                <w:lang w:val="en-GB"/>
              </w:rPr>
              <w:t>implementation of</w:t>
            </w:r>
            <w:r w:rsidRPr="00D30847">
              <w:rPr>
                <w:rFonts w:eastAsia="Times New Roman" w:cs="Calibri"/>
                <w:b/>
                <w:bCs/>
                <w:sz w:val="16"/>
                <w:szCs w:val="16"/>
                <w:lang w:val="en-GB"/>
              </w:rPr>
              <w:t xml:space="preserve"> the Law on Public Procurement </w:t>
            </w:r>
          </w:p>
          <w:p w14:paraId="2BD57335" w14:textId="116ABA61" w:rsidR="000331F8" w:rsidRPr="00D30847" w:rsidRDefault="000331F8" w:rsidP="00241538">
            <w:pPr>
              <w:spacing w:after="0" w:line="240" w:lineRule="auto"/>
              <w:rPr>
                <w:rFonts w:eastAsia="Times New Roman" w:cs="Calibri"/>
                <w:b/>
                <w:bCs/>
                <w:sz w:val="16"/>
                <w:szCs w:val="16"/>
                <w:lang w:val="en-GB"/>
              </w:rPr>
            </w:pPr>
          </w:p>
        </w:tc>
        <w:tc>
          <w:tcPr>
            <w:tcW w:w="630" w:type="dxa"/>
            <w:gridSpan w:val="3"/>
            <w:tcBorders>
              <w:top w:val="nil"/>
              <w:left w:val="nil"/>
              <w:bottom w:val="single" w:sz="8" w:space="0" w:color="auto"/>
              <w:right w:val="nil"/>
            </w:tcBorders>
            <w:shd w:val="clear" w:color="000000" w:fill="6FE7FF"/>
            <w:vAlign w:val="center"/>
            <w:hideMark/>
          </w:tcPr>
          <w:p w14:paraId="36B18EA6"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54BA3A57"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10" w:type="dxa"/>
            <w:gridSpan w:val="3"/>
            <w:tcBorders>
              <w:top w:val="nil"/>
              <w:left w:val="nil"/>
              <w:bottom w:val="single" w:sz="8" w:space="0" w:color="auto"/>
              <w:right w:val="nil"/>
            </w:tcBorders>
            <w:shd w:val="clear" w:color="000000" w:fill="6FE7FF"/>
            <w:vAlign w:val="center"/>
            <w:hideMark/>
          </w:tcPr>
          <w:p w14:paraId="075CF2C0"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13D96CBF"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172D8952"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48F9CF87"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329B457C"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4"/>
            <w:tcBorders>
              <w:top w:val="nil"/>
              <w:left w:val="nil"/>
              <w:bottom w:val="single" w:sz="8" w:space="0" w:color="auto"/>
              <w:right w:val="nil"/>
            </w:tcBorders>
            <w:shd w:val="clear" w:color="000000" w:fill="6FE7FF"/>
            <w:vAlign w:val="center"/>
            <w:hideMark/>
          </w:tcPr>
          <w:p w14:paraId="09C57EEA"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78A29AD1"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111A2C87"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342B0066"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70BB1C39"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5536A85F"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2CE6337B"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1651CFE6"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tcBorders>
              <w:top w:val="nil"/>
              <w:left w:val="nil"/>
              <w:bottom w:val="single" w:sz="8" w:space="0" w:color="auto"/>
              <w:right w:val="nil"/>
            </w:tcBorders>
            <w:shd w:val="clear" w:color="000000" w:fill="6FE7FF"/>
            <w:vAlign w:val="center"/>
            <w:hideMark/>
          </w:tcPr>
          <w:p w14:paraId="5BA178B4"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0331F8" w:rsidRPr="00D30847" w14:paraId="26C03B86" w14:textId="77777777" w:rsidTr="00595060">
        <w:trPr>
          <w:trHeight w:val="70"/>
        </w:trPr>
        <w:tc>
          <w:tcPr>
            <w:tcW w:w="810" w:type="dxa"/>
            <w:gridSpan w:val="3"/>
            <w:tcBorders>
              <w:top w:val="nil"/>
              <w:left w:val="nil"/>
              <w:bottom w:val="nil"/>
              <w:right w:val="nil"/>
            </w:tcBorders>
            <w:shd w:val="clear" w:color="auto" w:fill="auto"/>
            <w:vAlign w:val="bottom"/>
          </w:tcPr>
          <w:p w14:paraId="13D68A3C" w14:textId="77777777" w:rsidR="000331F8" w:rsidRPr="00D30847" w:rsidRDefault="000331F8" w:rsidP="00241538">
            <w:pPr>
              <w:spacing w:after="0" w:line="240" w:lineRule="auto"/>
              <w:jc w:val="center"/>
              <w:rPr>
                <w:rFonts w:eastAsia="Times New Roman" w:cs="Calibri"/>
                <w:color w:val="FF0000"/>
                <w:sz w:val="16"/>
                <w:szCs w:val="16"/>
                <w:lang w:val="en-GB"/>
              </w:rPr>
            </w:pPr>
          </w:p>
        </w:tc>
        <w:tc>
          <w:tcPr>
            <w:tcW w:w="960" w:type="dxa"/>
            <w:gridSpan w:val="2"/>
            <w:tcBorders>
              <w:top w:val="nil"/>
              <w:left w:val="nil"/>
              <w:bottom w:val="nil"/>
              <w:right w:val="nil"/>
            </w:tcBorders>
            <w:shd w:val="clear" w:color="auto" w:fill="auto"/>
            <w:vAlign w:val="bottom"/>
          </w:tcPr>
          <w:p w14:paraId="2881D9F1" w14:textId="77777777" w:rsidR="000331F8" w:rsidRPr="00D30847" w:rsidRDefault="000331F8" w:rsidP="00241538">
            <w:pPr>
              <w:spacing w:after="0" w:line="240" w:lineRule="auto"/>
              <w:rPr>
                <w:rFonts w:ascii="Times New Roman" w:eastAsia="Times New Roman" w:hAnsi="Times New Roman"/>
                <w:sz w:val="16"/>
                <w:szCs w:val="16"/>
                <w:lang w:val="en-GB"/>
              </w:rPr>
            </w:pPr>
          </w:p>
        </w:tc>
        <w:tc>
          <w:tcPr>
            <w:tcW w:w="672" w:type="dxa"/>
            <w:tcBorders>
              <w:top w:val="nil"/>
              <w:left w:val="nil"/>
              <w:bottom w:val="nil"/>
              <w:right w:val="single" w:sz="8" w:space="0" w:color="auto"/>
            </w:tcBorders>
            <w:shd w:val="clear" w:color="auto" w:fill="auto"/>
            <w:vAlign w:val="bottom"/>
          </w:tcPr>
          <w:p w14:paraId="1892CA98" w14:textId="77777777" w:rsidR="000331F8" w:rsidRPr="00D30847" w:rsidRDefault="000331F8" w:rsidP="00241538">
            <w:pPr>
              <w:spacing w:after="0" w:line="240" w:lineRule="auto"/>
              <w:rPr>
                <w:rFonts w:eastAsia="Times New Roman" w:cs="Calibri"/>
                <w:sz w:val="16"/>
                <w:szCs w:val="16"/>
                <w:lang w:val="en-GB"/>
              </w:rPr>
            </w:pPr>
          </w:p>
        </w:tc>
        <w:tc>
          <w:tcPr>
            <w:tcW w:w="1417" w:type="dxa"/>
            <w:tcBorders>
              <w:top w:val="nil"/>
              <w:left w:val="nil"/>
              <w:bottom w:val="single" w:sz="8" w:space="0" w:color="auto"/>
              <w:right w:val="nil"/>
            </w:tcBorders>
            <w:shd w:val="clear" w:color="auto" w:fill="auto"/>
            <w:vAlign w:val="center"/>
          </w:tcPr>
          <w:p w14:paraId="5272ED1A" w14:textId="77777777" w:rsidR="000331F8" w:rsidRPr="00D30847" w:rsidRDefault="000331F8" w:rsidP="00241538">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611" w:type="dxa"/>
            <w:gridSpan w:val="3"/>
            <w:tcBorders>
              <w:top w:val="single" w:sz="8" w:space="0" w:color="auto"/>
              <w:left w:val="nil"/>
              <w:bottom w:val="single" w:sz="8" w:space="0" w:color="auto"/>
              <w:right w:val="single" w:sz="4" w:space="0" w:color="auto"/>
            </w:tcBorders>
            <w:shd w:val="clear" w:color="auto" w:fill="auto"/>
            <w:vAlign w:val="center"/>
          </w:tcPr>
          <w:p w14:paraId="1DFEEE04" w14:textId="66153E0C" w:rsidR="000331F8" w:rsidRPr="00D30847" w:rsidRDefault="004315B7" w:rsidP="00E91268">
            <w:pPr>
              <w:spacing w:after="0" w:line="240" w:lineRule="auto"/>
              <w:rPr>
                <w:rFonts w:eastAsia="Times New Roman" w:cs="Calibri"/>
                <w:sz w:val="16"/>
                <w:szCs w:val="16"/>
                <w:lang w:val="en-GB"/>
              </w:rPr>
            </w:pPr>
            <w:r w:rsidRPr="00D30847">
              <w:rPr>
                <w:rFonts w:eastAsia="Times New Roman" w:cs="Calibri"/>
                <w:sz w:val="16"/>
                <w:szCs w:val="16"/>
                <w:lang w:val="en-GB"/>
              </w:rPr>
              <w:t xml:space="preserve">Development of guides and tools for support of contracting authorities in improved implementation of the Law on Public Procurement </w:t>
            </w:r>
          </w:p>
        </w:tc>
        <w:tc>
          <w:tcPr>
            <w:tcW w:w="630" w:type="dxa"/>
            <w:gridSpan w:val="3"/>
            <w:tcBorders>
              <w:top w:val="nil"/>
              <w:left w:val="single" w:sz="4" w:space="0" w:color="auto"/>
              <w:bottom w:val="single" w:sz="8" w:space="0" w:color="auto"/>
              <w:right w:val="single" w:sz="8" w:space="0" w:color="auto"/>
            </w:tcBorders>
            <w:shd w:val="clear" w:color="000000" w:fill="0000FF"/>
            <w:vAlign w:val="center"/>
          </w:tcPr>
          <w:p w14:paraId="57FDD4B0" w14:textId="77777777" w:rsidR="000331F8" w:rsidRPr="00D30847" w:rsidRDefault="000331F8" w:rsidP="00241538">
            <w:pPr>
              <w:spacing w:after="0" w:line="240" w:lineRule="auto"/>
              <w:jc w:val="center"/>
              <w:rPr>
                <w:rFonts w:eastAsia="Times New Roman" w:cs="Calibri"/>
                <w:color w:val="FFFFFF"/>
                <w:sz w:val="16"/>
                <w:szCs w:val="16"/>
                <w:lang w:val="en-GB"/>
              </w:rPr>
            </w:pPr>
          </w:p>
        </w:tc>
        <w:tc>
          <w:tcPr>
            <w:tcW w:w="450" w:type="dxa"/>
            <w:gridSpan w:val="2"/>
            <w:tcBorders>
              <w:top w:val="nil"/>
              <w:left w:val="nil"/>
              <w:bottom w:val="single" w:sz="8" w:space="0" w:color="auto"/>
              <w:right w:val="single" w:sz="8" w:space="0" w:color="auto"/>
            </w:tcBorders>
            <w:shd w:val="clear" w:color="000000" w:fill="0000FF"/>
            <w:vAlign w:val="center"/>
          </w:tcPr>
          <w:p w14:paraId="3FD5377C" w14:textId="77777777" w:rsidR="000331F8" w:rsidRPr="00D30847" w:rsidRDefault="000331F8" w:rsidP="00241538">
            <w:pPr>
              <w:spacing w:after="0" w:line="240" w:lineRule="auto"/>
              <w:jc w:val="center"/>
              <w:rPr>
                <w:rFonts w:eastAsia="Times New Roman" w:cs="Calibri"/>
                <w:color w:val="FFFFFF"/>
                <w:sz w:val="16"/>
                <w:szCs w:val="16"/>
                <w:lang w:val="en-GB"/>
              </w:rPr>
            </w:pPr>
          </w:p>
        </w:tc>
        <w:tc>
          <w:tcPr>
            <w:tcW w:w="510" w:type="dxa"/>
            <w:gridSpan w:val="3"/>
            <w:tcBorders>
              <w:top w:val="nil"/>
              <w:left w:val="nil"/>
              <w:bottom w:val="single" w:sz="8" w:space="0" w:color="auto"/>
              <w:right w:val="single" w:sz="8" w:space="0" w:color="auto"/>
            </w:tcBorders>
            <w:shd w:val="clear" w:color="000000" w:fill="0000FF"/>
            <w:vAlign w:val="center"/>
          </w:tcPr>
          <w:p w14:paraId="71BE57D3" w14:textId="77777777" w:rsidR="000331F8" w:rsidRPr="00D30847" w:rsidRDefault="000331F8" w:rsidP="00241538">
            <w:pPr>
              <w:spacing w:after="0" w:line="240" w:lineRule="auto"/>
              <w:jc w:val="center"/>
              <w:rPr>
                <w:rFonts w:eastAsia="Times New Roman" w:cs="Calibri"/>
                <w:color w:val="FFFFFF"/>
                <w:sz w:val="16"/>
                <w:szCs w:val="16"/>
                <w:lang w:val="en-GB"/>
              </w:rPr>
            </w:pPr>
          </w:p>
        </w:tc>
        <w:tc>
          <w:tcPr>
            <w:tcW w:w="480" w:type="dxa"/>
            <w:gridSpan w:val="3"/>
            <w:tcBorders>
              <w:top w:val="nil"/>
              <w:left w:val="nil"/>
              <w:bottom w:val="single" w:sz="8" w:space="0" w:color="auto"/>
              <w:right w:val="single" w:sz="8" w:space="0" w:color="auto"/>
            </w:tcBorders>
            <w:shd w:val="clear" w:color="000000" w:fill="0000FF"/>
            <w:vAlign w:val="center"/>
          </w:tcPr>
          <w:p w14:paraId="2E3C3A4E" w14:textId="77777777" w:rsidR="000331F8" w:rsidRPr="00D30847" w:rsidRDefault="000331F8" w:rsidP="00241538">
            <w:pPr>
              <w:spacing w:after="0" w:line="240" w:lineRule="auto"/>
              <w:jc w:val="center"/>
              <w:rPr>
                <w:rFonts w:eastAsia="Times New Roman" w:cs="Calibri"/>
                <w:color w:val="FFFFFF"/>
                <w:sz w:val="16"/>
                <w:szCs w:val="16"/>
                <w:lang w:val="en-GB"/>
              </w:rPr>
            </w:pPr>
          </w:p>
        </w:tc>
        <w:tc>
          <w:tcPr>
            <w:tcW w:w="450" w:type="dxa"/>
            <w:gridSpan w:val="2"/>
            <w:tcBorders>
              <w:top w:val="nil"/>
              <w:left w:val="nil"/>
              <w:bottom w:val="single" w:sz="8" w:space="0" w:color="auto"/>
              <w:right w:val="single" w:sz="8" w:space="0" w:color="auto"/>
            </w:tcBorders>
            <w:shd w:val="clear" w:color="000000" w:fill="0000FF"/>
            <w:vAlign w:val="center"/>
          </w:tcPr>
          <w:p w14:paraId="57959787" w14:textId="77777777" w:rsidR="000331F8" w:rsidRPr="00D30847" w:rsidRDefault="000331F8" w:rsidP="00241538">
            <w:pPr>
              <w:spacing w:after="0" w:line="240" w:lineRule="auto"/>
              <w:jc w:val="center"/>
              <w:rPr>
                <w:rFonts w:eastAsia="Times New Roman" w:cs="Calibri"/>
                <w:color w:val="FFFFFF"/>
                <w:sz w:val="16"/>
                <w:szCs w:val="16"/>
                <w:lang w:val="en-GB"/>
              </w:rPr>
            </w:pPr>
          </w:p>
        </w:tc>
        <w:tc>
          <w:tcPr>
            <w:tcW w:w="540" w:type="dxa"/>
            <w:gridSpan w:val="3"/>
            <w:tcBorders>
              <w:top w:val="nil"/>
              <w:left w:val="nil"/>
              <w:bottom w:val="single" w:sz="8" w:space="0" w:color="auto"/>
              <w:right w:val="single" w:sz="8" w:space="0" w:color="auto"/>
            </w:tcBorders>
            <w:shd w:val="clear" w:color="000000" w:fill="0000FF"/>
            <w:vAlign w:val="center"/>
          </w:tcPr>
          <w:p w14:paraId="20E3040A" w14:textId="77777777" w:rsidR="000331F8" w:rsidRPr="00D30847" w:rsidRDefault="000331F8" w:rsidP="00241538">
            <w:pPr>
              <w:spacing w:after="0" w:line="240" w:lineRule="auto"/>
              <w:jc w:val="center"/>
              <w:rPr>
                <w:rFonts w:eastAsia="Times New Roman" w:cs="Calibri"/>
                <w:color w:val="FFFFFF"/>
                <w:sz w:val="16"/>
                <w:szCs w:val="16"/>
                <w:lang w:val="en-GB"/>
              </w:rPr>
            </w:pPr>
          </w:p>
        </w:tc>
        <w:tc>
          <w:tcPr>
            <w:tcW w:w="450" w:type="dxa"/>
            <w:gridSpan w:val="3"/>
            <w:tcBorders>
              <w:top w:val="nil"/>
              <w:left w:val="nil"/>
              <w:bottom w:val="single" w:sz="8" w:space="0" w:color="auto"/>
              <w:right w:val="single" w:sz="8" w:space="0" w:color="auto"/>
            </w:tcBorders>
            <w:shd w:val="clear" w:color="000000" w:fill="0000FF"/>
            <w:vAlign w:val="center"/>
          </w:tcPr>
          <w:p w14:paraId="401EBFFC" w14:textId="77777777" w:rsidR="000331F8" w:rsidRPr="00D30847" w:rsidRDefault="000331F8" w:rsidP="00241538">
            <w:pPr>
              <w:spacing w:after="0" w:line="240" w:lineRule="auto"/>
              <w:jc w:val="center"/>
              <w:rPr>
                <w:rFonts w:eastAsia="Times New Roman" w:cs="Calibri"/>
                <w:color w:val="FFFFFF"/>
                <w:sz w:val="16"/>
                <w:szCs w:val="16"/>
                <w:lang w:val="en-GB"/>
              </w:rPr>
            </w:pPr>
          </w:p>
        </w:tc>
        <w:tc>
          <w:tcPr>
            <w:tcW w:w="540" w:type="dxa"/>
            <w:gridSpan w:val="4"/>
            <w:tcBorders>
              <w:top w:val="nil"/>
              <w:left w:val="nil"/>
              <w:bottom w:val="single" w:sz="8" w:space="0" w:color="auto"/>
              <w:right w:val="single" w:sz="8" w:space="0" w:color="auto"/>
            </w:tcBorders>
            <w:shd w:val="clear" w:color="000000" w:fill="0000FF"/>
            <w:vAlign w:val="center"/>
          </w:tcPr>
          <w:p w14:paraId="76B803E8" w14:textId="77777777" w:rsidR="000331F8" w:rsidRPr="00D30847" w:rsidRDefault="000331F8" w:rsidP="00241538">
            <w:pPr>
              <w:spacing w:after="0" w:line="240" w:lineRule="auto"/>
              <w:jc w:val="center"/>
              <w:rPr>
                <w:rFonts w:eastAsia="Times New Roman" w:cs="Calibri"/>
                <w:color w:val="FFFFFF"/>
                <w:sz w:val="16"/>
                <w:szCs w:val="16"/>
                <w:lang w:val="en-GB"/>
              </w:rPr>
            </w:pPr>
          </w:p>
        </w:tc>
        <w:tc>
          <w:tcPr>
            <w:tcW w:w="450" w:type="dxa"/>
            <w:gridSpan w:val="3"/>
            <w:tcBorders>
              <w:top w:val="nil"/>
              <w:left w:val="nil"/>
              <w:bottom w:val="single" w:sz="8" w:space="0" w:color="auto"/>
              <w:right w:val="single" w:sz="8" w:space="0" w:color="auto"/>
            </w:tcBorders>
            <w:shd w:val="clear" w:color="000000" w:fill="FFFFFF"/>
            <w:vAlign w:val="center"/>
          </w:tcPr>
          <w:p w14:paraId="0C7AC190" w14:textId="77777777" w:rsidR="000331F8" w:rsidRPr="00D30847" w:rsidRDefault="000331F8" w:rsidP="00241538">
            <w:pPr>
              <w:spacing w:after="0" w:line="240" w:lineRule="auto"/>
              <w:jc w:val="center"/>
              <w:rPr>
                <w:rFonts w:eastAsia="Times New Roman" w:cs="Calibri"/>
                <w:color w:val="FF0000"/>
                <w:sz w:val="16"/>
                <w:szCs w:val="16"/>
                <w:lang w:val="en-GB"/>
              </w:rPr>
            </w:pPr>
          </w:p>
        </w:tc>
        <w:tc>
          <w:tcPr>
            <w:tcW w:w="450" w:type="dxa"/>
            <w:gridSpan w:val="3"/>
            <w:tcBorders>
              <w:top w:val="nil"/>
              <w:left w:val="nil"/>
              <w:bottom w:val="single" w:sz="8" w:space="0" w:color="auto"/>
              <w:right w:val="single" w:sz="8" w:space="0" w:color="auto"/>
            </w:tcBorders>
            <w:shd w:val="clear" w:color="000000" w:fill="FFFFFF"/>
            <w:vAlign w:val="center"/>
          </w:tcPr>
          <w:p w14:paraId="5C60628A" w14:textId="77777777" w:rsidR="000331F8" w:rsidRPr="00D30847" w:rsidRDefault="000331F8" w:rsidP="00241538">
            <w:pPr>
              <w:spacing w:after="0" w:line="240" w:lineRule="auto"/>
              <w:jc w:val="center"/>
              <w:rPr>
                <w:rFonts w:eastAsia="Times New Roman" w:cs="Calibri"/>
                <w:color w:val="FF0000"/>
                <w:sz w:val="16"/>
                <w:szCs w:val="16"/>
                <w:lang w:val="en-GB"/>
              </w:rPr>
            </w:pPr>
          </w:p>
        </w:tc>
        <w:tc>
          <w:tcPr>
            <w:tcW w:w="450" w:type="dxa"/>
            <w:gridSpan w:val="2"/>
            <w:tcBorders>
              <w:top w:val="nil"/>
              <w:left w:val="nil"/>
              <w:bottom w:val="single" w:sz="8" w:space="0" w:color="auto"/>
              <w:right w:val="single" w:sz="8" w:space="0" w:color="auto"/>
            </w:tcBorders>
            <w:shd w:val="clear" w:color="000000" w:fill="FFFFFF"/>
            <w:vAlign w:val="center"/>
          </w:tcPr>
          <w:p w14:paraId="78B12EEE" w14:textId="77777777" w:rsidR="000331F8" w:rsidRPr="00D30847" w:rsidRDefault="000331F8" w:rsidP="00241538">
            <w:pPr>
              <w:spacing w:after="0" w:line="240" w:lineRule="auto"/>
              <w:jc w:val="center"/>
              <w:rPr>
                <w:rFonts w:eastAsia="Times New Roman" w:cs="Calibri"/>
                <w:color w:val="FF0000"/>
                <w:sz w:val="16"/>
                <w:szCs w:val="16"/>
                <w:lang w:val="en-GB"/>
              </w:rPr>
            </w:pPr>
          </w:p>
        </w:tc>
        <w:tc>
          <w:tcPr>
            <w:tcW w:w="450" w:type="dxa"/>
            <w:gridSpan w:val="4"/>
            <w:tcBorders>
              <w:top w:val="nil"/>
              <w:left w:val="nil"/>
              <w:bottom w:val="single" w:sz="8" w:space="0" w:color="auto"/>
              <w:right w:val="single" w:sz="8" w:space="0" w:color="auto"/>
            </w:tcBorders>
            <w:shd w:val="clear" w:color="000000" w:fill="FFFFFF"/>
            <w:vAlign w:val="center"/>
          </w:tcPr>
          <w:p w14:paraId="406268C1" w14:textId="77777777" w:rsidR="000331F8" w:rsidRPr="00D30847" w:rsidRDefault="000331F8" w:rsidP="00241538">
            <w:pPr>
              <w:spacing w:after="0" w:line="240" w:lineRule="auto"/>
              <w:jc w:val="center"/>
              <w:rPr>
                <w:rFonts w:eastAsia="Times New Roman" w:cs="Calibri"/>
                <w:color w:val="FF0000"/>
                <w:sz w:val="16"/>
                <w:szCs w:val="16"/>
                <w:lang w:val="en-GB"/>
              </w:rPr>
            </w:pPr>
          </w:p>
        </w:tc>
        <w:tc>
          <w:tcPr>
            <w:tcW w:w="450" w:type="dxa"/>
            <w:gridSpan w:val="3"/>
            <w:tcBorders>
              <w:top w:val="nil"/>
              <w:left w:val="nil"/>
              <w:bottom w:val="single" w:sz="8" w:space="0" w:color="auto"/>
              <w:right w:val="single" w:sz="8" w:space="0" w:color="auto"/>
            </w:tcBorders>
            <w:shd w:val="clear" w:color="000000" w:fill="FFFFFF"/>
            <w:vAlign w:val="center"/>
          </w:tcPr>
          <w:p w14:paraId="1A599D8A" w14:textId="77777777" w:rsidR="000331F8" w:rsidRPr="00D30847" w:rsidRDefault="000331F8" w:rsidP="00241538">
            <w:pPr>
              <w:spacing w:after="0" w:line="240" w:lineRule="auto"/>
              <w:jc w:val="center"/>
              <w:rPr>
                <w:rFonts w:eastAsia="Times New Roman" w:cs="Calibri"/>
                <w:color w:val="FF0000"/>
                <w:sz w:val="16"/>
                <w:szCs w:val="16"/>
                <w:lang w:val="en-GB"/>
              </w:rPr>
            </w:pPr>
          </w:p>
        </w:tc>
        <w:tc>
          <w:tcPr>
            <w:tcW w:w="450" w:type="dxa"/>
            <w:gridSpan w:val="3"/>
            <w:tcBorders>
              <w:top w:val="nil"/>
              <w:left w:val="nil"/>
              <w:bottom w:val="single" w:sz="8" w:space="0" w:color="auto"/>
              <w:right w:val="single" w:sz="8" w:space="0" w:color="auto"/>
            </w:tcBorders>
            <w:shd w:val="clear" w:color="000000" w:fill="FFFFFF"/>
            <w:vAlign w:val="center"/>
          </w:tcPr>
          <w:p w14:paraId="7AFD8069" w14:textId="77777777" w:rsidR="000331F8" w:rsidRPr="00D30847" w:rsidRDefault="000331F8" w:rsidP="00241538">
            <w:pPr>
              <w:spacing w:after="0" w:line="240" w:lineRule="auto"/>
              <w:jc w:val="center"/>
              <w:rPr>
                <w:rFonts w:eastAsia="Times New Roman" w:cs="Calibri"/>
                <w:color w:val="FF0000"/>
                <w:sz w:val="16"/>
                <w:szCs w:val="16"/>
                <w:lang w:val="en-GB"/>
              </w:rPr>
            </w:pPr>
          </w:p>
        </w:tc>
        <w:tc>
          <w:tcPr>
            <w:tcW w:w="450" w:type="dxa"/>
            <w:gridSpan w:val="3"/>
            <w:tcBorders>
              <w:top w:val="nil"/>
              <w:left w:val="nil"/>
              <w:bottom w:val="single" w:sz="8" w:space="0" w:color="auto"/>
              <w:right w:val="single" w:sz="8" w:space="0" w:color="auto"/>
            </w:tcBorders>
            <w:shd w:val="clear" w:color="000000" w:fill="FFFFFF"/>
            <w:vAlign w:val="center"/>
          </w:tcPr>
          <w:p w14:paraId="6A342EB5" w14:textId="77777777" w:rsidR="000331F8" w:rsidRPr="00D30847" w:rsidRDefault="000331F8" w:rsidP="00241538">
            <w:pPr>
              <w:spacing w:after="0" w:line="240" w:lineRule="auto"/>
              <w:jc w:val="center"/>
              <w:rPr>
                <w:rFonts w:eastAsia="Times New Roman" w:cs="Calibri"/>
                <w:color w:val="FF0000"/>
                <w:sz w:val="16"/>
                <w:szCs w:val="16"/>
                <w:lang w:val="en-GB"/>
              </w:rPr>
            </w:pPr>
          </w:p>
        </w:tc>
        <w:tc>
          <w:tcPr>
            <w:tcW w:w="540" w:type="dxa"/>
            <w:tcBorders>
              <w:top w:val="nil"/>
              <w:left w:val="nil"/>
              <w:bottom w:val="single" w:sz="8" w:space="0" w:color="auto"/>
              <w:right w:val="single" w:sz="8" w:space="0" w:color="auto"/>
            </w:tcBorders>
            <w:shd w:val="clear" w:color="000000" w:fill="FFFFFF"/>
            <w:vAlign w:val="center"/>
          </w:tcPr>
          <w:p w14:paraId="6EF0CB9D" w14:textId="77777777" w:rsidR="000331F8" w:rsidRPr="00D30847" w:rsidRDefault="000331F8" w:rsidP="00241538">
            <w:pPr>
              <w:spacing w:after="0" w:line="240" w:lineRule="auto"/>
              <w:jc w:val="center"/>
              <w:rPr>
                <w:rFonts w:eastAsia="Times New Roman" w:cs="Calibri"/>
                <w:color w:val="FF0000"/>
                <w:sz w:val="16"/>
                <w:szCs w:val="16"/>
                <w:lang w:val="en-GB"/>
              </w:rPr>
            </w:pPr>
          </w:p>
        </w:tc>
      </w:tr>
      <w:tr w:rsidR="000331F8" w:rsidRPr="00D30847" w14:paraId="76A29DFB" w14:textId="77777777" w:rsidTr="00595060">
        <w:trPr>
          <w:trHeight w:val="693"/>
        </w:trPr>
        <w:tc>
          <w:tcPr>
            <w:tcW w:w="810" w:type="dxa"/>
            <w:gridSpan w:val="3"/>
            <w:tcBorders>
              <w:top w:val="nil"/>
              <w:left w:val="nil"/>
              <w:bottom w:val="nil"/>
              <w:right w:val="nil"/>
            </w:tcBorders>
            <w:shd w:val="clear" w:color="000000" w:fill="6FE7FF"/>
            <w:vAlign w:val="center"/>
            <w:hideMark/>
          </w:tcPr>
          <w:p w14:paraId="37B85654"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56" w:type="dxa"/>
            <w:tcBorders>
              <w:top w:val="nil"/>
              <w:left w:val="nil"/>
              <w:bottom w:val="nil"/>
              <w:right w:val="nil"/>
            </w:tcBorders>
            <w:shd w:val="clear" w:color="000000" w:fill="6FE7FF"/>
            <w:vAlign w:val="center"/>
            <w:hideMark/>
          </w:tcPr>
          <w:p w14:paraId="35D49568"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377475CC"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3.</w:t>
            </w:r>
          </w:p>
        </w:tc>
        <w:tc>
          <w:tcPr>
            <w:tcW w:w="1417" w:type="dxa"/>
            <w:tcBorders>
              <w:top w:val="nil"/>
              <w:left w:val="nil"/>
              <w:bottom w:val="single" w:sz="8" w:space="0" w:color="auto"/>
              <w:right w:val="nil"/>
            </w:tcBorders>
            <w:shd w:val="clear" w:color="000000" w:fill="6FE7FF"/>
            <w:vAlign w:val="center"/>
            <w:hideMark/>
          </w:tcPr>
          <w:p w14:paraId="09D7E3BC"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611" w:type="dxa"/>
            <w:gridSpan w:val="3"/>
            <w:tcBorders>
              <w:top w:val="nil"/>
              <w:left w:val="nil"/>
              <w:bottom w:val="single" w:sz="8" w:space="0" w:color="auto"/>
              <w:right w:val="nil"/>
            </w:tcBorders>
            <w:shd w:val="clear" w:color="000000" w:fill="6FE7FF"/>
            <w:vAlign w:val="center"/>
            <w:hideMark/>
          </w:tcPr>
          <w:p w14:paraId="3A4867DB"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Introducing new system for education within PPB</w:t>
            </w:r>
          </w:p>
        </w:tc>
        <w:tc>
          <w:tcPr>
            <w:tcW w:w="630" w:type="dxa"/>
            <w:gridSpan w:val="3"/>
            <w:tcBorders>
              <w:top w:val="nil"/>
              <w:left w:val="nil"/>
              <w:bottom w:val="single" w:sz="8" w:space="0" w:color="auto"/>
              <w:right w:val="nil"/>
            </w:tcBorders>
            <w:shd w:val="clear" w:color="000000" w:fill="6FE7FF"/>
            <w:vAlign w:val="center"/>
            <w:hideMark/>
          </w:tcPr>
          <w:p w14:paraId="06C51E1E"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53212B68"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10" w:type="dxa"/>
            <w:gridSpan w:val="3"/>
            <w:tcBorders>
              <w:top w:val="nil"/>
              <w:left w:val="nil"/>
              <w:bottom w:val="single" w:sz="8" w:space="0" w:color="auto"/>
              <w:right w:val="nil"/>
            </w:tcBorders>
            <w:shd w:val="clear" w:color="000000" w:fill="6FE7FF"/>
            <w:vAlign w:val="center"/>
            <w:hideMark/>
          </w:tcPr>
          <w:p w14:paraId="3A8B0BB3"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034CA07B"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2DB548FB"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1EBD84CD"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679C7F1E"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4"/>
            <w:tcBorders>
              <w:top w:val="nil"/>
              <w:left w:val="nil"/>
              <w:bottom w:val="single" w:sz="8" w:space="0" w:color="auto"/>
              <w:right w:val="nil"/>
            </w:tcBorders>
            <w:shd w:val="clear" w:color="000000" w:fill="6FE7FF"/>
            <w:vAlign w:val="center"/>
            <w:hideMark/>
          </w:tcPr>
          <w:p w14:paraId="79C58925"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2A2B5C2F"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5C7C47C5"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26DA4276"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1E345FF1"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5A51676F"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7FF9E0B7"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302ED30E"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tcBorders>
              <w:top w:val="nil"/>
              <w:left w:val="nil"/>
              <w:bottom w:val="single" w:sz="8" w:space="0" w:color="auto"/>
              <w:right w:val="nil"/>
            </w:tcBorders>
            <w:shd w:val="clear" w:color="000000" w:fill="6FE7FF"/>
            <w:vAlign w:val="center"/>
            <w:hideMark/>
          </w:tcPr>
          <w:p w14:paraId="0F637C42" w14:textId="77777777" w:rsidR="000331F8" w:rsidRPr="00D30847" w:rsidRDefault="000331F8" w:rsidP="00241538">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0331F8" w:rsidRPr="00D30847" w14:paraId="7B965F85" w14:textId="77777777" w:rsidTr="00E91268">
        <w:trPr>
          <w:trHeight w:val="376"/>
        </w:trPr>
        <w:tc>
          <w:tcPr>
            <w:tcW w:w="810" w:type="dxa"/>
            <w:gridSpan w:val="3"/>
            <w:tcBorders>
              <w:top w:val="nil"/>
              <w:left w:val="nil"/>
              <w:bottom w:val="nil"/>
              <w:right w:val="nil"/>
            </w:tcBorders>
            <w:shd w:val="clear" w:color="auto" w:fill="auto"/>
            <w:vAlign w:val="bottom"/>
          </w:tcPr>
          <w:p w14:paraId="57939441" w14:textId="77777777" w:rsidR="000331F8" w:rsidRPr="00D30847" w:rsidRDefault="000331F8" w:rsidP="00241538">
            <w:pPr>
              <w:spacing w:after="0" w:line="240" w:lineRule="auto"/>
              <w:jc w:val="center"/>
              <w:rPr>
                <w:rFonts w:eastAsia="Times New Roman" w:cs="Calibri"/>
                <w:color w:val="FF0000"/>
                <w:sz w:val="16"/>
                <w:szCs w:val="16"/>
                <w:lang w:val="en-GB"/>
              </w:rPr>
            </w:pPr>
          </w:p>
        </w:tc>
        <w:tc>
          <w:tcPr>
            <w:tcW w:w="960" w:type="dxa"/>
            <w:gridSpan w:val="2"/>
            <w:tcBorders>
              <w:top w:val="nil"/>
              <w:left w:val="nil"/>
              <w:bottom w:val="nil"/>
              <w:right w:val="nil"/>
            </w:tcBorders>
            <w:shd w:val="clear" w:color="auto" w:fill="auto"/>
            <w:vAlign w:val="bottom"/>
          </w:tcPr>
          <w:p w14:paraId="53AB5502" w14:textId="77777777" w:rsidR="000331F8" w:rsidRPr="00D30847" w:rsidRDefault="000331F8" w:rsidP="00241538">
            <w:pPr>
              <w:spacing w:after="0" w:line="240" w:lineRule="auto"/>
              <w:rPr>
                <w:rFonts w:ascii="Times New Roman" w:eastAsia="Times New Roman" w:hAnsi="Times New Roman"/>
                <w:sz w:val="16"/>
                <w:szCs w:val="16"/>
                <w:lang w:val="en-GB"/>
              </w:rPr>
            </w:pPr>
          </w:p>
        </w:tc>
        <w:tc>
          <w:tcPr>
            <w:tcW w:w="672" w:type="dxa"/>
            <w:tcBorders>
              <w:top w:val="nil"/>
              <w:left w:val="nil"/>
              <w:bottom w:val="nil"/>
              <w:right w:val="single" w:sz="8" w:space="0" w:color="auto"/>
            </w:tcBorders>
            <w:shd w:val="clear" w:color="auto" w:fill="auto"/>
            <w:vAlign w:val="bottom"/>
          </w:tcPr>
          <w:p w14:paraId="6EE90DEF" w14:textId="77777777" w:rsidR="000331F8" w:rsidRPr="00D30847" w:rsidRDefault="000331F8" w:rsidP="00241538">
            <w:pPr>
              <w:spacing w:after="0" w:line="240" w:lineRule="auto"/>
              <w:rPr>
                <w:rFonts w:eastAsia="Times New Roman" w:cs="Calibri"/>
                <w:sz w:val="16"/>
                <w:szCs w:val="16"/>
                <w:lang w:val="en-GB"/>
              </w:rPr>
            </w:pPr>
          </w:p>
        </w:tc>
        <w:tc>
          <w:tcPr>
            <w:tcW w:w="1417" w:type="dxa"/>
            <w:tcBorders>
              <w:top w:val="nil"/>
              <w:left w:val="nil"/>
              <w:bottom w:val="single" w:sz="8" w:space="0" w:color="auto"/>
              <w:right w:val="nil"/>
            </w:tcBorders>
            <w:shd w:val="clear" w:color="auto" w:fill="auto"/>
            <w:vAlign w:val="center"/>
          </w:tcPr>
          <w:p w14:paraId="7DC86C5A" w14:textId="77777777" w:rsidR="000331F8" w:rsidRPr="00D30847" w:rsidRDefault="000331F8" w:rsidP="00241538">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611" w:type="dxa"/>
            <w:gridSpan w:val="3"/>
            <w:tcBorders>
              <w:top w:val="single" w:sz="8" w:space="0" w:color="auto"/>
              <w:left w:val="nil"/>
              <w:bottom w:val="single" w:sz="8" w:space="0" w:color="auto"/>
              <w:right w:val="single" w:sz="4" w:space="0" w:color="auto"/>
            </w:tcBorders>
            <w:shd w:val="clear" w:color="auto" w:fill="auto"/>
            <w:vAlign w:val="center"/>
          </w:tcPr>
          <w:p w14:paraId="0CF1B382" w14:textId="2A3F2811" w:rsidR="000331F8" w:rsidRPr="00D30847" w:rsidRDefault="004315B7" w:rsidP="00E91268">
            <w:pPr>
              <w:spacing w:after="0" w:line="240" w:lineRule="auto"/>
              <w:rPr>
                <w:rFonts w:eastAsia="Times New Roman" w:cs="Calibri"/>
                <w:sz w:val="16"/>
                <w:szCs w:val="16"/>
                <w:lang w:val="en-GB"/>
              </w:rPr>
            </w:pPr>
            <w:r w:rsidRPr="00D30847">
              <w:rPr>
                <w:rFonts w:eastAsia="Times New Roman" w:cs="Calibri"/>
                <w:sz w:val="16"/>
                <w:szCs w:val="16"/>
                <w:lang w:val="en-GB"/>
              </w:rPr>
              <w:t>Analysing the possibilities for introducing new e - tools for education</w:t>
            </w:r>
            <w:r w:rsidRPr="00D30847" w:rsidDel="00DE36A2">
              <w:rPr>
                <w:rFonts w:eastAsia="Times New Roman" w:cs="Calibri"/>
                <w:sz w:val="16"/>
                <w:szCs w:val="16"/>
                <w:lang w:val="en-GB"/>
              </w:rPr>
              <w:t xml:space="preserve"> </w:t>
            </w:r>
          </w:p>
        </w:tc>
        <w:tc>
          <w:tcPr>
            <w:tcW w:w="630" w:type="dxa"/>
            <w:gridSpan w:val="3"/>
            <w:tcBorders>
              <w:top w:val="nil"/>
              <w:left w:val="single" w:sz="4" w:space="0" w:color="auto"/>
              <w:bottom w:val="single" w:sz="8" w:space="0" w:color="auto"/>
              <w:right w:val="single" w:sz="8" w:space="0" w:color="auto"/>
            </w:tcBorders>
            <w:shd w:val="clear" w:color="000000" w:fill="0000FF"/>
            <w:vAlign w:val="center"/>
          </w:tcPr>
          <w:p w14:paraId="2F802A9D" w14:textId="77777777" w:rsidR="000331F8" w:rsidRPr="00D30847" w:rsidRDefault="000331F8" w:rsidP="00241538">
            <w:pPr>
              <w:spacing w:after="0" w:line="240" w:lineRule="auto"/>
              <w:jc w:val="center"/>
              <w:rPr>
                <w:rFonts w:eastAsia="Times New Roman" w:cs="Calibri"/>
                <w:color w:val="FFFFFF"/>
                <w:sz w:val="16"/>
                <w:szCs w:val="16"/>
                <w:lang w:val="en-GB"/>
              </w:rPr>
            </w:pPr>
          </w:p>
        </w:tc>
        <w:tc>
          <w:tcPr>
            <w:tcW w:w="450" w:type="dxa"/>
            <w:gridSpan w:val="2"/>
            <w:tcBorders>
              <w:top w:val="nil"/>
              <w:left w:val="nil"/>
              <w:bottom w:val="single" w:sz="8" w:space="0" w:color="auto"/>
              <w:right w:val="single" w:sz="8" w:space="0" w:color="auto"/>
            </w:tcBorders>
            <w:shd w:val="clear" w:color="000000" w:fill="0000FF"/>
            <w:vAlign w:val="center"/>
          </w:tcPr>
          <w:p w14:paraId="62EF9F33" w14:textId="77777777" w:rsidR="000331F8" w:rsidRPr="00D30847" w:rsidRDefault="000331F8" w:rsidP="00241538">
            <w:pPr>
              <w:spacing w:after="0" w:line="240" w:lineRule="auto"/>
              <w:jc w:val="center"/>
              <w:rPr>
                <w:rFonts w:eastAsia="Times New Roman" w:cs="Calibri"/>
                <w:color w:val="FFFFFF"/>
                <w:sz w:val="16"/>
                <w:szCs w:val="16"/>
                <w:lang w:val="en-GB"/>
              </w:rPr>
            </w:pPr>
          </w:p>
        </w:tc>
        <w:tc>
          <w:tcPr>
            <w:tcW w:w="510" w:type="dxa"/>
            <w:gridSpan w:val="3"/>
            <w:tcBorders>
              <w:top w:val="nil"/>
              <w:left w:val="nil"/>
              <w:bottom w:val="single" w:sz="8" w:space="0" w:color="auto"/>
              <w:right w:val="single" w:sz="8" w:space="0" w:color="auto"/>
            </w:tcBorders>
            <w:shd w:val="clear" w:color="000000" w:fill="0000FF"/>
            <w:vAlign w:val="center"/>
          </w:tcPr>
          <w:p w14:paraId="1DBB6363" w14:textId="77777777" w:rsidR="000331F8" w:rsidRPr="00D30847" w:rsidRDefault="000331F8" w:rsidP="00241538">
            <w:pPr>
              <w:spacing w:after="0" w:line="240" w:lineRule="auto"/>
              <w:jc w:val="center"/>
              <w:rPr>
                <w:rFonts w:eastAsia="Times New Roman" w:cs="Calibri"/>
                <w:color w:val="FFFFFF"/>
                <w:sz w:val="16"/>
                <w:szCs w:val="16"/>
                <w:lang w:val="en-GB"/>
              </w:rPr>
            </w:pPr>
          </w:p>
        </w:tc>
        <w:tc>
          <w:tcPr>
            <w:tcW w:w="480" w:type="dxa"/>
            <w:gridSpan w:val="3"/>
            <w:tcBorders>
              <w:top w:val="nil"/>
              <w:left w:val="nil"/>
              <w:bottom w:val="single" w:sz="8" w:space="0" w:color="auto"/>
              <w:right w:val="single" w:sz="8" w:space="0" w:color="auto"/>
            </w:tcBorders>
            <w:shd w:val="clear" w:color="000000" w:fill="0000FF"/>
            <w:vAlign w:val="center"/>
          </w:tcPr>
          <w:p w14:paraId="38E08A1B" w14:textId="77777777" w:rsidR="000331F8" w:rsidRPr="00D30847" w:rsidRDefault="000331F8" w:rsidP="00241538">
            <w:pPr>
              <w:spacing w:after="0" w:line="240" w:lineRule="auto"/>
              <w:jc w:val="center"/>
              <w:rPr>
                <w:rFonts w:eastAsia="Times New Roman" w:cs="Calibri"/>
                <w:color w:val="FFFFFF"/>
                <w:sz w:val="16"/>
                <w:szCs w:val="16"/>
                <w:lang w:val="en-GB"/>
              </w:rPr>
            </w:pPr>
          </w:p>
        </w:tc>
        <w:tc>
          <w:tcPr>
            <w:tcW w:w="450" w:type="dxa"/>
            <w:gridSpan w:val="2"/>
            <w:tcBorders>
              <w:top w:val="nil"/>
              <w:left w:val="nil"/>
              <w:bottom w:val="single" w:sz="8" w:space="0" w:color="auto"/>
              <w:right w:val="single" w:sz="8" w:space="0" w:color="auto"/>
            </w:tcBorders>
            <w:shd w:val="clear" w:color="auto" w:fill="auto"/>
            <w:vAlign w:val="center"/>
          </w:tcPr>
          <w:p w14:paraId="191F100B" w14:textId="77777777" w:rsidR="000331F8" w:rsidRPr="00D30847" w:rsidRDefault="000331F8" w:rsidP="00241538">
            <w:pPr>
              <w:spacing w:after="0" w:line="240" w:lineRule="auto"/>
              <w:jc w:val="center"/>
              <w:rPr>
                <w:rFonts w:eastAsia="Times New Roman" w:cs="Calibri"/>
                <w:color w:val="FFFFFF"/>
                <w:sz w:val="16"/>
                <w:szCs w:val="16"/>
                <w:lang w:val="en-GB"/>
              </w:rPr>
            </w:pPr>
          </w:p>
        </w:tc>
        <w:tc>
          <w:tcPr>
            <w:tcW w:w="540" w:type="dxa"/>
            <w:gridSpan w:val="3"/>
            <w:tcBorders>
              <w:top w:val="nil"/>
              <w:left w:val="nil"/>
              <w:bottom w:val="single" w:sz="8" w:space="0" w:color="auto"/>
              <w:right w:val="single" w:sz="8" w:space="0" w:color="auto"/>
            </w:tcBorders>
            <w:shd w:val="clear" w:color="auto" w:fill="auto"/>
            <w:vAlign w:val="center"/>
          </w:tcPr>
          <w:p w14:paraId="57B72E7E" w14:textId="77777777" w:rsidR="000331F8" w:rsidRPr="00D30847" w:rsidRDefault="000331F8" w:rsidP="00241538">
            <w:pPr>
              <w:spacing w:after="0" w:line="240" w:lineRule="auto"/>
              <w:jc w:val="center"/>
              <w:rPr>
                <w:rFonts w:eastAsia="Times New Roman" w:cs="Calibri"/>
                <w:color w:val="FFFFFF"/>
                <w:sz w:val="16"/>
                <w:szCs w:val="16"/>
                <w:lang w:val="en-GB"/>
              </w:rPr>
            </w:pPr>
          </w:p>
        </w:tc>
        <w:tc>
          <w:tcPr>
            <w:tcW w:w="450" w:type="dxa"/>
            <w:gridSpan w:val="3"/>
            <w:tcBorders>
              <w:top w:val="nil"/>
              <w:left w:val="nil"/>
              <w:bottom w:val="single" w:sz="8" w:space="0" w:color="auto"/>
              <w:right w:val="single" w:sz="8" w:space="0" w:color="auto"/>
            </w:tcBorders>
            <w:shd w:val="clear" w:color="auto" w:fill="auto"/>
            <w:vAlign w:val="center"/>
          </w:tcPr>
          <w:p w14:paraId="297F6FF7" w14:textId="77777777" w:rsidR="000331F8" w:rsidRPr="00D30847" w:rsidRDefault="000331F8" w:rsidP="00241538">
            <w:pPr>
              <w:spacing w:after="0" w:line="240" w:lineRule="auto"/>
              <w:jc w:val="center"/>
              <w:rPr>
                <w:rFonts w:eastAsia="Times New Roman" w:cs="Calibri"/>
                <w:color w:val="FFFFFF"/>
                <w:sz w:val="16"/>
                <w:szCs w:val="16"/>
                <w:lang w:val="en-GB"/>
              </w:rPr>
            </w:pPr>
          </w:p>
        </w:tc>
        <w:tc>
          <w:tcPr>
            <w:tcW w:w="540" w:type="dxa"/>
            <w:gridSpan w:val="4"/>
            <w:tcBorders>
              <w:top w:val="nil"/>
              <w:left w:val="nil"/>
              <w:bottom w:val="single" w:sz="8" w:space="0" w:color="auto"/>
              <w:right w:val="single" w:sz="8" w:space="0" w:color="auto"/>
            </w:tcBorders>
            <w:shd w:val="clear" w:color="auto" w:fill="auto"/>
            <w:vAlign w:val="center"/>
          </w:tcPr>
          <w:p w14:paraId="18F7288E" w14:textId="77777777" w:rsidR="000331F8" w:rsidRPr="00D30847" w:rsidRDefault="000331F8" w:rsidP="00241538">
            <w:pPr>
              <w:spacing w:after="0" w:line="240" w:lineRule="auto"/>
              <w:jc w:val="center"/>
              <w:rPr>
                <w:rFonts w:eastAsia="Times New Roman" w:cs="Calibri"/>
                <w:color w:val="FFFFFF"/>
                <w:sz w:val="16"/>
                <w:szCs w:val="16"/>
                <w:lang w:val="en-GB"/>
              </w:rPr>
            </w:pPr>
          </w:p>
        </w:tc>
        <w:tc>
          <w:tcPr>
            <w:tcW w:w="450" w:type="dxa"/>
            <w:gridSpan w:val="3"/>
            <w:tcBorders>
              <w:top w:val="nil"/>
              <w:left w:val="nil"/>
              <w:bottom w:val="single" w:sz="8" w:space="0" w:color="auto"/>
              <w:right w:val="single" w:sz="8" w:space="0" w:color="auto"/>
            </w:tcBorders>
            <w:shd w:val="clear" w:color="auto" w:fill="auto"/>
            <w:vAlign w:val="center"/>
          </w:tcPr>
          <w:p w14:paraId="5CDB908C" w14:textId="77777777" w:rsidR="000331F8" w:rsidRPr="00D30847" w:rsidRDefault="000331F8" w:rsidP="00241538">
            <w:pPr>
              <w:spacing w:after="0" w:line="240" w:lineRule="auto"/>
              <w:jc w:val="center"/>
              <w:rPr>
                <w:rFonts w:eastAsia="Times New Roman" w:cs="Calibri"/>
                <w:color w:val="FF0000"/>
                <w:sz w:val="16"/>
                <w:szCs w:val="16"/>
                <w:lang w:val="en-GB"/>
              </w:rPr>
            </w:pPr>
          </w:p>
        </w:tc>
        <w:tc>
          <w:tcPr>
            <w:tcW w:w="450" w:type="dxa"/>
            <w:gridSpan w:val="3"/>
            <w:tcBorders>
              <w:top w:val="nil"/>
              <w:left w:val="nil"/>
              <w:bottom w:val="single" w:sz="8" w:space="0" w:color="auto"/>
              <w:right w:val="single" w:sz="8" w:space="0" w:color="auto"/>
            </w:tcBorders>
            <w:shd w:val="clear" w:color="auto" w:fill="auto"/>
            <w:vAlign w:val="center"/>
          </w:tcPr>
          <w:p w14:paraId="6E453734" w14:textId="77777777" w:rsidR="000331F8" w:rsidRPr="00D30847" w:rsidRDefault="000331F8" w:rsidP="00241538">
            <w:pPr>
              <w:spacing w:after="0" w:line="240" w:lineRule="auto"/>
              <w:jc w:val="center"/>
              <w:rPr>
                <w:rFonts w:eastAsia="Times New Roman" w:cs="Calibri"/>
                <w:color w:val="FF0000"/>
                <w:sz w:val="16"/>
                <w:szCs w:val="16"/>
                <w:lang w:val="en-GB"/>
              </w:rPr>
            </w:pPr>
          </w:p>
        </w:tc>
        <w:tc>
          <w:tcPr>
            <w:tcW w:w="450" w:type="dxa"/>
            <w:gridSpan w:val="2"/>
            <w:tcBorders>
              <w:top w:val="nil"/>
              <w:left w:val="nil"/>
              <w:bottom w:val="single" w:sz="8" w:space="0" w:color="auto"/>
              <w:right w:val="single" w:sz="8" w:space="0" w:color="auto"/>
            </w:tcBorders>
            <w:shd w:val="clear" w:color="auto" w:fill="auto"/>
            <w:vAlign w:val="center"/>
          </w:tcPr>
          <w:p w14:paraId="7063B8C1" w14:textId="77777777" w:rsidR="000331F8" w:rsidRPr="00D30847" w:rsidRDefault="000331F8" w:rsidP="00241538">
            <w:pPr>
              <w:spacing w:after="0" w:line="240" w:lineRule="auto"/>
              <w:jc w:val="center"/>
              <w:rPr>
                <w:rFonts w:eastAsia="Times New Roman" w:cs="Calibri"/>
                <w:color w:val="FF0000"/>
                <w:sz w:val="16"/>
                <w:szCs w:val="16"/>
                <w:lang w:val="en-GB"/>
              </w:rPr>
            </w:pPr>
          </w:p>
        </w:tc>
        <w:tc>
          <w:tcPr>
            <w:tcW w:w="450" w:type="dxa"/>
            <w:gridSpan w:val="4"/>
            <w:tcBorders>
              <w:top w:val="nil"/>
              <w:left w:val="nil"/>
              <w:bottom w:val="single" w:sz="8" w:space="0" w:color="auto"/>
              <w:right w:val="single" w:sz="8" w:space="0" w:color="auto"/>
            </w:tcBorders>
            <w:shd w:val="clear" w:color="auto" w:fill="auto"/>
            <w:vAlign w:val="center"/>
          </w:tcPr>
          <w:p w14:paraId="3CB3AF7C" w14:textId="77777777" w:rsidR="000331F8" w:rsidRPr="00D30847" w:rsidRDefault="000331F8" w:rsidP="00241538">
            <w:pPr>
              <w:spacing w:after="0" w:line="240" w:lineRule="auto"/>
              <w:jc w:val="center"/>
              <w:rPr>
                <w:rFonts w:eastAsia="Times New Roman" w:cs="Calibri"/>
                <w:color w:val="FF0000"/>
                <w:sz w:val="16"/>
                <w:szCs w:val="16"/>
                <w:lang w:val="en-GB"/>
              </w:rPr>
            </w:pPr>
          </w:p>
        </w:tc>
        <w:tc>
          <w:tcPr>
            <w:tcW w:w="450" w:type="dxa"/>
            <w:gridSpan w:val="3"/>
            <w:tcBorders>
              <w:top w:val="nil"/>
              <w:left w:val="nil"/>
              <w:bottom w:val="single" w:sz="8" w:space="0" w:color="auto"/>
              <w:right w:val="single" w:sz="8" w:space="0" w:color="auto"/>
            </w:tcBorders>
            <w:shd w:val="clear" w:color="000000" w:fill="FFFFFF"/>
            <w:vAlign w:val="center"/>
          </w:tcPr>
          <w:p w14:paraId="54600D20" w14:textId="77777777" w:rsidR="000331F8" w:rsidRPr="00D30847" w:rsidRDefault="000331F8" w:rsidP="00241538">
            <w:pPr>
              <w:spacing w:after="0" w:line="240" w:lineRule="auto"/>
              <w:jc w:val="center"/>
              <w:rPr>
                <w:rFonts w:eastAsia="Times New Roman" w:cs="Calibri"/>
                <w:color w:val="FF0000"/>
                <w:sz w:val="16"/>
                <w:szCs w:val="16"/>
                <w:lang w:val="en-GB"/>
              </w:rPr>
            </w:pPr>
          </w:p>
        </w:tc>
        <w:tc>
          <w:tcPr>
            <w:tcW w:w="450" w:type="dxa"/>
            <w:gridSpan w:val="3"/>
            <w:tcBorders>
              <w:top w:val="nil"/>
              <w:left w:val="nil"/>
              <w:bottom w:val="single" w:sz="8" w:space="0" w:color="auto"/>
              <w:right w:val="single" w:sz="8" w:space="0" w:color="auto"/>
            </w:tcBorders>
            <w:shd w:val="clear" w:color="000000" w:fill="FFFFFF"/>
            <w:vAlign w:val="center"/>
          </w:tcPr>
          <w:p w14:paraId="03E45FBE" w14:textId="77777777" w:rsidR="000331F8" w:rsidRPr="00D30847" w:rsidRDefault="000331F8" w:rsidP="00241538">
            <w:pPr>
              <w:spacing w:after="0" w:line="240" w:lineRule="auto"/>
              <w:jc w:val="center"/>
              <w:rPr>
                <w:rFonts w:eastAsia="Times New Roman" w:cs="Calibri"/>
                <w:color w:val="FF0000"/>
                <w:sz w:val="16"/>
                <w:szCs w:val="16"/>
                <w:lang w:val="en-GB"/>
              </w:rPr>
            </w:pPr>
          </w:p>
        </w:tc>
        <w:tc>
          <w:tcPr>
            <w:tcW w:w="450" w:type="dxa"/>
            <w:gridSpan w:val="3"/>
            <w:tcBorders>
              <w:top w:val="nil"/>
              <w:left w:val="nil"/>
              <w:bottom w:val="single" w:sz="8" w:space="0" w:color="auto"/>
              <w:right w:val="single" w:sz="8" w:space="0" w:color="auto"/>
            </w:tcBorders>
            <w:shd w:val="clear" w:color="000000" w:fill="FFFFFF"/>
            <w:vAlign w:val="center"/>
          </w:tcPr>
          <w:p w14:paraId="6B39AAB4" w14:textId="77777777" w:rsidR="000331F8" w:rsidRPr="00D30847" w:rsidRDefault="000331F8" w:rsidP="00241538">
            <w:pPr>
              <w:spacing w:after="0" w:line="240" w:lineRule="auto"/>
              <w:jc w:val="center"/>
              <w:rPr>
                <w:rFonts w:eastAsia="Times New Roman" w:cs="Calibri"/>
                <w:color w:val="FF0000"/>
                <w:sz w:val="16"/>
                <w:szCs w:val="16"/>
                <w:lang w:val="en-GB"/>
              </w:rPr>
            </w:pPr>
          </w:p>
        </w:tc>
        <w:tc>
          <w:tcPr>
            <w:tcW w:w="540" w:type="dxa"/>
            <w:tcBorders>
              <w:top w:val="nil"/>
              <w:left w:val="nil"/>
              <w:bottom w:val="single" w:sz="8" w:space="0" w:color="auto"/>
              <w:right w:val="single" w:sz="8" w:space="0" w:color="auto"/>
            </w:tcBorders>
            <w:shd w:val="clear" w:color="000000" w:fill="FFFFFF"/>
            <w:vAlign w:val="center"/>
          </w:tcPr>
          <w:p w14:paraId="1E569B73" w14:textId="77777777" w:rsidR="000331F8" w:rsidRPr="00D30847" w:rsidRDefault="000331F8" w:rsidP="00241538">
            <w:pPr>
              <w:spacing w:after="0" w:line="240" w:lineRule="auto"/>
              <w:jc w:val="center"/>
              <w:rPr>
                <w:rFonts w:eastAsia="Times New Roman" w:cs="Calibri"/>
                <w:color w:val="FF0000"/>
                <w:sz w:val="16"/>
                <w:szCs w:val="16"/>
                <w:lang w:val="en-GB"/>
              </w:rPr>
            </w:pPr>
          </w:p>
        </w:tc>
      </w:tr>
      <w:tr w:rsidR="00C93723" w:rsidRPr="00D30847" w14:paraId="5ABAF146" w14:textId="77777777" w:rsidTr="00595060">
        <w:trPr>
          <w:trHeight w:val="493"/>
        </w:trPr>
        <w:tc>
          <w:tcPr>
            <w:tcW w:w="702" w:type="dxa"/>
            <w:gridSpan w:val="2"/>
            <w:tcBorders>
              <w:top w:val="nil"/>
              <w:left w:val="nil"/>
              <w:bottom w:val="nil"/>
              <w:right w:val="nil"/>
            </w:tcBorders>
            <w:shd w:val="clear" w:color="000000" w:fill="00FF00"/>
            <w:vAlign w:val="center"/>
            <w:hideMark/>
          </w:tcPr>
          <w:p w14:paraId="19C1E9A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740" w:type="dxa"/>
            <w:gridSpan w:val="4"/>
            <w:tcBorders>
              <w:top w:val="nil"/>
              <w:left w:val="nil"/>
              <w:bottom w:val="nil"/>
              <w:right w:val="nil"/>
            </w:tcBorders>
            <w:shd w:val="clear" w:color="000000" w:fill="00FF00"/>
            <w:vAlign w:val="center"/>
            <w:hideMark/>
          </w:tcPr>
          <w:p w14:paraId="3F2E0E4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Priority 2.</w:t>
            </w:r>
          </w:p>
        </w:tc>
        <w:tc>
          <w:tcPr>
            <w:tcW w:w="1417" w:type="dxa"/>
            <w:tcBorders>
              <w:top w:val="nil"/>
              <w:left w:val="nil"/>
              <w:bottom w:val="nil"/>
              <w:right w:val="nil"/>
            </w:tcBorders>
            <w:shd w:val="clear" w:color="000000" w:fill="00FF00"/>
            <w:vAlign w:val="center"/>
            <w:hideMark/>
          </w:tcPr>
          <w:p w14:paraId="64E591E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611" w:type="dxa"/>
            <w:gridSpan w:val="3"/>
            <w:tcBorders>
              <w:top w:val="nil"/>
              <w:left w:val="nil"/>
              <w:bottom w:val="nil"/>
              <w:right w:val="nil"/>
            </w:tcBorders>
            <w:shd w:val="clear" w:color="000000" w:fill="00FF00"/>
            <w:vAlign w:val="center"/>
            <w:hideMark/>
          </w:tcPr>
          <w:p w14:paraId="561A3C67" w14:textId="021CD3B3"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Public Private Partnership (PPP</w:t>
            </w:r>
            <w:r w:rsidR="00F2206E">
              <w:rPr>
                <w:rFonts w:eastAsia="Times New Roman" w:cs="Calibri"/>
                <w:b/>
                <w:bCs/>
                <w:sz w:val="16"/>
                <w:szCs w:val="16"/>
                <w:lang w:val="en-GB"/>
              </w:rPr>
              <w:t xml:space="preserve">s) </w:t>
            </w:r>
            <w:r w:rsidRPr="00D30847">
              <w:rPr>
                <w:rFonts w:eastAsia="Times New Roman" w:cs="Calibri"/>
                <w:b/>
                <w:bCs/>
                <w:sz w:val="16"/>
                <w:szCs w:val="16"/>
                <w:lang w:val="en-GB"/>
              </w:rPr>
              <w:t>and Concession on goods of general interest</w:t>
            </w:r>
          </w:p>
        </w:tc>
        <w:tc>
          <w:tcPr>
            <w:tcW w:w="522" w:type="dxa"/>
            <w:gridSpan w:val="2"/>
            <w:tcBorders>
              <w:top w:val="nil"/>
              <w:left w:val="nil"/>
              <w:bottom w:val="nil"/>
              <w:right w:val="nil"/>
            </w:tcBorders>
            <w:shd w:val="clear" w:color="000000" w:fill="00FF00"/>
            <w:vAlign w:val="center"/>
            <w:hideMark/>
          </w:tcPr>
          <w:p w14:paraId="478C293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6714F43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00FF00"/>
            <w:vAlign w:val="center"/>
            <w:hideMark/>
          </w:tcPr>
          <w:p w14:paraId="29EAFE9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00FF00"/>
            <w:vAlign w:val="center"/>
            <w:hideMark/>
          </w:tcPr>
          <w:p w14:paraId="37368BD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429EFFB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00FF00"/>
            <w:vAlign w:val="center"/>
            <w:hideMark/>
          </w:tcPr>
          <w:p w14:paraId="68C5A03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00A064C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00FF00"/>
            <w:vAlign w:val="center"/>
            <w:hideMark/>
          </w:tcPr>
          <w:p w14:paraId="2446F75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518C992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19DC67D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378960A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00FF00"/>
            <w:vAlign w:val="center"/>
            <w:hideMark/>
          </w:tcPr>
          <w:p w14:paraId="2C4DB89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3CAE5A9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00FF00"/>
            <w:vAlign w:val="center"/>
            <w:hideMark/>
          </w:tcPr>
          <w:p w14:paraId="07D6D48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57A458A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00FF00"/>
            <w:vAlign w:val="center"/>
            <w:hideMark/>
          </w:tcPr>
          <w:p w14:paraId="56E999B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2C121953" w14:textId="77777777" w:rsidTr="00595060">
        <w:trPr>
          <w:trHeight w:val="615"/>
        </w:trPr>
        <w:tc>
          <w:tcPr>
            <w:tcW w:w="702" w:type="dxa"/>
            <w:gridSpan w:val="2"/>
            <w:tcBorders>
              <w:top w:val="nil"/>
              <w:left w:val="nil"/>
              <w:bottom w:val="nil"/>
              <w:right w:val="nil"/>
            </w:tcBorders>
            <w:shd w:val="clear" w:color="000000" w:fill="6FE7FF"/>
            <w:vAlign w:val="center"/>
            <w:hideMark/>
          </w:tcPr>
          <w:p w14:paraId="50C6E49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793B7C3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2693" w:type="dxa"/>
            <w:gridSpan w:val="3"/>
            <w:tcBorders>
              <w:top w:val="nil"/>
              <w:left w:val="nil"/>
              <w:bottom w:val="nil"/>
              <w:right w:val="nil"/>
            </w:tcBorders>
            <w:shd w:val="clear" w:color="000000" w:fill="6FE7FF"/>
            <w:vAlign w:val="center"/>
            <w:hideMark/>
          </w:tcPr>
          <w:p w14:paraId="7A195F9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1.</w:t>
            </w:r>
          </w:p>
        </w:tc>
        <w:tc>
          <w:tcPr>
            <w:tcW w:w="3611" w:type="dxa"/>
            <w:gridSpan w:val="3"/>
            <w:tcBorders>
              <w:top w:val="nil"/>
              <w:left w:val="nil"/>
              <w:bottom w:val="nil"/>
              <w:right w:val="nil"/>
            </w:tcBorders>
            <w:shd w:val="clear" w:color="000000" w:fill="6FE7FF"/>
            <w:vAlign w:val="center"/>
            <w:hideMark/>
          </w:tcPr>
          <w:p w14:paraId="3A75D9D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xml:space="preserve">Establishment of the Unique Electronic System Public Private Partnership System (UESPPP) </w:t>
            </w:r>
          </w:p>
        </w:tc>
        <w:tc>
          <w:tcPr>
            <w:tcW w:w="522" w:type="dxa"/>
            <w:gridSpan w:val="2"/>
            <w:tcBorders>
              <w:top w:val="nil"/>
              <w:left w:val="nil"/>
              <w:bottom w:val="nil"/>
              <w:right w:val="nil"/>
            </w:tcBorders>
            <w:shd w:val="clear" w:color="000000" w:fill="6FE7FF"/>
            <w:vAlign w:val="center"/>
            <w:hideMark/>
          </w:tcPr>
          <w:p w14:paraId="5632AB7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70E84A4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6FE7FF"/>
            <w:vAlign w:val="center"/>
            <w:hideMark/>
          </w:tcPr>
          <w:p w14:paraId="1A761DB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6FE7FF"/>
            <w:vAlign w:val="center"/>
            <w:hideMark/>
          </w:tcPr>
          <w:p w14:paraId="405E0D6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73351D2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6FE7FF"/>
            <w:vAlign w:val="center"/>
            <w:hideMark/>
          </w:tcPr>
          <w:p w14:paraId="57AC613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0B1A8B8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6FE7FF"/>
            <w:vAlign w:val="center"/>
            <w:hideMark/>
          </w:tcPr>
          <w:p w14:paraId="14672F8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559823F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48A7A7B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62DA2F8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6FE7FF"/>
            <w:vAlign w:val="center"/>
            <w:hideMark/>
          </w:tcPr>
          <w:p w14:paraId="675D7D1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0895E18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6FE7FF"/>
            <w:vAlign w:val="center"/>
            <w:hideMark/>
          </w:tcPr>
          <w:p w14:paraId="78F90A7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051494E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6FE7FF"/>
            <w:vAlign w:val="center"/>
            <w:hideMark/>
          </w:tcPr>
          <w:p w14:paraId="01A1825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942045" w:rsidRPr="00D30847" w14:paraId="49926FDD" w14:textId="77777777" w:rsidTr="00595060">
        <w:trPr>
          <w:trHeight w:val="718"/>
        </w:trPr>
        <w:tc>
          <w:tcPr>
            <w:tcW w:w="702" w:type="dxa"/>
            <w:gridSpan w:val="2"/>
            <w:tcBorders>
              <w:top w:val="nil"/>
              <w:left w:val="nil"/>
              <w:bottom w:val="nil"/>
              <w:right w:val="nil"/>
            </w:tcBorders>
            <w:shd w:val="clear" w:color="auto" w:fill="auto"/>
            <w:vAlign w:val="bottom"/>
            <w:hideMark/>
          </w:tcPr>
          <w:p w14:paraId="4D625733" w14:textId="77777777" w:rsidR="00942045" w:rsidRPr="00D30847" w:rsidRDefault="00942045" w:rsidP="00942045">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50B820E5"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42D2DFC9"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single" w:sz="8" w:space="0" w:color="auto"/>
              <w:left w:val="single" w:sz="8" w:space="0" w:color="auto"/>
              <w:bottom w:val="single" w:sz="8" w:space="0" w:color="auto"/>
              <w:right w:val="nil"/>
            </w:tcBorders>
            <w:shd w:val="clear" w:color="auto" w:fill="auto"/>
            <w:vAlign w:val="center"/>
            <w:hideMark/>
          </w:tcPr>
          <w:p w14:paraId="2EDFFFC2"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single" w:sz="8" w:space="0" w:color="auto"/>
              <w:left w:val="nil"/>
              <w:bottom w:val="single" w:sz="8" w:space="0" w:color="auto"/>
              <w:right w:val="single" w:sz="8" w:space="0" w:color="auto"/>
            </w:tcBorders>
            <w:shd w:val="clear" w:color="auto" w:fill="auto"/>
            <w:vAlign w:val="center"/>
            <w:hideMark/>
          </w:tcPr>
          <w:p w14:paraId="626371DE"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Selection of an IT company for preparation of the Improving and upgrading the UESPPP and a Register of awarded contracts for the establishment of public-private partnership</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1C143AED" w14:textId="05E2957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4F255171" w14:textId="136227DF"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65B2307E" w14:textId="1D01BD22"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7FFB46CF" w14:textId="2A0A13E4"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auto" w:fill="auto"/>
            <w:vAlign w:val="center"/>
            <w:hideMark/>
          </w:tcPr>
          <w:p w14:paraId="65D868C2"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single" w:sz="8" w:space="0" w:color="auto"/>
              <w:left w:val="nil"/>
              <w:bottom w:val="single" w:sz="8" w:space="0" w:color="auto"/>
              <w:right w:val="single" w:sz="8" w:space="0" w:color="auto"/>
            </w:tcBorders>
            <w:shd w:val="clear" w:color="auto" w:fill="auto"/>
            <w:vAlign w:val="center"/>
            <w:hideMark/>
          </w:tcPr>
          <w:p w14:paraId="3A37DA88"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auto" w:fill="auto"/>
            <w:vAlign w:val="center"/>
            <w:hideMark/>
          </w:tcPr>
          <w:p w14:paraId="0BC75725"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single" w:sz="8" w:space="0" w:color="auto"/>
              <w:left w:val="nil"/>
              <w:bottom w:val="single" w:sz="8" w:space="0" w:color="auto"/>
              <w:right w:val="single" w:sz="8" w:space="0" w:color="auto"/>
            </w:tcBorders>
            <w:shd w:val="clear" w:color="auto" w:fill="auto"/>
            <w:vAlign w:val="center"/>
            <w:hideMark/>
          </w:tcPr>
          <w:p w14:paraId="7966E1B5"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auto" w:fill="auto"/>
            <w:vAlign w:val="center"/>
            <w:hideMark/>
          </w:tcPr>
          <w:p w14:paraId="7AEDD097"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auto" w:fill="auto"/>
            <w:vAlign w:val="center"/>
            <w:hideMark/>
          </w:tcPr>
          <w:p w14:paraId="10682A2B"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auto" w:fill="auto"/>
            <w:vAlign w:val="center"/>
            <w:hideMark/>
          </w:tcPr>
          <w:p w14:paraId="07266A19"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single" w:sz="8" w:space="0" w:color="auto"/>
              <w:left w:val="nil"/>
              <w:bottom w:val="single" w:sz="8" w:space="0" w:color="auto"/>
              <w:right w:val="single" w:sz="8" w:space="0" w:color="auto"/>
            </w:tcBorders>
            <w:shd w:val="clear" w:color="auto" w:fill="auto"/>
            <w:vAlign w:val="center"/>
            <w:hideMark/>
          </w:tcPr>
          <w:p w14:paraId="67C0F694"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auto" w:fill="auto"/>
            <w:vAlign w:val="center"/>
            <w:hideMark/>
          </w:tcPr>
          <w:p w14:paraId="70C08020"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2"/>
            <w:tcBorders>
              <w:top w:val="single" w:sz="8" w:space="0" w:color="auto"/>
              <w:left w:val="nil"/>
              <w:bottom w:val="single" w:sz="8" w:space="0" w:color="auto"/>
              <w:right w:val="single" w:sz="8" w:space="0" w:color="auto"/>
            </w:tcBorders>
            <w:shd w:val="clear" w:color="auto" w:fill="auto"/>
            <w:vAlign w:val="center"/>
            <w:hideMark/>
          </w:tcPr>
          <w:p w14:paraId="24004F33"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auto" w:fill="auto"/>
            <w:vAlign w:val="center"/>
            <w:hideMark/>
          </w:tcPr>
          <w:p w14:paraId="3AEB2FDE"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48" w:type="dxa"/>
            <w:gridSpan w:val="3"/>
            <w:tcBorders>
              <w:top w:val="single" w:sz="8" w:space="0" w:color="auto"/>
              <w:left w:val="nil"/>
              <w:bottom w:val="single" w:sz="8" w:space="0" w:color="auto"/>
              <w:right w:val="single" w:sz="8" w:space="0" w:color="auto"/>
            </w:tcBorders>
            <w:shd w:val="clear" w:color="auto" w:fill="auto"/>
            <w:vAlign w:val="center"/>
            <w:hideMark/>
          </w:tcPr>
          <w:p w14:paraId="6B983768"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r>
      <w:tr w:rsidR="00C93723" w:rsidRPr="00D30847" w14:paraId="7FC42109" w14:textId="77777777" w:rsidTr="00595060">
        <w:trPr>
          <w:trHeight w:val="898"/>
        </w:trPr>
        <w:tc>
          <w:tcPr>
            <w:tcW w:w="702" w:type="dxa"/>
            <w:gridSpan w:val="2"/>
            <w:tcBorders>
              <w:top w:val="nil"/>
              <w:left w:val="nil"/>
              <w:bottom w:val="nil"/>
              <w:right w:val="nil"/>
            </w:tcBorders>
            <w:shd w:val="clear" w:color="auto" w:fill="auto"/>
            <w:vAlign w:val="bottom"/>
            <w:hideMark/>
          </w:tcPr>
          <w:p w14:paraId="11DA5E75" w14:textId="77777777" w:rsidR="00C93723" w:rsidRPr="00D30847" w:rsidRDefault="00C93723" w:rsidP="00C93723">
            <w:pPr>
              <w:spacing w:after="0" w:line="240" w:lineRule="auto"/>
              <w:rPr>
                <w:rFonts w:eastAsia="Times New Roman" w:cs="Calibri"/>
                <w:sz w:val="16"/>
                <w:szCs w:val="16"/>
                <w:lang w:val="en-GB"/>
              </w:rPr>
            </w:pPr>
          </w:p>
        </w:tc>
        <w:tc>
          <w:tcPr>
            <w:tcW w:w="464" w:type="dxa"/>
            <w:gridSpan w:val="2"/>
            <w:tcBorders>
              <w:top w:val="nil"/>
              <w:left w:val="nil"/>
              <w:bottom w:val="nil"/>
              <w:right w:val="nil"/>
            </w:tcBorders>
            <w:shd w:val="clear" w:color="auto" w:fill="auto"/>
            <w:vAlign w:val="bottom"/>
            <w:hideMark/>
          </w:tcPr>
          <w:p w14:paraId="01667AEF"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5386E0CA"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786A8789"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29DE9C7D"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xml:space="preserve">Preparation and implementation of the software solution for the establishment of public-private partnership and a Register of awarded contracts the establishment of public-private partnership  </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5C263BD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41D30F3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58FC3FF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602FF34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2A93C16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016E8BF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08FD5C6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7ACDA53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FFFFFF"/>
            <w:vAlign w:val="center"/>
            <w:hideMark/>
          </w:tcPr>
          <w:p w14:paraId="3E4737B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FFFFFF"/>
            <w:vAlign w:val="center"/>
            <w:hideMark/>
          </w:tcPr>
          <w:p w14:paraId="4D31EAF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FFFFFF"/>
            <w:vAlign w:val="center"/>
            <w:hideMark/>
          </w:tcPr>
          <w:p w14:paraId="0F0F93A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FFFFFF"/>
            <w:vAlign w:val="center"/>
            <w:hideMark/>
          </w:tcPr>
          <w:p w14:paraId="63A0D8B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2CA6DD44"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18834C0D"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00095A1B"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01D266F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r>
      <w:tr w:rsidR="00C93723" w:rsidRPr="00D30847" w14:paraId="663B98D1" w14:textId="77777777" w:rsidTr="00595060">
        <w:trPr>
          <w:trHeight w:val="799"/>
        </w:trPr>
        <w:tc>
          <w:tcPr>
            <w:tcW w:w="702" w:type="dxa"/>
            <w:gridSpan w:val="2"/>
            <w:tcBorders>
              <w:top w:val="nil"/>
              <w:left w:val="nil"/>
              <w:bottom w:val="nil"/>
              <w:right w:val="nil"/>
            </w:tcBorders>
            <w:shd w:val="clear" w:color="000000" w:fill="6FE7FF"/>
            <w:vAlign w:val="center"/>
            <w:hideMark/>
          </w:tcPr>
          <w:p w14:paraId="22345CF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4DDE1E9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5D48FBB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2.</w:t>
            </w:r>
          </w:p>
        </w:tc>
        <w:tc>
          <w:tcPr>
            <w:tcW w:w="1770" w:type="dxa"/>
            <w:gridSpan w:val="2"/>
            <w:tcBorders>
              <w:top w:val="nil"/>
              <w:left w:val="nil"/>
              <w:bottom w:val="nil"/>
              <w:right w:val="nil"/>
            </w:tcBorders>
            <w:shd w:val="clear" w:color="000000" w:fill="6FE7FF"/>
            <w:vAlign w:val="center"/>
            <w:hideMark/>
          </w:tcPr>
          <w:p w14:paraId="53EDB2C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258" w:type="dxa"/>
            <w:gridSpan w:val="2"/>
            <w:tcBorders>
              <w:top w:val="nil"/>
              <w:left w:val="nil"/>
              <w:bottom w:val="nil"/>
              <w:right w:val="nil"/>
            </w:tcBorders>
            <w:shd w:val="clear" w:color="000000" w:fill="6FE7FF"/>
            <w:vAlign w:val="center"/>
            <w:hideMark/>
          </w:tcPr>
          <w:p w14:paraId="60EFB269" w14:textId="27E06D5F"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Compl</w:t>
            </w:r>
            <w:r w:rsidR="00F2206E">
              <w:rPr>
                <w:rFonts w:eastAsia="Times New Roman" w:cs="Calibri"/>
                <w:b/>
                <w:bCs/>
                <w:sz w:val="16"/>
                <w:szCs w:val="16"/>
                <w:lang w:val="en-GB"/>
              </w:rPr>
              <w:t>eting</w:t>
            </w:r>
            <w:r w:rsidRPr="00D30847">
              <w:rPr>
                <w:rFonts w:eastAsia="Times New Roman" w:cs="Calibri"/>
                <w:b/>
                <w:bCs/>
                <w:sz w:val="16"/>
                <w:szCs w:val="16"/>
                <w:lang w:val="en-GB"/>
              </w:rPr>
              <w:t xml:space="preserve"> the legal and regulatory framework in the field of public-private partnership and Concession on goods of general interest</w:t>
            </w:r>
          </w:p>
        </w:tc>
        <w:tc>
          <w:tcPr>
            <w:tcW w:w="522" w:type="dxa"/>
            <w:gridSpan w:val="2"/>
            <w:tcBorders>
              <w:top w:val="nil"/>
              <w:left w:val="nil"/>
              <w:bottom w:val="nil"/>
              <w:right w:val="nil"/>
            </w:tcBorders>
            <w:shd w:val="clear" w:color="000000" w:fill="6FE7FF"/>
            <w:vAlign w:val="center"/>
            <w:hideMark/>
          </w:tcPr>
          <w:p w14:paraId="669C629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187F7C7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6FE7FF"/>
            <w:vAlign w:val="center"/>
            <w:hideMark/>
          </w:tcPr>
          <w:p w14:paraId="6DD6EF3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6FE7FF"/>
            <w:vAlign w:val="center"/>
            <w:hideMark/>
          </w:tcPr>
          <w:p w14:paraId="69A4193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57679C0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6FE7FF"/>
            <w:vAlign w:val="center"/>
            <w:hideMark/>
          </w:tcPr>
          <w:p w14:paraId="3CDABFD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2EFDA2F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6FE7FF"/>
            <w:vAlign w:val="center"/>
            <w:hideMark/>
          </w:tcPr>
          <w:p w14:paraId="5362E3F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13D0073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2EB2BC2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19E9DE5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6FE7FF"/>
            <w:vAlign w:val="center"/>
            <w:hideMark/>
          </w:tcPr>
          <w:p w14:paraId="3C03A13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724BE31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6FE7FF"/>
            <w:vAlign w:val="center"/>
            <w:hideMark/>
          </w:tcPr>
          <w:p w14:paraId="6453C0B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7C154B4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6FE7FF"/>
            <w:vAlign w:val="center"/>
            <w:hideMark/>
          </w:tcPr>
          <w:p w14:paraId="57F4D27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7F1E68EA" w14:textId="77777777" w:rsidTr="00595060">
        <w:trPr>
          <w:trHeight w:val="610"/>
        </w:trPr>
        <w:tc>
          <w:tcPr>
            <w:tcW w:w="702" w:type="dxa"/>
            <w:gridSpan w:val="2"/>
            <w:tcBorders>
              <w:top w:val="nil"/>
              <w:left w:val="nil"/>
              <w:bottom w:val="nil"/>
              <w:right w:val="nil"/>
            </w:tcBorders>
            <w:shd w:val="clear" w:color="auto" w:fill="auto"/>
            <w:vAlign w:val="bottom"/>
            <w:hideMark/>
          </w:tcPr>
          <w:p w14:paraId="1762657E"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34DC44E7"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014C1941"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single" w:sz="8" w:space="0" w:color="auto"/>
              <w:left w:val="single" w:sz="8" w:space="0" w:color="auto"/>
              <w:bottom w:val="single" w:sz="8" w:space="0" w:color="auto"/>
              <w:right w:val="nil"/>
            </w:tcBorders>
            <w:shd w:val="clear" w:color="auto" w:fill="auto"/>
            <w:vAlign w:val="center"/>
            <w:hideMark/>
          </w:tcPr>
          <w:p w14:paraId="5F718317"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single" w:sz="8" w:space="0" w:color="auto"/>
              <w:left w:val="nil"/>
              <w:bottom w:val="single" w:sz="8" w:space="0" w:color="auto"/>
              <w:right w:val="single" w:sz="8" w:space="0" w:color="auto"/>
            </w:tcBorders>
            <w:shd w:val="clear" w:color="auto" w:fill="auto"/>
            <w:vAlign w:val="center"/>
            <w:hideMark/>
          </w:tcPr>
          <w:p w14:paraId="20BEF734" w14:textId="735801AC"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Preparation  and adoption of 13 bylaws that will arise from the Law on Public Private Partnership and preparation of the Guid</w:t>
            </w:r>
            <w:r w:rsidR="00F2206E">
              <w:rPr>
                <w:rFonts w:eastAsia="Times New Roman" w:cs="Calibri"/>
                <w:sz w:val="16"/>
                <w:szCs w:val="16"/>
                <w:lang w:val="en-GB"/>
              </w:rPr>
              <w:t>e</w:t>
            </w:r>
            <w:r w:rsidRPr="00D30847">
              <w:rPr>
                <w:rFonts w:eastAsia="Times New Roman" w:cs="Calibri"/>
                <w:sz w:val="16"/>
                <w:szCs w:val="16"/>
                <w:lang w:val="en-GB"/>
              </w:rPr>
              <w:t>line with ex</w:t>
            </w:r>
            <w:r w:rsidR="00F2206E">
              <w:rPr>
                <w:rFonts w:eastAsia="Times New Roman" w:cs="Calibri"/>
                <w:sz w:val="16"/>
                <w:szCs w:val="16"/>
                <w:lang w:val="en-GB"/>
              </w:rPr>
              <w:t>a</w:t>
            </w:r>
            <w:r w:rsidRPr="00D30847">
              <w:rPr>
                <w:rFonts w:eastAsia="Times New Roman" w:cs="Calibri"/>
                <w:sz w:val="16"/>
                <w:szCs w:val="16"/>
                <w:lang w:val="en-GB"/>
              </w:rPr>
              <w:t>mples of PPP pr</w:t>
            </w:r>
            <w:r w:rsidR="00F2206E">
              <w:rPr>
                <w:rFonts w:eastAsia="Times New Roman" w:cs="Calibri"/>
                <w:sz w:val="16"/>
                <w:szCs w:val="16"/>
                <w:lang w:val="en-GB"/>
              </w:rPr>
              <w:t>oj</w:t>
            </w:r>
            <w:r w:rsidRPr="00D30847">
              <w:rPr>
                <w:rFonts w:eastAsia="Times New Roman" w:cs="Calibri"/>
                <w:sz w:val="16"/>
                <w:szCs w:val="16"/>
                <w:lang w:val="en-GB"/>
              </w:rPr>
              <w:t>ects</w:t>
            </w:r>
          </w:p>
        </w:tc>
        <w:tc>
          <w:tcPr>
            <w:tcW w:w="522" w:type="dxa"/>
            <w:gridSpan w:val="2"/>
            <w:tcBorders>
              <w:top w:val="single" w:sz="8" w:space="0" w:color="auto"/>
              <w:left w:val="nil"/>
              <w:bottom w:val="single" w:sz="8" w:space="0" w:color="auto"/>
              <w:right w:val="single" w:sz="8" w:space="0" w:color="auto"/>
            </w:tcBorders>
            <w:shd w:val="clear" w:color="000000" w:fill="0000FF"/>
            <w:vAlign w:val="center"/>
            <w:hideMark/>
          </w:tcPr>
          <w:p w14:paraId="591E4FC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7AE7162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single" w:sz="8" w:space="0" w:color="auto"/>
              <w:left w:val="nil"/>
              <w:bottom w:val="single" w:sz="8" w:space="0" w:color="auto"/>
              <w:right w:val="single" w:sz="8" w:space="0" w:color="auto"/>
            </w:tcBorders>
            <w:shd w:val="clear" w:color="000000" w:fill="0000FF"/>
            <w:vAlign w:val="center"/>
            <w:hideMark/>
          </w:tcPr>
          <w:p w14:paraId="0E49AAF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single" w:sz="8" w:space="0" w:color="auto"/>
              <w:left w:val="nil"/>
              <w:bottom w:val="single" w:sz="8" w:space="0" w:color="auto"/>
              <w:right w:val="single" w:sz="8" w:space="0" w:color="auto"/>
            </w:tcBorders>
            <w:shd w:val="clear" w:color="000000" w:fill="0000FF"/>
            <w:vAlign w:val="center"/>
            <w:hideMark/>
          </w:tcPr>
          <w:p w14:paraId="3B31771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73B181C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single" w:sz="8" w:space="0" w:color="auto"/>
              <w:left w:val="nil"/>
              <w:bottom w:val="single" w:sz="8" w:space="0" w:color="auto"/>
              <w:right w:val="single" w:sz="8" w:space="0" w:color="auto"/>
            </w:tcBorders>
            <w:shd w:val="clear" w:color="000000" w:fill="0000FF"/>
            <w:vAlign w:val="center"/>
            <w:hideMark/>
          </w:tcPr>
          <w:p w14:paraId="7BCC3E0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657570A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single" w:sz="8" w:space="0" w:color="auto"/>
              <w:left w:val="nil"/>
              <w:bottom w:val="single" w:sz="8" w:space="0" w:color="auto"/>
              <w:right w:val="single" w:sz="8" w:space="0" w:color="auto"/>
            </w:tcBorders>
            <w:shd w:val="clear" w:color="000000" w:fill="0000FF"/>
            <w:vAlign w:val="center"/>
            <w:hideMark/>
          </w:tcPr>
          <w:p w14:paraId="6570BC1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auto" w:fill="auto"/>
            <w:vAlign w:val="center"/>
            <w:hideMark/>
          </w:tcPr>
          <w:p w14:paraId="30EBD7DB"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auto" w:fill="auto"/>
            <w:vAlign w:val="center"/>
            <w:hideMark/>
          </w:tcPr>
          <w:p w14:paraId="62C4B3D0"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auto" w:fill="auto"/>
            <w:vAlign w:val="center"/>
            <w:hideMark/>
          </w:tcPr>
          <w:p w14:paraId="2F3328CD"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22" w:type="dxa"/>
            <w:gridSpan w:val="3"/>
            <w:tcBorders>
              <w:top w:val="single" w:sz="8" w:space="0" w:color="auto"/>
              <w:left w:val="nil"/>
              <w:bottom w:val="single" w:sz="8" w:space="0" w:color="auto"/>
              <w:right w:val="single" w:sz="8" w:space="0" w:color="auto"/>
            </w:tcBorders>
            <w:shd w:val="clear" w:color="auto" w:fill="auto"/>
            <w:vAlign w:val="center"/>
            <w:hideMark/>
          </w:tcPr>
          <w:p w14:paraId="58B10C1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auto" w:fill="auto"/>
            <w:vAlign w:val="center"/>
            <w:hideMark/>
          </w:tcPr>
          <w:p w14:paraId="1B29194F"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2"/>
            <w:tcBorders>
              <w:top w:val="single" w:sz="8" w:space="0" w:color="auto"/>
              <w:left w:val="nil"/>
              <w:bottom w:val="single" w:sz="8" w:space="0" w:color="auto"/>
              <w:right w:val="single" w:sz="8" w:space="0" w:color="auto"/>
            </w:tcBorders>
            <w:shd w:val="clear" w:color="auto" w:fill="auto"/>
            <w:vAlign w:val="center"/>
            <w:hideMark/>
          </w:tcPr>
          <w:p w14:paraId="12BCAE77"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auto" w:fill="auto"/>
            <w:vAlign w:val="center"/>
            <w:hideMark/>
          </w:tcPr>
          <w:p w14:paraId="6B7DB8A2"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48" w:type="dxa"/>
            <w:gridSpan w:val="3"/>
            <w:tcBorders>
              <w:top w:val="single" w:sz="8" w:space="0" w:color="auto"/>
              <w:left w:val="nil"/>
              <w:bottom w:val="single" w:sz="8" w:space="0" w:color="auto"/>
              <w:right w:val="single" w:sz="8" w:space="0" w:color="auto"/>
            </w:tcBorders>
            <w:shd w:val="clear" w:color="auto" w:fill="auto"/>
            <w:vAlign w:val="center"/>
            <w:hideMark/>
          </w:tcPr>
          <w:p w14:paraId="512121E7"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r>
      <w:tr w:rsidR="00C93723" w:rsidRPr="00D30847" w14:paraId="12FC7B23" w14:textId="77777777" w:rsidTr="00595060">
        <w:trPr>
          <w:trHeight w:val="448"/>
        </w:trPr>
        <w:tc>
          <w:tcPr>
            <w:tcW w:w="702" w:type="dxa"/>
            <w:gridSpan w:val="2"/>
            <w:tcBorders>
              <w:top w:val="nil"/>
              <w:left w:val="nil"/>
              <w:bottom w:val="nil"/>
              <w:right w:val="nil"/>
            </w:tcBorders>
            <w:shd w:val="clear" w:color="auto" w:fill="auto"/>
            <w:vAlign w:val="bottom"/>
            <w:hideMark/>
          </w:tcPr>
          <w:p w14:paraId="4CABDC95" w14:textId="77777777" w:rsidR="00C93723" w:rsidRPr="00D30847" w:rsidRDefault="00C93723" w:rsidP="00C93723">
            <w:pPr>
              <w:spacing w:after="0" w:line="240" w:lineRule="auto"/>
              <w:rPr>
                <w:rFonts w:eastAsia="Times New Roman" w:cs="Calibri"/>
                <w:sz w:val="16"/>
                <w:szCs w:val="16"/>
                <w:lang w:val="en-GB"/>
              </w:rPr>
            </w:pPr>
          </w:p>
        </w:tc>
        <w:tc>
          <w:tcPr>
            <w:tcW w:w="464" w:type="dxa"/>
            <w:gridSpan w:val="2"/>
            <w:tcBorders>
              <w:top w:val="nil"/>
              <w:left w:val="nil"/>
              <w:bottom w:val="nil"/>
              <w:right w:val="nil"/>
            </w:tcBorders>
            <w:shd w:val="clear" w:color="auto" w:fill="auto"/>
            <w:vAlign w:val="bottom"/>
            <w:hideMark/>
          </w:tcPr>
          <w:p w14:paraId="783A1877"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67C9935A"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3B26C2EE"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5910F921" w14:textId="0041662B"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xml:space="preserve">Preparation  and adoption of </w:t>
            </w:r>
            <w:r w:rsidR="00824727">
              <w:rPr>
                <w:rFonts w:eastAsia="Times New Roman" w:cs="Calibri"/>
                <w:sz w:val="16"/>
                <w:szCs w:val="16"/>
                <w:lang w:val="en-GB"/>
              </w:rPr>
              <w:t>2</w:t>
            </w:r>
            <w:r w:rsidRPr="00D30847">
              <w:rPr>
                <w:rFonts w:eastAsia="Times New Roman" w:cs="Calibri"/>
                <w:sz w:val="16"/>
                <w:szCs w:val="16"/>
                <w:lang w:val="en-GB"/>
              </w:rPr>
              <w:t xml:space="preserve"> bylaws that will arise from the f the Law on Concession on goods of general interest</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7B324A9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536385E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2C13BD1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0C4ADA1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2E9DE5B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7A83A31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2715310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7306BAD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643BFB57"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6C261C08"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0D0E6089"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22" w:type="dxa"/>
            <w:gridSpan w:val="3"/>
            <w:tcBorders>
              <w:top w:val="nil"/>
              <w:left w:val="nil"/>
              <w:bottom w:val="single" w:sz="8" w:space="0" w:color="auto"/>
              <w:right w:val="single" w:sz="8" w:space="0" w:color="auto"/>
            </w:tcBorders>
            <w:shd w:val="clear" w:color="auto" w:fill="auto"/>
            <w:vAlign w:val="center"/>
            <w:hideMark/>
          </w:tcPr>
          <w:p w14:paraId="7B9A2488"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63788185"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210DBEEF"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276294B8"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0BF00BAC"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r>
      <w:tr w:rsidR="00C93723" w:rsidRPr="00D30847" w14:paraId="016A682D" w14:textId="77777777" w:rsidTr="00595060">
        <w:trPr>
          <w:trHeight w:val="615"/>
        </w:trPr>
        <w:tc>
          <w:tcPr>
            <w:tcW w:w="702" w:type="dxa"/>
            <w:gridSpan w:val="2"/>
            <w:tcBorders>
              <w:top w:val="nil"/>
              <w:left w:val="nil"/>
              <w:bottom w:val="nil"/>
              <w:right w:val="nil"/>
            </w:tcBorders>
            <w:shd w:val="clear" w:color="000000" w:fill="6FE7FF"/>
            <w:vAlign w:val="center"/>
            <w:hideMark/>
          </w:tcPr>
          <w:p w14:paraId="7B0CA34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2EE122D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0E02DE7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3.</w:t>
            </w:r>
          </w:p>
        </w:tc>
        <w:tc>
          <w:tcPr>
            <w:tcW w:w="1770" w:type="dxa"/>
            <w:gridSpan w:val="2"/>
            <w:tcBorders>
              <w:top w:val="nil"/>
              <w:left w:val="nil"/>
              <w:bottom w:val="nil"/>
              <w:right w:val="nil"/>
            </w:tcBorders>
            <w:shd w:val="clear" w:color="000000" w:fill="6FE7FF"/>
            <w:vAlign w:val="center"/>
            <w:hideMark/>
          </w:tcPr>
          <w:p w14:paraId="1F1C2EF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258" w:type="dxa"/>
            <w:gridSpan w:val="2"/>
            <w:tcBorders>
              <w:top w:val="nil"/>
              <w:left w:val="nil"/>
              <w:bottom w:val="nil"/>
              <w:right w:val="nil"/>
            </w:tcBorders>
            <w:shd w:val="clear" w:color="000000" w:fill="6FE7FF"/>
            <w:vAlign w:val="center"/>
            <w:hideMark/>
          </w:tcPr>
          <w:p w14:paraId="174300D1" w14:textId="63C9D387" w:rsidR="00C93723" w:rsidRPr="00824727" w:rsidRDefault="00C93723" w:rsidP="00C93723">
            <w:pPr>
              <w:spacing w:after="0" w:line="240" w:lineRule="auto"/>
              <w:rPr>
                <w:rFonts w:eastAsia="Times New Roman" w:cs="Calibri"/>
                <w:sz w:val="16"/>
                <w:szCs w:val="16"/>
                <w:lang w:val="en-GB"/>
              </w:rPr>
            </w:pPr>
            <w:r w:rsidRPr="00824727">
              <w:rPr>
                <w:rFonts w:eastAsia="Times New Roman" w:cs="Calibri"/>
                <w:sz w:val="16"/>
                <w:szCs w:val="16"/>
                <w:lang w:val="en-GB"/>
              </w:rPr>
              <w:t xml:space="preserve">Strengthening and developing the capacities of the </w:t>
            </w:r>
            <w:r w:rsidR="00824727" w:rsidRPr="00824727">
              <w:rPr>
                <w:rFonts w:cs="Calibri"/>
                <w:sz w:val="16"/>
                <w:szCs w:val="16"/>
                <w:lang w:val="en-GB"/>
              </w:rPr>
              <w:t xml:space="preserve">Ministry of Energy, Mining and Mineral Resources </w:t>
            </w:r>
            <w:r w:rsidRPr="00824727">
              <w:rPr>
                <w:rFonts w:eastAsia="Times New Roman" w:cs="Calibri"/>
                <w:sz w:val="16"/>
                <w:szCs w:val="16"/>
                <w:lang w:val="en-GB"/>
              </w:rPr>
              <w:t>in the field of public-private partnership</w:t>
            </w:r>
          </w:p>
        </w:tc>
        <w:tc>
          <w:tcPr>
            <w:tcW w:w="522" w:type="dxa"/>
            <w:gridSpan w:val="2"/>
            <w:tcBorders>
              <w:top w:val="nil"/>
              <w:left w:val="nil"/>
              <w:bottom w:val="nil"/>
              <w:right w:val="nil"/>
            </w:tcBorders>
            <w:shd w:val="clear" w:color="000000" w:fill="6FE7FF"/>
            <w:vAlign w:val="center"/>
            <w:hideMark/>
          </w:tcPr>
          <w:p w14:paraId="00831D2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4102491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6FE7FF"/>
            <w:vAlign w:val="center"/>
            <w:hideMark/>
          </w:tcPr>
          <w:p w14:paraId="0FBAF51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6FE7FF"/>
            <w:vAlign w:val="center"/>
            <w:hideMark/>
          </w:tcPr>
          <w:p w14:paraId="12592A5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01BAA4F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6FE7FF"/>
            <w:vAlign w:val="center"/>
            <w:hideMark/>
          </w:tcPr>
          <w:p w14:paraId="7057BBF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70D31F4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6FE7FF"/>
            <w:vAlign w:val="center"/>
            <w:hideMark/>
          </w:tcPr>
          <w:p w14:paraId="6E6456F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1A68152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260106B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106A4F4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6FE7FF"/>
            <w:vAlign w:val="center"/>
            <w:hideMark/>
          </w:tcPr>
          <w:p w14:paraId="5970194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3C85B0E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6FE7FF"/>
            <w:vAlign w:val="center"/>
            <w:hideMark/>
          </w:tcPr>
          <w:p w14:paraId="6FDF482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63E0FF8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6FE7FF"/>
            <w:vAlign w:val="center"/>
            <w:hideMark/>
          </w:tcPr>
          <w:p w14:paraId="49B6B5D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753AD889" w14:textId="77777777" w:rsidTr="00595060">
        <w:trPr>
          <w:trHeight w:val="457"/>
        </w:trPr>
        <w:tc>
          <w:tcPr>
            <w:tcW w:w="702" w:type="dxa"/>
            <w:gridSpan w:val="2"/>
            <w:tcBorders>
              <w:top w:val="nil"/>
              <w:left w:val="nil"/>
              <w:bottom w:val="nil"/>
              <w:right w:val="nil"/>
            </w:tcBorders>
            <w:shd w:val="clear" w:color="auto" w:fill="auto"/>
            <w:vAlign w:val="bottom"/>
            <w:hideMark/>
          </w:tcPr>
          <w:p w14:paraId="6A2B37DF"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170B68B1"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2BBC04DA"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single" w:sz="8" w:space="0" w:color="auto"/>
              <w:left w:val="single" w:sz="8" w:space="0" w:color="auto"/>
              <w:bottom w:val="single" w:sz="8" w:space="0" w:color="auto"/>
              <w:right w:val="nil"/>
            </w:tcBorders>
            <w:shd w:val="clear" w:color="auto" w:fill="auto"/>
            <w:vAlign w:val="center"/>
            <w:hideMark/>
          </w:tcPr>
          <w:p w14:paraId="6712DBA9"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single" w:sz="8" w:space="0" w:color="auto"/>
              <w:left w:val="nil"/>
              <w:bottom w:val="single" w:sz="8" w:space="0" w:color="auto"/>
              <w:right w:val="single" w:sz="8" w:space="0" w:color="auto"/>
            </w:tcBorders>
            <w:shd w:val="clear" w:color="auto" w:fill="auto"/>
            <w:vAlign w:val="center"/>
            <w:hideMark/>
          </w:tcPr>
          <w:p w14:paraId="5981D2A3" w14:textId="2A3437B2" w:rsidR="00C93723" w:rsidRPr="00D30847" w:rsidRDefault="00B3120D" w:rsidP="00C93723">
            <w:pPr>
              <w:spacing w:after="0" w:line="240" w:lineRule="auto"/>
              <w:rPr>
                <w:rFonts w:eastAsia="Times New Roman" w:cs="Calibri"/>
                <w:sz w:val="16"/>
                <w:szCs w:val="16"/>
                <w:lang w:val="en-GB"/>
              </w:rPr>
            </w:pPr>
            <w:r w:rsidRPr="00B3120D">
              <w:rPr>
                <w:rFonts w:eastAsia="Times New Roman" w:cs="Calibri"/>
                <w:sz w:val="16"/>
                <w:szCs w:val="16"/>
                <w:lang w:val="en-GB"/>
              </w:rPr>
              <w:t>Increasing the number of employees in the Ministry of Energy, Mining and Mineral Resources in the area of public-private partnership and their professional training and development in order to ensure consistent implementation of the law in this area.</w:t>
            </w:r>
          </w:p>
        </w:tc>
        <w:tc>
          <w:tcPr>
            <w:tcW w:w="522" w:type="dxa"/>
            <w:gridSpan w:val="2"/>
            <w:tcBorders>
              <w:top w:val="single" w:sz="8" w:space="0" w:color="auto"/>
              <w:left w:val="nil"/>
              <w:bottom w:val="single" w:sz="8" w:space="0" w:color="auto"/>
              <w:right w:val="single" w:sz="8" w:space="0" w:color="auto"/>
            </w:tcBorders>
            <w:shd w:val="clear" w:color="000000" w:fill="0000FF"/>
            <w:vAlign w:val="center"/>
            <w:hideMark/>
          </w:tcPr>
          <w:p w14:paraId="647A94C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4DAB514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single" w:sz="8" w:space="0" w:color="auto"/>
              <w:left w:val="nil"/>
              <w:bottom w:val="single" w:sz="8" w:space="0" w:color="auto"/>
              <w:right w:val="single" w:sz="8" w:space="0" w:color="auto"/>
            </w:tcBorders>
            <w:shd w:val="clear" w:color="000000" w:fill="0000FF"/>
            <w:vAlign w:val="center"/>
            <w:hideMark/>
          </w:tcPr>
          <w:p w14:paraId="405A756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single" w:sz="8" w:space="0" w:color="auto"/>
              <w:left w:val="nil"/>
              <w:bottom w:val="single" w:sz="8" w:space="0" w:color="auto"/>
              <w:right w:val="single" w:sz="8" w:space="0" w:color="auto"/>
            </w:tcBorders>
            <w:shd w:val="clear" w:color="000000" w:fill="0000FF"/>
            <w:vAlign w:val="center"/>
            <w:hideMark/>
          </w:tcPr>
          <w:p w14:paraId="6956AB0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3CEB6D9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single" w:sz="8" w:space="0" w:color="auto"/>
              <w:left w:val="nil"/>
              <w:bottom w:val="single" w:sz="8" w:space="0" w:color="auto"/>
              <w:right w:val="single" w:sz="8" w:space="0" w:color="auto"/>
            </w:tcBorders>
            <w:shd w:val="clear" w:color="000000" w:fill="0000FF"/>
            <w:vAlign w:val="center"/>
            <w:hideMark/>
          </w:tcPr>
          <w:p w14:paraId="2ED7984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1FFA1A5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single" w:sz="8" w:space="0" w:color="auto"/>
              <w:left w:val="nil"/>
              <w:bottom w:val="single" w:sz="8" w:space="0" w:color="auto"/>
              <w:right w:val="single" w:sz="8" w:space="0" w:color="auto"/>
            </w:tcBorders>
            <w:shd w:val="clear" w:color="000000" w:fill="0000FF"/>
            <w:vAlign w:val="center"/>
            <w:hideMark/>
          </w:tcPr>
          <w:p w14:paraId="58D12BB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6B86B01E"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291F6849"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34F075E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22" w:type="dxa"/>
            <w:gridSpan w:val="3"/>
            <w:tcBorders>
              <w:top w:val="nil"/>
              <w:left w:val="nil"/>
              <w:bottom w:val="single" w:sz="8" w:space="0" w:color="auto"/>
              <w:right w:val="single" w:sz="8" w:space="0" w:color="auto"/>
            </w:tcBorders>
            <w:shd w:val="clear" w:color="auto" w:fill="auto"/>
            <w:vAlign w:val="center"/>
            <w:hideMark/>
          </w:tcPr>
          <w:p w14:paraId="07E7563E"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50E434A8"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5DC4EA58"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665F1F96"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6A4BB3BA"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r>
      <w:tr w:rsidR="00C93723" w:rsidRPr="00D30847" w14:paraId="10EB551D" w14:textId="77777777" w:rsidTr="00B84551">
        <w:trPr>
          <w:trHeight w:val="223"/>
        </w:trPr>
        <w:tc>
          <w:tcPr>
            <w:tcW w:w="15210" w:type="dxa"/>
            <w:gridSpan w:val="55"/>
            <w:tcBorders>
              <w:top w:val="nil"/>
              <w:left w:val="nil"/>
              <w:bottom w:val="nil"/>
              <w:right w:val="nil"/>
            </w:tcBorders>
            <w:shd w:val="clear" w:color="000000" w:fill="33CCFF"/>
            <w:vAlign w:val="center"/>
            <w:hideMark/>
          </w:tcPr>
          <w:p w14:paraId="6D91E42C" w14:textId="236D1F06"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xml:space="preserve">Pillar V - </w:t>
            </w:r>
            <w:r w:rsidR="00A11215" w:rsidRPr="00D30847">
              <w:rPr>
                <w:rFonts w:eastAsia="Times New Roman" w:cs="Calibri"/>
                <w:b/>
                <w:bCs/>
                <w:sz w:val="16"/>
                <w:szCs w:val="16"/>
                <w:lang w:val="en-GB"/>
              </w:rPr>
              <w:t>Public finance digitalisation and </w:t>
            </w:r>
            <w:proofErr w:type="spellStart"/>
            <w:r w:rsidR="001111E8" w:rsidRPr="00D30847">
              <w:rPr>
                <w:rFonts w:eastAsia="Times New Roman" w:cs="Calibri"/>
                <w:b/>
                <w:bCs/>
                <w:sz w:val="16"/>
                <w:szCs w:val="16"/>
                <w:lang w:val="en-GB"/>
              </w:rPr>
              <w:t>continuоus</w:t>
            </w:r>
            <w:proofErr w:type="spellEnd"/>
            <w:r w:rsidR="00A11215" w:rsidRPr="00D30847">
              <w:rPr>
                <w:rFonts w:eastAsia="Times New Roman" w:cs="Calibri"/>
                <w:b/>
                <w:bCs/>
                <w:sz w:val="16"/>
                <w:szCs w:val="16"/>
                <w:lang w:val="en-GB"/>
              </w:rPr>
              <w:t> learning</w:t>
            </w:r>
          </w:p>
        </w:tc>
      </w:tr>
      <w:tr w:rsidR="00C93723" w:rsidRPr="00D30847" w14:paraId="3B142093" w14:textId="77777777" w:rsidTr="00B84551">
        <w:trPr>
          <w:trHeight w:val="441"/>
        </w:trPr>
        <w:tc>
          <w:tcPr>
            <w:tcW w:w="702" w:type="dxa"/>
            <w:gridSpan w:val="2"/>
            <w:tcBorders>
              <w:top w:val="nil"/>
              <w:left w:val="nil"/>
              <w:bottom w:val="nil"/>
              <w:right w:val="nil"/>
            </w:tcBorders>
            <w:shd w:val="clear" w:color="000000" w:fill="00FF00"/>
            <w:vAlign w:val="center"/>
            <w:hideMark/>
          </w:tcPr>
          <w:p w14:paraId="2F2CE70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510" w:type="dxa"/>
            <w:gridSpan w:val="6"/>
            <w:tcBorders>
              <w:top w:val="nil"/>
              <w:left w:val="nil"/>
              <w:bottom w:val="nil"/>
              <w:right w:val="nil"/>
            </w:tcBorders>
            <w:shd w:val="clear" w:color="000000" w:fill="00FF00"/>
            <w:vAlign w:val="center"/>
            <w:hideMark/>
          </w:tcPr>
          <w:p w14:paraId="68A7681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Priority 1.</w:t>
            </w:r>
          </w:p>
        </w:tc>
        <w:tc>
          <w:tcPr>
            <w:tcW w:w="3258" w:type="dxa"/>
            <w:gridSpan w:val="2"/>
            <w:tcBorders>
              <w:top w:val="nil"/>
              <w:left w:val="nil"/>
              <w:bottom w:val="nil"/>
              <w:right w:val="nil"/>
            </w:tcBorders>
            <w:shd w:val="clear" w:color="000000" w:fill="00FF00"/>
            <w:vAlign w:val="center"/>
            <w:hideMark/>
          </w:tcPr>
          <w:p w14:paraId="7951C3F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xml:space="preserve">Implementation of an Integrated Financial Management Information System (IFMIS) </w:t>
            </w:r>
          </w:p>
        </w:tc>
        <w:tc>
          <w:tcPr>
            <w:tcW w:w="522" w:type="dxa"/>
            <w:gridSpan w:val="2"/>
            <w:tcBorders>
              <w:top w:val="nil"/>
              <w:left w:val="nil"/>
              <w:bottom w:val="nil"/>
              <w:right w:val="nil"/>
            </w:tcBorders>
            <w:shd w:val="clear" w:color="000000" w:fill="00FF00"/>
            <w:vAlign w:val="center"/>
            <w:hideMark/>
          </w:tcPr>
          <w:p w14:paraId="50D8247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0EFAB5A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00FF00"/>
            <w:vAlign w:val="center"/>
            <w:hideMark/>
          </w:tcPr>
          <w:p w14:paraId="4316AC4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00FF00"/>
            <w:vAlign w:val="center"/>
            <w:hideMark/>
          </w:tcPr>
          <w:p w14:paraId="57DB912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1D5D81C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00FF00"/>
            <w:vAlign w:val="center"/>
            <w:hideMark/>
          </w:tcPr>
          <w:p w14:paraId="27498B7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4B78F11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00FF00"/>
            <w:vAlign w:val="center"/>
            <w:hideMark/>
          </w:tcPr>
          <w:p w14:paraId="79C6899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5098B46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0D4DB1C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78A906E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00FF00"/>
            <w:vAlign w:val="center"/>
            <w:hideMark/>
          </w:tcPr>
          <w:p w14:paraId="077A212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7355FA2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00FF00"/>
            <w:vAlign w:val="center"/>
            <w:hideMark/>
          </w:tcPr>
          <w:p w14:paraId="4469A99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249BEB6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00FF00"/>
            <w:vAlign w:val="center"/>
            <w:hideMark/>
          </w:tcPr>
          <w:p w14:paraId="0CA1ED2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4BE7A8C8" w14:textId="77777777" w:rsidTr="00595060">
        <w:trPr>
          <w:trHeight w:val="540"/>
        </w:trPr>
        <w:tc>
          <w:tcPr>
            <w:tcW w:w="702" w:type="dxa"/>
            <w:gridSpan w:val="2"/>
            <w:tcBorders>
              <w:top w:val="nil"/>
              <w:left w:val="nil"/>
              <w:bottom w:val="nil"/>
              <w:right w:val="nil"/>
            </w:tcBorders>
            <w:shd w:val="clear" w:color="000000" w:fill="33CCFF"/>
            <w:vAlign w:val="center"/>
            <w:hideMark/>
          </w:tcPr>
          <w:p w14:paraId="0E3289B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33CCFF"/>
            <w:vAlign w:val="center"/>
            <w:hideMark/>
          </w:tcPr>
          <w:p w14:paraId="43D9CA9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046" w:type="dxa"/>
            <w:gridSpan w:val="4"/>
            <w:tcBorders>
              <w:top w:val="nil"/>
              <w:left w:val="nil"/>
              <w:bottom w:val="nil"/>
              <w:right w:val="nil"/>
            </w:tcBorders>
            <w:shd w:val="clear" w:color="000000" w:fill="33CCFF"/>
            <w:vAlign w:val="center"/>
            <w:hideMark/>
          </w:tcPr>
          <w:p w14:paraId="153D8A3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1.</w:t>
            </w:r>
          </w:p>
        </w:tc>
        <w:tc>
          <w:tcPr>
            <w:tcW w:w="3258" w:type="dxa"/>
            <w:gridSpan w:val="2"/>
            <w:tcBorders>
              <w:top w:val="nil"/>
              <w:left w:val="nil"/>
              <w:bottom w:val="nil"/>
              <w:right w:val="nil"/>
            </w:tcBorders>
            <w:shd w:val="clear" w:color="000000" w:fill="33CCFF"/>
            <w:vAlign w:val="center"/>
            <w:hideMark/>
          </w:tcPr>
          <w:p w14:paraId="74EB98B9" w14:textId="59D938A0"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Development of IFMIS as an integrated centralized web-based system</w:t>
            </w:r>
          </w:p>
        </w:tc>
        <w:tc>
          <w:tcPr>
            <w:tcW w:w="522" w:type="dxa"/>
            <w:gridSpan w:val="2"/>
            <w:tcBorders>
              <w:top w:val="nil"/>
              <w:left w:val="nil"/>
              <w:bottom w:val="nil"/>
              <w:right w:val="nil"/>
            </w:tcBorders>
            <w:shd w:val="clear" w:color="000000" w:fill="33CCFF"/>
            <w:vAlign w:val="center"/>
            <w:hideMark/>
          </w:tcPr>
          <w:p w14:paraId="0D4ED50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244EABD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33CCFF"/>
            <w:vAlign w:val="center"/>
            <w:hideMark/>
          </w:tcPr>
          <w:p w14:paraId="7922D8C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33CCFF"/>
            <w:vAlign w:val="center"/>
            <w:hideMark/>
          </w:tcPr>
          <w:p w14:paraId="48E23DC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2A69CBA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33CCFF"/>
            <w:vAlign w:val="center"/>
            <w:hideMark/>
          </w:tcPr>
          <w:p w14:paraId="37B6618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6AC8DAD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33CCFF"/>
            <w:vAlign w:val="center"/>
            <w:hideMark/>
          </w:tcPr>
          <w:p w14:paraId="3680B05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33CCFF"/>
            <w:vAlign w:val="center"/>
            <w:hideMark/>
          </w:tcPr>
          <w:p w14:paraId="01FAD19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0E47D76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751FC88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33CCFF"/>
            <w:vAlign w:val="center"/>
            <w:hideMark/>
          </w:tcPr>
          <w:p w14:paraId="5F5C339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33CCFF"/>
            <w:vAlign w:val="center"/>
            <w:hideMark/>
          </w:tcPr>
          <w:p w14:paraId="6F34E8C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33CCFF"/>
            <w:vAlign w:val="center"/>
            <w:hideMark/>
          </w:tcPr>
          <w:p w14:paraId="5BD2CC7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40FBF29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33CCFF"/>
            <w:vAlign w:val="center"/>
            <w:hideMark/>
          </w:tcPr>
          <w:p w14:paraId="1C96452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942045" w:rsidRPr="00D30847" w14:paraId="55C1514C" w14:textId="77777777" w:rsidTr="00595060">
        <w:trPr>
          <w:trHeight w:val="315"/>
        </w:trPr>
        <w:tc>
          <w:tcPr>
            <w:tcW w:w="702" w:type="dxa"/>
            <w:gridSpan w:val="2"/>
            <w:tcBorders>
              <w:top w:val="nil"/>
              <w:left w:val="nil"/>
              <w:bottom w:val="nil"/>
              <w:right w:val="nil"/>
            </w:tcBorders>
            <w:shd w:val="clear" w:color="auto" w:fill="auto"/>
            <w:vAlign w:val="bottom"/>
            <w:hideMark/>
          </w:tcPr>
          <w:p w14:paraId="1142E2AA" w14:textId="77777777" w:rsidR="00942045" w:rsidRPr="00D30847" w:rsidRDefault="00942045" w:rsidP="00942045">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4DFE5DB6"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single" w:sz="8" w:space="0" w:color="auto"/>
            </w:tcBorders>
            <w:shd w:val="clear" w:color="auto" w:fill="auto"/>
            <w:vAlign w:val="bottom"/>
            <w:hideMark/>
          </w:tcPr>
          <w:p w14:paraId="325DF3AC"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1770" w:type="dxa"/>
            <w:gridSpan w:val="2"/>
            <w:tcBorders>
              <w:top w:val="single" w:sz="8" w:space="0" w:color="auto"/>
              <w:left w:val="nil"/>
              <w:bottom w:val="single" w:sz="8" w:space="0" w:color="auto"/>
              <w:right w:val="nil"/>
            </w:tcBorders>
            <w:shd w:val="clear" w:color="auto" w:fill="auto"/>
            <w:vAlign w:val="center"/>
            <w:hideMark/>
          </w:tcPr>
          <w:p w14:paraId="5959DE2E"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single" w:sz="8" w:space="0" w:color="auto"/>
              <w:left w:val="nil"/>
              <w:bottom w:val="single" w:sz="8" w:space="0" w:color="auto"/>
              <w:right w:val="single" w:sz="8" w:space="0" w:color="auto"/>
            </w:tcBorders>
            <w:shd w:val="clear" w:color="auto" w:fill="auto"/>
            <w:vAlign w:val="center"/>
            <w:hideMark/>
          </w:tcPr>
          <w:p w14:paraId="67AD7C9A"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Selection of IFMIS Solution Provider</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0591FD63" w14:textId="4F3AEABB"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4CB25F7C" w14:textId="5412DB3F"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7205EB70" w14:textId="17BFC375"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68262E42" w14:textId="2800F2A6"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FFFFFF"/>
            <w:vAlign w:val="center"/>
            <w:hideMark/>
          </w:tcPr>
          <w:p w14:paraId="1BC97C83"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single" w:sz="8" w:space="0" w:color="auto"/>
              <w:left w:val="nil"/>
              <w:bottom w:val="single" w:sz="8" w:space="0" w:color="auto"/>
              <w:right w:val="single" w:sz="8" w:space="0" w:color="auto"/>
            </w:tcBorders>
            <w:shd w:val="clear" w:color="000000" w:fill="FFFFFF"/>
            <w:vAlign w:val="center"/>
            <w:hideMark/>
          </w:tcPr>
          <w:p w14:paraId="1BBA5B99"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FFFFFF"/>
            <w:vAlign w:val="center"/>
            <w:hideMark/>
          </w:tcPr>
          <w:p w14:paraId="5758C44A"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single" w:sz="8" w:space="0" w:color="auto"/>
              <w:left w:val="nil"/>
              <w:bottom w:val="single" w:sz="8" w:space="0" w:color="auto"/>
              <w:right w:val="single" w:sz="8" w:space="0" w:color="auto"/>
            </w:tcBorders>
            <w:shd w:val="clear" w:color="000000" w:fill="FFFFFF"/>
            <w:vAlign w:val="center"/>
            <w:hideMark/>
          </w:tcPr>
          <w:p w14:paraId="036F1E35"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000000" w:fill="FFFFFF"/>
            <w:vAlign w:val="center"/>
            <w:hideMark/>
          </w:tcPr>
          <w:p w14:paraId="58E68A21"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FFFFFF"/>
            <w:vAlign w:val="center"/>
            <w:hideMark/>
          </w:tcPr>
          <w:p w14:paraId="1F4DFAA4"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FFFFFF"/>
            <w:vAlign w:val="center"/>
            <w:hideMark/>
          </w:tcPr>
          <w:p w14:paraId="0D953993"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22" w:type="dxa"/>
            <w:gridSpan w:val="3"/>
            <w:tcBorders>
              <w:top w:val="single" w:sz="8" w:space="0" w:color="auto"/>
              <w:left w:val="nil"/>
              <w:bottom w:val="single" w:sz="8" w:space="0" w:color="auto"/>
              <w:right w:val="single" w:sz="8" w:space="0" w:color="auto"/>
            </w:tcBorders>
            <w:shd w:val="clear" w:color="000000" w:fill="FFFFFF"/>
            <w:vAlign w:val="center"/>
            <w:hideMark/>
          </w:tcPr>
          <w:p w14:paraId="30CE87A2"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auto" w:fill="auto"/>
            <w:vAlign w:val="center"/>
            <w:hideMark/>
          </w:tcPr>
          <w:p w14:paraId="7E361369"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2"/>
            <w:tcBorders>
              <w:top w:val="single" w:sz="8" w:space="0" w:color="auto"/>
              <w:left w:val="nil"/>
              <w:bottom w:val="single" w:sz="8" w:space="0" w:color="auto"/>
              <w:right w:val="single" w:sz="8" w:space="0" w:color="auto"/>
            </w:tcBorders>
            <w:shd w:val="clear" w:color="auto" w:fill="auto"/>
            <w:vAlign w:val="center"/>
            <w:hideMark/>
          </w:tcPr>
          <w:p w14:paraId="7B93A0DF"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auto" w:fill="auto"/>
            <w:vAlign w:val="center"/>
            <w:hideMark/>
          </w:tcPr>
          <w:p w14:paraId="698F836B"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48" w:type="dxa"/>
            <w:gridSpan w:val="3"/>
            <w:tcBorders>
              <w:top w:val="single" w:sz="8" w:space="0" w:color="auto"/>
              <w:left w:val="nil"/>
              <w:bottom w:val="single" w:sz="8" w:space="0" w:color="auto"/>
              <w:right w:val="single" w:sz="8" w:space="0" w:color="auto"/>
            </w:tcBorders>
            <w:shd w:val="clear" w:color="auto" w:fill="auto"/>
            <w:vAlign w:val="center"/>
            <w:hideMark/>
          </w:tcPr>
          <w:p w14:paraId="41B19C2D"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r>
      <w:tr w:rsidR="00942045" w:rsidRPr="00D30847" w14:paraId="4ED3A63A" w14:textId="77777777" w:rsidTr="00595060">
        <w:trPr>
          <w:trHeight w:val="70"/>
        </w:trPr>
        <w:tc>
          <w:tcPr>
            <w:tcW w:w="702" w:type="dxa"/>
            <w:gridSpan w:val="2"/>
            <w:tcBorders>
              <w:top w:val="nil"/>
              <w:left w:val="nil"/>
              <w:bottom w:val="nil"/>
              <w:right w:val="nil"/>
            </w:tcBorders>
            <w:shd w:val="clear" w:color="auto" w:fill="auto"/>
            <w:vAlign w:val="bottom"/>
            <w:hideMark/>
          </w:tcPr>
          <w:p w14:paraId="7458C079" w14:textId="77777777" w:rsidR="00942045" w:rsidRPr="00D30847" w:rsidRDefault="00942045" w:rsidP="00942045">
            <w:pPr>
              <w:spacing w:after="0" w:line="240" w:lineRule="auto"/>
              <w:rPr>
                <w:rFonts w:eastAsia="Times New Roman" w:cs="Calibri"/>
                <w:sz w:val="16"/>
                <w:szCs w:val="16"/>
                <w:lang w:val="en-GB"/>
              </w:rPr>
            </w:pPr>
          </w:p>
        </w:tc>
        <w:tc>
          <w:tcPr>
            <w:tcW w:w="464" w:type="dxa"/>
            <w:gridSpan w:val="2"/>
            <w:tcBorders>
              <w:top w:val="nil"/>
              <w:left w:val="nil"/>
              <w:bottom w:val="nil"/>
              <w:right w:val="nil"/>
            </w:tcBorders>
            <w:shd w:val="clear" w:color="auto" w:fill="auto"/>
            <w:vAlign w:val="bottom"/>
            <w:hideMark/>
          </w:tcPr>
          <w:p w14:paraId="0BDCE96E"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single" w:sz="8" w:space="0" w:color="auto"/>
            </w:tcBorders>
            <w:shd w:val="clear" w:color="auto" w:fill="auto"/>
            <w:vAlign w:val="bottom"/>
            <w:hideMark/>
          </w:tcPr>
          <w:p w14:paraId="34F3E406"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1770" w:type="dxa"/>
            <w:gridSpan w:val="2"/>
            <w:tcBorders>
              <w:top w:val="nil"/>
              <w:left w:val="nil"/>
              <w:bottom w:val="single" w:sz="8" w:space="0" w:color="auto"/>
              <w:right w:val="nil"/>
            </w:tcBorders>
            <w:shd w:val="clear" w:color="auto" w:fill="auto"/>
            <w:vAlign w:val="center"/>
            <w:hideMark/>
          </w:tcPr>
          <w:p w14:paraId="0B7F8377"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35E31212" w14:textId="6B4D2CC7" w:rsidR="00942045" w:rsidRPr="00D30847" w:rsidRDefault="00390D4A" w:rsidP="00942045">
            <w:pPr>
              <w:spacing w:after="0" w:line="240" w:lineRule="auto"/>
              <w:rPr>
                <w:rFonts w:eastAsia="Times New Roman" w:cs="Calibri"/>
                <w:sz w:val="16"/>
                <w:szCs w:val="16"/>
                <w:lang w:val="en-GB"/>
              </w:rPr>
            </w:pPr>
            <w:r w:rsidRPr="00D30847">
              <w:rPr>
                <w:rFonts w:eastAsia="Times New Roman" w:cs="Calibri"/>
                <w:sz w:val="16"/>
                <w:szCs w:val="16"/>
                <w:lang w:val="en-GB"/>
              </w:rPr>
              <w:t>Development of IFMIS modules and installation of hardware system and interfaces</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63390BF6" w14:textId="39D3BC3C"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E8CCAE4" w14:textId="2E5666E3"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1A503D3C" w14:textId="327F9D4E"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1349E750" w14:textId="177DF80F"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53BAA9A" w14:textId="1C53BBB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2D0C94D0" w14:textId="035385D9"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56B5B23F" w14:textId="33B11552"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13840E0E" w14:textId="29C1602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FFFFFF"/>
            <w:vAlign w:val="center"/>
            <w:hideMark/>
          </w:tcPr>
          <w:p w14:paraId="4C1BE988"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FFFFFF"/>
            <w:vAlign w:val="center"/>
            <w:hideMark/>
          </w:tcPr>
          <w:p w14:paraId="65DAD3F4"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FFFFFF"/>
            <w:vAlign w:val="center"/>
            <w:hideMark/>
          </w:tcPr>
          <w:p w14:paraId="170237C5"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FFFFFF"/>
            <w:vAlign w:val="center"/>
            <w:hideMark/>
          </w:tcPr>
          <w:p w14:paraId="4B224B45"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7DAE7393"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2894C29E"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6DFAF6BF"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4FD8E4F0"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r>
      <w:tr w:rsidR="00942045" w:rsidRPr="00D30847" w14:paraId="3FF278C9" w14:textId="77777777" w:rsidTr="00390D4A">
        <w:trPr>
          <w:trHeight w:val="160"/>
        </w:trPr>
        <w:tc>
          <w:tcPr>
            <w:tcW w:w="702" w:type="dxa"/>
            <w:gridSpan w:val="2"/>
            <w:tcBorders>
              <w:top w:val="nil"/>
              <w:left w:val="nil"/>
              <w:bottom w:val="nil"/>
              <w:right w:val="nil"/>
            </w:tcBorders>
            <w:shd w:val="clear" w:color="auto" w:fill="auto"/>
            <w:vAlign w:val="bottom"/>
            <w:hideMark/>
          </w:tcPr>
          <w:p w14:paraId="289CCD26" w14:textId="77777777" w:rsidR="00942045" w:rsidRPr="00D30847" w:rsidRDefault="00942045" w:rsidP="00942045">
            <w:pPr>
              <w:spacing w:after="0" w:line="240" w:lineRule="auto"/>
              <w:rPr>
                <w:rFonts w:eastAsia="Times New Roman" w:cs="Calibri"/>
                <w:sz w:val="16"/>
                <w:szCs w:val="16"/>
                <w:lang w:val="en-GB"/>
              </w:rPr>
            </w:pPr>
          </w:p>
        </w:tc>
        <w:tc>
          <w:tcPr>
            <w:tcW w:w="464" w:type="dxa"/>
            <w:gridSpan w:val="2"/>
            <w:tcBorders>
              <w:top w:val="nil"/>
              <w:left w:val="nil"/>
              <w:bottom w:val="nil"/>
              <w:right w:val="nil"/>
            </w:tcBorders>
            <w:shd w:val="clear" w:color="auto" w:fill="auto"/>
            <w:vAlign w:val="bottom"/>
            <w:hideMark/>
          </w:tcPr>
          <w:p w14:paraId="2276E89F"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single" w:sz="8" w:space="0" w:color="auto"/>
            </w:tcBorders>
            <w:shd w:val="clear" w:color="auto" w:fill="auto"/>
            <w:vAlign w:val="bottom"/>
            <w:hideMark/>
          </w:tcPr>
          <w:p w14:paraId="46C6EFFB"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1770" w:type="dxa"/>
            <w:gridSpan w:val="2"/>
            <w:tcBorders>
              <w:top w:val="nil"/>
              <w:left w:val="nil"/>
              <w:bottom w:val="single" w:sz="8" w:space="0" w:color="auto"/>
              <w:right w:val="nil"/>
            </w:tcBorders>
            <w:shd w:val="clear" w:color="auto" w:fill="auto"/>
            <w:vAlign w:val="center"/>
            <w:hideMark/>
          </w:tcPr>
          <w:p w14:paraId="58F15051"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3.</w:t>
            </w:r>
          </w:p>
        </w:tc>
        <w:tc>
          <w:tcPr>
            <w:tcW w:w="3258" w:type="dxa"/>
            <w:gridSpan w:val="2"/>
            <w:tcBorders>
              <w:top w:val="nil"/>
              <w:left w:val="nil"/>
              <w:bottom w:val="single" w:sz="8" w:space="0" w:color="auto"/>
              <w:right w:val="single" w:sz="8" w:space="0" w:color="auto"/>
            </w:tcBorders>
            <w:shd w:val="clear" w:color="auto" w:fill="auto"/>
            <w:vAlign w:val="center"/>
            <w:hideMark/>
          </w:tcPr>
          <w:p w14:paraId="3CA30EFD"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IFMIS pilot implementation and operational acceptance</w:t>
            </w:r>
          </w:p>
        </w:tc>
        <w:tc>
          <w:tcPr>
            <w:tcW w:w="522" w:type="dxa"/>
            <w:gridSpan w:val="2"/>
            <w:tcBorders>
              <w:top w:val="nil"/>
              <w:left w:val="nil"/>
              <w:bottom w:val="single" w:sz="8" w:space="0" w:color="auto"/>
              <w:right w:val="single" w:sz="8" w:space="0" w:color="auto"/>
            </w:tcBorders>
            <w:shd w:val="clear" w:color="auto" w:fill="auto"/>
            <w:vAlign w:val="center"/>
            <w:hideMark/>
          </w:tcPr>
          <w:p w14:paraId="5682D866" w14:textId="202E5500"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74B4AEBF" w14:textId="394CB181"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auto" w:fill="auto"/>
            <w:vAlign w:val="center"/>
            <w:hideMark/>
          </w:tcPr>
          <w:p w14:paraId="52A0D297" w14:textId="67C437BC"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auto" w:fill="auto"/>
            <w:vAlign w:val="center"/>
            <w:hideMark/>
          </w:tcPr>
          <w:p w14:paraId="7EBBD8C6" w14:textId="6ED7E9C3"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7780FAE" w14:textId="034F1EC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23FE417B" w14:textId="338CF1F5"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6C22D928" w14:textId="2D6421CF"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0FF1CCB2" w14:textId="2764933C"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4A467133" w14:textId="0A40931E"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0B7195A3" w14:textId="62E1567A"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F86351B" w14:textId="420BE633"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7AB00AB2" w14:textId="3952503C"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4E975037"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1DED2A12"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2E73B115"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275D437A"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r>
      <w:tr w:rsidR="00C93723" w:rsidRPr="00D30847" w14:paraId="3E4B340F" w14:textId="77777777" w:rsidTr="00595060">
        <w:trPr>
          <w:trHeight w:val="600"/>
        </w:trPr>
        <w:tc>
          <w:tcPr>
            <w:tcW w:w="702" w:type="dxa"/>
            <w:gridSpan w:val="2"/>
            <w:tcBorders>
              <w:top w:val="nil"/>
              <w:left w:val="nil"/>
              <w:bottom w:val="nil"/>
              <w:right w:val="nil"/>
            </w:tcBorders>
            <w:shd w:val="clear" w:color="000000" w:fill="33CCFF"/>
            <w:vAlign w:val="center"/>
            <w:hideMark/>
          </w:tcPr>
          <w:p w14:paraId="54108C3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33CCFF"/>
            <w:vAlign w:val="center"/>
            <w:hideMark/>
          </w:tcPr>
          <w:p w14:paraId="19DFE19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046" w:type="dxa"/>
            <w:gridSpan w:val="4"/>
            <w:tcBorders>
              <w:top w:val="nil"/>
              <w:left w:val="nil"/>
              <w:bottom w:val="nil"/>
              <w:right w:val="nil"/>
            </w:tcBorders>
            <w:shd w:val="clear" w:color="000000" w:fill="33CCFF"/>
            <w:vAlign w:val="center"/>
            <w:hideMark/>
          </w:tcPr>
          <w:p w14:paraId="3CDF106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2.</w:t>
            </w:r>
          </w:p>
        </w:tc>
        <w:tc>
          <w:tcPr>
            <w:tcW w:w="3258" w:type="dxa"/>
            <w:gridSpan w:val="2"/>
            <w:tcBorders>
              <w:top w:val="nil"/>
              <w:left w:val="nil"/>
              <w:bottom w:val="nil"/>
              <w:right w:val="nil"/>
            </w:tcBorders>
            <w:shd w:val="clear" w:color="000000" w:fill="33CCFF"/>
            <w:vAlign w:val="center"/>
            <w:hideMark/>
          </w:tcPr>
          <w:p w14:paraId="5484835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Expansion of MoF ICT infrastructure (in line with whole-of-government approach) to host new IFMIS</w:t>
            </w:r>
          </w:p>
        </w:tc>
        <w:tc>
          <w:tcPr>
            <w:tcW w:w="522" w:type="dxa"/>
            <w:gridSpan w:val="2"/>
            <w:tcBorders>
              <w:top w:val="nil"/>
              <w:left w:val="nil"/>
              <w:bottom w:val="nil"/>
              <w:right w:val="nil"/>
            </w:tcBorders>
            <w:shd w:val="clear" w:color="000000" w:fill="33CCFF"/>
            <w:vAlign w:val="center"/>
            <w:hideMark/>
          </w:tcPr>
          <w:p w14:paraId="7AAEED6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23D76C7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33CCFF"/>
            <w:vAlign w:val="center"/>
            <w:hideMark/>
          </w:tcPr>
          <w:p w14:paraId="1A69642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33CCFF"/>
            <w:vAlign w:val="center"/>
            <w:hideMark/>
          </w:tcPr>
          <w:p w14:paraId="5834123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60ABD75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33CCFF"/>
            <w:vAlign w:val="center"/>
            <w:hideMark/>
          </w:tcPr>
          <w:p w14:paraId="3B702A9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591FFAB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33CCFF"/>
            <w:vAlign w:val="center"/>
            <w:hideMark/>
          </w:tcPr>
          <w:p w14:paraId="3AE1257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33CCFF"/>
            <w:vAlign w:val="center"/>
            <w:hideMark/>
          </w:tcPr>
          <w:p w14:paraId="6A67969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2309979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420A640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33CCFF"/>
            <w:vAlign w:val="center"/>
            <w:hideMark/>
          </w:tcPr>
          <w:p w14:paraId="23AC8CB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33CCFF"/>
            <w:vAlign w:val="center"/>
            <w:hideMark/>
          </w:tcPr>
          <w:p w14:paraId="2D9FA52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33CCFF"/>
            <w:vAlign w:val="center"/>
            <w:hideMark/>
          </w:tcPr>
          <w:p w14:paraId="608F53A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75893E5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33CCFF"/>
            <w:vAlign w:val="center"/>
            <w:hideMark/>
          </w:tcPr>
          <w:p w14:paraId="2D29F93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3E13D7A8" w14:textId="77777777" w:rsidTr="00D279FD">
        <w:trPr>
          <w:trHeight w:val="432"/>
        </w:trPr>
        <w:tc>
          <w:tcPr>
            <w:tcW w:w="702" w:type="dxa"/>
            <w:gridSpan w:val="2"/>
            <w:tcBorders>
              <w:top w:val="nil"/>
              <w:left w:val="nil"/>
              <w:bottom w:val="nil"/>
              <w:right w:val="nil"/>
            </w:tcBorders>
            <w:shd w:val="clear" w:color="auto" w:fill="auto"/>
            <w:vAlign w:val="bottom"/>
            <w:hideMark/>
          </w:tcPr>
          <w:p w14:paraId="6619054E"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68ED63B7"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76175046"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4" w:space="0" w:color="auto"/>
              <w:right w:val="nil"/>
            </w:tcBorders>
            <w:shd w:val="clear" w:color="auto" w:fill="auto"/>
            <w:vAlign w:val="center"/>
            <w:hideMark/>
          </w:tcPr>
          <w:p w14:paraId="776F83BD"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nil"/>
              <w:left w:val="nil"/>
              <w:bottom w:val="single" w:sz="4" w:space="0" w:color="auto"/>
              <w:right w:val="single" w:sz="8" w:space="0" w:color="auto"/>
            </w:tcBorders>
            <w:shd w:val="clear" w:color="auto" w:fill="auto"/>
            <w:vAlign w:val="center"/>
            <w:hideMark/>
          </w:tcPr>
          <w:p w14:paraId="0C1DE2AC"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xml:space="preserve">Enhancement of the existing data </w:t>
            </w:r>
            <w:proofErr w:type="spellStart"/>
            <w:r w:rsidRPr="00D30847">
              <w:rPr>
                <w:rFonts w:eastAsia="Times New Roman" w:cs="Calibri"/>
                <w:sz w:val="16"/>
                <w:szCs w:val="16"/>
                <w:lang w:val="en-GB"/>
              </w:rPr>
              <w:t>centers</w:t>
            </w:r>
            <w:proofErr w:type="spellEnd"/>
            <w:r w:rsidRPr="00D30847">
              <w:rPr>
                <w:rFonts w:eastAsia="Times New Roman" w:cs="Calibri"/>
                <w:sz w:val="16"/>
                <w:szCs w:val="16"/>
                <w:lang w:val="en-GB"/>
              </w:rPr>
              <w:t xml:space="preserve"> and network connectivity</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718DA17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61777EC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4046CB7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76F973A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5AD656B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6BCA436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498805A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024EC07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2239C64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1D779A9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072375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08C2166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18E2CC7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4FCB5AB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4763AB4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55AF386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1A816EAF" w14:textId="77777777" w:rsidTr="00D279FD">
        <w:trPr>
          <w:trHeight w:val="250"/>
        </w:trPr>
        <w:tc>
          <w:tcPr>
            <w:tcW w:w="702" w:type="dxa"/>
            <w:gridSpan w:val="2"/>
            <w:tcBorders>
              <w:top w:val="nil"/>
              <w:left w:val="nil"/>
              <w:bottom w:val="nil"/>
              <w:right w:val="nil"/>
            </w:tcBorders>
            <w:shd w:val="clear" w:color="auto" w:fill="auto"/>
            <w:vAlign w:val="bottom"/>
            <w:hideMark/>
          </w:tcPr>
          <w:p w14:paraId="1A4514C3"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673A3050"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single" w:sz="4" w:space="0" w:color="auto"/>
            </w:tcBorders>
            <w:shd w:val="clear" w:color="auto" w:fill="auto"/>
            <w:vAlign w:val="bottom"/>
            <w:hideMark/>
          </w:tcPr>
          <w:p w14:paraId="3E5C6519"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single" w:sz="4" w:space="0" w:color="auto"/>
              <w:left w:val="single" w:sz="4" w:space="0" w:color="auto"/>
              <w:bottom w:val="single" w:sz="4" w:space="0" w:color="auto"/>
              <w:right w:val="nil"/>
            </w:tcBorders>
            <w:shd w:val="clear" w:color="auto" w:fill="auto"/>
            <w:vAlign w:val="center"/>
            <w:hideMark/>
          </w:tcPr>
          <w:p w14:paraId="799F4978"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single" w:sz="4" w:space="0" w:color="auto"/>
              <w:left w:val="nil"/>
              <w:bottom w:val="single" w:sz="4" w:space="0" w:color="auto"/>
              <w:right w:val="single" w:sz="4" w:space="0" w:color="auto"/>
            </w:tcBorders>
            <w:shd w:val="clear" w:color="auto" w:fill="auto"/>
            <w:vAlign w:val="center"/>
            <w:hideMark/>
          </w:tcPr>
          <w:p w14:paraId="6ED2752E"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Establishment of the secure backup network connections</w:t>
            </w:r>
          </w:p>
        </w:tc>
        <w:tc>
          <w:tcPr>
            <w:tcW w:w="522" w:type="dxa"/>
            <w:gridSpan w:val="2"/>
            <w:tcBorders>
              <w:top w:val="nil"/>
              <w:left w:val="single" w:sz="4" w:space="0" w:color="auto"/>
              <w:bottom w:val="single" w:sz="8" w:space="0" w:color="auto"/>
              <w:right w:val="single" w:sz="8" w:space="0" w:color="auto"/>
            </w:tcBorders>
            <w:shd w:val="clear" w:color="000000" w:fill="0000FF"/>
            <w:vAlign w:val="center"/>
            <w:hideMark/>
          </w:tcPr>
          <w:p w14:paraId="1AE657D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1C42C1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2DDB700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56658CF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0DCCF9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0213DB9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4EDC41F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72DB823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6A1F4E8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4E143CB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96A816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05F485A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10B8E53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203D23C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64924BC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5B71095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28F5B000" w14:textId="77777777" w:rsidTr="00595060">
        <w:trPr>
          <w:trHeight w:val="615"/>
        </w:trPr>
        <w:tc>
          <w:tcPr>
            <w:tcW w:w="702" w:type="dxa"/>
            <w:gridSpan w:val="2"/>
            <w:tcBorders>
              <w:top w:val="nil"/>
              <w:left w:val="nil"/>
              <w:bottom w:val="nil"/>
              <w:right w:val="nil"/>
            </w:tcBorders>
            <w:shd w:val="clear" w:color="000000" w:fill="33CCFF"/>
            <w:vAlign w:val="center"/>
            <w:hideMark/>
          </w:tcPr>
          <w:p w14:paraId="727FFC0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33CCFF"/>
            <w:vAlign w:val="center"/>
            <w:hideMark/>
          </w:tcPr>
          <w:p w14:paraId="32F3705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046" w:type="dxa"/>
            <w:gridSpan w:val="4"/>
            <w:tcBorders>
              <w:top w:val="nil"/>
              <w:left w:val="nil"/>
              <w:bottom w:val="nil"/>
              <w:right w:val="nil"/>
            </w:tcBorders>
            <w:shd w:val="clear" w:color="000000" w:fill="33CCFF"/>
            <w:vAlign w:val="center"/>
            <w:hideMark/>
          </w:tcPr>
          <w:p w14:paraId="402928B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3.</w:t>
            </w:r>
          </w:p>
        </w:tc>
        <w:tc>
          <w:tcPr>
            <w:tcW w:w="3258" w:type="dxa"/>
            <w:gridSpan w:val="2"/>
            <w:tcBorders>
              <w:top w:val="nil"/>
              <w:left w:val="nil"/>
              <w:bottom w:val="nil"/>
              <w:right w:val="nil"/>
            </w:tcBorders>
            <w:shd w:val="clear" w:color="000000" w:fill="33CCFF"/>
            <w:vAlign w:val="center"/>
            <w:hideMark/>
          </w:tcPr>
          <w:p w14:paraId="060D0640" w14:textId="2C657390"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Capacity strengthening training and change management to support OBL reforms and IFMIS operations</w:t>
            </w:r>
          </w:p>
        </w:tc>
        <w:tc>
          <w:tcPr>
            <w:tcW w:w="522" w:type="dxa"/>
            <w:gridSpan w:val="2"/>
            <w:tcBorders>
              <w:top w:val="nil"/>
              <w:left w:val="nil"/>
              <w:bottom w:val="nil"/>
              <w:right w:val="nil"/>
            </w:tcBorders>
            <w:shd w:val="clear" w:color="000000" w:fill="33CCFF"/>
            <w:vAlign w:val="center"/>
            <w:hideMark/>
          </w:tcPr>
          <w:p w14:paraId="3CB5771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18A60C1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33CCFF"/>
            <w:vAlign w:val="center"/>
            <w:hideMark/>
          </w:tcPr>
          <w:p w14:paraId="352A8F5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33CCFF"/>
            <w:vAlign w:val="center"/>
            <w:hideMark/>
          </w:tcPr>
          <w:p w14:paraId="3CC902C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067C326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33CCFF"/>
            <w:vAlign w:val="center"/>
            <w:hideMark/>
          </w:tcPr>
          <w:p w14:paraId="65A7914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687C6F0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33CCFF"/>
            <w:vAlign w:val="center"/>
            <w:hideMark/>
          </w:tcPr>
          <w:p w14:paraId="08BB9E5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33CCFF"/>
            <w:vAlign w:val="center"/>
            <w:hideMark/>
          </w:tcPr>
          <w:p w14:paraId="20B6E1D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2303250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33CCFF"/>
            <w:vAlign w:val="center"/>
            <w:hideMark/>
          </w:tcPr>
          <w:p w14:paraId="4AB0B6F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33CCFF"/>
            <w:vAlign w:val="center"/>
            <w:hideMark/>
          </w:tcPr>
          <w:p w14:paraId="7868F74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33CCFF"/>
            <w:vAlign w:val="center"/>
            <w:hideMark/>
          </w:tcPr>
          <w:p w14:paraId="6DE24F4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33CCFF"/>
            <w:vAlign w:val="center"/>
            <w:hideMark/>
          </w:tcPr>
          <w:p w14:paraId="1E09435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33CCFF"/>
            <w:vAlign w:val="center"/>
            <w:hideMark/>
          </w:tcPr>
          <w:p w14:paraId="64686E7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33CCFF"/>
            <w:vAlign w:val="center"/>
            <w:hideMark/>
          </w:tcPr>
          <w:p w14:paraId="1563991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2A82FCA6" w14:textId="77777777" w:rsidTr="00595060">
        <w:trPr>
          <w:trHeight w:val="179"/>
        </w:trPr>
        <w:tc>
          <w:tcPr>
            <w:tcW w:w="702" w:type="dxa"/>
            <w:gridSpan w:val="2"/>
            <w:tcBorders>
              <w:top w:val="nil"/>
              <w:left w:val="nil"/>
              <w:bottom w:val="nil"/>
              <w:right w:val="nil"/>
            </w:tcBorders>
            <w:shd w:val="clear" w:color="auto" w:fill="auto"/>
            <w:vAlign w:val="bottom"/>
            <w:hideMark/>
          </w:tcPr>
          <w:p w14:paraId="746DA7E5"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2DCEE95D"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single" w:sz="8" w:space="0" w:color="auto"/>
            </w:tcBorders>
            <w:shd w:val="clear" w:color="auto" w:fill="auto"/>
            <w:vAlign w:val="bottom"/>
            <w:hideMark/>
          </w:tcPr>
          <w:p w14:paraId="75DB6149"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1770" w:type="dxa"/>
            <w:gridSpan w:val="2"/>
            <w:tcBorders>
              <w:top w:val="single" w:sz="8" w:space="0" w:color="auto"/>
              <w:left w:val="nil"/>
              <w:bottom w:val="single" w:sz="8" w:space="0" w:color="auto"/>
              <w:right w:val="nil"/>
            </w:tcBorders>
            <w:shd w:val="clear" w:color="auto" w:fill="auto"/>
            <w:vAlign w:val="center"/>
            <w:hideMark/>
          </w:tcPr>
          <w:p w14:paraId="7C3018D0"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single" w:sz="8" w:space="0" w:color="auto"/>
              <w:left w:val="nil"/>
              <w:bottom w:val="single" w:sz="8" w:space="0" w:color="auto"/>
              <w:right w:val="single" w:sz="8" w:space="0" w:color="auto"/>
            </w:tcBorders>
            <w:shd w:val="clear" w:color="auto" w:fill="auto"/>
            <w:vAlign w:val="center"/>
            <w:hideMark/>
          </w:tcPr>
          <w:p w14:paraId="5C34E7F6"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Transition from existing MoF Systems to IFMIS</w:t>
            </w:r>
          </w:p>
        </w:tc>
        <w:tc>
          <w:tcPr>
            <w:tcW w:w="522" w:type="dxa"/>
            <w:gridSpan w:val="2"/>
            <w:tcBorders>
              <w:top w:val="single" w:sz="8" w:space="0" w:color="auto"/>
              <w:left w:val="nil"/>
              <w:bottom w:val="single" w:sz="8" w:space="0" w:color="auto"/>
              <w:right w:val="single" w:sz="8" w:space="0" w:color="auto"/>
            </w:tcBorders>
            <w:shd w:val="clear" w:color="000000" w:fill="FFFFFF"/>
            <w:vAlign w:val="center"/>
            <w:hideMark/>
          </w:tcPr>
          <w:p w14:paraId="74B3A0B4"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FFFFFF"/>
            <w:vAlign w:val="center"/>
            <w:hideMark/>
          </w:tcPr>
          <w:p w14:paraId="2A291F84"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82" w:type="dxa"/>
            <w:gridSpan w:val="3"/>
            <w:tcBorders>
              <w:top w:val="single" w:sz="8" w:space="0" w:color="auto"/>
              <w:left w:val="nil"/>
              <w:bottom w:val="single" w:sz="8" w:space="0" w:color="auto"/>
              <w:right w:val="single" w:sz="8" w:space="0" w:color="auto"/>
            </w:tcBorders>
            <w:shd w:val="clear" w:color="000000" w:fill="FFFFFF"/>
            <w:vAlign w:val="center"/>
            <w:hideMark/>
          </w:tcPr>
          <w:p w14:paraId="06AAC3D4"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80" w:type="dxa"/>
            <w:gridSpan w:val="3"/>
            <w:tcBorders>
              <w:top w:val="single" w:sz="8" w:space="0" w:color="auto"/>
              <w:left w:val="nil"/>
              <w:bottom w:val="single" w:sz="8" w:space="0" w:color="auto"/>
              <w:right w:val="single" w:sz="8" w:space="0" w:color="auto"/>
            </w:tcBorders>
            <w:shd w:val="clear" w:color="000000" w:fill="FFFFFF"/>
            <w:vAlign w:val="center"/>
            <w:hideMark/>
          </w:tcPr>
          <w:p w14:paraId="60274A5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39F0"/>
            <w:vAlign w:val="center"/>
            <w:hideMark/>
          </w:tcPr>
          <w:p w14:paraId="5E5B0F5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single" w:sz="8" w:space="0" w:color="auto"/>
              <w:left w:val="nil"/>
              <w:bottom w:val="single" w:sz="8" w:space="0" w:color="auto"/>
              <w:right w:val="single" w:sz="8" w:space="0" w:color="auto"/>
            </w:tcBorders>
            <w:shd w:val="clear" w:color="000000" w:fill="0039F0"/>
            <w:vAlign w:val="center"/>
            <w:hideMark/>
          </w:tcPr>
          <w:p w14:paraId="6669725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39F0"/>
            <w:vAlign w:val="center"/>
            <w:hideMark/>
          </w:tcPr>
          <w:p w14:paraId="76549B1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single" w:sz="8" w:space="0" w:color="auto"/>
              <w:left w:val="nil"/>
              <w:bottom w:val="single" w:sz="8" w:space="0" w:color="auto"/>
              <w:right w:val="single" w:sz="8" w:space="0" w:color="auto"/>
            </w:tcBorders>
            <w:shd w:val="clear" w:color="000000" w:fill="0039F0"/>
            <w:vAlign w:val="center"/>
            <w:hideMark/>
          </w:tcPr>
          <w:p w14:paraId="26CDDA1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000000" w:fill="0039F0"/>
            <w:vAlign w:val="center"/>
            <w:hideMark/>
          </w:tcPr>
          <w:p w14:paraId="42350C4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39F0"/>
            <w:vAlign w:val="center"/>
            <w:hideMark/>
          </w:tcPr>
          <w:p w14:paraId="082420A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39F0"/>
            <w:vAlign w:val="center"/>
            <w:hideMark/>
          </w:tcPr>
          <w:p w14:paraId="6D04CCD4"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22" w:type="dxa"/>
            <w:gridSpan w:val="3"/>
            <w:tcBorders>
              <w:top w:val="single" w:sz="8" w:space="0" w:color="auto"/>
              <w:left w:val="nil"/>
              <w:bottom w:val="single" w:sz="8" w:space="0" w:color="auto"/>
              <w:right w:val="single" w:sz="8" w:space="0" w:color="auto"/>
            </w:tcBorders>
            <w:shd w:val="clear" w:color="000000" w:fill="0039F0"/>
            <w:vAlign w:val="center"/>
            <w:hideMark/>
          </w:tcPr>
          <w:p w14:paraId="6C32C305"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000000" w:fill="0039F0"/>
            <w:vAlign w:val="center"/>
            <w:hideMark/>
          </w:tcPr>
          <w:p w14:paraId="72708722"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2"/>
            <w:tcBorders>
              <w:top w:val="single" w:sz="8" w:space="0" w:color="auto"/>
              <w:left w:val="nil"/>
              <w:bottom w:val="single" w:sz="8" w:space="0" w:color="auto"/>
              <w:right w:val="single" w:sz="8" w:space="0" w:color="auto"/>
            </w:tcBorders>
            <w:shd w:val="clear" w:color="000000" w:fill="0039F0"/>
            <w:vAlign w:val="center"/>
            <w:hideMark/>
          </w:tcPr>
          <w:p w14:paraId="61FD07FB"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39F0"/>
            <w:vAlign w:val="center"/>
            <w:hideMark/>
          </w:tcPr>
          <w:p w14:paraId="4327FFED"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48" w:type="dxa"/>
            <w:gridSpan w:val="3"/>
            <w:tcBorders>
              <w:top w:val="single" w:sz="8" w:space="0" w:color="auto"/>
              <w:left w:val="nil"/>
              <w:bottom w:val="single" w:sz="8" w:space="0" w:color="auto"/>
              <w:right w:val="single" w:sz="8" w:space="0" w:color="auto"/>
            </w:tcBorders>
            <w:shd w:val="clear" w:color="000000" w:fill="0039F0"/>
            <w:vAlign w:val="center"/>
            <w:hideMark/>
          </w:tcPr>
          <w:p w14:paraId="7091F578"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r>
      <w:tr w:rsidR="00C93723" w:rsidRPr="00D30847" w14:paraId="1574929B" w14:textId="77777777" w:rsidTr="00595060">
        <w:trPr>
          <w:trHeight w:val="349"/>
        </w:trPr>
        <w:tc>
          <w:tcPr>
            <w:tcW w:w="702" w:type="dxa"/>
            <w:gridSpan w:val="2"/>
            <w:tcBorders>
              <w:top w:val="nil"/>
              <w:left w:val="nil"/>
              <w:bottom w:val="nil"/>
              <w:right w:val="nil"/>
            </w:tcBorders>
            <w:shd w:val="clear" w:color="auto" w:fill="auto"/>
            <w:vAlign w:val="bottom"/>
            <w:hideMark/>
          </w:tcPr>
          <w:p w14:paraId="7E23301C" w14:textId="77777777" w:rsidR="00C93723" w:rsidRPr="00D30847" w:rsidRDefault="00C93723" w:rsidP="00C93723">
            <w:pPr>
              <w:spacing w:after="0" w:line="240" w:lineRule="auto"/>
              <w:rPr>
                <w:rFonts w:eastAsia="Times New Roman" w:cs="Calibri"/>
                <w:sz w:val="16"/>
                <w:szCs w:val="16"/>
                <w:lang w:val="en-GB"/>
              </w:rPr>
            </w:pPr>
          </w:p>
        </w:tc>
        <w:tc>
          <w:tcPr>
            <w:tcW w:w="464" w:type="dxa"/>
            <w:gridSpan w:val="2"/>
            <w:tcBorders>
              <w:top w:val="nil"/>
              <w:left w:val="nil"/>
              <w:bottom w:val="nil"/>
              <w:right w:val="nil"/>
            </w:tcBorders>
            <w:shd w:val="clear" w:color="auto" w:fill="auto"/>
            <w:vAlign w:val="bottom"/>
            <w:hideMark/>
          </w:tcPr>
          <w:p w14:paraId="26F9B123"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single" w:sz="8" w:space="0" w:color="auto"/>
            </w:tcBorders>
            <w:shd w:val="clear" w:color="auto" w:fill="auto"/>
            <w:vAlign w:val="bottom"/>
            <w:hideMark/>
          </w:tcPr>
          <w:p w14:paraId="540D5512"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1770" w:type="dxa"/>
            <w:gridSpan w:val="2"/>
            <w:tcBorders>
              <w:top w:val="nil"/>
              <w:left w:val="nil"/>
              <w:bottom w:val="single" w:sz="8" w:space="0" w:color="auto"/>
              <w:right w:val="nil"/>
            </w:tcBorders>
            <w:shd w:val="clear" w:color="auto" w:fill="auto"/>
            <w:vAlign w:val="center"/>
            <w:hideMark/>
          </w:tcPr>
          <w:p w14:paraId="1E8566B6"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7EC21F6B"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Training of IFMIS users from central and local budget entities</w:t>
            </w:r>
          </w:p>
        </w:tc>
        <w:tc>
          <w:tcPr>
            <w:tcW w:w="522" w:type="dxa"/>
            <w:gridSpan w:val="2"/>
            <w:tcBorders>
              <w:top w:val="nil"/>
              <w:left w:val="nil"/>
              <w:bottom w:val="single" w:sz="8" w:space="0" w:color="auto"/>
              <w:right w:val="single" w:sz="8" w:space="0" w:color="auto"/>
            </w:tcBorders>
            <w:shd w:val="clear" w:color="000000" w:fill="FFFFFF"/>
            <w:vAlign w:val="center"/>
            <w:hideMark/>
          </w:tcPr>
          <w:p w14:paraId="783C3AC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000000" w:fill="FFFFFF"/>
            <w:vAlign w:val="center"/>
            <w:hideMark/>
          </w:tcPr>
          <w:p w14:paraId="39A7447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82" w:type="dxa"/>
            <w:gridSpan w:val="3"/>
            <w:tcBorders>
              <w:top w:val="nil"/>
              <w:left w:val="nil"/>
              <w:bottom w:val="single" w:sz="8" w:space="0" w:color="auto"/>
              <w:right w:val="single" w:sz="8" w:space="0" w:color="auto"/>
            </w:tcBorders>
            <w:shd w:val="clear" w:color="000000" w:fill="FFFFFF"/>
            <w:vAlign w:val="center"/>
            <w:hideMark/>
          </w:tcPr>
          <w:p w14:paraId="60F9C21F"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80" w:type="dxa"/>
            <w:gridSpan w:val="3"/>
            <w:tcBorders>
              <w:top w:val="nil"/>
              <w:left w:val="nil"/>
              <w:bottom w:val="single" w:sz="8" w:space="0" w:color="auto"/>
              <w:right w:val="single" w:sz="8" w:space="0" w:color="auto"/>
            </w:tcBorders>
            <w:shd w:val="clear" w:color="000000" w:fill="FFFFFF"/>
            <w:vAlign w:val="center"/>
            <w:hideMark/>
          </w:tcPr>
          <w:p w14:paraId="6899110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39F0"/>
            <w:vAlign w:val="center"/>
            <w:hideMark/>
          </w:tcPr>
          <w:p w14:paraId="532E22D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39F0"/>
            <w:vAlign w:val="center"/>
            <w:hideMark/>
          </w:tcPr>
          <w:p w14:paraId="2BFC476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39F0"/>
            <w:vAlign w:val="center"/>
            <w:hideMark/>
          </w:tcPr>
          <w:p w14:paraId="084C59C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39F0"/>
            <w:vAlign w:val="center"/>
            <w:hideMark/>
          </w:tcPr>
          <w:p w14:paraId="741D81A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39F0"/>
            <w:vAlign w:val="center"/>
            <w:hideMark/>
          </w:tcPr>
          <w:p w14:paraId="2B03093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39F0"/>
            <w:vAlign w:val="center"/>
            <w:hideMark/>
          </w:tcPr>
          <w:p w14:paraId="2E85ED2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39F0"/>
            <w:vAlign w:val="center"/>
            <w:hideMark/>
          </w:tcPr>
          <w:p w14:paraId="62E6FCE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39F0"/>
            <w:vAlign w:val="center"/>
            <w:hideMark/>
          </w:tcPr>
          <w:p w14:paraId="5280212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39F0"/>
            <w:vAlign w:val="center"/>
            <w:hideMark/>
          </w:tcPr>
          <w:p w14:paraId="1885823C"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2"/>
            <w:tcBorders>
              <w:top w:val="nil"/>
              <w:left w:val="nil"/>
              <w:bottom w:val="single" w:sz="8" w:space="0" w:color="auto"/>
              <w:right w:val="single" w:sz="8" w:space="0" w:color="auto"/>
            </w:tcBorders>
            <w:shd w:val="clear" w:color="000000" w:fill="0039F0"/>
            <w:vAlign w:val="center"/>
            <w:hideMark/>
          </w:tcPr>
          <w:p w14:paraId="54E1E4D4"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000000" w:fill="0039F0"/>
            <w:vAlign w:val="center"/>
            <w:hideMark/>
          </w:tcPr>
          <w:p w14:paraId="79147938"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48" w:type="dxa"/>
            <w:gridSpan w:val="3"/>
            <w:tcBorders>
              <w:top w:val="nil"/>
              <w:left w:val="nil"/>
              <w:bottom w:val="single" w:sz="8" w:space="0" w:color="auto"/>
              <w:right w:val="single" w:sz="8" w:space="0" w:color="auto"/>
            </w:tcBorders>
            <w:shd w:val="clear" w:color="000000" w:fill="0039F0"/>
            <w:vAlign w:val="center"/>
            <w:hideMark/>
          </w:tcPr>
          <w:p w14:paraId="217B623D"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r>
      <w:tr w:rsidR="00C93723" w:rsidRPr="00D30847" w14:paraId="67E55F6D" w14:textId="77777777" w:rsidTr="00595060">
        <w:trPr>
          <w:trHeight w:val="367"/>
        </w:trPr>
        <w:tc>
          <w:tcPr>
            <w:tcW w:w="702" w:type="dxa"/>
            <w:gridSpan w:val="2"/>
            <w:tcBorders>
              <w:top w:val="nil"/>
              <w:left w:val="nil"/>
              <w:bottom w:val="nil"/>
              <w:right w:val="nil"/>
            </w:tcBorders>
            <w:shd w:val="clear" w:color="auto" w:fill="auto"/>
            <w:vAlign w:val="bottom"/>
            <w:hideMark/>
          </w:tcPr>
          <w:p w14:paraId="342912FC" w14:textId="77777777" w:rsidR="00C93723" w:rsidRPr="00D30847" w:rsidRDefault="00C93723" w:rsidP="00C93723">
            <w:pPr>
              <w:spacing w:after="0" w:line="240" w:lineRule="auto"/>
              <w:rPr>
                <w:rFonts w:eastAsia="Times New Roman" w:cs="Calibri"/>
                <w:sz w:val="16"/>
                <w:szCs w:val="16"/>
                <w:lang w:val="en-GB"/>
              </w:rPr>
            </w:pPr>
          </w:p>
        </w:tc>
        <w:tc>
          <w:tcPr>
            <w:tcW w:w="464" w:type="dxa"/>
            <w:gridSpan w:val="2"/>
            <w:tcBorders>
              <w:top w:val="nil"/>
              <w:left w:val="nil"/>
              <w:bottom w:val="nil"/>
              <w:right w:val="nil"/>
            </w:tcBorders>
            <w:shd w:val="clear" w:color="auto" w:fill="auto"/>
            <w:vAlign w:val="bottom"/>
            <w:hideMark/>
          </w:tcPr>
          <w:p w14:paraId="26CA1CBF"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single" w:sz="8" w:space="0" w:color="auto"/>
            </w:tcBorders>
            <w:shd w:val="clear" w:color="auto" w:fill="auto"/>
            <w:vAlign w:val="bottom"/>
            <w:hideMark/>
          </w:tcPr>
          <w:p w14:paraId="32BDA501"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1770" w:type="dxa"/>
            <w:gridSpan w:val="2"/>
            <w:tcBorders>
              <w:top w:val="nil"/>
              <w:left w:val="nil"/>
              <w:bottom w:val="single" w:sz="8" w:space="0" w:color="auto"/>
              <w:right w:val="nil"/>
            </w:tcBorders>
            <w:shd w:val="clear" w:color="auto" w:fill="auto"/>
            <w:vAlign w:val="center"/>
            <w:hideMark/>
          </w:tcPr>
          <w:p w14:paraId="306FD422"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3.</w:t>
            </w:r>
          </w:p>
        </w:tc>
        <w:tc>
          <w:tcPr>
            <w:tcW w:w="3258" w:type="dxa"/>
            <w:gridSpan w:val="2"/>
            <w:tcBorders>
              <w:top w:val="nil"/>
              <w:left w:val="nil"/>
              <w:bottom w:val="single" w:sz="8" w:space="0" w:color="auto"/>
              <w:right w:val="single" w:sz="8" w:space="0" w:color="auto"/>
            </w:tcBorders>
            <w:shd w:val="clear" w:color="auto" w:fill="auto"/>
            <w:vAlign w:val="center"/>
            <w:hideMark/>
          </w:tcPr>
          <w:p w14:paraId="4D29DBBE" w14:textId="24D09434"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Development of a business continuity plan and disaster recovery skills</w:t>
            </w:r>
          </w:p>
        </w:tc>
        <w:tc>
          <w:tcPr>
            <w:tcW w:w="522" w:type="dxa"/>
            <w:gridSpan w:val="2"/>
            <w:tcBorders>
              <w:top w:val="nil"/>
              <w:left w:val="nil"/>
              <w:bottom w:val="single" w:sz="8" w:space="0" w:color="auto"/>
              <w:right w:val="single" w:sz="8" w:space="0" w:color="auto"/>
            </w:tcBorders>
            <w:shd w:val="clear" w:color="000000" w:fill="FFFFFF"/>
            <w:vAlign w:val="center"/>
            <w:hideMark/>
          </w:tcPr>
          <w:p w14:paraId="59DFD520"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000000" w:fill="FFFFFF"/>
            <w:vAlign w:val="center"/>
            <w:hideMark/>
          </w:tcPr>
          <w:p w14:paraId="7B0002F0"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82" w:type="dxa"/>
            <w:gridSpan w:val="3"/>
            <w:tcBorders>
              <w:top w:val="nil"/>
              <w:left w:val="nil"/>
              <w:bottom w:val="single" w:sz="8" w:space="0" w:color="auto"/>
              <w:right w:val="single" w:sz="8" w:space="0" w:color="auto"/>
            </w:tcBorders>
            <w:shd w:val="clear" w:color="000000" w:fill="FFFFFF"/>
            <w:vAlign w:val="center"/>
            <w:hideMark/>
          </w:tcPr>
          <w:p w14:paraId="4A7DBAFB"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80" w:type="dxa"/>
            <w:gridSpan w:val="3"/>
            <w:tcBorders>
              <w:top w:val="nil"/>
              <w:left w:val="nil"/>
              <w:bottom w:val="single" w:sz="8" w:space="0" w:color="auto"/>
              <w:right w:val="single" w:sz="8" w:space="0" w:color="auto"/>
            </w:tcBorders>
            <w:shd w:val="clear" w:color="000000" w:fill="FFFFFF"/>
            <w:vAlign w:val="center"/>
            <w:hideMark/>
          </w:tcPr>
          <w:p w14:paraId="547B0A85"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000000" w:fill="0039F0"/>
            <w:vAlign w:val="center"/>
            <w:hideMark/>
          </w:tcPr>
          <w:p w14:paraId="0F4F7A4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39F0"/>
            <w:vAlign w:val="center"/>
            <w:hideMark/>
          </w:tcPr>
          <w:p w14:paraId="7712566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39F0"/>
            <w:vAlign w:val="center"/>
            <w:hideMark/>
          </w:tcPr>
          <w:p w14:paraId="15895CC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39F0"/>
            <w:vAlign w:val="center"/>
            <w:hideMark/>
          </w:tcPr>
          <w:p w14:paraId="51B8E9F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39F0"/>
            <w:vAlign w:val="center"/>
            <w:hideMark/>
          </w:tcPr>
          <w:p w14:paraId="3DF4F1B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39F0"/>
            <w:vAlign w:val="center"/>
            <w:hideMark/>
          </w:tcPr>
          <w:p w14:paraId="78E8CCE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39F0"/>
            <w:vAlign w:val="center"/>
            <w:hideMark/>
          </w:tcPr>
          <w:p w14:paraId="160A475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39F0"/>
            <w:vAlign w:val="center"/>
            <w:hideMark/>
          </w:tcPr>
          <w:p w14:paraId="2360752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39F0"/>
            <w:vAlign w:val="center"/>
            <w:hideMark/>
          </w:tcPr>
          <w:p w14:paraId="467B461D"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2"/>
            <w:tcBorders>
              <w:top w:val="nil"/>
              <w:left w:val="nil"/>
              <w:bottom w:val="single" w:sz="8" w:space="0" w:color="auto"/>
              <w:right w:val="single" w:sz="8" w:space="0" w:color="auto"/>
            </w:tcBorders>
            <w:shd w:val="clear" w:color="000000" w:fill="0039F0"/>
            <w:vAlign w:val="center"/>
            <w:hideMark/>
          </w:tcPr>
          <w:p w14:paraId="023DA46D"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000000" w:fill="0039F0"/>
            <w:vAlign w:val="center"/>
            <w:hideMark/>
          </w:tcPr>
          <w:p w14:paraId="11D98D91"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48" w:type="dxa"/>
            <w:gridSpan w:val="3"/>
            <w:tcBorders>
              <w:top w:val="nil"/>
              <w:left w:val="nil"/>
              <w:bottom w:val="single" w:sz="8" w:space="0" w:color="auto"/>
              <w:right w:val="single" w:sz="8" w:space="0" w:color="auto"/>
            </w:tcBorders>
            <w:shd w:val="clear" w:color="000000" w:fill="0039F0"/>
            <w:vAlign w:val="center"/>
            <w:hideMark/>
          </w:tcPr>
          <w:p w14:paraId="6218AE58"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r>
      <w:tr w:rsidR="00C93723" w:rsidRPr="00D30847" w14:paraId="12CF9050" w14:textId="77777777" w:rsidTr="00B84551">
        <w:trPr>
          <w:trHeight w:val="300"/>
        </w:trPr>
        <w:tc>
          <w:tcPr>
            <w:tcW w:w="702" w:type="dxa"/>
            <w:gridSpan w:val="2"/>
            <w:tcBorders>
              <w:top w:val="nil"/>
              <w:left w:val="nil"/>
              <w:bottom w:val="nil"/>
              <w:right w:val="nil"/>
            </w:tcBorders>
            <w:shd w:val="clear" w:color="000000" w:fill="00FF00"/>
            <w:vAlign w:val="center"/>
            <w:hideMark/>
          </w:tcPr>
          <w:p w14:paraId="658AC34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510" w:type="dxa"/>
            <w:gridSpan w:val="6"/>
            <w:tcBorders>
              <w:top w:val="nil"/>
              <w:left w:val="nil"/>
              <w:bottom w:val="nil"/>
              <w:right w:val="nil"/>
            </w:tcBorders>
            <w:shd w:val="clear" w:color="000000" w:fill="00FF00"/>
            <w:vAlign w:val="center"/>
            <w:hideMark/>
          </w:tcPr>
          <w:p w14:paraId="1773074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xml:space="preserve"> Priority 2.</w:t>
            </w:r>
          </w:p>
        </w:tc>
        <w:tc>
          <w:tcPr>
            <w:tcW w:w="3258" w:type="dxa"/>
            <w:gridSpan w:val="2"/>
            <w:tcBorders>
              <w:top w:val="nil"/>
              <w:left w:val="nil"/>
              <w:bottom w:val="nil"/>
              <w:right w:val="nil"/>
            </w:tcBorders>
            <w:shd w:val="clear" w:color="000000" w:fill="00FF00"/>
            <w:vAlign w:val="center"/>
            <w:hideMark/>
          </w:tcPr>
          <w:p w14:paraId="32EA683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Public Finance Academy(learning organization)</w:t>
            </w:r>
          </w:p>
        </w:tc>
        <w:tc>
          <w:tcPr>
            <w:tcW w:w="522" w:type="dxa"/>
            <w:gridSpan w:val="2"/>
            <w:tcBorders>
              <w:top w:val="nil"/>
              <w:left w:val="nil"/>
              <w:bottom w:val="nil"/>
              <w:right w:val="nil"/>
            </w:tcBorders>
            <w:shd w:val="clear" w:color="000000" w:fill="00FF00"/>
            <w:vAlign w:val="center"/>
            <w:hideMark/>
          </w:tcPr>
          <w:p w14:paraId="65ACB56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2DB8562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00FF00"/>
            <w:vAlign w:val="center"/>
            <w:hideMark/>
          </w:tcPr>
          <w:p w14:paraId="13CE34A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00FF00"/>
            <w:vAlign w:val="center"/>
            <w:hideMark/>
          </w:tcPr>
          <w:p w14:paraId="68C657E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1C285C4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00FF00"/>
            <w:vAlign w:val="center"/>
            <w:hideMark/>
          </w:tcPr>
          <w:p w14:paraId="5369755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0FC8AC5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00FF00"/>
            <w:vAlign w:val="center"/>
            <w:hideMark/>
          </w:tcPr>
          <w:p w14:paraId="2088052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1D3AA5E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6DFC392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0028A47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00FF00"/>
            <w:vAlign w:val="center"/>
            <w:hideMark/>
          </w:tcPr>
          <w:p w14:paraId="323B593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29D9FB2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00FF00"/>
            <w:vAlign w:val="center"/>
            <w:hideMark/>
          </w:tcPr>
          <w:p w14:paraId="2A84F88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4A3F72C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00FF00"/>
            <w:vAlign w:val="center"/>
            <w:hideMark/>
          </w:tcPr>
          <w:p w14:paraId="7F23931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4F3A61BD" w14:textId="77777777" w:rsidTr="00595060">
        <w:trPr>
          <w:trHeight w:val="270"/>
        </w:trPr>
        <w:tc>
          <w:tcPr>
            <w:tcW w:w="702" w:type="dxa"/>
            <w:gridSpan w:val="2"/>
            <w:tcBorders>
              <w:top w:val="nil"/>
              <w:left w:val="nil"/>
              <w:bottom w:val="nil"/>
              <w:right w:val="nil"/>
            </w:tcBorders>
            <w:shd w:val="clear" w:color="000000" w:fill="6FE7FF"/>
            <w:vAlign w:val="center"/>
            <w:hideMark/>
          </w:tcPr>
          <w:p w14:paraId="3FDFF95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0E6D8C3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1BA925B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1.</w:t>
            </w:r>
          </w:p>
        </w:tc>
        <w:tc>
          <w:tcPr>
            <w:tcW w:w="1770" w:type="dxa"/>
            <w:gridSpan w:val="2"/>
            <w:tcBorders>
              <w:top w:val="nil"/>
              <w:left w:val="nil"/>
              <w:bottom w:val="single" w:sz="8" w:space="0" w:color="auto"/>
              <w:right w:val="nil"/>
            </w:tcBorders>
            <w:shd w:val="clear" w:color="000000" w:fill="6FE7FF"/>
            <w:vAlign w:val="center"/>
            <w:hideMark/>
          </w:tcPr>
          <w:p w14:paraId="4318FAD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258" w:type="dxa"/>
            <w:gridSpan w:val="2"/>
            <w:tcBorders>
              <w:top w:val="nil"/>
              <w:left w:val="nil"/>
              <w:bottom w:val="single" w:sz="8" w:space="0" w:color="auto"/>
              <w:right w:val="nil"/>
            </w:tcBorders>
            <w:shd w:val="clear" w:color="000000" w:fill="6FE7FF"/>
            <w:vAlign w:val="center"/>
            <w:hideMark/>
          </w:tcPr>
          <w:p w14:paraId="305B81F1" w14:textId="366700F4" w:rsidR="00C93723" w:rsidRPr="00D30847" w:rsidRDefault="005A736C"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Digital presence of the Public Finance Academy</w:t>
            </w:r>
          </w:p>
        </w:tc>
        <w:tc>
          <w:tcPr>
            <w:tcW w:w="522" w:type="dxa"/>
            <w:gridSpan w:val="2"/>
            <w:tcBorders>
              <w:top w:val="nil"/>
              <w:left w:val="nil"/>
              <w:bottom w:val="single" w:sz="8" w:space="0" w:color="auto"/>
              <w:right w:val="nil"/>
            </w:tcBorders>
            <w:shd w:val="clear" w:color="000000" w:fill="6FE7FF"/>
            <w:vAlign w:val="center"/>
            <w:hideMark/>
          </w:tcPr>
          <w:p w14:paraId="4194B5B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010D26E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8" w:space="0" w:color="auto"/>
              <w:right w:val="nil"/>
            </w:tcBorders>
            <w:shd w:val="clear" w:color="000000" w:fill="6FE7FF"/>
            <w:vAlign w:val="center"/>
            <w:hideMark/>
          </w:tcPr>
          <w:p w14:paraId="7099F61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5D835E9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13D1E60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8" w:space="0" w:color="auto"/>
              <w:right w:val="nil"/>
            </w:tcBorders>
            <w:shd w:val="clear" w:color="000000" w:fill="6FE7FF"/>
            <w:vAlign w:val="center"/>
            <w:hideMark/>
          </w:tcPr>
          <w:p w14:paraId="7672ACC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285C23E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71D9BF9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4996DA1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3B38A79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0782883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8" w:space="0" w:color="auto"/>
              <w:right w:val="nil"/>
            </w:tcBorders>
            <w:shd w:val="clear" w:color="000000" w:fill="6FE7FF"/>
            <w:vAlign w:val="center"/>
            <w:hideMark/>
          </w:tcPr>
          <w:p w14:paraId="35B0E54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5E587DD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03E102B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6A31FD3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8" w:space="0" w:color="auto"/>
              <w:right w:val="nil"/>
            </w:tcBorders>
            <w:shd w:val="clear" w:color="000000" w:fill="6FE7FF"/>
            <w:vAlign w:val="center"/>
            <w:hideMark/>
          </w:tcPr>
          <w:p w14:paraId="1ACD40C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942045" w:rsidRPr="00D30847" w14:paraId="71906117" w14:textId="77777777" w:rsidTr="00595060">
        <w:trPr>
          <w:trHeight w:val="349"/>
        </w:trPr>
        <w:tc>
          <w:tcPr>
            <w:tcW w:w="702" w:type="dxa"/>
            <w:gridSpan w:val="2"/>
            <w:tcBorders>
              <w:top w:val="nil"/>
              <w:left w:val="nil"/>
              <w:bottom w:val="nil"/>
              <w:right w:val="nil"/>
            </w:tcBorders>
            <w:shd w:val="clear" w:color="auto" w:fill="auto"/>
            <w:vAlign w:val="bottom"/>
            <w:hideMark/>
          </w:tcPr>
          <w:p w14:paraId="0DC474E4" w14:textId="77777777" w:rsidR="00942045" w:rsidRPr="00D30847" w:rsidRDefault="00942045" w:rsidP="00942045">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44C51184"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573DC1C1"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773EE9EB"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nil"/>
              <w:left w:val="nil"/>
              <w:bottom w:val="single" w:sz="8" w:space="0" w:color="auto"/>
              <w:right w:val="single" w:sz="8" w:space="0" w:color="auto"/>
            </w:tcBorders>
            <w:shd w:val="clear" w:color="auto" w:fill="auto"/>
            <w:vAlign w:val="center"/>
            <w:hideMark/>
          </w:tcPr>
          <w:p w14:paraId="43A0D049" w14:textId="7D246A35" w:rsidR="00942045" w:rsidRPr="00D30847" w:rsidRDefault="005A736C" w:rsidP="00942045">
            <w:pPr>
              <w:spacing w:after="0" w:line="240" w:lineRule="auto"/>
              <w:rPr>
                <w:rFonts w:eastAsia="Times New Roman" w:cs="Calibri"/>
                <w:sz w:val="16"/>
                <w:szCs w:val="16"/>
                <w:lang w:val="en-GB"/>
              </w:rPr>
            </w:pPr>
            <w:r w:rsidRPr="00D30847">
              <w:rPr>
                <w:rFonts w:eastAsia="Times New Roman" w:cs="Calibri"/>
                <w:sz w:val="16"/>
                <w:szCs w:val="16"/>
                <w:lang w:val="en-GB"/>
              </w:rPr>
              <w:t>Development an online platform</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0B635A5D" w14:textId="1E63FCF5"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D8E4D17" w14:textId="033BFFC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57306B1B" w14:textId="667591A5"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7789DF78" w14:textId="79C5616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7F4EF7AD"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auto" w:fill="auto"/>
            <w:vAlign w:val="center"/>
            <w:hideMark/>
          </w:tcPr>
          <w:p w14:paraId="13809612"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4709EB82"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auto" w:fill="auto"/>
            <w:vAlign w:val="center"/>
            <w:hideMark/>
          </w:tcPr>
          <w:p w14:paraId="629CB231"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306CE515"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5C9D23F4"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137932DE"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auto" w:fill="auto"/>
            <w:vAlign w:val="center"/>
            <w:hideMark/>
          </w:tcPr>
          <w:p w14:paraId="2BA11F5A"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5F3C9C15"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333CAA0C"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39544EB9"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725CEA2B"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942045" w:rsidRPr="00D30847" w14:paraId="5A8C8352" w14:textId="77777777" w:rsidTr="00595060">
        <w:trPr>
          <w:trHeight w:val="286"/>
        </w:trPr>
        <w:tc>
          <w:tcPr>
            <w:tcW w:w="702" w:type="dxa"/>
            <w:gridSpan w:val="2"/>
            <w:tcBorders>
              <w:top w:val="nil"/>
              <w:left w:val="nil"/>
              <w:bottom w:val="nil"/>
              <w:right w:val="nil"/>
            </w:tcBorders>
            <w:shd w:val="clear" w:color="auto" w:fill="auto"/>
            <w:vAlign w:val="bottom"/>
            <w:hideMark/>
          </w:tcPr>
          <w:p w14:paraId="4AE997BB" w14:textId="77777777" w:rsidR="00942045" w:rsidRPr="00D30847" w:rsidRDefault="00942045" w:rsidP="00942045">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7E6EBBD1"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79284DCA"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1A3D2ACF"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379FF462" w14:textId="6D0361CB" w:rsidR="00942045" w:rsidRPr="00D30847" w:rsidRDefault="005A736C" w:rsidP="00942045">
            <w:pPr>
              <w:spacing w:after="0" w:line="240" w:lineRule="auto"/>
              <w:rPr>
                <w:rFonts w:eastAsia="Times New Roman" w:cs="Calibri"/>
                <w:sz w:val="16"/>
                <w:szCs w:val="16"/>
                <w:lang w:val="en-GB"/>
              </w:rPr>
            </w:pPr>
            <w:r w:rsidRPr="00D30847">
              <w:rPr>
                <w:rFonts w:eastAsia="Times New Roman" w:cs="Calibri"/>
                <w:sz w:val="16"/>
                <w:szCs w:val="16"/>
                <w:lang w:val="en-GB"/>
              </w:rPr>
              <w:t>Development of video tutorials and guidelines</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0E6F1B63" w14:textId="5E195DA5"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577A58E4" w14:textId="0E04AA7D"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0BB0F7F3" w14:textId="6C63803E"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1F24E5F1" w14:textId="4E11539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65961F06"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auto" w:fill="auto"/>
            <w:vAlign w:val="center"/>
            <w:hideMark/>
          </w:tcPr>
          <w:p w14:paraId="4B31062A"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32C6630F"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auto" w:fill="auto"/>
            <w:vAlign w:val="center"/>
            <w:hideMark/>
          </w:tcPr>
          <w:p w14:paraId="7FD2FC34"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5C225B36"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2D121E6E"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2B262672"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auto" w:fill="auto"/>
            <w:vAlign w:val="center"/>
            <w:hideMark/>
          </w:tcPr>
          <w:p w14:paraId="719DBE00"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4B8EF6FE"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46A644D1"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73AAD7E5"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7C296173"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5A736C" w:rsidRPr="00D30847" w14:paraId="4FF4AF8A" w14:textId="77777777" w:rsidTr="005A736C">
        <w:trPr>
          <w:trHeight w:val="286"/>
        </w:trPr>
        <w:tc>
          <w:tcPr>
            <w:tcW w:w="702" w:type="dxa"/>
            <w:gridSpan w:val="2"/>
            <w:tcBorders>
              <w:top w:val="nil"/>
              <w:left w:val="nil"/>
              <w:bottom w:val="nil"/>
              <w:right w:val="nil"/>
            </w:tcBorders>
            <w:shd w:val="clear" w:color="auto" w:fill="auto"/>
            <w:vAlign w:val="bottom"/>
          </w:tcPr>
          <w:p w14:paraId="0B7EFE57"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tcPr>
          <w:p w14:paraId="21F00E9F" w14:textId="77777777" w:rsidR="005A736C" w:rsidRPr="00D30847" w:rsidRDefault="005A736C"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tcPr>
          <w:p w14:paraId="116DBA63" w14:textId="77777777" w:rsidR="005A736C" w:rsidRPr="00D30847" w:rsidRDefault="005A736C"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tcPr>
          <w:p w14:paraId="39942C86" w14:textId="2CC7886D" w:rsidR="005A736C" w:rsidRPr="00D30847" w:rsidRDefault="005A736C"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3.</w:t>
            </w:r>
          </w:p>
        </w:tc>
        <w:tc>
          <w:tcPr>
            <w:tcW w:w="3258" w:type="dxa"/>
            <w:gridSpan w:val="2"/>
            <w:tcBorders>
              <w:top w:val="nil"/>
              <w:left w:val="nil"/>
              <w:bottom w:val="single" w:sz="8" w:space="0" w:color="auto"/>
              <w:right w:val="single" w:sz="8" w:space="0" w:color="auto"/>
            </w:tcBorders>
            <w:shd w:val="clear" w:color="auto" w:fill="auto"/>
            <w:vAlign w:val="center"/>
          </w:tcPr>
          <w:p w14:paraId="047CF23E" w14:textId="664D3549" w:rsidR="005A736C" w:rsidRPr="00D30847" w:rsidRDefault="005A736C" w:rsidP="00942045">
            <w:pPr>
              <w:spacing w:after="0" w:line="240" w:lineRule="auto"/>
              <w:rPr>
                <w:rFonts w:eastAsia="Times New Roman" w:cs="Calibri"/>
                <w:sz w:val="16"/>
                <w:szCs w:val="16"/>
                <w:lang w:val="en-GB"/>
              </w:rPr>
            </w:pPr>
            <w:r w:rsidRPr="00D30847">
              <w:rPr>
                <w:rFonts w:eastAsia="Times New Roman" w:cs="Calibri"/>
                <w:sz w:val="16"/>
                <w:szCs w:val="16"/>
                <w:lang w:val="en-GB"/>
              </w:rPr>
              <w:t>Organizing online trainings</w:t>
            </w:r>
          </w:p>
        </w:tc>
        <w:tc>
          <w:tcPr>
            <w:tcW w:w="522" w:type="dxa"/>
            <w:gridSpan w:val="2"/>
            <w:tcBorders>
              <w:top w:val="nil"/>
              <w:left w:val="nil"/>
              <w:bottom w:val="single" w:sz="8" w:space="0" w:color="auto"/>
              <w:right w:val="single" w:sz="8" w:space="0" w:color="auto"/>
            </w:tcBorders>
            <w:shd w:val="clear" w:color="auto" w:fill="auto"/>
            <w:vAlign w:val="center"/>
          </w:tcPr>
          <w:p w14:paraId="4865D4AB"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378" w:type="dxa"/>
            <w:gridSpan w:val="2"/>
            <w:tcBorders>
              <w:top w:val="nil"/>
              <w:left w:val="nil"/>
              <w:bottom w:val="single" w:sz="8" w:space="0" w:color="auto"/>
              <w:right w:val="single" w:sz="8" w:space="0" w:color="auto"/>
            </w:tcBorders>
            <w:shd w:val="clear" w:color="auto" w:fill="auto"/>
            <w:vAlign w:val="center"/>
          </w:tcPr>
          <w:p w14:paraId="059C7B0B"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582" w:type="dxa"/>
            <w:gridSpan w:val="3"/>
            <w:tcBorders>
              <w:top w:val="nil"/>
              <w:left w:val="nil"/>
              <w:bottom w:val="single" w:sz="8" w:space="0" w:color="auto"/>
              <w:right w:val="single" w:sz="8" w:space="0" w:color="auto"/>
            </w:tcBorders>
            <w:shd w:val="clear" w:color="auto" w:fill="auto"/>
            <w:vAlign w:val="center"/>
          </w:tcPr>
          <w:p w14:paraId="5F28FD15"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480" w:type="dxa"/>
            <w:gridSpan w:val="3"/>
            <w:tcBorders>
              <w:top w:val="nil"/>
              <w:left w:val="nil"/>
              <w:bottom w:val="single" w:sz="8" w:space="0" w:color="auto"/>
              <w:right w:val="single" w:sz="8" w:space="0" w:color="auto"/>
            </w:tcBorders>
            <w:shd w:val="clear" w:color="auto" w:fill="auto"/>
            <w:vAlign w:val="center"/>
          </w:tcPr>
          <w:p w14:paraId="4281EF49"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378" w:type="dxa"/>
            <w:gridSpan w:val="2"/>
            <w:tcBorders>
              <w:top w:val="nil"/>
              <w:left w:val="nil"/>
              <w:bottom w:val="single" w:sz="8" w:space="0" w:color="auto"/>
              <w:right w:val="single" w:sz="8" w:space="0" w:color="auto"/>
            </w:tcBorders>
            <w:shd w:val="clear" w:color="auto" w:fill="0000FF"/>
            <w:vAlign w:val="center"/>
          </w:tcPr>
          <w:p w14:paraId="0DC5A980"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612" w:type="dxa"/>
            <w:gridSpan w:val="3"/>
            <w:tcBorders>
              <w:top w:val="nil"/>
              <w:left w:val="nil"/>
              <w:bottom w:val="single" w:sz="8" w:space="0" w:color="auto"/>
              <w:right w:val="single" w:sz="8" w:space="0" w:color="auto"/>
            </w:tcBorders>
            <w:shd w:val="clear" w:color="auto" w:fill="0000FF"/>
            <w:vAlign w:val="center"/>
          </w:tcPr>
          <w:p w14:paraId="73044F24"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450" w:type="dxa"/>
            <w:gridSpan w:val="3"/>
            <w:tcBorders>
              <w:top w:val="nil"/>
              <w:left w:val="nil"/>
              <w:bottom w:val="single" w:sz="8" w:space="0" w:color="auto"/>
              <w:right w:val="single" w:sz="8" w:space="0" w:color="auto"/>
            </w:tcBorders>
            <w:shd w:val="clear" w:color="auto" w:fill="0000FF"/>
            <w:vAlign w:val="center"/>
          </w:tcPr>
          <w:p w14:paraId="075D0866"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540" w:type="dxa"/>
            <w:gridSpan w:val="3"/>
            <w:tcBorders>
              <w:top w:val="nil"/>
              <w:left w:val="nil"/>
              <w:bottom w:val="single" w:sz="8" w:space="0" w:color="auto"/>
              <w:right w:val="single" w:sz="8" w:space="0" w:color="auto"/>
            </w:tcBorders>
            <w:shd w:val="clear" w:color="auto" w:fill="0000FF"/>
            <w:vAlign w:val="center"/>
          </w:tcPr>
          <w:p w14:paraId="1717EF53"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450" w:type="dxa"/>
            <w:gridSpan w:val="4"/>
            <w:tcBorders>
              <w:top w:val="nil"/>
              <w:left w:val="nil"/>
              <w:bottom w:val="single" w:sz="8" w:space="0" w:color="auto"/>
              <w:right w:val="single" w:sz="8" w:space="0" w:color="auto"/>
            </w:tcBorders>
            <w:shd w:val="clear" w:color="auto" w:fill="0000FF"/>
            <w:vAlign w:val="center"/>
          </w:tcPr>
          <w:p w14:paraId="0C44F475"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450" w:type="dxa"/>
            <w:gridSpan w:val="3"/>
            <w:tcBorders>
              <w:top w:val="nil"/>
              <w:left w:val="nil"/>
              <w:bottom w:val="single" w:sz="8" w:space="0" w:color="auto"/>
              <w:right w:val="single" w:sz="8" w:space="0" w:color="auto"/>
            </w:tcBorders>
            <w:shd w:val="clear" w:color="auto" w:fill="0000FF"/>
            <w:vAlign w:val="center"/>
          </w:tcPr>
          <w:p w14:paraId="4C62F3E9"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378" w:type="dxa"/>
            <w:gridSpan w:val="2"/>
            <w:tcBorders>
              <w:top w:val="nil"/>
              <w:left w:val="nil"/>
              <w:bottom w:val="single" w:sz="8" w:space="0" w:color="auto"/>
              <w:right w:val="single" w:sz="8" w:space="0" w:color="auto"/>
            </w:tcBorders>
            <w:shd w:val="clear" w:color="auto" w:fill="0000FF"/>
            <w:vAlign w:val="center"/>
          </w:tcPr>
          <w:p w14:paraId="0B340F75"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522" w:type="dxa"/>
            <w:gridSpan w:val="3"/>
            <w:tcBorders>
              <w:top w:val="nil"/>
              <w:left w:val="nil"/>
              <w:bottom w:val="single" w:sz="8" w:space="0" w:color="auto"/>
              <w:right w:val="single" w:sz="8" w:space="0" w:color="auto"/>
            </w:tcBorders>
            <w:shd w:val="clear" w:color="auto" w:fill="0000FF"/>
            <w:vAlign w:val="center"/>
          </w:tcPr>
          <w:p w14:paraId="6741BEDD"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450" w:type="dxa"/>
            <w:gridSpan w:val="4"/>
            <w:tcBorders>
              <w:top w:val="nil"/>
              <w:left w:val="nil"/>
              <w:bottom w:val="single" w:sz="8" w:space="0" w:color="auto"/>
              <w:right w:val="single" w:sz="8" w:space="0" w:color="auto"/>
            </w:tcBorders>
            <w:shd w:val="clear" w:color="auto" w:fill="0000FF"/>
            <w:vAlign w:val="center"/>
          </w:tcPr>
          <w:p w14:paraId="60440970"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450" w:type="dxa"/>
            <w:gridSpan w:val="2"/>
            <w:tcBorders>
              <w:top w:val="nil"/>
              <w:left w:val="nil"/>
              <w:bottom w:val="single" w:sz="8" w:space="0" w:color="auto"/>
              <w:right w:val="single" w:sz="8" w:space="0" w:color="auto"/>
            </w:tcBorders>
            <w:shd w:val="clear" w:color="auto" w:fill="0000FF"/>
            <w:vAlign w:val="center"/>
          </w:tcPr>
          <w:p w14:paraId="2D2AEFC5"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450" w:type="dxa"/>
            <w:gridSpan w:val="3"/>
            <w:tcBorders>
              <w:top w:val="nil"/>
              <w:left w:val="nil"/>
              <w:bottom w:val="single" w:sz="8" w:space="0" w:color="auto"/>
              <w:right w:val="single" w:sz="8" w:space="0" w:color="auto"/>
            </w:tcBorders>
            <w:shd w:val="clear" w:color="auto" w:fill="0000FF"/>
            <w:vAlign w:val="center"/>
          </w:tcPr>
          <w:p w14:paraId="633D297D"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648" w:type="dxa"/>
            <w:gridSpan w:val="3"/>
            <w:tcBorders>
              <w:top w:val="nil"/>
              <w:left w:val="nil"/>
              <w:bottom w:val="single" w:sz="8" w:space="0" w:color="auto"/>
              <w:right w:val="single" w:sz="8" w:space="0" w:color="auto"/>
            </w:tcBorders>
            <w:shd w:val="clear" w:color="auto" w:fill="0000FF"/>
            <w:vAlign w:val="center"/>
          </w:tcPr>
          <w:p w14:paraId="3C6D80D8" w14:textId="77777777" w:rsidR="005A736C" w:rsidRPr="00D30847" w:rsidRDefault="005A736C" w:rsidP="00942045">
            <w:pPr>
              <w:spacing w:after="0" w:line="240" w:lineRule="auto"/>
              <w:jc w:val="center"/>
              <w:rPr>
                <w:rFonts w:eastAsia="Times New Roman" w:cs="Calibri"/>
                <w:color w:val="FFFFFF"/>
                <w:sz w:val="16"/>
                <w:szCs w:val="16"/>
                <w:lang w:val="en-GB"/>
              </w:rPr>
            </w:pPr>
          </w:p>
        </w:tc>
      </w:tr>
      <w:tr w:rsidR="005A736C" w:rsidRPr="00D30847" w14:paraId="35D50AF4" w14:textId="77777777" w:rsidTr="00595060">
        <w:trPr>
          <w:trHeight w:val="286"/>
        </w:trPr>
        <w:tc>
          <w:tcPr>
            <w:tcW w:w="702" w:type="dxa"/>
            <w:gridSpan w:val="2"/>
            <w:tcBorders>
              <w:top w:val="nil"/>
              <w:left w:val="nil"/>
              <w:bottom w:val="nil"/>
              <w:right w:val="nil"/>
            </w:tcBorders>
            <w:shd w:val="clear" w:color="auto" w:fill="auto"/>
            <w:vAlign w:val="bottom"/>
          </w:tcPr>
          <w:p w14:paraId="7D2551E0"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tcPr>
          <w:p w14:paraId="1BC2F4B0" w14:textId="77777777" w:rsidR="005A736C" w:rsidRPr="00D30847" w:rsidRDefault="005A736C"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tcPr>
          <w:p w14:paraId="2131D696" w14:textId="77777777" w:rsidR="005A736C" w:rsidRPr="00D30847" w:rsidRDefault="005A736C"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tcPr>
          <w:p w14:paraId="1001F962" w14:textId="7F7E86C0" w:rsidR="005A736C" w:rsidRPr="00D30847" w:rsidRDefault="005A736C"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4.</w:t>
            </w:r>
          </w:p>
        </w:tc>
        <w:tc>
          <w:tcPr>
            <w:tcW w:w="3258" w:type="dxa"/>
            <w:gridSpan w:val="2"/>
            <w:tcBorders>
              <w:top w:val="nil"/>
              <w:left w:val="nil"/>
              <w:bottom w:val="single" w:sz="8" w:space="0" w:color="auto"/>
              <w:right w:val="single" w:sz="8" w:space="0" w:color="auto"/>
            </w:tcBorders>
            <w:shd w:val="clear" w:color="auto" w:fill="auto"/>
            <w:vAlign w:val="center"/>
          </w:tcPr>
          <w:p w14:paraId="36C8E39E" w14:textId="12EA4C1F" w:rsidR="005A736C" w:rsidRPr="00D30847" w:rsidRDefault="005A736C" w:rsidP="00942045">
            <w:pPr>
              <w:spacing w:after="0" w:line="240" w:lineRule="auto"/>
              <w:rPr>
                <w:rFonts w:eastAsia="Times New Roman" w:cs="Calibri"/>
                <w:sz w:val="16"/>
                <w:szCs w:val="16"/>
                <w:lang w:val="en-GB"/>
              </w:rPr>
            </w:pPr>
            <w:r w:rsidRPr="00D30847">
              <w:rPr>
                <w:rFonts w:eastAsia="Times New Roman" w:cs="Calibri"/>
                <w:sz w:val="16"/>
                <w:szCs w:val="16"/>
                <w:lang w:val="en-GB"/>
              </w:rPr>
              <w:t>Social media presence for increased transparency and education in public finances</w:t>
            </w:r>
          </w:p>
        </w:tc>
        <w:tc>
          <w:tcPr>
            <w:tcW w:w="522" w:type="dxa"/>
            <w:gridSpan w:val="2"/>
            <w:tcBorders>
              <w:top w:val="nil"/>
              <w:left w:val="nil"/>
              <w:bottom w:val="single" w:sz="8" w:space="0" w:color="auto"/>
              <w:right w:val="single" w:sz="8" w:space="0" w:color="auto"/>
            </w:tcBorders>
            <w:shd w:val="clear" w:color="000000" w:fill="0000FF"/>
            <w:vAlign w:val="center"/>
          </w:tcPr>
          <w:p w14:paraId="53D0F505"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378" w:type="dxa"/>
            <w:gridSpan w:val="2"/>
            <w:tcBorders>
              <w:top w:val="nil"/>
              <w:left w:val="nil"/>
              <w:bottom w:val="single" w:sz="8" w:space="0" w:color="auto"/>
              <w:right w:val="single" w:sz="8" w:space="0" w:color="auto"/>
            </w:tcBorders>
            <w:shd w:val="clear" w:color="000000" w:fill="0000FF"/>
            <w:vAlign w:val="center"/>
          </w:tcPr>
          <w:p w14:paraId="1254ABBE"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582" w:type="dxa"/>
            <w:gridSpan w:val="3"/>
            <w:tcBorders>
              <w:top w:val="nil"/>
              <w:left w:val="nil"/>
              <w:bottom w:val="single" w:sz="8" w:space="0" w:color="auto"/>
              <w:right w:val="single" w:sz="8" w:space="0" w:color="auto"/>
            </w:tcBorders>
            <w:shd w:val="clear" w:color="000000" w:fill="0000FF"/>
            <w:vAlign w:val="center"/>
          </w:tcPr>
          <w:p w14:paraId="554D5337"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480" w:type="dxa"/>
            <w:gridSpan w:val="3"/>
            <w:tcBorders>
              <w:top w:val="nil"/>
              <w:left w:val="nil"/>
              <w:bottom w:val="single" w:sz="8" w:space="0" w:color="auto"/>
              <w:right w:val="single" w:sz="8" w:space="0" w:color="auto"/>
            </w:tcBorders>
            <w:shd w:val="clear" w:color="000000" w:fill="0000FF"/>
            <w:vAlign w:val="center"/>
          </w:tcPr>
          <w:p w14:paraId="127E51DB"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378" w:type="dxa"/>
            <w:gridSpan w:val="2"/>
            <w:tcBorders>
              <w:top w:val="nil"/>
              <w:left w:val="nil"/>
              <w:bottom w:val="single" w:sz="8" w:space="0" w:color="auto"/>
              <w:right w:val="single" w:sz="8" w:space="0" w:color="auto"/>
            </w:tcBorders>
            <w:shd w:val="clear" w:color="auto" w:fill="auto"/>
            <w:vAlign w:val="center"/>
          </w:tcPr>
          <w:p w14:paraId="1316EF1D"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612" w:type="dxa"/>
            <w:gridSpan w:val="3"/>
            <w:tcBorders>
              <w:top w:val="nil"/>
              <w:left w:val="nil"/>
              <w:bottom w:val="single" w:sz="8" w:space="0" w:color="auto"/>
              <w:right w:val="single" w:sz="8" w:space="0" w:color="auto"/>
            </w:tcBorders>
            <w:shd w:val="clear" w:color="auto" w:fill="auto"/>
            <w:vAlign w:val="center"/>
          </w:tcPr>
          <w:p w14:paraId="71DFF9FB"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450" w:type="dxa"/>
            <w:gridSpan w:val="3"/>
            <w:tcBorders>
              <w:top w:val="nil"/>
              <w:left w:val="nil"/>
              <w:bottom w:val="single" w:sz="8" w:space="0" w:color="auto"/>
              <w:right w:val="single" w:sz="8" w:space="0" w:color="auto"/>
            </w:tcBorders>
            <w:shd w:val="clear" w:color="auto" w:fill="auto"/>
            <w:vAlign w:val="center"/>
          </w:tcPr>
          <w:p w14:paraId="38861935"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540" w:type="dxa"/>
            <w:gridSpan w:val="3"/>
            <w:tcBorders>
              <w:top w:val="nil"/>
              <w:left w:val="nil"/>
              <w:bottom w:val="single" w:sz="8" w:space="0" w:color="auto"/>
              <w:right w:val="single" w:sz="8" w:space="0" w:color="auto"/>
            </w:tcBorders>
            <w:shd w:val="clear" w:color="auto" w:fill="auto"/>
            <w:vAlign w:val="center"/>
          </w:tcPr>
          <w:p w14:paraId="0B81C605"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450" w:type="dxa"/>
            <w:gridSpan w:val="4"/>
            <w:tcBorders>
              <w:top w:val="nil"/>
              <w:left w:val="nil"/>
              <w:bottom w:val="single" w:sz="8" w:space="0" w:color="auto"/>
              <w:right w:val="single" w:sz="8" w:space="0" w:color="auto"/>
            </w:tcBorders>
            <w:shd w:val="clear" w:color="auto" w:fill="auto"/>
            <w:vAlign w:val="center"/>
          </w:tcPr>
          <w:p w14:paraId="0C967766"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450" w:type="dxa"/>
            <w:gridSpan w:val="3"/>
            <w:tcBorders>
              <w:top w:val="nil"/>
              <w:left w:val="nil"/>
              <w:bottom w:val="single" w:sz="8" w:space="0" w:color="auto"/>
              <w:right w:val="single" w:sz="8" w:space="0" w:color="auto"/>
            </w:tcBorders>
            <w:shd w:val="clear" w:color="auto" w:fill="auto"/>
            <w:vAlign w:val="center"/>
          </w:tcPr>
          <w:p w14:paraId="036F45C5"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378" w:type="dxa"/>
            <w:gridSpan w:val="2"/>
            <w:tcBorders>
              <w:top w:val="nil"/>
              <w:left w:val="nil"/>
              <w:bottom w:val="single" w:sz="8" w:space="0" w:color="auto"/>
              <w:right w:val="single" w:sz="8" w:space="0" w:color="auto"/>
            </w:tcBorders>
            <w:shd w:val="clear" w:color="auto" w:fill="auto"/>
            <w:vAlign w:val="center"/>
          </w:tcPr>
          <w:p w14:paraId="5ED45581"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522" w:type="dxa"/>
            <w:gridSpan w:val="3"/>
            <w:tcBorders>
              <w:top w:val="nil"/>
              <w:left w:val="nil"/>
              <w:bottom w:val="single" w:sz="8" w:space="0" w:color="auto"/>
              <w:right w:val="single" w:sz="8" w:space="0" w:color="auto"/>
            </w:tcBorders>
            <w:shd w:val="clear" w:color="auto" w:fill="auto"/>
            <w:vAlign w:val="center"/>
          </w:tcPr>
          <w:p w14:paraId="12E125E2"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450" w:type="dxa"/>
            <w:gridSpan w:val="4"/>
            <w:tcBorders>
              <w:top w:val="nil"/>
              <w:left w:val="nil"/>
              <w:bottom w:val="single" w:sz="8" w:space="0" w:color="auto"/>
              <w:right w:val="single" w:sz="8" w:space="0" w:color="auto"/>
            </w:tcBorders>
            <w:shd w:val="clear" w:color="auto" w:fill="auto"/>
            <w:vAlign w:val="center"/>
          </w:tcPr>
          <w:p w14:paraId="627717C8"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450" w:type="dxa"/>
            <w:gridSpan w:val="2"/>
            <w:tcBorders>
              <w:top w:val="nil"/>
              <w:left w:val="nil"/>
              <w:bottom w:val="single" w:sz="8" w:space="0" w:color="auto"/>
              <w:right w:val="single" w:sz="8" w:space="0" w:color="auto"/>
            </w:tcBorders>
            <w:shd w:val="clear" w:color="auto" w:fill="auto"/>
            <w:vAlign w:val="center"/>
          </w:tcPr>
          <w:p w14:paraId="0DD834D7"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450" w:type="dxa"/>
            <w:gridSpan w:val="3"/>
            <w:tcBorders>
              <w:top w:val="nil"/>
              <w:left w:val="nil"/>
              <w:bottom w:val="single" w:sz="8" w:space="0" w:color="auto"/>
              <w:right w:val="single" w:sz="8" w:space="0" w:color="auto"/>
            </w:tcBorders>
            <w:shd w:val="clear" w:color="auto" w:fill="auto"/>
            <w:vAlign w:val="center"/>
          </w:tcPr>
          <w:p w14:paraId="3A6FE623" w14:textId="77777777" w:rsidR="005A736C" w:rsidRPr="00D30847" w:rsidRDefault="005A736C" w:rsidP="00942045">
            <w:pPr>
              <w:spacing w:after="0" w:line="240" w:lineRule="auto"/>
              <w:jc w:val="center"/>
              <w:rPr>
                <w:rFonts w:eastAsia="Times New Roman" w:cs="Calibri"/>
                <w:color w:val="FFFFFF"/>
                <w:sz w:val="16"/>
                <w:szCs w:val="16"/>
                <w:lang w:val="en-GB"/>
              </w:rPr>
            </w:pPr>
          </w:p>
        </w:tc>
        <w:tc>
          <w:tcPr>
            <w:tcW w:w="648" w:type="dxa"/>
            <w:gridSpan w:val="3"/>
            <w:tcBorders>
              <w:top w:val="nil"/>
              <w:left w:val="nil"/>
              <w:bottom w:val="single" w:sz="8" w:space="0" w:color="auto"/>
              <w:right w:val="single" w:sz="8" w:space="0" w:color="auto"/>
            </w:tcBorders>
            <w:shd w:val="clear" w:color="auto" w:fill="auto"/>
            <w:vAlign w:val="center"/>
          </w:tcPr>
          <w:p w14:paraId="71DC91DF" w14:textId="77777777" w:rsidR="005A736C" w:rsidRPr="00D30847" w:rsidRDefault="005A736C" w:rsidP="00942045">
            <w:pPr>
              <w:spacing w:after="0" w:line="240" w:lineRule="auto"/>
              <w:jc w:val="center"/>
              <w:rPr>
                <w:rFonts w:eastAsia="Times New Roman" w:cs="Calibri"/>
                <w:color w:val="FFFFFF"/>
                <w:sz w:val="16"/>
                <w:szCs w:val="16"/>
                <w:lang w:val="en-GB"/>
              </w:rPr>
            </w:pPr>
          </w:p>
        </w:tc>
      </w:tr>
      <w:tr w:rsidR="00C93723" w:rsidRPr="00D30847" w14:paraId="11BE369C" w14:textId="77777777" w:rsidTr="00595060">
        <w:trPr>
          <w:trHeight w:val="259"/>
        </w:trPr>
        <w:tc>
          <w:tcPr>
            <w:tcW w:w="702" w:type="dxa"/>
            <w:gridSpan w:val="2"/>
            <w:tcBorders>
              <w:top w:val="nil"/>
              <w:left w:val="nil"/>
              <w:bottom w:val="nil"/>
              <w:right w:val="nil"/>
            </w:tcBorders>
            <w:shd w:val="clear" w:color="000000" w:fill="6FE7FF"/>
            <w:vAlign w:val="center"/>
            <w:hideMark/>
          </w:tcPr>
          <w:p w14:paraId="5B96B51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3FADCDB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09BA566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2.</w:t>
            </w:r>
          </w:p>
        </w:tc>
        <w:tc>
          <w:tcPr>
            <w:tcW w:w="1770" w:type="dxa"/>
            <w:gridSpan w:val="2"/>
            <w:tcBorders>
              <w:top w:val="nil"/>
              <w:left w:val="nil"/>
              <w:bottom w:val="single" w:sz="8" w:space="0" w:color="auto"/>
              <w:right w:val="nil"/>
            </w:tcBorders>
            <w:shd w:val="clear" w:color="000000" w:fill="6FE7FF"/>
            <w:vAlign w:val="center"/>
            <w:hideMark/>
          </w:tcPr>
          <w:p w14:paraId="4C9079BD" w14:textId="77777777" w:rsidR="00C93723" w:rsidRPr="00D30847" w:rsidRDefault="00C93723" w:rsidP="00C93723">
            <w:pPr>
              <w:spacing w:after="0" w:line="240" w:lineRule="auto"/>
              <w:rPr>
                <w:rFonts w:eastAsia="Times New Roman" w:cs="Calibri"/>
                <w:b/>
                <w:bCs/>
                <w:color w:val="FF0000"/>
                <w:sz w:val="16"/>
                <w:szCs w:val="16"/>
                <w:lang w:val="en-GB"/>
              </w:rPr>
            </w:pPr>
            <w:r w:rsidRPr="00D30847">
              <w:rPr>
                <w:rFonts w:eastAsia="Times New Roman" w:cs="Calibri"/>
                <w:b/>
                <w:bCs/>
                <w:color w:val="FF0000"/>
                <w:sz w:val="16"/>
                <w:szCs w:val="16"/>
                <w:lang w:val="en-GB"/>
              </w:rPr>
              <w:t> </w:t>
            </w:r>
          </w:p>
        </w:tc>
        <w:tc>
          <w:tcPr>
            <w:tcW w:w="3258" w:type="dxa"/>
            <w:gridSpan w:val="2"/>
            <w:tcBorders>
              <w:top w:val="nil"/>
              <w:left w:val="nil"/>
              <w:bottom w:val="single" w:sz="8" w:space="0" w:color="auto"/>
              <w:right w:val="nil"/>
            </w:tcBorders>
            <w:shd w:val="clear" w:color="000000" w:fill="6FE7FF"/>
            <w:vAlign w:val="center"/>
            <w:hideMark/>
          </w:tcPr>
          <w:p w14:paraId="5D9B31D5" w14:textId="687AC5C2" w:rsidR="00C93723" w:rsidRPr="00D30847" w:rsidRDefault="0065725A"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Development of a program for head servants</w:t>
            </w:r>
          </w:p>
        </w:tc>
        <w:tc>
          <w:tcPr>
            <w:tcW w:w="522" w:type="dxa"/>
            <w:gridSpan w:val="2"/>
            <w:tcBorders>
              <w:top w:val="nil"/>
              <w:left w:val="nil"/>
              <w:bottom w:val="single" w:sz="8" w:space="0" w:color="auto"/>
              <w:right w:val="nil"/>
            </w:tcBorders>
            <w:shd w:val="clear" w:color="000000" w:fill="6FE7FF"/>
            <w:vAlign w:val="center"/>
            <w:hideMark/>
          </w:tcPr>
          <w:p w14:paraId="25D3A0F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42D3868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8" w:space="0" w:color="auto"/>
              <w:right w:val="nil"/>
            </w:tcBorders>
            <w:shd w:val="clear" w:color="000000" w:fill="6FE7FF"/>
            <w:vAlign w:val="center"/>
            <w:hideMark/>
          </w:tcPr>
          <w:p w14:paraId="47DD2F4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0B6C8EA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5EA8F21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8" w:space="0" w:color="auto"/>
              <w:right w:val="nil"/>
            </w:tcBorders>
            <w:shd w:val="clear" w:color="000000" w:fill="6FE7FF"/>
            <w:vAlign w:val="center"/>
            <w:hideMark/>
          </w:tcPr>
          <w:p w14:paraId="125CEF6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1259AE2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157A85D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186DCFD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47CA53A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37F8EA0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8" w:space="0" w:color="auto"/>
              <w:right w:val="nil"/>
            </w:tcBorders>
            <w:shd w:val="clear" w:color="000000" w:fill="6FE7FF"/>
            <w:vAlign w:val="center"/>
            <w:hideMark/>
          </w:tcPr>
          <w:p w14:paraId="633670F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3A97D76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6E30061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4366F24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8" w:space="0" w:color="auto"/>
              <w:right w:val="nil"/>
            </w:tcBorders>
            <w:shd w:val="clear" w:color="000000" w:fill="6FE7FF"/>
            <w:vAlign w:val="center"/>
            <w:hideMark/>
          </w:tcPr>
          <w:p w14:paraId="5F6A72A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942045" w:rsidRPr="00D30847" w14:paraId="6B07AA6E" w14:textId="77777777" w:rsidTr="0065725A">
        <w:trPr>
          <w:trHeight w:val="250"/>
        </w:trPr>
        <w:tc>
          <w:tcPr>
            <w:tcW w:w="702" w:type="dxa"/>
            <w:gridSpan w:val="2"/>
            <w:tcBorders>
              <w:top w:val="nil"/>
              <w:left w:val="nil"/>
              <w:bottom w:val="nil"/>
              <w:right w:val="nil"/>
            </w:tcBorders>
            <w:shd w:val="clear" w:color="auto" w:fill="auto"/>
            <w:vAlign w:val="bottom"/>
            <w:hideMark/>
          </w:tcPr>
          <w:p w14:paraId="4941B764" w14:textId="77777777" w:rsidR="00942045" w:rsidRPr="00D30847" w:rsidRDefault="00942045" w:rsidP="00942045">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7925646C"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2A8A6F0F"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1BD3549D"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nil"/>
              <w:left w:val="nil"/>
              <w:bottom w:val="single" w:sz="8" w:space="0" w:color="auto"/>
              <w:right w:val="single" w:sz="8" w:space="0" w:color="auto"/>
            </w:tcBorders>
            <w:shd w:val="clear" w:color="auto" w:fill="auto"/>
            <w:vAlign w:val="center"/>
            <w:hideMark/>
          </w:tcPr>
          <w:p w14:paraId="1561CD6D" w14:textId="52AC188F" w:rsidR="00942045" w:rsidRPr="00D30847" w:rsidRDefault="0065725A" w:rsidP="00942045">
            <w:pPr>
              <w:spacing w:after="0" w:line="240" w:lineRule="auto"/>
              <w:rPr>
                <w:rFonts w:eastAsia="Times New Roman" w:cs="Calibri"/>
                <w:sz w:val="16"/>
                <w:szCs w:val="16"/>
                <w:lang w:val="en-GB"/>
              </w:rPr>
            </w:pPr>
            <w:r w:rsidRPr="00D30847">
              <w:rPr>
                <w:rFonts w:eastAsia="Times New Roman" w:cs="Calibri"/>
                <w:sz w:val="16"/>
                <w:szCs w:val="16"/>
                <w:lang w:val="en-GB"/>
              </w:rPr>
              <w:t>Developing a methodology for preparing an annual training program</w:t>
            </w:r>
          </w:p>
        </w:tc>
        <w:tc>
          <w:tcPr>
            <w:tcW w:w="522" w:type="dxa"/>
            <w:gridSpan w:val="2"/>
            <w:tcBorders>
              <w:top w:val="nil"/>
              <w:left w:val="nil"/>
              <w:bottom w:val="single" w:sz="8" w:space="0" w:color="auto"/>
              <w:right w:val="single" w:sz="8" w:space="0" w:color="auto"/>
            </w:tcBorders>
            <w:shd w:val="clear" w:color="auto" w:fill="auto"/>
            <w:vAlign w:val="center"/>
            <w:hideMark/>
          </w:tcPr>
          <w:p w14:paraId="64127F86" w14:textId="2D51831F"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34B328F9" w14:textId="071CAAB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auto" w:fill="auto"/>
            <w:vAlign w:val="center"/>
            <w:hideMark/>
          </w:tcPr>
          <w:p w14:paraId="5837A482" w14:textId="07B7A840"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auto" w:fill="auto"/>
            <w:vAlign w:val="center"/>
            <w:hideMark/>
          </w:tcPr>
          <w:p w14:paraId="69AEF713" w14:textId="3F44BD92"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78498AA9" w14:textId="6DD78A41"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auto" w:fill="auto"/>
            <w:vAlign w:val="center"/>
            <w:hideMark/>
          </w:tcPr>
          <w:p w14:paraId="385971C7" w14:textId="234A5856"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5A6EA6D9" w14:textId="02790A3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auto" w:fill="auto"/>
            <w:vAlign w:val="center"/>
            <w:hideMark/>
          </w:tcPr>
          <w:p w14:paraId="6203BE94" w14:textId="5282EED0"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44B3153F"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000000" w:fill="FFFFFF"/>
            <w:vAlign w:val="center"/>
            <w:hideMark/>
          </w:tcPr>
          <w:p w14:paraId="2542F7CB"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000000" w:fill="FFFFFF"/>
            <w:vAlign w:val="center"/>
            <w:hideMark/>
          </w:tcPr>
          <w:p w14:paraId="1528DB6C"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22" w:type="dxa"/>
            <w:gridSpan w:val="3"/>
            <w:tcBorders>
              <w:top w:val="nil"/>
              <w:left w:val="nil"/>
              <w:bottom w:val="single" w:sz="8" w:space="0" w:color="auto"/>
              <w:right w:val="single" w:sz="8" w:space="0" w:color="auto"/>
            </w:tcBorders>
            <w:shd w:val="clear" w:color="000000" w:fill="FFFFFF"/>
            <w:vAlign w:val="center"/>
            <w:hideMark/>
          </w:tcPr>
          <w:p w14:paraId="5B768C4F"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4"/>
            <w:tcBorders>
              <w:top w:val="nil"/>
              <w:left w:val="nil"/>
              <w:bottom w:val="single" w:sz="8" w:space="0" w:color="auto"/>
              <w:right w:val="single" w:sz="8" w:space="0" w:color="auto"/>
            </w:tcBorders>
            <w:shd w:val="clear" w:color="auto" w:fill="0000FF"/>
            <w:vAlign w:val="center"/>
            <w:hideMark/>
          </w:tcPr>
          <w:p w14:paraId="6DF196E0"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2"/>
            <w:tcBorders>
              <w:top w:val="nil"/>
              <w:left w:val="nil"/>
              <w:bottom w:val="single" w:sz="8" w:space="0" w:color="auto"/>
              <w:right w:val="single" w:sz="8" w:space="0" w:color="auto"/>
            </w:tcBorders>
            <w:shd w:val="clear" w:color="auto" w:fill="0000FF"/>
            <w:vAlign w:val="center"/>
            <w:hideMark/>
          </w:tcPr>
          <w:p w14:paraId="683609F5"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7C28DC22"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48" w:type="dxa"/>
            <w:gridSpan w:val="3"/>
            <w:tcBorders>
              <w:top w:val="nil"/>
              <w:left w:val="nil"/>
              <w:bottom w:val="single" w:sz="8" w:space="0" w:color="auto"/>
              <w:right w:val="single" w:sz="8" w:space="0" w:color="auto"/>
            </w:tcBorders>
            <w:shd w:val="clear" w:color="auto" w:fill="0000FF"/>
            <w:vAlign w:val="center"/>
            <w:hideMark/>
          </w:tcPr>
          <w:p w14:paraId="46920647"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r>
      <w:tr w:rsidR="00942045" w:rsidRPr="00D30847" w14:paraId="48966F20" w14:textId="77777777" w:rsidTr="0065725A">
        <w:trPr>
          <w:trHeight w:val="250"/>
        </w:trPr>
        <w:tc>
          <w:tcPr>
            <w:tcW w:w="702" w:type="dxa"/>
            <w:gridSpan w:val="2"/>
            <w:tcBorders>
              <w:top w:val="nil"/>
              <w:left w:val="nil"/>
              <w:bottom w:val="nil"/>
              <w:right w:val="nil"/>
            </w:tcBorders>
            <w:shd w:val="clear" w:color="auto" w:fill="auto"/>
            <w:vAlign w:val="bottom"/>
            <w:hideMark/>
          </w:tcPr>
          <w:p w14:paraId="20223998" w14:textId="77777777" w:rsidR="00942045" w:rsidRPr="00D30847" w:rsidRDefault="00942045" w:rsidP="00942045">
            <w:pPr>
              <w:spacing w:after="0" w:line="240" w:lineRule="auto"/>
              <w:rPr>
                <w:rFonts w:eastAsia="Times New Roman" w:cs="Calibri"/>
                <w:sz w:val="16"/>
                <w:szCs w:val="16"/>
                <w:lang w:val="en-GB"/>
              </w:rPr>
            </w:pPr>
          </w:p>
        </w:tc>
        <w:tc>
          <w:tcPr>
            <w:tcW w:w="464" w:type="dxa"/>
            <w:gridSpan w:val="2"/>
            <w:tcBorders>
              <w:top w:val="nil"/>
              <w:left w:val="nil"/>
              <w:bottom w:val="nil"/>
              <w:right w:val="nil"/>
            </w:tcBorders>
            <w:shd w:val="clear" w:color="auto" w:fill="auto"/>
            <w:vAlign w:val="bottom"/>
            <w:hideMark/>
          </w:tcPr>
          <w:p w14:paraId="5C084AF8"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4530E243"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7F64F9D4"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5FD143E2" w14:textId="66922F7C" w:rsidR="00942045" w:rsidRPr="00D30847" w:rsidRDefault="0065725A" w:rsidP="00942045">
            <w:pPr>
              <w:spacing w:after="0" w:line="240" w:lineRule="auto"/>
              <w:rPr>
                <w:rFonts w:eastAsia="Times New Roman" w:cs="Calibri"/>
                <w:sz w:val="16"/>
                <w:szCs w:val="16"/>
                <w:lang w:val="en-GB"/>
              </w:rPr>
            </w:pPr>
            <w:r w:rsidRPr="00D30847">
              <w:rPr>
                <w:rFonts w:eastAsia="Times New Roman" w:cs="Calibri"/>
                <w:sz w:val="16"/>
                <w:szCs w:val="16"/>
                <w:lang w:val="en-GB"/>
              </w:rPr>
              <w:t>Organizing trainings</w:t>
            </w:r>
          </w:p>
        </w:tc>
        <w:tc>
          <w:tcPr>
            <w:tcW w:w="522" w:type="dxa"/>
            <w:gridSpan w:val="2"/>
            <w:tcBorders>
              <w:top w:val="nil"/>
              <w:left w:val="nil"/>
              <w:bottom w:val="single" w:sz="8" w:space="0" w:color="auto"/>
              <w:right w:val="single" w:sz="8" w:space="0" w:color="auto"/>
            </w:tcBorders>
            <w:shd w:val="clear" w:color="auto" w:fill="auto"/>
            <w:vAlign w:val="center"/>
            <w:hideMark/>
          </w:tcPr>
          <w:p w14:paraId="7A261754" w14:textId="0D768596"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2259F6BE" w14:textId="7E8A6EE1"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auto" w:fill="auto"/>
            <w:vAlign w:val="center"/>
            <w:hideMark/>
          </w:tcPr>
          <w:p w14:paraId="705B88FF" w14:textId="0BFA3420"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auto" w:fill="auto"/>
            <w:vAlign w:val="center"/>
            <w:hideMark/>
          </w:tcPr>
          <w:p w14:paraId="02A3A4C3" w14:textId="777B32D4"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5AF485B6" w14:textId="094959D9"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auto" w:fill="auto"/>
            <w:vAlign w:val="center"/>
            <w:hideMark/>
          </w:tcPr>
          <w:p w14:paraId="71BA6BC9" w14:textId="0C12FF7E"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17C5F89B" w14:textId="66F4CB44"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auto" w:fill="auto"/>
            <w:vAlign w:val="center"/>
            <w:hideMark/>
          </w:tcPr>
          <w:p w14:paraId="20DF0C15" w14:textId="666744A0"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27DF36D4"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FFFFFF"/>
            <w:vAlign w:val="center"/>
            <w:hideMark/>
          </w:tcPr>
          <w:p w14:paraId="39473B82"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FFFFFF"/>
            <w:vAlign w:val="center"/>
            <w:hideMark/>
          </w:tcPr>
          <w:p w14:paraId="7CC2B18E"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FFFFFF"/>
            <w:vAlign w:val="center"/>
            <w:hideMark/>
          </w:tcPr>
          <w:p w14:paraId="542291CA"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0000FF"/>
            <w:vAlign w:val="center"/>
            <w:hideMark/>
          </w:tcPr>
          <w:p w14:paraId="4D3FE04D"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0000FF"/>
            <w:vAlign w:val="center"/>
            <w:hideMark/>
          </w:tcPr>
          <w:p w14:paraId="268CD5B9"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03EFD554"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0000FF"/>
            <w:vAlign w:val="center"/>
            <w:hideMark/>
          </w:tcPr>
          <w:p w14:paraId="22D7B70F"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3106C007" w14:textId="77777777" w:rsidTr="00595060">
        <w:trPr>
          <w:trHeight w:val="250"/>
        </w:trPr>
        <w:tc>
          <w:tcPr>
            <w:tcW w:w="702" w:type="dxa"/>
            <w:gridSpan w:val="2"/>
            <w:tcBorders>
              <w:top w:val="nil"/>
              <w:left w:val="nil"/>
              <w:bottom w:val="nil"/>
              <w:right w:val="nil"/>
            </w:tcBorders>
            <w:shd w:val="clear" w:color="000000" w:fill="6FE7FF"/>
            <w:vAlign w:val="center"/>
            <w:hideMark/>
          </w:tcPr>
          <w:p w14:paraId="0C60907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6F923D6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5849AC8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3.</w:t>
            </w:r>
          </w:p>
        </w:tc>
        <w:tc>
          <w:tcPr>
            <w:tcW w:w="1770" w:type="dxa"/>
            <w:gridSpan w:val="2"/>
            <w:tcBorders>
              <w:top w:val="nil"/>
              <w:left w:val="nil"/>
              <w:bottom w:val="single" w:sz="8" w:space="0" w:color="auto"/>
              <w:right w:val="nil"/>
            </w:tcBorders>
            <w:shd w:val="clear" w:color="000000" w:fill="6FE7FF"/>
            <w:vAlign w:val="center"/>
            <w:hideMark/>
          </w:tcPr>
          <w:p w14:paraId="1D6BF914" w14:textId="77777777" w:rsidR="00C93723" w:rsidRPr="00D30847" w:rsidRDefault="00C93723" w:rsidP="00C93723">
            <w:pPr>
              <w:spacing w:after="0" w:line="240" w:lineRule="auto"/>
              <w:rPr>
                <w:rFonts w:eastAsia="Times New Roman" w:cs="Calibri"/>
                <w:b/>
                <w:bCs/>
                <w:color w:val="FF0000"/>
                <w:sz w:val="16"/>
                <w:szCs w:val="16"/>
                <w:lang w:val="en-GB"/>
              </w:rPr>
            </w:pPr>
            <w:r w:rsidRPr="00D30847">
              <w:rPr>
                <w:rFonts w:eastAsia="Times New Roman" w:cs="Calibri"/>
                <w:b/>
                <w:bCs/>
                <w:color w:val="FF0000"/>
                <w:sz w:val="16"/>
                <w:szCs w:val="16"/>
                <w:lang w:val="en-GB"/>
              </w:rPr>
              <w:t> </w:t>
            </w:r>
          </w:p>
        </w:tc>
        <w:tc>
          <w:tcPr>
            <w:tcW w:w="3258" w:type="dxa"/>
            <w:gridSpan w:val="2"/>
            <w:tcBorders>
              <w:top w:val="nil"/>
              <w:left w:val="nil"/>
              <w:bottom w:val="single" w:sz="8" w:space="0" w:color="auto"/>
              <w:right w:val="nil"/>
            </w:tcBorders>
            <w:shd w:val="clear" w:color="000000" w:fill="6FE7FF"/>
            <w:vAlign w:val="center"/>
            <w:hideMark/>
          </w:tcPr>
          <w:p w14:paraId="523F45C9" w14:textId="19F38825" w:rsidR="00C93723" w:rsidRPr="00D30847" w:rsidRDefault="0065725A"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Involvement of stakeholders and the public</w:t>
            </w:r>
          </w:p>
        </w:tc>
        <w:tc>
          <w:tcPr>
            <w:tcW w:w="522" w:type="dxa"/>
            <w:gridSpan w:val="2"/>
            <w:tcBorders>
              <w:top w:val="nil"/>
              <w:left w:val="nil"/>
              <w:bottom w:val="single" w:sz="8" w:space="0" w:color="auto"/>
              <w:right w:val="nil"/>
            </w:tcBorders>
            <w:shd w:val="clear" w:color="000000" w:fill="6FE7FF"/>
            <w:vAlign w:val="center"/>
            <w:hideMark/>
          </w:tcPr>
          <w:p w14:paraId="606521D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22CFE53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8" w:space="0" w:color="auto"/>
              <w:right w:val="nil"/>
            </w:tcBorders>
            <w:shd w:val="clear" w:color="000000" w:fill="6FE7FF"/>
            <w:vAlign w:val="center"/>
            <w:hideMark/>
          </w:tcPr>
          <w:p w14:paraId="1C99139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37928DC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0C56156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8" w:space="0" w:color="auto"/>
              <w:right w:val="nil"/>
            </w:tcBorders>
            <w:shd w:val="clear" w:color="000000" w:fill="6FE7FF"/>
            <w:vAlign w:val="center"/>
            <w:hideMark/>
          </w:tcPr>
          <w:p w14:paraId="5D7F47B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76EFF02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6DDD07D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5382D71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5D825D4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6D424BE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8" w:space="0" w:color="auto"/>
              <w:right w:val="nil"/>
            </w:tcBorders>
            <w:shd w:val="clear" w:color="000000" w:fill="6FE7FF"/>
            <w:vAlign w:val="center"/>
            <w:hideMark/>
          </w:tcPr>
          <w:p w14:paraId="2366E39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3D34F4E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33A37FA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2266208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8" w:space="0" w:color="auto"/>
              <w:right w:val="nil"/>
            </w:tcBorders>
            <w:shd w:val="clear" w:color="000000" w:fill="6FE7FF"/>
            <w:vAlign w:val="center"/>
            <w:hideMark/>
          </w:tcPr>
          <w:p w14:paraId="42FAF7F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942045" w:rsidRPr="00D30847" w14:paraId="58321EDA" w14:textId="77777777" w:rsidTr="0065725A">
        <w:trPr>
          <w:trHeight w:val="340"/>
        </w:trPr>
        <w:tc>
          <w:tcPr>
            <w:tcW w:w="702" w:type="dxa"/>
            <w:gridSpan w:val="2"/>
            <w:tcBorders>
              <w:top w:val="nil"/>
              <w:left w:val="nil"/>
              <w:bottom w:val="nil"/>
              <w:right w:val="nil"/>
            </w:tcBorders>
            <w:shd w:val="clear" w:color="auto" w:fill="auto"/>
            <w:vAlign w:val="bottom"/>
            <w:hideMark/>
          </w:tcPr>
          <w:p w14:paraId="6B01A076" w14:textId="77777777" w:rsidR="00942045" w:rsidRPr="00D30847" w:rsidRDefault="00942045" w:rsidP="00942045">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3875B97E"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1759DC89"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6D6E2B5D"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nil"/>
              <w:left w:val="nil"/>
              <w:bottom w:val="single" w:sz="8" w:space="0" w:color="auto"/>
              <w:right w:val="single" w:sz="8" w:space="0" w:color="auto"/>
            </w:tcBorders>
            <w:shd w:val="clear" w:color="auto" w:fill="auto"/>
            <w:vAlign w:val="center"/>
            <w:hideMark/>
          </w:tcPr>
          <w:p w14:paraId="36828672" w14:textId="013847CF" w:rsidR="00942045" w:rsidRPr="00D30847" w:rsidRDefault="0065725A" w:rsidP="00942045">
            <w:pPr>
              <w:spacing w:after="0" w:line="240" w:lineRule="auto"/>
              <w:rPr>
                <w:rFonts w:eastAsia="Times New Roman" w:cs="Calibri"/>
                <w:sz w:val="16"/>
                <w:szCs w:val="16"/>
                <w:lang w:val="en-GB"/>
              </w:rPr>
            </w:pPr>
            <w:r w:rsidRPr="00D30847">
              <w:rPr>
                <w:rFonts w:eastAsia="Times New Roman" w:cs="Calibri"/>
                <w:sz w:val="16"/>
                <w:szCs w:val="16"/>
                <w:lang w:val="en-GB"/>
              </w:rPr>
              <w:t>Developing a communication strategy</w:t>
            </w:r>
          </w:p>
        </w:tc>
        <w:tc>
          <w:tcPr>
            <w:tcW w:w="522" w:type="dxa"/>
            <w:gridSpan w:val="2"/>
            <w:tcBorders>
              <w:top w:val="nil"/>
              <w:left w:val="nil"/>
              <w:bottom w:val="single" w:sz="8" w:space="0" w:color="auto"/>
              <w:right w:val="single" w:sz="8" w:space="0" w:color="auto"/>
            </w:tcBorders>
            <w:shd w:val="clear" w:color="auto" w:fill="0000FF"/>
            <w:vAlign w:val="center"/>
            <w:hideMark/>
          </w:tcPr>
          <w:p w14:paraId="486CA066"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0A5252DB"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82" w:type="dxa"/>
            <w:gridSpan w:val="3"/>
            <w:tcBorders>
              <w:top w:val="nil"/>
              <w:left w:val="nil"/>
              <w:bottom w:val="single" w:sz="8" w:space="0" w:color="auto"/>
              <w:right w:val="single" w:sz="8" w:space="0" w:color="auto"/>
            </w:tcBorders>
            <w:shd w:val="clear" w:color="auto" w:fill="0000FF"/>
            <w:vAlign w:val="center"/>
            <w:hideMark/>
          </w:tcPr>
          <w:p w14:paraId="13416152"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80" w:type="dxa"/>
            <w:gridSpan w:val="3"/>
            <w:tcBorders>
              <w:top w:val="nil"/>
              <w:left w:val="nil"/>
              <w:bottom w:val="single" w:sz="8" w:space="0" w:color="auto"/>
              <w:right w:val="single" w:sz="8" w:space="0" w:color="auto"/>
            </w:tcBorders>
            <w:shd w:val="clear" w:color="auto" w:fill="0000FF"/>
            <w:vAlign w:val="center"/>
            <w:hideMark/>
          </w:tcPr>
          <w:p w14:paraId="4E3F3E63"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6B492D42"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auto" w:fill="auto"/>
            <w:vAlign w:val="center"/>
            <w:hideMark/>
          </w:tcPr>
          <w:p w14:paraId="715A4040"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2E5FBA15"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auto" w:fill="auto"/>
            <w:vAlign w:val="center"/>
            <w:hideMark/>
          </w:tcPr>
          <w:p w14:paraId="29728196"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28E215AF" w14:textId="4D111C42"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0466AB47" w14:textId="5DD3A35A"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71C567F4" w14:textId="64434F14"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auto" w:fill="auto"/>
            <w:vAlign w:val="center"/>
            <w:hideMark/>
          </w:tcPr>
          <w:p w14:paraId="3D31FF71" w14:textId="26542C8D"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42215902" w14:textId="5B9D91DF"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14607C18" w14:textId="4A007391"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54855A71" w14:textId="552BC5A6"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1AEB83F5" w14:textId="3F2B59D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942045" w:rsidRPr="00D30847" w14:paraId="34B19849" w14:textId="77777777" w:rsidTr="0065725A">
        <w:trPr>
          <w:trHeight w:val="141"/>
        </w:trPr>
        <w:tc>
          <w:tcPr>
            <w:tcW w:w="702" w:type="dxa"/>
            <w:gridSpan w:val="2"/>
            <w:tcBorders>
              <w:top w:val="nil"/>
              <w:left w:val="nil"/>
              <w:bottom w:val="nil"/>
              <w:right w:val="nil"/>
            </w:tcBorders>
            <w:shd w:val="clear" w:color="auto" w:fill="auto"/>
            <w:vAlign w:val="bottom"/>
            <w:hideMark/>
          </w:tcPr>
          <w:p w14:paraId="15D66AAA" w14:textId="77777777" w:rsidR="00942045" w:rsidRPr="00D30847" w:rsidRDefault="00942045" w:rsidP="00942045">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5DC6AA96"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298B2A7D"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5AE9C9C3"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55EE1B33" w14:textId="26E8D38D" w:rsidR="00942045" w:rsidRPr="00D30847" w:rsidRDefault="0065725A" w:rsidP="00942045">
            <w:pPr>
              <w:spacing w:after="0" w:line="240" w:lineRule="auto"/>
              <w:rPr>
                <w:rFonts w:eastAsia="Times New Roman" w:cs="Calibri"/>
                <w:sz w:val="16"/>
                <w:szCs w:val="16"/>
                <w:lang w:val="en-GB"/>
              </w:rPr>
            </w:pPr>
            <w:r w:rsidRPr="00D30847">
              <w:rPr>
                <w:rFonts w:eastAsia="Times New Roman" w:cs="Calibri"/>
                <w:sz w:val="16"/>
                <w:szCs w:val="16"/>
                <w:lang w:val="en-GB"/>
              </w:rPr>
              <w:t>Annual Meeting "All Unite"</w:t>
            </w:r>
          </w:p>
        </w:tc>
        <w:tc>
          <w:tcPr>
            <w:tcW w:w="522" w:type="dxa"/>
            <w:gridSpan w:val="2"/>
            <w:tcBorders>
              <w:top w:val="nil"/>
              <w:left w:val="nil"/>
              <w:bottom w:val="single" w:sz="8" w:space="0" w:color="auto"/>
              <w:right w:val="single" w:sz="8" w:space="0" w:color="auto"/>
            </w:tcBorders>
            <w:shd w:val="clear" w:color="auto" w:fill="0000FF"/>
            <w:vAlign w:val="center"/>
            <w:hideMark/>
          </w:tcPr>
          <w:p w14:paraId="2A9659CE"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65000B5A"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auto" w:fill="0000FF"/>
            <w:vAlign w:val="center"/>
            <w:hideMark/>
          </w:tcPr>
          <w:p w14:paraId="4DC05B87"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auto" w:fill="0000FF"/>
            <w:vAlign w:val="center"/>
            <w:hideMark/>
          </w:tcPr>
          <w:p w14:paraId="67843018"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5535F1B1"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auto" w:fill="0000FF"/>
            <w:vAlign w:val="center"/>
            <w:hideMark/>
          </w:tcPr>
          <w:p w14:paraId="1185FF80"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auto" w:fill="0000FF"/>
            <w:vAlign w:val="center"/>
            <w:hideMark/>
          </w:tcPr>
          <w:p w14:paraId="5CA79010"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auto" w:fill="0000FF"/>
            <w:vAlign w:val="center"/>
            <w:hideMark/>
          </w:tcPr>
          <w:p w14:paraId="234EA95B"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1BC3BEFC" w14:textId="0DE6646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3F82827E" w14:textId="4786A0A5"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CD4F76A" w14:textId="78D88CEE"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6124569A" w14:textId="66A0A579"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4A1B3B85" w14:textId="2ED3A10F"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11C73489" w14:textId="4A56D456"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22372FBB" w14:textId="6A3F1344"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3A2EE91C" w14:textId="0846F906"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171DD6" w:rsidRPr="00D30847" w14:paraId="47A6C412" w14:textId="77777777" w:rsidTr="00DC16A0">
        <w:trPr>
          <w:trHeight w:val="250"/>
        </w:trPr>
        <w:tc>
          <w:tcPr>
            <w:tcW w:w="702" w:type="dxa"/>
            <w:gridSpan w:val="2"/>
            <w:tcBorders>
              <w:top w:val="nil"/>
              <w:left w:val="nil"/>
              <w:bottom w:val="nil"/>
              <w:right w:val="nil"/>
            </w:tcBorders>
            <w:shd w:val="clear" w:color="000000" w:fill="6FE7FF"/>
            <w:vAlign w:val="center"/>
            <w:hideMark/>
          </w:tcPr>
          <w:p w14:paraId="0D8F07BF" w14:textId="77777777"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4328D3D2" w14:textId="77777777"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10530A4A" w14:textId="0D1C39AB"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4.</w:t>
            </w:r>
          </w:p>
        </w:tc>
        <w:tc>
          <w:tcPr>
            <w:tcW w:w="1770" w:type="dxa"/>
            <w:gridSpan w:val="2"/>
            <w:tcBorders>
              <w:top w:val="nil"/>
              <w:left w:val="nil"/>
              <w:bottom w:val="single" w:sz="8" w:space="0" w:color="auto"/>
              <w:right w:val="nil"/>
            </w:tcBorders>
            <w:shd w:val="clear" w:color="000000" w:fill="6FE7FF"/>
            <w:vAlign w:val="center"/>
            <w:hideMark/>
          </w:tcPr>
          <w:p w14:paraId="5CBE7B0B" w14:textId="77777777" w:rsidR="00171DD6" w:rsidRPr="00D30847" w:rsidRDefault="00171DD6" w:rsidP="00DC16A0">
            <w:pPr>
              <w:spacing w:after="0" w:line="240" w:lineRule="auto"/>
              <w:rPr>
                <w:rFonts w:eastAsia="Times New Roman" w:cs="Calibri"/>
                <w:b/>
                <w:bCs/>
                <w:color w:val="FF0000"/>
                <w:sz w:val="16"/>
                <w:szCs w:val="16"/>
                <w:lang w:val="en-GB"/>
              </w:rPr>
            </w:pPr>
            <w:r w:rsidRPr="00D30847">
              <w:rPr>
                <w:rFonts w:eastAsia="Times New Roman" w:cs="Calibri"/>
                <w:b/>
                <w:bCs/>
                <w:color w:val="FF0000"/>
                <w:sz w:val="16"/>
                <w:szCs w:val="16"/>
                <w:lang w:val="en-GB"/>
              </w:rPr>
              <w:t> </w:t>
            </w:r>
          </w:p>
        </w:tc>
        <w:tc>
          <w:tcPr>
            <w:tcW w:w="3258" w:type="dxa"/>
            <w:gridSpan w:val="2"/>
            <w:tcBorders>
              <w:top w:val="nil"/>
              <w:left w:val="nil"/>
              <w:bottom w:val="single" w:sz="8" w:space="0" w:color="auto"/>
              <w:right w:val="nil"/>
            </w:tcBorders>
            <w:shd w:val="clear" w:color="000000" w:fill="6FE7FF"/>
            <w:vAlign w:val="center"/>
            <w:hideMark/>
          </w:tcPr>
          <w:p w14:paraId="12833DC0" w14:textId="396FACF3"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Sustainable finances in the public sector</w:t>
            </w:r>
          </w:p>
        </w:tc>
        <w:tc>
          <w:tcPr>
            <w:tcW w:w="522" w:type="dxa"/>
            <w:gridSpan w:val="2"/>
            <w:tcBorders>
              <w:top w:val="nil"/>
              <w:left w:val="nil"/>
              <w:bottom w:val="single" w:sz="8" w:space="0" w:color="auto"/>
              <w:right w:val="nil"/>
            </w:tcBorders>
            <w:shd w:val="clear" w:color="000000" w:fill="6FE7FF"/>
            <w:vAlign w:val="center"/>
            <w:hideMark/>
          </w:tcPr>
          <w:p w14:paraId="4FE49FAD" w14:textId="77777777"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10CEA124" w14:textId="77777777"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8" w:space="0" w:color="auto"/>
              <w:right w:val="nil"/>
            </w:tcBorders>
            <w:shd w:val="clear" w:color="000000" w:fill="6FE7FF"/>
            <w:vAlign w:val="center"/>
            <w:hideMark/>
          </w:tcPr>
          <w:p w14:paraId="6208AE21" w14:textId="77777777"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020D0FD8" w14:textId="77777777"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4A257B81" w14:textId="77777777"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8" w:space="0" w:color="auto"/>
              <w:right w:val="nil"/>
            </w:tcBorders>
            <w:shd w:val="clear" w:color="000000" w:fill="6FE7FF"/>
            <w:vAlign w:val="center"/>
            <w:hideMark/>
          </w:tcPr>
          <w:p w14:paraId="1AFFD9E3" w14:textId="77777777"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645691A9" w14:textId="77777777"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681EE313" w14:textId="77777777"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03FA3236" w14:textId="77777777"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30650115" w14:textId="77777777"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2DE756B3" w14:textId="77777777"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8" w:space="0" w:color="auto"/>
              <w:right w:val="nil"/>
            </w:tcBorders>
            <w:shd w:val="clear" w:color="000000" w:fill="6FE7FF"/>
            <w:vAlign w:val="center"/>
            <w:hideMark/>
          </w:tcPr>
          <w:p w14:paraId="1EF5E33A" w14:textId="77777777"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5A1AE583" w14:textId="77777777"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54E3AA54" w14:textId="77777777"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3D0A4D41" w14:textId="77777777"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8" w:space="0" w:color="auto"/>
              <w:right w:val="nil"/>
            </w:tcBorders>
            <w:shd w:val="clear" w:color="000000" w:fill="6FE7FF"/>
            <w:vAlign w:val="center"/>
            <w:hideMark/>
          </w:tcPr>
          <w:p w14:paraId="4F42904D" w14:textId="77777777" w:rsidR="00171DD6" w:rsidRPr="00D30847" w:rsidRDefault="00171DD6" w:rsidP="00DC16A0">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65725A" w:rsidRPr="00D30847" w14:paraId="0B4DE5A0" w14:textId="77777777" w:rsidTr="0065725A">
        <w:trPr>
          <w:trHeight w:val="141"/>
        </w:trPr>
        <w:tc>
          <w:tcPr>
            <w:tcW w:w="702" w:type="dxa"/>
            <w:gridSpan w:val="2"/>
            <w:tcBorders>
              <w:top w:val="nil"/>
              <w:left w:val="nil"/>
              <w:bottom w:val="nil"/>
              <w:right w:val="nil"/>
            </w:tcBorders>
            <w:shd w:val="clear" w:color="auto" w:fill="auto"/>
            <w:vAlign w:val="bottom"/>
          </w:tcPr>
          <w:p w14:paraId="51ABCDED" w14:textId="77777777" w:rsidR="0065725A" w:rsidRPr="00D30847" w:rsidRDefault="0065725A" w:rsidP="00171DD6">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tcPr>
          <w:p w14:paraId="4707D1FE" w14:textId="77777777" w:rsidR="0065725A" w:rsidRPr="00D30847" w:rsidRDefault="0065725A" w:rsidP="00171DD6">
            <w:pPr>
              <w:spacing w:after="0" w:line="240" w:lineRule="auto"/>
              <w:rPr>
                <w:rFonts w:eastAsia="Times New Roman" w:cs="Calibri"/>
                <w:b/>
                <w:bCs/>
                <w:sz w:val="16"/>
                <w:szCs w:val="16"/>
                <w:lang w:val="en-GB"/>
              </w:rPr>
            </w:pPr>
          </w:p>
        </w:tc>
        <w:tc>
          <w:tcPr>
            <w:tcW w:w="1276" w:type="dxa"/>
            <w:gridSpan w:val="2"/>
            <w:tcBorders>
              <w:top w:val="nil"/>
              <w:left w:val="nil"/>
              <w:bottom w:val="nil"/>
              <w:right w:val="nil"/>
            </w:tcBorders>
            <w:shd w:val="clear" w:color="auto" w:fill="auto"/>
            <w:vAlign w:val="bottom"/>
          </w:tcPr>
          <w:p w14:paraId="120FCF66" w14:textId="77777777" w:rsidR="0065725A" w:rsidRPr="00D30847" w:rsidRDefault="0065725A" w:rsidP="00171DD6">
            <w:pPr>
              <w:spacing w:after="0" w:line="240" w:lineRule="auto"/>
              <w:rPr>
                <w:rFonts w:eastAsia="Times New Roman" w:cs="Calibri"/>
                <w:b/>
                <w:bCs/>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tcPr>
          <w:p w14:paraId="03943288" w14:textId="11D91169" w:rsidR="0065725A" w:rsidRPr="00D30847" w:rsidRDefault="00171DD6" w:rsidP="00171DD6">
            <w:pPr>
              <w:spacing w:after="0" w:line="240" w:lineRule="auto"/>
              <w:rPr>
                <w:rFonts w:eastAsia="Times New Roman" w:cs="Calibri"/>
                <w:b/>
                <w:bCs/>
                <w:sz w:val="16"/>
                <w:szCs w:val="16"/>
                <w:lang w:val="en-GB"/>
              </w:rPr>
            </w:pPr>
            <w:r w:rsidRPr="00D30847">
              <w:rPr>
                <w:rFonts w:eastAsia="Times New Roman" w:cs="Calibri"/>
                <w:sz w:val="16"/>
                <w:szCs w:val="16"/>
                <w:lang w:val="en-GB"/>
              </w:rPr>
              <w:t>Activity 1.</w:t>
            </w:r>
          </w:p>
        </w:tc>
        <w:tc>
          <w:tcPr>
            <w:tcW w:w="3258" w:type="dxa"/>
            <w:gridSpan w:val="2"/>
            <w:tcBorders>
              <w:top w:val="nil"/>
              <w:left w:val="nil"/>
              <w:bottom w:val="single" w:sz="8" w:space="0" w:color="auto"/>
              <w:right w:val="single" w:sz="8" w:space="0" w:color="auto"/>
            </w:tcBorders>
            <w:shd w:val="clear" w:color="auto" w:fill="auto"/>
            <w:vAlign w:val="center"/>
          </w:tcPr>
          <w:p w14:paraId="676340E7" w14:textId="069DF2ED" w:rsidR="0065725A" w:rsidRPr="00D30847" w:rsidRDefault="00171DD6" w:rsidP="00171DD6">
            <w:pPr>
              <w:spacing w:after="0" w:line="240" w:lineRule="auto"/>
              <w:rPr>
                <w:rFonts w:eastAsia="Times New Roman" w:cs="Calibri"/>
                <w:sz w:val="16"/>
                <w:szCs w:val="16"/>
                <w:lang w:val="en-GB"/>
              </w:rPr>
            </w:pPr>
            <w:r w:rsidRPr="00D30847">
              <w:rPr>
                <w:rFonts w:eastAsia="Times New Roman" w:cs="Calibri"/>
                <w:sz w:val="16"/>
                <w:szCs w:val="16"/>
                <w:lang w:val="en-GB"/>
              </w:rPr>
              <w:t>Training of trainers for the employees of the Public Finance Academy</w:t>
            </w:r>
          </w:p>
        </w:tc>
        <w:tc>
          <w:tcPr>
            <w:tcW w:w="522" w:type="dxa"/>
            <w:gridSpan w:val="2"/>
            <w:tcBorders>
              <w:top w:val="nil"/>
              <w:left w:val="nil"/>
              <w:bottom w:val="single" w:sz="8" w:space="0" w:color="auto"/>
              <w:right w:val="single" w:sz="8" w:space="0" w:color="auto"/>
            </w:tcBorders>
            <w:shd w:val="clear" w:color="auto" w:fill="0000FF"/>
            <w:vAlign w:val="center"/>
          </w:tcPr>
          <w:p w14:paraId="65BDD248" w14:textId="77777777" w:rsidR="0065725A" w:rsidRPr="00D30847" w:rsidRDefault="0065725A" w:rsidP="00171DD6">
            <w:pPr>
              <w:spacing w:after="0" w:line="240" w:lineRule="auto"/>
              <w:rPr>
                <w:rFonts w:eastAsia="Times New Roman" w:cs="Calibri"/>
                <w:b/>
                <w:bCs/>
                <w:sz w:val="16"/>
                <w:szCs w:val="16"/>
                <w:lang w:val="en-GB"/>
              </w:rPr>
            </w:pPr>
          </w:p>
        </w:tc>
        <w:tc>
          <w:tcPr>
            <w:tcW w:w="378" w:type="dxa"/>
            <w:gridSpan w:val="2"/>
            <w:tcBorders>
              <w:top w:val="nil"/>
              <w:left w:val="nil"/>
              <w:bottom w:val="single" w:sz="8" w:space="0" w:color="auto"/>
              <w:right w:val="single" w:sz="8" w:space="0" w:color="auto"/>
            </w:tcBorders>
            <w:shd w:val="clear" w:color="auto" w:fill="0000FF"/>
            <w:vAlign w:val="center"/>
          </w:tcPr>
          <w:p w14:paraId="3E38F15E" w14:textId="77777777" w:rsidR="0065725A" w:rsidRPr="00D30847" w:rsidRDefault="0065725A" w:rsidP="00171DD6">
            <w:pPr>
              <w:spacing w:after="0" w:line="240" w:lineRule="auto"/>
              <w:rPr>
                <w:rFonts w:eastAsia="Times New Roman" w:cs="Calibri"/>
                <w:b/>
                <w:bCs/>
                <w:sz w:val="16"/>
                <w:szCs w:val="16"/>
                <w:lang w:val="en-GB"/>
              </w:rPr>
            </w:pPr>
          </w:p>
        </w:tc>
        <w:tc>
          <w:tcPr>
            <w:tcW w:w="582" w:type="dxa"/>
            <w:gridSpan w:val="3"/>
            <w:tcBorders>
              <w:top w:val="nil"/>
              <w:left w:val="nil"/>
              <w:bottom w:val="single" w:sz="8" w:space="0" w:color="auto"/>
              <w:right w:val="single" w:sz="8" w:space="0" w:color="auto"/>
            </w:tcBorders>
            <w:shd w:val="clear" w:color="auto" w:fill="0000FF"/>
            <w:vAlign w:val="center"/>
          </w:tcPr>
          <w:p w14:paraId="29907B7E" w14:textId="77777777" w:rsidR="0065725A" w:rsidRPr="00D30847" w:rsidRDefault="0065725A" w:rsidP="00171DD6">
            <w:pPr>
              <w:spacing w:after="0" w:line="240" w:lineRule="auto"/>
              <w:rPr>
                <w:rFonts w:eastAsia="Times New Roman" w:cs="Calibri"/>
                <w:b/>
                <w:bCs/>
                <w:sz w:val="16"/>
                <w:szCs w:val="16"/>
                <w:lang w:val="en-GB"/>
              </w:rPr>
            </w:pPr>
          </w:p>
        </w:tc>
        <w:tc>
          <w:tcPr>
            <w:tcW w:w="480" w:type="dxa"/>
            <w:gridSpan w:val="3"/>
            <w:tcBorders>
              <w:top w:val="nil"/>
              <w:left w:val="nil"/>
              <w:bottom w:val="single" w:sz="8" w:space="0" w:color="auto"/>
              <w:right w:val="single" w:sz="8" w:space="0" w:color="auto"/>
            </w:tcBorders>
            <w:shd w:val="clear" w:color="auto" w:fill="0000FF"/>
            <w:vAlign w:val="center"/>
          </w:tcPr>
          <w:p w14:paraId="26DE4A2C" w14:textId="77777777" w:rsidR="0065725A" w:rsidRPr="00D30847" w:rsidRDefault="0065725A" w:rsidP="00171DD6">
            <w:pPr>
              <w:spacing w:after="0" w:line="240" w:lineRule="auto"/>
              <w:rPr>
                <w:rFonts w:eastAsia="Times New Roman" w:cs="Calibri"/>
                <w:b/>
                <w:bCs/>
                <w:sz w:val="16"/>
                <w:szCs w:val="16"/>
                <w:lang w:val="en-GB"/>
              </w:rPr>
            </w:pPr>
          </w:p>
        </w:tc>
        <w:tc>
          <w:tcPr>
            <w:tcW w:w="378" w:type="dxa"/>
            <w:gridSpan w:val="2"/>
            <w:tcBorders>
              <w:top w:val="nil"/>
              <w:left w:val="nil"/>
              <w:bottom w:val="single" w:sz="8" w:space="0" w:color="auto"/>
              <w:right w:val="single" w:sz="8" w:space="0" w:color="auto"/>
            </w:tcBorders>
            <w:shd w:val="clear" w:color="auto" w:fill="0000FF"/>
            <w:vAlign w:val="center"/>
          </w:tcPr>
          <w:p w14:paraId="38D032B5" w14:textId="77777777" w:rsidR="0065725A" w:rsidRPr="00D30847" w:rsidRDefault="0065725A" w:rsidP="00171DD6">
            <w:pPr>
              <w:spacing w:after="0" w:line="240" w:lineRule="auto"/>
              <w:rPr>
                <w:rFonts w:eastAsia="Times New Roman" w:cs="Calibri"/>
                <w:b/>
                <w:bCs/>
                <w:sz w:val="16"/>
                <w:szCs w:val="16"/>
                <w:lang w:val="en-GB"/>
              </w:rPr>
            </w:pPr>
          </w:p>
        </w:tc>
        <w:tc>
          <w:tcPr>
            <w:tcW w:w="612" w:type="dxa"/>
            <w:gridSpan w:val="3"/>
            <w:tcBorders>
              <w:top w:val="nil"/>
              <w:left w:val="nil"/>
              <w:bottom w:val="single" w:sz="8" w:space="0" w:color="auto"/>
              <w:right w:val="single" w:sz="8" w:space="0" w:color="auto"/>
            </w:tcBorders>
            <w:shd w:val="clear" w:color="auto" w:fill="0000FF"/>
            <w:vAlign w:val="center"/>
          </w:tcPr>
          <w:p w14:paraId="2636107D" w14:textId="77777777" w:rsidR="0065725A" w:rsidRPr="00D30847" w:rsidRDefault="0065725A" w:rsidP="00171DD6">
            <w:pPr>
              <w:spacing w:after="0" w:line="240" w:lineRule="auto"/>
              <w:rPr>
                <w:rFonts w:eastAsia="Times New Roman" w:cs="Calibri"/>
                <w:b/>
                <w:bCs/>
                <w:sz w:val="16"/>
                <w:szCs w:val="16"/>
                <w:lang w:val="en-GB"/>
              </w:rPr>
            </w:pPr>
          </w:p>
        </w:tc>
        <w:tc>
          <w:tcPr>
            <w:tcW w:w="450" w:type="dxa"/>
            <w:gridSpan w:val="3"/>
            <w:tcBorders>
              <w:top w:val="nil"/>
              <w:left w:val="nil"/>
              <w:bottom w:val="single" w:sz="8" w:space="0" w:color="auto"/>
              <w:right w:val="single" w:sz="8" w:space="0" w:color="auto"/>
            </w:tcBorders>
            <w:shd w:val="clear" w:color="auto" w:fill="0000FF"/>
            <w:vAlign w:val="center"/>
          </w:tcPr>
          <w:p w14:paraId="032350DF" w14:textId="77777777" w:rsidR="0065725A" w:rsidRPr="00D30847" w:rsidRDefault="0065725A" w:rsidP="00171DD6">
            <w:pPr>
              <w:spacing w:after="0" w:line="240" w:lineRule="auto"/>
              <w:rPr>
                <w:rFonts w:eastAsia="Times New Roman" w:cs="Calibri"/>
                <w:b/>
                <w:bCs/>
                <w:sz w:val="16"/>
                <w:szCs w:val="16"/>
                <w:lang w:val="en-GB"/>
              </w:rPr>
            </w:pPr>
          </w:p>
        </w:tc>
        <w:tc>
          <w:tcPr>
            <w:tcW w:w="540" w:type="dxa"/>
            <w:gridSpan w:val="3"/>
            <w:tcBorders>
              <w:top w:val="nil"/>
              <w:left w:val="nil"/>
              <w:bottom w:val="single" w:sz="8" w:space="0" w:color="auto"/>
              <w:right w:val="single" w:sz="8" w:space="0" w:color="auto"/>
            </w:tcBorders>
            <w:shd w:val="clear" w:color="auto" w:fill="0000FF"/>
            <w:vAlign w:val="center"/>
          </w:tcPr>
          <w:p w14:paraId="7CE23D18" w14:textId="77777777" w:rsidR="0065725A" w:rsidRPr="00D30847" w:rsidRDefault="0065725A" w:rsidP="00171DD6">
            <w:pPr>
              <w:spacing w:after="0" w:line="240" w:lineRule="auto"/>
              <w:rPr>
                <w:rFonts w:eastAsia="Times New Roman" w:cs="Calibri"/>
                <w:b/>
                <w:bCs/>
                <w:sz w:val="16"/>
                <w:szCs w:val="16"/>
                <w:lang w:val="en-GB"/>
              </w:rPr>
            </w:pPr>
          </w:p>
        </w:tc>
        <w:tc>
          <w:tcPr>
            <w:tcW w:w="450" w:type="dxa"/>
            <w:gridSpan w:val="4"/>
            <w:tcBorders>
              <w:top w:val="nil"/>
              <w:left w:val="nil"/>
              <w:bottom w:val="single" w:sz="8" w:space="0" w:color="auto"/>
              <w:right w:val="single" w:sz="8" w:space="0" w:color="auto"/>
            </w:tcBorders>
            <w:shd w:val="clear" w:color="000000" w:fill="0000FF"/>
            <w:vAlign w:val="center"/>
          </w:tcPr>
          <w:p w14:paraId="0E4EC9DF" w14:textId="77777777" w:rsidR="0065725A" w:rsidRPr="00D30847" w:rsidRDefault="0065725A" w:rsidP="00171DD6">
            <w:pPr>
              <w:spacing w:after="0" w:line="240" w:lineRule="auto"/>
              <w:rPr>
                <w:rFonts w:eastAsia="Times New Roman" w:cs="Calibri"/>
                <w:b/>
                <w:bCs/>
                <w:sz w:val="16"/>
                <w:szCs w:val="16"/>
                <w:lang w:val="en-GB"/>
              </w:rPr>
            </w:pPr>
          </w:p>
        </w:tc>
        <w:tc>
          <w:tcPr>
            <w:tcW w:w="450" w:type="dxa"/>
            <w:gridSpan w:val="3"/>
            <w:tcBorders>
              <w:top w:val="nil"/>
              <w:left w:val="nil"/>
              <w:bottom w:val="single" w:sz="8" w:space="0" w:color="auto"/>
              <w:right w:val="single" w:sz="8" w:space="0" w:color="auto"/>
            </w:tcBorders>
            <w:shd w:val="clear" w:color="000000" w:fill="0000FF"/>
            <w:vAlign w:val="center"/>
          </w:tcPr>
          <w:p w14:paraId="7FA315B2" w14:textId="77777777" w:rsidR="0065725A" w:rsidRPr="00D30847" w:rsidRDefault="0065725A" w:rsidP="00171DD6">
            <w:pPr>
              <w:spacing w:after="0" w:line="240" w:lineRule="auto"/>
              <w:rPr>
                <w:rFonts w:eastAsia="Times New Roman" w:cs="Calibri"/>
                <w:b/>
                <w:bCs/>
                <w:sz w:val="16"/>
                <w:szCs w:val="16"/>
                <w:lang w:val="en-GB"/>
              </w:rPr>
            </w:pPr>
          </w:p>
        </w:tc>
        <w:tc>
          <w:tcPr>
            <w:tcW w:w="378" w:type="dxa"/>
            <w:gridSpan w:val="2"/>
            <w:tcBorders>
              <w:top w:val="nil"/>
              <w:left w:val="nil"/>
              <w:bottom w:val="single" w:sz="8" w:space="0" w:color="auto"/>
              <w:right w:val="single" w:sz="8" w:space="0" w:color="auto"/>
            </w:tcBorders>
            <w:shd w:val="clear" w:color="000000" w:fill="0000FF"/>
            <w:vAlign w:val="center"/>
          </w:tcPr>
          <w:p w14:paraId="2E845BE1" w14:textId="77777777" w:rsidR="0065725A" w:rsidRPr="00D30847" w:rsidRDefault="0065725A" w:rsidP="00171DD6">
            <w:pPr>
              <w:spacing w:after="0" w:line="240" w:lineRule="auto"/>
              <w:rPr>
                <w:rFonts w:eastAsia="Times New Roman" w:cs="Calibri"/>
                <w:b/>
                <w:bCs/>
                <w:sz w:val="16"/>
                <w:szCs w:val="16"/>
                <w:lang w:val="en-GB"/>
              </w:rPr>
            </w:pPr>
          </w:p>
        </w:tc>
        <w:tc>
          <w:tcPr>
            <w:tcW w:w="522" w:type="dxa"/>
            <w:gridSpan w:val="3"/>
            <w:tcBorders>
              <w:top w:val="nil"/>
              <w:left w:val="nil"/>
              <w:bottom w:val="single" w:sz="8" w:space="0" w:color="auto"/>
              <w:right w:val="single" w:sz="8" w:space="0" w:color="auto"/>
            </w:tcBorders>
            <w:shd w:val="clear" w:color="000000" w:fill="0000FF"/>
            <w:vAlign w:val="center"/>
          </w:tcPr>
          <w:p w14:paraId="26C5974A" w14:textId="77777777" w:rsidR="0065725A" w:rsidRPr="00D30847" w:rsidRDefault="0065725A" w:rsidP="00171DD6">
            <w:pPr>
              <w:spacing w:after="0" w:line="240" w:lineRule="auto"/>
              <w:rPr>
                <w:rFonts w:eastAsia="Times New Roman" w:cs="Calibri"/>
                <w:b/>
                <w:bCs/>
                <w:sz w:val="16"/>
                <w:szCs w:val="16"/>
                <w:lang w:val="en-GB"/>
              </w:rPr>
            </w:pPr>
          </w:p>
        </w:tc>
        <w:tc>
          <w:tcPr>
            <w:tcW w:w="450" w:type="dxa"/>
            <w:gridSpan w:val="4"/>
            <w:tcBorders>
              <w:top w:val="nil"/>
              <w:left w:val="nil"/>
              <w:bottom w:val="single" w:sz="8" w:space="0" w:color="auto"/>
              <w:right w:val="single" w:sz="8" w:space="0" w:color="auto"/>
            </w:tcBorders>
            <w:shd w:val="clear" w:color="000000" w:fill="0000FF"/>
            <w:vAlign w:val="center"/>
          </w:tcPr>
          <w:p w14:paraId="0549AF7A" w14:textId="77777777" w:rsidR="0065725A" w:rsidRPr="00D30847" w:rsidRDefault="0065725A" w:rsidP="00171DD6">
            <w:pPr>
              <w:spacing w:after="0" w:line="240" w:lineRule="auto"/>
              <w:rPr>
                <w:rFonts w:eastAsia="Times New Roman" w:cs="Calibri"/>
                <w:b/>
                <w:bCs/>
                <w:sz w:val="16"/>
                <w:szCs w:val="16"/>
                <w:lang w:val="en-GB"/>
              </w:rPr>
            </w:pPr>
          </w:p>
        </w:tc>
        <w:tc>
          <w:tcPr>
            <w:tcW w:w="450" w:type="dxa"/>
            <w:gridSpan w:val="2"/>
            <w:tcBorders>
              <w:top w:val="nil"/>
              <w:left w:val="nil"/>
              <w:bottom w:val="single" w:sz="8" w:space="0" w:color="auto"/>
              <w:right w:val="single" w:sz="8" w:space="0" w:color="auto"/>
            </w:tcBorders>
            <w:shd w:val="clear" w:color="000000" w:fill="0000FF"/>
            <w:vAlign w:val="center"/>
          </w:tcPr>
          <w:p w14:paraId="76DD9AA2" w14:textId="77777777" w:rsidR="0065725A" w:rsidRPr="00D30847" w:rsidRDefault="0065725A" w:rsidP="00171DD6">
            <w:pPr>
              <w:spacing w:after="0" w:line="240" w:lineRule="auto"/>
              <w:rPr>
                <w:rFonts w:eastAsia="Times New Roman" w:cs="Calibri"/>
                <w:b/>
                <w:bCs/>
                <w:sz w:val="16"/>
                <w:szCs w:val="16"/>
                <w:lang w:val="en-GB"/>
              </w:rPr>
            </w:pPr>
          </w:p>
        </w:tc>
        <w:tc>
          <w:tcPr>
            <w:tcW w:w="450" w:type="dxa"/>
            <w:gridSpan w:val="3"/>
            <w:tcBorders>
              <w:top w:val="nil"/>
              <w:left w:val="nil"/>
              <w:bottom w:val="single" w:sz="8" w:space="0" w:color="auto"/>
              <w:right w:val="single" w:sz="8" w:space="0" w:color="auto"/>
            </w:tcBorders>
            <w:shd w:val="clear" w:color="000000" w:fill="0000FF"/>
            <w:vAlign w:val="center"/>
          </w:tcPr>
          <w:p w14:paraId="2E822559" w14:textId="77777777" w:rsidR="0065725A" w:rsidRPr="00D30847" w:rsidRDefault="0065725A" w:rsidP="00171DD6">
            <w:pPr>
              <w:spacing w:after="0" w:line="240" w:lineRule="auto"/>
              <w:rPr>
                <w:rFonts w:eastAsia="Times New Roman" w:cs="Calibri"/>
                <w:b/>
                <w:bCs/>
                <w:sz w:val="16"/>
                <w:szCs w:val="16"/>
                <w:lang w:val="en-GB"/>
              </w:rPr>
            </w:pPr>
          </w:p>
        </w:tc>
        <w:tc>
          <w:tcPr>
            <w:tcW w:w="648" w:type="dxa"/>
            <w:gridSpan w:val="3"/>
            <w:tcBorders>
              <w:top w:val="nil"/>
              <w:left w:val="nil"/>
              <w:bottom w:val="single" w:sz="8" w:space="0" w:color="auto"/>
              <w:right w:val="single" w:sz="8" w:space="0" w:color="auto"/>
            </w:tcBorders>
            <w:shd w:val="clear" w:color="000000" w:fill="0000FF"/>
            <w:vAlign w:val="center"/>
          </w:tcPr>
          <w:p w14:paraId="51DFA1C5" w14:textId="77777777" w:rsidR="0065725A" w:rsidRPr="00D30847" w:rsidRDefault="0065725A" w:rsidP="00171DD6">
            <w:pPr>
              <w:spacing w:after="0" w:line="240" w:lineRule="auto"/>
              <w:rPr>
                <w:rFonts w:eastAsia="Times New Roman" w:cs="Calibri"/>
                <w:b/>
                <w:bCs/>
                <w:sz w:val="16"/>
                <w:szCs w:val="16"/>
                <w:lang w:val="en-GB"/>
              </w:rPr>
            </w:pPr>
          </w:p>
        </w:tc>
      </w:tr>
      <w:tr w:rsidR="0065725A" w:rsidRPr="00D30847" w14:paraId="50EBE9DC" w14:textId="77777777" w:rsidTr="0065725A">
        <w:trPr>
          <w:trHeight w:val="141"/>
        </w:trPr>
        <w:tc>
          <w:tcPr>
            <w:tcW w:w="702" w:type="dxa"/>
            <w:gridSpan w:val="2"/>
            <w:tcBorders>
              <w:top w:val="nil"/>
              <w:left w:val="nil"/>
              <w:bottom w:val="nil"/>
              <w:right w:val="nil"/>
            </w:tcBorders>
            <w:shd w:val="clear" w:color="auto" w:fill="auto"/>
            <w:vAlign w:val="bottom"/>
          </w:tcPr>
          <w:p w14:paraId="466EE38C" w14:textId="77777777" w:rsidR="0065725A" w:rsidRPr="00D30847" w:rsidRDefault="0065725A" w:rsidP="00942045">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tcPr>
          <w:p w14:paraId="271C4315" w14:textId="77777777" w:rsidR="0065725A" w:rsidRPr="00D30847" w:rsidRDefault="0065725A"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tcPr>
          <w:p w14:paraId="02465293" w14:textId="77777777" w:rsidR="0065725A" w:rsidRPr="00D30847" w:rsidRDefault="0065725A"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tcPr>
          <w:p w14:paraId="5EDA91FD" w14:textId="3E3F8893" w:rsidR="0065725A" w:rsidRPr="00D30847" w:rsidRDefault="00171DD6"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tcPr>
          <w:p w14:paraId="021F86C9" w14:textId="50BCFE6D" w:rsidR="0065725A" w:rsidRPr="00D30847" w:rsidRDefault="00171DD6" w:rsidP="00942045">
            <w:pPr>
              <w:spacing w:after="0" w:line="240" w:lineRule="auto"/>
              <w:rPr>
                <w:rFonts w:eastAsia="Times New Roman" w:cs="Calibri"/>
                <w:sz w:val="16"/>
                <w:szCs w:val="16"/>
                <w:lang w:val="en-GB"/>
              </w:rPr>
            </w:pPr>
            <w:r w:rsidRPr="00D30847">
              <w:rPr>
                <w:rFonts w:eastAsia="Times New Roman" w:cs="Calibri"/>
                <w:sz w:val="16"/>
                <w:szCs w:val="16"/>
                <w:lang w:val="en-GB"/>
              </w:rPr>
              <w:t>Organizing trainings in the area of sustainable finance</w:t>
            </w:r>
          </w:p>
        </w:tc>
        <w:tc>
          <w:tcPr>
            <w:tcW w:w="522" w:type="dxa"/>
            <w:gridSpan w:val="2"/>
            <w:tcBorders>
              <w:top w:val="nil"/>
              <w:left w:val="nil"/>
              <w:bottom w:val="single" w:sz="8" w:space="0" w:color="auto"/>
              <w:right w:val="single" w:sz="8" w:space="0" w:color="auto"/>
            </w:tcBorders>
            <w:shd w:val="clear" w:color="auto" w:fill="0000FF"/>
            <w:vAlign w:val="center"/>
          </w:tcPr>
          <w:p w14:paraId="0E827868" w14:textId="77777777" w:rsidR="0065725A" w:rsidRPr="00D30847" w:rsidRDefault="0065725A" w:rsidP="00942045">
            <w:pPr>
              <w:spacing w:after="0" w:line="240" w:lineRule="auto"/>
              <w:jc w:val="center"/>
              <w:rPr>
                <w:rFonts w:eastAsia="Times New Roman" w:cs="Calibri"/>
                <w:color w:val="FFFFFF"/>
                <w:sz w:val="16"/>
                <w:szCs w:val="16"/>
                <w:lang w:val="en-GB"/>
              </w:rPr>
            </w:pPr>
          </w:p>
        </w:tc>
        <w:tc>
          <w:tcPr>
            <w:tcW w:w="378" w:type="dxa"/>
            <w:gridSpan w:val="2"/>
            <w:tcBorders>
              <w:top w:val="nil"/>
              <w:left w:val="nil"/>
              <w:bottom w:val="single" w:sz="8" w:space="0" w:color="auto"/>
              <w:right w:val="single" w:sz="8" w:space="0" w:color="auto"/>
            </w:tcBorders>
            <w:shd w:val="clear" w:color="auto" w:fill="0000FF"/>
            <w:vAlign w:val="center"/>
          </w:tcPr>
          <w:p w14:paraId="3E51E7C7" w14:textId="77777777" w:rsidR="0065725A" w:rsidRPr="00D30847" w:rsidRDefault="0065725A" w:rsidP="00942045">
            <w:pPr>
              <w:spacing w:after="0" w:line="240" w:lineRule="auto"/>
              <w:jc w:val="center"/>
              <w:rPr>
                <w:rFonts w:eastAsia="Times New Roman" w:cs="Calibri"/>
                <w:color w:val="FFFFFF"/>
                <w:sz w:val="16"/>
                <w:szCs w:val="16"/>
                <w:lang w:val="en-GB"/>
              </w:rPr>
            </w:pPr>
          </w:p>
        </w:tc>
        <w:tc>
          <w:tcPr>
            <w:tcW w:w="582" w:type="dxa"/>
            <w:gridSpan w:val="3"/>
            <w:tcBorders>
              <w:top w:val="nil"/>
              <w:left w:val="nil"/>
              <w:bottom w:val="single" w:sz="8" w:space="0" w:color="auto"/>
              <w:right w:val="single" w:sz="8" w:space="0" w:color="auto"/>
            </w:tcBorders>
            <w:shd w:val="clear" w:color="auto" w:fill="0000FF"/>
            <w:vAlign w:val="center"/>
          </w:tcPr>
          <w:p w14:paraId="67359E66" w14:textId="77777777" w:rsidR="0065725A" w:rsidRPr="00D30847" w:rsidRDefault="0065725A" w:rsidP="00942045">
            <w:pPr>
              <w:spacing w:after="0" w:line="240" w:lineRule="auto"/>
              <w:jc w:val="center"/>
              <w:rPr>
                <w:rFonts w:eastAsia="Times New Roman" w:cs="Calibri"/>
                <w:color w:val="FFFFFF"/>
                <w:sz w:val="16"/>
                <w:szCs w:val="16"/>
                <w:lang w:val="en-GB"/>
              </w:rPr>
            </w:pPr>
          </w:p>
        </w:tc>
        <w:tc>
          <w:tcPr>
            <w:tcW w:w="480" w:type="dxa"/>
            <w:gridSpan w:val="3"/>
            <w:tcBorders>
              <w:top w:val="nil"/>
              <w:left w:val="nil"/>
              <w:bottom w:val="single" w:sz="8" w:space="0" w:color="auto"/>
              <w:right w:val="single" w:sz="8" w:space="0" w:color="auto"/>
            </w:tcBorders>
            <w:shd w:val="clear" w:color="auto" w:fill="0000FF"/>
            <w:vAlign w:val="center"/>
          </w:tcPr>
          <w:p w14:paraId="0F0A987B" w14:textId="77777777" w:rsidR="0065725A" w:rsidRPr="00D30847" w:rsidRDefault="0065725A" w:rsidP="00942045">
            <w:pPr>
              <w:spacing w:after="0" w:line="240" w:lineRule="auto"/>
              <w:jc w:val="center"/>
              <w:rPr>
                <w:rFonts w:eastAsia="Times New Roman" w:cs="Calibri"/>
                <w:color w:val="FFFFFF"/>
                <w:sz w:val="16"/>
                <w:szCs w:val="16"/>
                <w:lang w:val="en-GB"/>
              </w:rPr>
            </w:pPr>
          </w:p>
        </w:tc>
        <w:tc>
          <w:tcPr>
            <w:tcW w:w="378" w:type="dxa"/>
            <w:gridSpan w:val="2"/>
            <w:tcBorders>
              <w:top w:val="nil"/>
              <w:left w:val="nil"/>
              <w:bottom w:val="single" w:sz="8" w:space="0" w:color="auto"/>
              <w:right w:val="single" w:sz="8" w:space="0" w:color="auto"/>
            </w:tcBorders>
            <w:shd w:val="clear" w:color="auto" w:fill="0000FF"/>
            <w:vAlign w:val="center"/>
          </w:tcPr>
          <w:p w14:paraId="24886FF7" w14:textId="77777777" w:rsidR="0065725A" w:rsidRPr="00D30847" w:rsidRDefault="0065725A" w:rsidP="00942045">
            <w:pPr>
              <w:spacing w:after="0" w:line="240" w:lineRule="auto"/>
              <w:jc w:val="center"/>
              <w:rPr>
                <w:rFonts w:eastAsia="Times New Roman" w:cs="Calibri"/>
                <w:color w:val="FFFFFF"/>
                <w:sz w:val="16"/>
                <w:szCs w:val="16"/>
                <w:lang w:val="en-GB"/>
              </w:rPr>
            </w:pPr>
          </w:p>
        </w:tc>
        <w:tc>
          <w:tcPr>
            <w:tcW w:w="612" w:type="dxa"/>
            <w:gridSpan w:val="3"/>
            <w:tcBorders>
              <w:top w:val="nil"/>
              <w:left w:val="nil"/>
              <w:bottom w:val="single" w:sz="8" w:space="0" w:color="auto"/>
              <w:right w:val="single" w:sz="8" w:space="0" w:color="auto"/>
            </w:tcBorders>
            <w:shd w:val="clear" w:color="auto" w:fill="0000FF"/>
            <w:vAlign w:val="center"/>
          </w:tcPr>
          <w:p w14:paraId="213C22EF" w14:textId="77777777" w:rsidR="0065725A" w:rsidRPr="00D30847" w:rsidRDefault="0065725A" w:rsidP="00942045">
            <w:pPr>
              <w:spacing w:after="0" w:line="240" w:lineRule="auto"/>
              <w:jc w:val="center"/>
              <w:rPr>
                <w:rFonts w:eastAsia="Times New Roman" w:cs="Calibri"/>
                <w:color w:val="FFFFFF"/>
                <w:sz w:val="16"/>
                <w:szCs w:val="16"/>
                <w:lang w:val="en-GB"/>
              </w:rPr>
            </w:pPr>
          </w:p>
        </w:tc>
        <w:tc>
          <w:tcPr>
            <w:tcW w:w="450" w:type="dxa"/>
            <w:gridSpan w:val="3"/>
            <w:tcBorders>
              <w:top w:val="nil"/>
              <w:left w:val="nil"/>
              <w:bottom w:val="single" w:sz="8" w:space="0" w:color="auto"/>
              <w:right w:val="single" w:sz="8" w:space="0" w:color="auto"/>
            </w:tcBorders>
            <w:shd w:val="clear" w:color="auto" w:fill="0000FF"/>
            <w:vAlign w:val="center"/>
          </w:tcPr>
          <w:p w14:paraId="1B14FA40" w14:textId="77777777" w:rsidR="0065725A" w:rsidRPr="00D30847" w:rsidRDefault="0065725A" w:rsidP="00942045">
            <w:pPr>
              <w:spacing w:after="0" w:line="240" w:lineRule="auto"/>
              <w:jc w:val="center"/>
              <w:rPr>
                <w:rFonts w:eastAsia="Times New Roman" w:cs="Calibri"/>
                <w:color w:val="FFFFFF"/>
                <w:sz w:val="16"/>
                <w:szCs w:val="16"/>
                <w:lang w:val="en-GB"/>
              </w:rPr>
            </w:pPr>
          </w:p>
        </w:tc>
        <w:tc>
          <w:tcPr>
            <w:tcW w:w="540" w:type="dxa"/>
            <w:gridSpan w:val="3"/>
            <w:tcBorders>
              <w:top w:val="nil"/>
              <w:left w:val="nil"/>
              <w:bottom w:val="single" w:sz="8" w:space="0" w:color="auto"/>
              <w:right w:val="single" w:sz="8" w:space="0" w:color="auto"/>
            </w:tcBorders>
            <w:shd w:val="clear" w:color="auto" w:fill="0000FF"/>
            <w:vAlign w:val="center"/>
          </w:tcPr>
          <w:p w14:paraId="0ED13169" w14:textId="77777777" w:rsidR="0065725A" w:rsidRPr="00D30847" w:rsidRDefault="0065725A" w:rsidP="00942045">
            <w:pPr>
              <w:spacing w:after="0" w:line="240" w:lineRule="auto"/>
              <w:jc w:val="center"/>
              <w:rPr>
                <w:rFonts w:eastAsia="Times New Roman" w:cs="Calibri"/>
                <w:color w:val="FFFFFF"/>
                <w:sz w:val="16"/>
                <w:szCs w:val="16"/>
                <w:lang w:val="en-GB"/>
              </w:rPr>
            </w:pPr>
          </w:p>
        </w:tc>
        <w:tc>
          <w:tcPr>
            <w:tcW w:w="450" w:type="dxa"/>
            <w:gridSpan w:val="4"/>
            <w:tcBorders>
              <w:top w:val="nil"/>
              <w:left w:val="nil"/>
              <w:bottom w:val="single" w:sz="8" w:space="0" w:color="auto"/>
              <w:right w:val="single" w:sz="8" w:space="0" w:color="auto"/>
            </w:tcBorders>
            <w:shd w:val="clear" w:color="000000" w:fill="0000FF"/>
            <w:vAlign w:val="center"/>
          </w:tcPr>
          <w:p w14:paraId="0A61398D" w14:textId="77777777" w:rsidR="0065725A" w:rsidRPr="00D30847" w:rsidRDefault="0065725A" w:rsidP="00942045">
            <w:pPr>
              <w:spacing w:after="0" w:line="240" w:lineRule="auto"/>
              <w:jc w:val="center"/>
              <w:rPr>
                <w:rFonts w:eastAsia="Times New Roman" w:cs="Calibri"/>
                <w:color w:val="FFFFFF"/>
                <w:sz w:val="16"/>
                <w:szCs w:val="16"/>
                <w:lang w:val="en-GB"/>
              </w:rPr>
            </w:pPr>
          </w:p>
        </w:tc>
        <w:tc>
          <w:tcPr>
            <w:tcW w:w="450" w:type="dxa"/>
            <w:gridSpan w:val="3"/>
            <w:tcBorders>
              <w:top w:val="nil"/>
              <w:left w:val="nil"/>
              <w:bottom w:val="single" w:sz="8" w:space="0" w:color="auto"/>
              <w:right w:val="single" w:sz="8" w:space="0" w:color="auto"/>
            </w:tcBorders>
            <w:shd w:val="clear" w:color="000000" w:fill="0000FF"/>
            <w:vAlign w:val="center"/>
          </w:tcPr>
          <w:p w14:paraId="4EE996BC" w14:textId="77777777" w:rsidR="0065725A" w:rsidRPr="00D30847" w:rsidRDefault="0065725A" w:rsidP="00942045">
            <w:pPr>
              <w:spacing w:after="0" w:line="240" w:lineRule="auto"/>
              <w:jc w:val="center"/>
              <w:rPr>
                <w:rFonts w:eastAsia="Times New Roman" w:cs="Calibri"/>
                <w:color w:val="FFFFFF"/>
                <w:sz w:val="16"/>
                <w:szCs w:val="16"/>
                <w:lang w:val="en-GB"/>
              </w:rPr>
            </w:pPr>
          </w:p>
        </w:tc>
        <w:tc>
          <w:tcPr>
            <w:tcW w:w="378" w:type="dxa"/>
            <w:gridSpan w:val="2"/>
            <w:tcBorders>
              <w:top w:val="nil"/>
              <w:left w:val="nil"/>
              <w:bottom w:val="single" w:sz="8" w:space="0" w:color="auto"/>
              <w:right w:val="single" w:sz="8" w:space="0" w:color="auto"/>
            </w:tcBorders>
            <w:shd w:val="clear" w:color="000000" w:fill="0000FF"/>
            <w:vAlign w:val="center"/>
          </w:tcPr>
          <w:p w14:paraId="72489332" w14:textId="77777777" w:rsidR="0065725A" w:rsidRPr="00D30847" w:rsidRDefault="0065725A" w:rsidP="00942045">
            <w:pPr>
              <w:spacing w:after="0" w:line="240" w:lineRule="auto"/>
              <w:jc w:val="center"/>
              <w:rPr>
                <w:rFonts w:eastAsia="Times New Roman" w:cs="Calibri"/>
                <w:color w:val="FFFFFF"/>
                <w:sz w:val="16"/>
                <w:szCs w:val="16"/>
                <w:lang w:val="en-GB"/>
              </w:rPr>
            </w:pPr>
          </w:p>
        </w:tc>
        <w:tc>
          <w:tcPr>
            <w:tcW w:w="522" w:type="dxa"/>
            <w:gridSpan w:val="3"/>
            <w:tcBorders>
              <w:top w:val="nil"/>
              <w:left w:val="nil"/>
              <w:bottom w:val="single" w:sz="8" w:space="0" w:color="auto"/>
              <w:right w:val="single" w:sz="8" w:space="0" w:color="auto"/>
            </w:tcBorders>
            <w:shd w:val="clear" w:color="000000" w:fill="0000FF"/>
            <w:vAlign w:val="center"/>
          </w:tcPr>
          <w:p w14:paraId="6543CA64" w14:textId="77777777" w:rsidR="0065725A" w:rsidRPr="00D30847" w:rsidRDefault="0065725A" w:rsidP="00942045">
            <w:pPr>
              <w:spacing w:after="0" w:line="240" w:lineRule="auto"/>
              <w:jc w:val="center"/>
              <w:rPr>
                <w:rFonts w:eastAsia="Times New Roman" w:cs="Calibri"/>
                <w:color w:val="FFFFFF"/>
                <w:sz w:val="16"/>
                <w:szCs w:val="16"/>
                <w:lang w:val="en-GB"/>
              </w:rPr>
            </w:pPr>
          </w:p>
        </w:tc>
        <w:tc>
          <w:tcPr>
            <w:tcW w:w="450" w:type="dxa"/>
            <w:gridSpan w:val="4"/>
            <w:tcBorders>
              <w:top w:val="nil"/>
              <w:left w:val="nil"/>
              <w:bottom w:val="single" w:sz="8" w:space="0" w:color="auto"/>
              <w:right w:val="single" w:sz="8" w:space="0" w:color="auto"/>
            </w:tcBorders>
            <w:shd w:val="clear" w:color="000000" w:fill="0000FF"/>
            <w:vAlign w:val="center"/>
          </w:tcPr>
          <w:p w14:paraId="74B84773" w14:textId="77777777" w:rsidR="0065725A" w:rsidRPr="00D30847" w:rsidRDefault="0065725A" w:rsidP="00942045">
            <w:pPr>
              <w:spacing w:after="0" w:line="240" w:lineRule="auto"/>
              <w:jc w:val="center"/>
              <w:rPr>
                <w:rFonts w:eastAsia="Times New Roman" w:cs="Calibri"/>
                <w:color w:val="FFFFFF"/>
                <w:sz w:val="16"/>
                <w:szCs w:val="16"/>
                <w:lang w:val="en-GB"/>
              </w:rPr>
            </w:pPr>
          </w:p>
        </w:tc>
        <w:tc>
          <w:tcPr>
            <w:tcW w:w="450" w:type="dxa"/>
            <w:gridSpan w:val="2"/>
            <w:tcBorders>
              <w:top w:val="nil"/>
              <w:left w:val="nil"/>
              <w:bottom w:val="single" w:sz="8" w:space="0" w:color="auto"/>
              <w:right w:val="single" w:sz="8" w:space="0" w:color="auto"/>
            </w:tcBorders>
            <w:shd w:val="clear" w:color="000000" w:fill="0000FF"/>
            <w:vAlign w:val="center"/>
          </w:tcPr>
          <w:p w14:paraId="5C9A00E9" w14:textId="77777777" w:rsidR="0065725A" w:rsidRPr="00D30847" w:rsidRDefault="0065725A" w:rsidP="00942045">
            <w:pPr>
              <w:spacing w:after="0" w:line="240" w:lineRule="auto"/>
              <w:jc w:val="center"/>
              <w:rPr>
                <w:rFonts w:eastAsia="Times New Roman" w:cs="Calibri"/>
                <w:color w:val="FFFFFF"/>
                <w:sz w:val="16"/>
                <w:szCs w:val="16"/>
                <w:lang w:val="en-GB"/>
              </w:rPr>
            </w:pPr>
          </w:p>
        </w:tc>
        <w:tc>
          <w:tcPr>
            <w:tcW w:w="450" w:type="dxa"/>
            <w:gridSpan w:val="3"/>
            <w:tcBorders>
              <w:top w:val="nil"/>
              <w:left w:val="nil"/>
              <w:bottom w:val="single" w:sz="8" w:space="0" w:color="auto"/>
              <w:right w:val="single" w:sz="8" w:space="0" w:color="auto"/>
            </w:tcBorders>
            <w:shd w:val="clear" w:color="000000" w:fill="0000FF"/>
            <w:vAlign w:val="center"/>
          </w:tcPr>
          <w:p w14:paraId="1B21C77C" w14:textId="77777777" w:rsidR="0065725A" w:rsidRPr="00D30847" w:rsidRDefault="0065725A" w:rsidP="00942045">
            <w:pPr>
              <w:spacing w:after="0" w:line="240" w:lineRule="auto"/>
              <w:jc w:val="center"/>
              <w:rPr>
                <w:rFonts w:eastAsia="Times New Roman" w:cs="Calibri"/>
                <w:color w:val="FFFFFF"/>
                <w:sz w:val="16"/>
                <w:szCs w:val="16"/>
                <w:lang w:val="en-GB"/>
              </w:rPr>
            </w:pPr>
          </w:p>
        </w:tc>
        <w:tc>
          <w:tcPr>
            <w:tcW w:w="648" w:type="dxa"/>
            <w:gridSpan w:val="3"/>
            <w:tcBorders>
              <w:top w:val="nil"/>
              <w:left w:val="nil"/>
              <w:bottom w:val="single" w:sz="8" w:space="0" w:color="auto"/>
              <w:right w:val="single" w:sz="8" w:space="0" w:color="auto"/>
            </w:tcBorders>
            <w:shd w:val="clear" w:color="000000" w:fill="0000FF"/>
            <w:vAlign w:val="center"/>
          </w:tcPr>
          <w:p w14:paraId="79EE958B" w14:textId="77777777" w:rsidR="0065725A" w:rsidRPr="00D30847" w:rsidRDefault="0065725A" w:rsidP="00942045">
            <w:pPr>
              <w:spacing w:after="0" w:line="240" w:lineRule="auto"/>
              <w:jc w:val="center"/>
              <w:rPr>
                <w:rFonts w:eastAsia="Times New Roman" w:cs="Calibri"/>
                <w:color w:val="FFFFFF"/>
                <w:sz w:val="16"/>
                <w:szCs w:val="16"/>
                <w:lang w:val="en-GB"/>
              </w:rPr>
            </w:pPr>
          </w:p>
        </w:tc>
      </w:tr>
      <w:tr w:rsidR="00C93723" w:rsidRPr="00D30847" w14:paraId="5E803F4F" w14:textId="77777777" w:rsidTr="00B84551">
        <w:trPr>
          <w:trHeight w:val="300"/>
        </w:trPr>
        <w:tc>
          <w:tcPr>
            <w:tcW w:w="15210" w:type="dxa"/>
            <w:gridSpan w:val="55"/>
            <w:tcBorders>
              <w:top w:val="nil"/>
              <w:left w:val="nil"/>
              <w:bottom w:val="nil"/>
              <w:right w:val="nil"/>
            </w:tcBorders>
            <w:shd w:val="clear" w:color="000000" w:fill="33CCFF"/>
            <w:vAlign w:val="center"/>
            <w:hideMark/>
          </w:tcPr>
          <w:p w14:paraId="1C2BFC7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Pillar VI - Public Internal Financial Control</w:t>
            </w:r>
          </w:p>
        </w:tc>
      </w:tr>
      <w:tr w:rsidR="00C93723" w:rsidRPr="00D30847" w14:paraId="6BF555C5" w14:textId="77777777" w:rsidTr="00B84551">
        <w:trPr>
          <w:trHeight w:val="300"/>
        </w:trPr>
        <w:tc>
          <w:tcPr>
            <w:tcW w:w="702" w:type="dxa"/>
            <w:gridSpan w:val="2"/>
            <w:tcBorders>
              <w:top w:val="nil"/>
              <w:left w:val="nil"/>
              <w:bottom w:val="nil"/>
              <w:right w:val="nil"/>
            </w:tcBorders>
            <w:shd w:val="clear" w:color="000000" w:fill="00FF00"/>
            <w:vAlign w:val="center"/>
            <w:hideMark/>
          </w:tcPr>
          <w:p w14:paraId="7909A5B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510" w:type="dxa"/>
            <w:gridSpan w:val="6"/>
            <w:tcBorders>
              <w:top w:val="nil"/>
              <w:left w:val="nil"/>
              <w:bottom w:val="nil"/>
              <w:right w:val="nil"/>
            </w:tcBorders>
            <w:shd w:val="clear" w:color="000000" w:fill="00FF00"/>
            <w:vAlign w:val="center"/>
            <w:hideMark/>
          </w:tcPr>
          <w:p w14:paraId="0228676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Priority 1.</w:t>
            </w:r>
          </w:p>
        </w:tc>
        <w:tc>
          <w:tcPr>
            <w:tcW w:w="3258" w:type="dxa"/>
            <w:gridSpan w:val="2"/>
            <w:tcBorders>
              <w:top w:val="nil"/>
              <w:left w:val="nil"/>
              <w:bottom w:val="nil"/>
              <w:right w:val="nil"/>
            </w:tcBorders>
            <w:shd w:val="clear" w:color="000000" w:fill="00FF00"/>
            <w:vAlign w:val="center"/>
            <w:hideMark/>
          </w:tcPr>
          <w:p w14:paraId="6312C9B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Financial management and control</w:t>
            </w:r>
          </w:p>
        </w:tc>
        <w:tc>
          <w:tcPr>
            <w:tcW w:w="522" w:type="dxa"/>
            <w:gridSpan w:val="2"/>
            <w:tcBorders>
              <w:top w:val="nil"/>
              <w:left w:val="nil"/>
              <w:bottom w:val="nil"/>
              <w:right w:val="nil"/>
            </w:tcBorders>
            <w:shd w:val="clear" w:color="000000" w:fill="00FF00"/>
            <w:vAlign w:val="center"/>
            <w:hideMark/>
          </w:tcPr>
          <w:p w14:paraId="62D1EE7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2AB537E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00FF00"/>
            <w:vAlign w:val="center"/>
            <w:hideMark/>
          </w:tcPr>
          <w:p w14:paraId="052F2E8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00FF00"/>
            <w:vAlign w:val="center"/>
            <w:hideMark/>
          </w:tcPr>
          <w:p w14:paraId="7E18CA0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180C733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00FF00"/>
            <w:vAlign w:val="center"/>
            <w:hideMark/>
          </w:tcPr>
          <w:p w14:paraId="30AC259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572B2FA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00FF00"/>
            <w:vAlign w:val="center"/>
            <w:hideMark/>
          </w:tcPr>
          <w:p w14:paraId="2ED0080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7DD1307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5D3D0DF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0A4E64C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00FF00"/>
            <w:vAlign w:val="center"/>
            <w:hideMark/>
          </w:tcPr>
          <w:p w14:paraId="7C7CCCC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5AC9E29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00FF00"/>
            <w:vAlign w:val="center"/>
            <w:hideMark/>
          </w:tcPr>
          <w:p w14:paraId="0E076A8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4D8F113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00FF00"/>
            <w:vAlign w:val="center"/>
            <w:hideMark/>
          </w:tcPr>
          <w:p w14:paraId="04953A9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13E8A7B2" w14:textId="77777777" w:rsidTr="00595060">
        <w:trPr>
          <w:trHeight w:val="615"/>
        </w:trPr>
        <w:tc>
          <w:tcPr>
            <w:tcW w:w="702" w:type="dxa"/>
            <w:gridSpan w:val="2"/>
            <w:tcBorders>
              <w:top w:val="nil"/>
              <w:left w:val="nil"/>
              <w:bottom w:val="nil"/>
              <w:right w:val="nil"/>
            </w:tcBorders>
            <w:shd w:val="clear" w:color="000000" w:fill="6FE7FF"/>
            <w:vAlign w:val="center"/>
            <w:hideMark/>
          </w:tcPr>
          <w:p w14:paraId="3DE8592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15B03CD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046" w:type="dxa"/>
            <w:gridSpan w:val="4"/>
            <w:tcBorders>
              <w:top w:val="nil"/>
              <w:left w:val="nil"/>
              <w:bottom w:val="nil"/>
              <w:right w:val="nil"/>
            </w:tcBorders>
            <w:shd w:val="clear" w:color="000000" w:fill="6FE7FF"/>
            <w:vAlign w:val="center"/>
            <w:hideMark/>
          </w:tcPr>
          <w:p w14:paraId="251B465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1.</w:t>
            </w:r>
          </w:p>
        </w:tc>
        <w:tc>
          <w:tcPr>
            <w:tcW w:w="3258" w:type="dxa"/>
            <w:gridSpan w:val="2"/>
            <w:tcBorders>
              <w:top w:val="nil"/>
              <w:left w:val="nil"/>
              <w:bottom w:val="nil"/>
              <w:right w:val="nil"/>
            </w:tcBorders>
            <w:shd w:val="clear" w:color="000000" w:fill="6FE7FF"/>
            <w:vAlign w:val="center"/>
            <w:hideMark/>
          </w:tcPr>
          <w:p w14:paraId="22658A7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Creating the conditions for improvement of a system of financial management based on risk management</w:t>
            </w:r>
          </w:p>
        </w:tc>
        <w:tc>
          <w:tcPr>
            <w:tcW w:w="522" w:type="dxa"/>
            <w:gridSpan w:val="2"/>
            <w:tcBorders>
              <w:top w:val="nil"/>
              <w:left w:val="nil"/>
              <w:bottom w:val="nil"/>
              <w:right w:val="nil"/>
            </w:tcBorders>
            <w:shd w:val="clear" w:color="000000" w:fill="6FE7FF"/>
            <w:vAlign w:val="center"/>
            <w:hideMark/>
          </w:tcPr>
          <w:p w14:paraId="2C7CAB9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45CF0BC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6FE7FF"/>
            <w:vAlign w:val="center"/>
            <w:hideMark/>
          </w:tcPr>
          <w:p w14:paraId="3303C84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6FE7FF"/>
            <w:vAlign w:val="center"/>
            <w:hideMark/>
          </w:tcPr>
          <w:p w14:paraId="332736B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026AEC0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6FE7FF"/>
            <w:vAlign w:val="center"/>
            <w:hideMark/>
          </w:tcPr>
          <w:p w14:paraId="5AEE022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77D4F5F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6FE7FF"/>
            <w:vAlign w:val="center"/>
            <w:hideMark/>
          </w:tcPr>
          <w:p w14:paraId="3FEE1D1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2CDED31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7B55347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0ECA463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6FE7FF"/>
            <w:vAlign w:val="center"/>
            <w:hideMark/>
          </w:tcPr>
          <w:p w14:paraId="00F3AFF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1FB2CC0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6FE7FF"/>
            <w:vAlign w:val="center"/>
            <w:hideMark/>
          </w:tcPr>
          <w:p w14:paraId="294B24C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42CFD18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6FE7FF"/>
            <w:vAlign w:val="center"/>
            <w:hideMark/>
          </w:tcPr>
          <w:p w14:paraId="39A5422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3A04C514" w14:textId="77777777" w:rsidTr="00595060">
        <w:trPr>
          <w:trHeight w:val="430"/>
        </w:trPr>
        <w:tc>
          <w:tcPr>
            <w:tcW w:w="702" w:type="dxa"/>
            <w:gridSpan w:val="2"/>
            <w:tcBorders>
              <w:top w:val="nil"/>
              <w:left w:val="nil"/>
              <w:bottom w:val="nil"/>
              <w:right w:val="nil"/>
            </w:tcBorders>
            <w:shd w:val="clear" w:color="auto" w:fill="auto"/>
            <w:vAlign w:val="bottom"/>
            <w:hideMark/>
          </w:tcPr>
          <w:p w14:paraId="5F7607FE"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4E1D7B2E"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5C0B80BB"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single" w:sz="8" w:space="0" w:color="auto"/>
              <w:left w:val="single" w:sz="8" w:space="0" w:color="auto"/>
              <w:bottom w:val="single" w:sz="8" w:space="0" w:color="auto"/>
              <w:right w:val="nil"/>
            </w:tcBorders>
            <w:shd w:val="clear" w:color="auto" w:fill="auto"/>
            <w:vAlign w:val="center"/>
            <w:hideMark/>
          </w:tcPr>
          <w:p w14:paraId="40566ACA"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single" w:sz="8" w:space="0" w:color="auto"/>
              <w:left w:val="nil"/>
              <w:bottom w:val="single" w:sz="8" w:space="0" w:color="auto"/>
              <w:right w:val="single" w:sz="8" w:space="0" w:color="auto"/>
            </w:tcBorders>
            <w:shd w:val="clear" w:color="auto" w:fill="auto"/>
            <w:vAlign w:val="center"/>
            <w:hideMark/>
          </w:tcPr>
          <w:p w14:paraId="4E4B8D97"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Strengthen the capacity of the CHU to monitor and report on the functioning of the overall internal control system</w:t>
            </w:r>
          </w:p>
        </w:tc>
        <w:tc>
          <w:tcPr>
            <w:tcW w:w="522" w:type="dxa"/>
            <w:gridSpan w:val="2"/>
            <w:tcBorders>
              <w:top w:val="single" w:sz="8" w:space="0" w:color="auto"/>
              <w:left w:val="nil"/>
              <w:bottom w:val="single" w:sz="8" w:space="0" w:color="auto"/>
              <w:right w:val="single" w:sz="8" w:space="0" w:color="auto"/>
            </w:tcBorders>
            <w:shd w:val="clear" w:color="000000" w:fill="0000FF"/>
            <w:vAlign w:val="center"/>
            <w:hideMark/>
          </w:tcPr>
          <w:p w14:paraId="4383BB4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2FB3D84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single" w:sz="8" w:space="0" w:color="auto"/>
              <w:left w:val="nil"/>
              <w:bottom w:val="single" w:sz="8" w:space="0" w:color="auto"/>
              <w:right w:val="single" w:sz="8" w:space="0" w:color="auto"/>
            </w:tcBorders>
            <w:shd w:val="clear" w:color="000000" w:fill="0000FF"/>
            <w:vAlign w:val="center"/>
            <w:hideMark/>
          </w:tcPr>
          <w:p w14:paraId="217CD49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single" w:sz="8" w:space="0" w:color="auto"/>
              <w:left w:val="nil"/>
              <w:bottom w:val="single" w:sz="8" w:space="0" w:color="auto"/>
              <w:right w:val="single" w:sz="8" w:space="0" w:color="auto"/>
            </w:tcBorders>
            <w:shd w:val="clear" w:color="000000" w:fill="0000FF"/>
            <w:vAlign w:val="center"/>
            <w:hideMark/>
          </w:tcPr>
          <w:p w14:paraId="4CF4728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58DB994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single" w:sz="8" w:space="0" w:color="auto"/>
              <w:left w:val="nil"/>
              <w:bottom w:val="single" w:sz="8" w:space="0" w:color="auto"/>
              <w:right w:val="single" w:sz="8" w:space="0" w:color="auto"/>
            </w:tcBorders>
            <w:shd w:val="clear" w:color="000000" w:fill="0000FF"/>
            <w:vAlign w:val="center"/>
            <w:hideMark/>
          </w:tcPr>
          <w:p w14:paraId="7B946E5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085A043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single" w:sz="8" w:space="0" w:color="auto"/>
              <w:left w:val="nil"/>
              <w:bottom w:val="single" w:sz="8" w:space="0" w:color="auto"/>
              <w:right w:val="single" w:sz="8" w:space="0" w:color="auto"/>
            </w:tcBorders>
            <w:shd w:val="clear" w:color="000000" w:fill="0000FF"/>
            <w:vAlign w:val="center"/>
            <w:hideMark/>
          </w:tcPr>
          <w:p w14:paraId="0061126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000000" w:fill="0000FF"/>
            <w:vAlign w:val="center"/>
            <w:hideMark/>
          </w:tcPr>
          <w:p w14:paraId="270B60B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7A89426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7EC4C14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single" w:sz="8" w:space="0" w:color="auto"/>
              <w:left w:val="nil"/>
              <w:bottom w:val="single" w:sz="8" w:space="0" w:color="auto"/>
              <w:right w:val="single" w:sz="8" w:space="0" w:color="auto"/>
            </w:tcBorders>
            <w:shd w:val="clear" w:color="000000" w:fill="0000FF"/>
            <w:vAlign w:val="center"/>
            <w:hideMark/>
          </w:tcPr>
          <w:p w14:paraId="5D36CD0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000000" w:fill="0000FF"/>
            <w:vAlign w:val="center"/>
            <w:hideMark/>
          </w:tcPr>
          <w:p w14:paraId="1A646D7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single" w:sz="8" w:space="0" w:color="auto"/>
              <w:left w:val="nil"/>
              <w:bottom w:val="single" w:sz="8" w:space="0" w:color="auto"/>
              <w:right w:val="single" w:sz="8" w:space="0" w:color="auto"/>
            </w:tcBorders>
            <w:shd w:val="clear" w:color="000000" w:fill="0000FF"/>
            <w:vAlign w:val="center"/>
            <w:hideMark/>
          </w:tcPr>
          <w:p w14:paraId="19C86BF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38E28E4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single" w:sz="8" w:space="0" w:color="auto"/>
              <w:left w:val="nil"/>
              <w:bottom w:val="single" w:sz="8" w:space="0" w:color="auto"/>
              <w:right w:val="single" w:sz="8" w:space="0" w:color="auto"/>
            </w:tcBorders>
            <w:shd w:val="clear" w:color="000000" w:fill="0000FF"/>
            <w:vAlign w:val="center"/>
            <w:hideMark/>
          </w:tcPr>
          <w:p w14:paraId="66788EA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1BBB93D0" w14:textId="77777777" w:rsidTr="00595060">
        <w:trPr>
          <w:trHeight w:val="457"/>
        </w:trPr>
        <w:tc>
          <w:tcPr>
            <w:tcW w:w="702" w:type="dxa"/>
            <w:gridSpan w:val="2"/>
            <w:tcBorders>
              <w:top w:val="nil"/>
              <w:left w:val="nil"/>
              <w:bottom w:val="nil"/>
              <w:right w:val="nil"/>
            </w:tcBorders>
            <w:shd w:val="clear" w:color="auto" w:fill="auto"/>
            <w:vAlign w:val="bottom"/>
            <w:hideMark/>
          </w:tcPr>
          <w:p w14:paraId="64095D24"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564715DA"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001E3BFE"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22F0330D"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73E340E7" w14:textId="1669CD52"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Preparation of the methodology for specific Financial</w:t>
            </w:r>
            <w:r w:rsidR="00A03FD6" w:rsidRPr="00D30847">
              <w:rPr>
                <w:rFonts w:eastAsia="Times New Roman" w:cs="Calibri"/>
                <w:sz w:val="16"/>
                <w:szCs w:val="16"/>
                <w:lang w:val="en-GB"/>
              </w:rPr>
              <w:t xml:space="preserve"> Management and Control issues</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703DDB9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01D616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522EA5E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629E6D1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2CB3E8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7A2BA07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76B77E7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787AC27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1882399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56E8869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3180FB5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3C363AC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077AA54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0723C10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01B2004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24C103C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332280BA" w14:textId="77777777" w:rsidTr="00595060">
        <w:trPr>
          <w:trHeight w:val="961"/>
        </w:trPr>
        <w:tc>
          <w:tcPr>
            <w:tcW w:w="702" w:type="dxa"/>
            <w:gridSpan w:val="2"/>
            <w:tcBorders>
              <w:top w:val="nil"/>
              <w:left w:val="nil"/>
              <w:bottom w:val="nil"/>
              <w:right w:val="nil"/>
            </w:tcBorders>
            <w:shd w:val="clear" w:color="auto" w:fill="auto"/>
            <w:vAlign w:val="bottom"/>
            <w:hideMark/>
          </w:tcPr>
          <w:p w14:paraId="06224FDC"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6D5E4E5C"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55F11C67"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1DDB745C"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3.</w:t>
            </w:r>
          </w:p>
        </w:tc>
        <w:tc>
          <w:tcPr>
            <w:tcW w:w="3258" w:type="dxa"/>
            <w:gridSpan w:val="2"/>
            <w:tcBorders>
              <w:top w:val="nil"/>
              <w:left w:val="nil"/>
              <w:bottom w:val="single" w:sz="8" w:space="0" w:color="auto"/>
              <w:right w:val="single" w:sz="8" w:space="0" w:color="auto"/>
            </w:tcBorders>
            <w:shd w:val="clear" w:color="auto" w:fill="auto"/>
            <w:vAlign w:val="center"/>
            <w:hideMark/>
          </w:tcPr>
          <w:p w14:paraId="070BB834" w14:textId="21D5801C"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Establishment of a network of institutions of financial issues units in coordination with the CHU, for exchange of experiences, best practices and raising awareness among public sector entities about responsibilities for the quality of f</w:t>
            </w:r>
            <w:r w:rsidR="009A2CD3" w:rsidRPr="00D30847">
              <w:rPr>
                <w:rFonts w:eastAsia="Times New Roman" w:cs="Calibri"/>
                <w:sz w:val="16"/>
                <w:szCs w:val="16"/>
                <w:lang w:val="en-GB"/>
              </w:rPr>
              <w:t>inancial management and control</w:t>
            </w:r>
          </w:p>
        </w:tc>
        <w:tc>
          <w:tcPr>
            <w:tcW w:w="522" w:type="dxa"/>
            <w:gridSpan w:val="2"/>
            <w:tcBorders>
              <w:top w:val="nil"/>
              <w:left w:val="nil"/>
              <w:bottom w:val="single" w:sz="8" w:space="0" w:color="auto"/>
              <w:right w:val="single" w:sz="8" w:space="0" w:color="auto"/>
            </w:tcBorders>
            <w:shd w:val="clear" w:color="auto" w:fill="auto"/>
            <w:vAlign w:val="center"/>
            <w:hideMark/>
          </w:tcPr>
          <w:p w14:paraId="67A66101"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74E45374"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82" w:type="dxa"/>
            <w:gridSpan w:val="3"/>
            <w:tcBorders>
              <w:top w:val="nil"/>
              <w:left w:val="nil"/>
              <w:bottom w:val="single" w:sz="8" w:space="0" w:color="auto"/>
              <w:right w:val="single" w:sz="8" w:space="0" w:color="auto"/>
            </w:tcBorders>
            <w:shd w:val="clear" w:color="auto" w:fill="auto"/>
            <w:vAlign w:val="center"/>
            <w:hideMark/>
          </w:tcPr>
          <w:p w14:paraId="76627F26"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80" w:type="dxa"/>
            <w:gridSpan w:val="3"/>
            <w:tcBorders>
              <w:top w:val="nil"/>
              <w:left w:val="nil"/>
              <w:bottom w:val="single" w:sz="8" w:space="0" w:color="auto"/>
              <w:right w:val="single" w:sz="8" w:space="0" w:color="auto"/>
            </w:tcBorders>
            <w:shd w:val="clear" w:color="auto" w:fill="auto"/>
            <w:vAlign w:val="center"/>
            <w:hideMark/>
          </w:tcPr>
          <w:p w14:paraId="3BB4D84E"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23DAF9C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22AD588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6F29277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18DB57C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31C2F71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1F8EBF2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4247BD5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553796B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509D915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47DEA76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43C8F59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0F83175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65E10798" w14:textId="77777777" w:rsidTr="00B84551">
        <w:trPr>
          <w:trHeight w:val="300"/>
        </w:trPr>
        <w:tc>
          <w:tcPr>
            <w:tcW w:w="702" w:type="dxa"/>
            <w:gridSpan w:val="2"/>
            <w:tcBorders>
              <w:top w:val="nil"/>
              <w:left w:val="nil"/>
              <w:bottom w:val="nil"/>
              <w:right w:val="nil"/>
            </w:tcBorders>
            <w:shd w:val="clear" w:color="000000" w:fill="00FF00"/>
            <w:vAlign w:val="center"/>
            <w:hideMark/>
          </w:tcPr>
          <w:p w14:paraId="4DB1348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510" w:type="dxa"/>
            <w:gridSpan w:val="6"/>
            <w:tcBorders>
              <w:top w:val="nil"/>
              <w:left w:val="nil"/>
              <w:bottom w:val="nil"/>
              <w:right w:val="nil"/>
            </w:tcBorders>
            <w:shd w:val="clear" w:color="000000" w:fill="00FF00"/>
            <w:vAlign w:val="center"/>
            <w:hideMark/>
          </w:tcPr>
          <w:p w14:paraId="22396B3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Priority 2.</w:t>
            </w:r>
          </w:p>
        </w:tc>
        <w:tc>
          <w:tcPr>
            <w:tcW w:w="3258" w:type="dxa"/>
            <w:gridSpan w:val="2"/>
            <w:tcBorders>
              <w:top w:val="nil"/>
              <w:left w:val="nil"/>
              <w:bottom w:val="nil"/>
              <w:right w:val="nil"/>
            </w:tcBorders>
            <w:shd w:val="clear" w:color="000000" w:fill="00FF00"/>
            <w:vAlign w:val="center"/>
            <w:hideMark/>
          </w:tcPr>
          <w:p w14:paraId="0FD3426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Internal audit</w:t>
            </w:r>
          </w:p>
        </w:tc>
        <w:tc>
          <w:tcPr>
            <w:tcW w:w="522" w:type="dxa"/>
            <w:gridSpan w:val="2"/>
            <w:tcBorders>
              <w:top w:val="nil"/>
              <w:left w:val="nil"/>
              <w:bottom w:val="nil"/>
              <w:right w:val="nil"/>
            </w:tcBorders>
            <w:shd w:val="clear" w:color="000000" w:fill="00FF00"/>
            <w:vAlign w:val="center"/>
            <w:hideMark/>
          </w:tcPr>
          <w:p w14:paraId="36A8057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66E6BD6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00FF00"/>
            <w:vAlign w:val="center"/>
            <w:hideMark/>
          </w:tcPr>
          <w:p w14:paraId="3CFE3A4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00FF00"/>
            <w:vAlign w:val="center"/>
            <w:hideMark/>
          </w:tcPr>
          <w:p w14:paraId="000F297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60B6620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00FF00"/>
            <w:vAlign w:val="center"/>
            <w:hideMark/>
          </w:tcPr>
          <w:p w14:paraId="4FDB1E9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2431D7A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00FF00"/>
            <w:vAlign w:val="center"/>
            <w:hideMark/>
          </w:tcPr>
          <w:p w14:paraId="272C10F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6093BD0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1EC6B11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4783D3F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00FF00"/>
            <w:vAlign w:val="center"/>
            <w:hideMark/>
          </w:tcPr>
          <w:p w14:paraId="2768393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64680EE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00FF00"/>
            <w:vAlign w:val="center"/>
            <w:hideMark/>
          </w:tcPr>
          <w:p w14:paraId="0710B3E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26D23B5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00FF00"/>
            <w:vAlign w:val="center"/>
            <w:hideMark/>
          </w:tcPr>
          <w:p w14:paraId="6A3A9E8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57259E5B" w14:textId="77777777" w:rsidTr="00595060">
        <w:trPr>
          <w:trHeight w:val="288"/>
        </w:trPr>
        <w:tc>
          <w:tcPr>
            <w:tcW w:w="702" w:type="dxa"/>
            <w:gridSpan w:val="2"/>
            <w:tcBorders>
              <w:top w:val="nil"/>
              <w:left w:val="nil"/>
              <w:bottom w:val="nil"/>
              <w:right w:val="nil"/>
            </w:tcBorders>
            <w:shd w:val="clear" w:color="000000" w:fill="6FE7FF"/>
            <w:vAlign w:val="center"/>
            <w:hideMark/>
          </w:tcPr>
          <w:p w14:paraId="04ED4EE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1EF8B0F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046" w:type="dxa"/>
            <w:gridSpan w:val="4"/>
            <w:tcBorders>
              <w:top w:val="nil"/>
              <w:left w:val="nil"/>
              <w:bottom w:val="nil"/>
              <w:right w:val="nil"/>
            </w:tcBorders>
            <w:shd w:val="clear" w:color="000000" w:fill="6FE7FF"/>
            <w:vAlign w:val="center"/>
            <w:hideMark/>
          </w:tcPr>
          <w:p w14:paraId="45AA8EC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1.</w:t>
            </w:r>
          </w:p>
        </w:tc>
        <w:tc>
          <w:tcPr>
            <w:tcW w:w="3258" w:type="dxa"/>
            <w:gridSpan w:val="2"/>
            <w:tcBorders>
              <w:top w:val="nil"/>
              <w:left w:val="nil"/>
              <w:bottom w:val="nil"/>
              <w:right w:val="nil"/>
            </w:tcBorders>
            <w:shd w:val="clear" w:color="000000" w:fill="6FE7FF"/>
            <w:vAlign w:val="center"/>
            <w:hideMark/>
          </w:tcPr>
          <w:p w14:paraId="3B357E2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Strengthening the quality of work of the internal audit units at the Ministries</w:t>
            </w:r>
          </w:p>
        </w:tc>
        <w:tc>
          <w:tcPr>
            <w:tcW w:w="522" w:type="dxa"/>
            <w:gridSpan w:val="2"/>
            <w:tcBorders>
              <w:top w:val="nil"/>
              <w:left w:val="nil"/>
              <w:bottom w:val="nil"/>
              <w:right w:val="nil"/>
            </w:tcBorders>
            <w:shd w:val="clear" w:color="000000" w:fill="6FE7FF"/>
            <w:vAlign w:val="center"/>
            <w:hideMark/>
          </w:tcPr>
          <w:p w14:paraId="0E36828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5C3A4A6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6FE7FF"/>
            <w:vAlign w:val="center"/>
            <w:hideMark/>
          </w:tcPr>
          <w:p w14:paraId="43448D8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6FE7FF"/>
            <w:vAlign w:val="center"/>
            <w:hideMark/>
          </w:tcPr>
          <w:p w14:paraId="37F684E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075489D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6FE7FF"/>
            <w:vAlign w:val="center"/>
            <w:hideMark/>
          </w:tcPr>
          <w:p w14:paraId="5139291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18E945D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6FE7FF"/>
            <w:vAlign w:val="center"/>
            <w:hideMark/>
          </w:tcPr>
          <w:p w14:paraId="4829530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7463DC8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361134B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4D1F1C9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6FE7FF"/>
            <w:vAlign w:val="center"/>
            <w:hideMark/>
          </w:tcPr>
          <w:p w14:paraId="3D982F0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12513AD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6FE7FF"/>
            <w:vAlign w:val="center"/>
            <w:hideMark/>
          </w:tcPr>
          <w:p w14:paraId="514C453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7609394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6FE7FF"/>
            <w:vAlign w:val="center"/>
            <w:hideMark/>
          </w:tcPr>
          <w:p w14:paraId="5AE67BB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942045" w:rsidRPr="00D30847" w14:paraId="0148D7F2" w14:textId="77777777" w:rsidTr="00595060">
        <w:trPr>
          <w:trHeight w:val="682"/>
        </w:trPr>
        <w:tc>
          <w:tcPr>
            <w:tcW w:w="702" w:type="dxa"/>
            <w:gridSpan w:val="2"/>
            <w:tcBorders>
              <w:top w:val="nil"/>
              <w:left w:val="nil"/>
              <w:bottom w:val="nil"/>
              <w:right w:val="nil"/>
            </w:tcBorders>
            <w:shd w:val="clear" w:color="auto" w:fill="auto"/>
            <w:vAlign w:val="bottom"/>
            <w:hideMark/>
          </w:tcPr>
          <w:p w14:paraId="5938F8B3" w14:textId="77777777" w:rsidR="00942045" w:rsidRPr="00D30847" w:rsidRDefault="00942045" w:rsidP="00942045">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79A9DD97"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04A6DFA6"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single" w:sz="8" w:space="0" w:color="auto"/>
              <w:left w:val="single" w:sz="8" w:space="0" w:color="auto"/>
              <w:bottom w:val="single" w:sz="8" w:space="0" w:color="auto"/>
              <w:right w:val="nil"/>
            </w:tcBorders>
            <w:shd w:val="clear" w:color="auto" w:fill="auto"/>
            <w:vAlign w:val="center"/>
            <w:hideMark/>
          </w:tcPr>
          <w:p w14:paraId="10DE851A"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single" w:sz="8" w:space="0" w:color="auto"/>
              <w:left w:val="nil"/>
              <w:bottom w:val="single" w:sz="8" w:space="0" w:color="auto"/>
              <w:right w:val="single" w:sz="8" w:space="0" w:color="auto"/>
            </w:tcBorders>
            <w:shd w:val="clear" w:color="auto" w:fill="auto"/>
            <w:vAlign w:val="center"/>
            <w:hideMark/>
          </w:tcPr>
          <w:p w14:paraId="43A4E6D9" w14:textId="0250DCB6"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Improving of Human Resources capacities of Internal Audit Units in the Ministries through adequate staffing and Continuous Professional Developme</w:t>
            </w:r>
            <w:r w:rsidR="009A2CD3" w:rsidRPr="00D30847">
              <w:rPr>
                <w:rFonts w:eastAsia="Times New Roman" w:cs="Calibri"/>
                <w:sz w:val="16"/>
                <w:szCs w:val="16"/>
                <w:lang w:val="en-GB"/>
              </w:rPr>
              <w:t>nt at the internal auditors</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2838F9B6"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2CD07DA8"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557154E5"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77D2BE3D"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6AD91D53"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2646DA09"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07275FDE"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0C957DE6"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5E0BA783"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002626F5"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52B13ABA"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7426D479"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10B22B8F" w14:textId="1BD61A40"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1E3DBB55" w14:textId="139E1C5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41487010" w14:textId="4CA64C86"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12FFFAE5" w14:textId="016C69C0"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color w:val="FFFFFF"/>
                <w:sz w:val="16"/>
                <w:szCs w:val="16"/>
                <w:lang w:val="en-GB"/>
              </w:rPr>
              <w:t> </w:t>
            </w:r>
          </w:p>
        </w:tc>
      </w:tr>
      <w:tr w:rsidR="00C93723" w:rsidRPr="00D30847" w14:paraId="4F5197BD" w14:textId="77777777" w:rsidTr="00595060">
        <w:trPr>
          <w:trHeight w:val="313"/>
        </w:trPr>
        <w:tc>
          <w:tcPr>
            <w:tcW w:w="702" w:type="dxa"/>
            <w:gridSpan w:val="2"/>
            <w:tcBorders>
              <w:top w:val="nil"/>
              <w:left w:val="nil"/>
              <w:bottom w:val="nil"/>
              <w:right w:val="nil"/>
            </w:tcBorders>
            <w:shd w:val="clear" w:color="auto" w:fill="auto"/>
            <w:vAlign w:val="bottom"/>
            <w:hideMark/>
          </w:tcPr>
          <w:p w14:paraId="62910D98" w14:textId="77777777" w:rsidR="00C93723" w:rsidRPr="00D30847" w:rsidRDefault="00C93723" w:rsidP="00C93723">
            <w:pPr>
              <w:spacing w:after="0" w:line="240" w:lineRule="auto"/>
              <w:rPr>
                <w:rFonts w:eastAsia="Times New Roman" w:cs="Calibri"/>
                <w:sz w:val="16"/>
                <w:szCs w:val="16"/>
                <w:lang w:val="en-GB"/>
              </w:rPr>
            </w:pPr>
          </w:p>
        </w:tc>
        <w:tc>
          <w:tcPr>
            <w:tcW w:w="464" w:type="dxa"/>
            <w:gridSpan w:val="2"/>
            <w:tcBorders>
              <w:top w:val="nil"/>
              <w:left w:val="nil"/>
              <w:bottom w:val="nil"/>
              <w:right w:val="nil"/>
            </w:tcBorders>
            <w:shd w:val="clear" w:color="auto" w:fill="auto"/>
            <w:vAlign w:val="bottom"/>
            <w:hideMark/>
          </w:tcPr>
          <w:p w14:paraId="71C36046"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6F5163D9"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207076F1"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158FBFD0" w14:textId="0E396D5A" w:rsidR="00C93723" w:rsidRPr="00D30847" w:rsidRDefault="00C93723" w:rsidP="009A2CD3">
            <w:pPr>
              <w:spacing w:after="0" w:line="240" w:lineRule="auto"/>
              <w:rPr>
                <w:rFonts w:eastAsia="Times New Roman" w:cs="Calibri"/>
                <w:sz w:val="16"/>
                <w:szCs w:val="16"/>
                <w:lang w:val="en-GB"/>
              </w:rPr>
            </w:pPr>
            <w:r w:rsidRPr="00D30847">
              <w:rPr>
                <w:rFonts w:eastAsia="Times New Roman" w:cs="Calibri"/>
                <w:sz w:val="16"/>
                <w:szCs w:val="16"/>
                <w:lang w:val="en-GB"/>
              </w:rPr>
              <w:t xml:space="preserve">Strengthen the capacity of the CHU </w:t>
            </w:r>
            <w:r w:rsidR="009A2CD3" w:rsidRPr="00D30847">
              <w:rPr>
                <w:rFonts w:eastAsia="Times New Roman" w:cs="Calibri"/>
                <w:sz w:val="16"/>
                <w:szCs w:val="16"/>
                <w:lang w:val="en-GB"/>
              </w:rPr>
              <w:t>to monitor and report on the</w:t>
            </w:r>
            <w:r w:rsidRPr="00D30847">
              <w:rPr>
                <w:rFonts w:eastAsia="Times New Roman" w:cs="Calibri"/>
                <w:sz w:val="16"/>
                <w:szCs w:val="16"/>
                <w:lang w:val="en-GB"/>
              </w:rPr>
              <w:t xml:space="preserve"> quality of operations of the internal audit units</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46BE543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EB2CBE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7C444C2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632A771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6F26AD9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39DED26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343A6AC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401FE27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224088B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20CA7E6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35FCA5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5CE19FA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56B5B64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141EDD5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7F1E561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49DA1B2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2C69D9E1" w14:textId="77777777" w:rsidTr="00595060">
        <w:trPr>
          <w:trHeight w:val="700"/>
        </w:trPr>
        <w:tc>
          <w:tcPr>
            <w:tcW w:w="702" w:type="dxa"/>
            <w:gridSpan w:val="2"/>
            <w:tcBorders>
              <w:top w:val="nil"/>
              <w:left w:val="nil"/>
              <w:bottom w:val="nil"/>
              <w:right w:val="nil"/>
            </w:tcBorders>
            <w:shd w:val="clear" w:color="auto" w:fill="auto"/>
            <w:vAlign w:val="bottom"/>
            <w:hideMark/>
          </w:tcPr>
          <w:p w14:paraId="08371A4F"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44F90AB6"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211CC2EF"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676F03FE"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3.</w:t>
            </w:r>
          </w:p>
        </w:tc>
        <w:tc>
          <w:tcPr>
            <w:tcW w:w="3258" w:type="dxa"/>
            <w:gridSpan w:val="2"/>
            <w:tcBorders>
              <w:top w:val="nil"/>
              <w:left w:val="nil"/>
              <w:bottom w:val="single" w:sz="8" w:space="0" w:color="auto"/>
              <w:right w:val="single" w:sz="8" w:space="0" w:color="auto"/>
            </w:tcBorders>
            <w:shd w:val="clear" w:color="auto" w:fill="auto"/>
            <w:vAlign w:val="center"/>
            <w:hideMark/>
          </w:tcPr>
          <w:p w14:paraId="28F917D1"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Establishment of a network of institutions’ internal audit units in coordination with the CHU, for exchange of experience and best practices.</w:t>
            </w:r>
          </w:p>
        </w:tc>
        <w:tc>
          <w:tcPr>
            <w:tcW w:w="522" w:type="dxa"/>
            <w:gridSpan w:val="2"/>
            <w:tcBorders>
              <w:top w:val="nil"/>
              <w:left w:val="nil"/>
              <w:bottom w:val="single" w:sz="8" w:space="0" w:color="auto"/>
              <w:right w:val="single" w:sz="8" w:space="0" w:color="auto"/>
            </w:tcBorders>
            <w:shd w:val="clear" w:color="auto" w:fill="auto"/>
            <w:vAlign w:val="center"/>
            <w:hideMark/>
          </w:tcPr>
          <w:p w14:paraId="77138005"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42232A84"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82" w:type="dxa"/>
            <w:gridSpan w:val="3"/>
            <w:tcBorders>
              <w:top w:val="nil"/>
              <w:left w:val="nil"/>
              <w:bottom w:val="single" w:sz="8" w:space="0" w:color="auto"/>
              <w:right w:val="single" w:sz="8" w:space="0" w:color="auto"/>
            </w:tcBorders>
            <w:shd w:val="clear" w:color="auto" w:fill="auto"/>
            <w:vAlign w:val="center"/>
            <w:hideMark/>
          </w:tcPr>
          <w:p w14:paraId="5A22D69A"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80" w:type="dxa"/>
            <w:gridSpan w:val="3"/>
            <w:tcBorders>
              <w:top w:val="nil"/>
              <w:left w:val="nil"/>
              <w:bottom w:val="single" w:sz="8" w:space="0" w:color="auto"/>
              <w:right w:val="single" w:sz="8" w:space="0" w:color="auto"/>
            </w:tcBorders>
            <w:shd w:val="clear" w:color="auto" w:fill="auto"/>
            <w:vAlign w:val="center"/>
            <w:hideMark/>
          </w:tcPr>
          <w:p w14:paraId="058FCB2F"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872798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5AAC22E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18C2E37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079DEC6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50831BE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50D19F9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4E452A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1644832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5D67390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5C0338D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02A8DA5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22CCF89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23B6E665" w14:textId="77777777" w:rsidTr="00595060">
        <w:trPr>
          <w:trHeight w:val="615"/>
        </w:trPr>
        <w:tc>
          <w:tcPr>
            <w:tcW w:w="702" w:type="dxa"/>
            <w:gridSpan w:val="2"/>
            <w:tcBorders>
              <w:top w:val="nil"/>
              <w:left w:val="nil"/>
              <w:bottom w:val="nil"/>
              <w:right w:val="nil"/>
            </w:tcBorders>
            <w:shd w:val="clear" w:color="000000" w:fill="6FE7FF"/>
            <w:vAlign w:val="center"/>
            <w:hideMark/>
          </w:tcPr>
          <w:p w14:paraId="73D8647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4F93910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046" w:type="dxa"/>
            <w:gridSpan w:val="4"/>
            <w:tcBorders>
              <w:top w:val="nil"/>
              <w:left w:val="nil"/>
              <w:bottom w:val="nil"/>
              <w:right w:val="nil"/>
            </w:tcBorders>
            <w:shd w:val="clear" w:color="000000" w:fill="6FE7FF"/>
            <w:vAlign w:val="center"/>
            <w:hideMark/>
          </w:tcPr>
          <w:p w14:paraId="6B30C64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2.</w:t>
            </w:r>
          </w:p>
        </w:tc>
        <w:tc>
          <w:tcPr>
            <w:tcW w:w="3258" w:type="dxa"/>
            <w:gridSpan w:val="2"/>
            <w:tcBorders>
              <w:top w:val="nil"/>
              <w:left w:val="nil"/>
              <w:bottom w:val="nil"/>
              <w:right w:val="nil"/>
            </w:tcBorders>
            <w:shd w:val="clear" w:color="000000" w:fill="6FE7FF"/>
            <w:vAlign w:val="center"/>
            <w:hideMark/>
          </w:tcPr>
          <w:p w14:paraId="4933D68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Improving the abilities to carry out performance and IT internal audits in the public sector institutions</w:t>
            </w:r>
          </w:p>
        </w:tc>
        <w:tc>
          <w:tcPr>
            <w:tcW w:w="522" w:type="dxa"/>
            <w:gridSpan w:val="2"/>
            <w:tcBorders>
              <w:top w:val="nil"/>
              <w:left w:val="nil"/>
              <w:bottom w:val="nil"/>
              <w:right w:val="nil"/>
            </w:tcBorders>
            <w:shd w:val="clear" w:color="000000" w:fill="6FE7FF"/>
            <w:vAlign w:val="center"/>
            <w:hideMark/>
          </w:tcPr>
          <w:p w14:paraId="64BADF2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700EAAC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6FE7FF"/>
            <w:vAlign w:val="center"/>
            <w:hideMark/>
          </w:tcPr>
          <w:p w14:paraId="7DBACAE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6FE7FF"/>
            <w:vAlign w:val="center"/>
            <w:hideMark/>
          </w:tcPr>
          <w:p w14:paraId="02067FF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4E69142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6FE7FF"/>
            <w:vAlign w:val="center"/>
            <w:hideMark/>
          </w:tcPr>
          <w:p w14:paraId="3037170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4C7C3A5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6FE7FF"/>
            <w:vAlign w:val="center"/>
            <w:hideMark/>
          </w:tcPr>
          <w:p w14:paraId="54D8108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7FFEBF7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6B05244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3F4EB4F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6FE7FF"/>
            <w:vAlign w:val="center"/>
            <w:hideMark/>
          </w:tcPr>
          <w:p w14:paraId="4980CEC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6D8995D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6FE7FF"/>
            <w:vAlign w:val="center"/>
            <w:hideMark/>
          </w:tcPr>
          <w:p w14:paraId="5246220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67939CE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6FE7FF"/>
            <w:vAlign w:val="center"/>
            <w:hideMark/>
          </w:tcPr>
          <w:p w14:paraId="24F69B7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77AA02AA" w14:textId="77777777" w:rsidTr="00595060">
        <w:trPr>
          <w:trHeight w:val="430"/>
        </w:trPr>
        <w:tc>
          <w:tcPr>
            <w:tcW w:w="702" w:type="dxa"/>
            <w:gridSpan w:val="2"/>
            <w:tcBorders>
              <w:top w:val="nil"/>
              <w:left w:val="nil"/>
              <w:bottom w:val="nil"/>
              <w:right w:val="nil"/>
            </w:tcBorders>
            <w:shd w:val="clear" w:color="auto" w:fill="auto"/>
            <w:vAlign w:val="bottom"/>
            <w:hideMark/>
          </w:tcPr>
          <w:p w14:paraId="3AB17314"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44989D8F"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2DE141E1"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single" w:sz="8" w:space="0" w:color="auto"/>
              <w:left w:val="single" w:sz="8" w:space="0" w:color="auto"/>
              <w:bottom w:val="single" w:sz="8" w:space="0" w:color="auto"/>
              <w:right w:val="nil"/>
            </w:tcBorders>
            <w:shd w:val="clear" w:color="auto" w:fill="auto"/>
            <w:vAlign w:val="center"/>
            <w:hideMark/>
          </w:tcPr>
          <w:p w14:paraId="35A920CB"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single" w:sz="8" w:space="0" w:color="auto"/>
              <w:left w:val="nil"/>
              <w:bottom w:val="single" w:sz="8" w:space="0" w:color="auto"/>
              <w:right w:val="single" w:sz="8" w:space="0" w:color="auto"/>
            </w:tcBorders>
            <w:shd w:val="clear" w:color="auto" w:fill="auto"/>
            <w:vAlign w:val="center"/>
            <w:hideMark/>
          </w:tcPr>
          <w:p w14:paraId="345BCD3C"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Preparation and promotion methodology for specific type of internal audits</w:t>
            </w:r>
          </w:p>
        </w:tc>
        <w:tc>
          <w:tcPr>
            <w:tcW w:w="522" w:type="dxa"/>
            <w:gridSpan w:val="2"/>
            <w:tcBorders>
              <w:top w:val="single" w:sz="8" w:space="0" w:color="auto"/>
              <w:left w:val="nil"/>
              <w:bottom w:val="single" w:sz="8" w:space="0" w:color="auto"/>
              <w:right w:val="single" w:sz="8" w:space="0" w:color="auto"/>
            </w:tcBorders>
            <w:shd w:val="clear" w:color="000000" w:fill="0000FF"/>
            <w:vAlign w:val="center"/>
            <w:hideMark/>
          </w:tcPr>
          <w:p w14:paraId="40DD473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04011F3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single" w:sz="8" w:space="0" w:color="auto"/>
              <w:left w:val="nil"/>
              <w:bottom w:val="single" w:sz="8" w:space="0" w:color="auto"/>
              <w:right w:val="single" w:sz="8" w:space="0" w:color="auto"/>
            </w:tcBorders>
            <w:shd w:val="clear" w:color="000000" w:fill="0000FF"/>
            <w:vAlign w:val="center"/>
            <w:hideMark/>
          </w:tcPr>
          <w:p w14:paraId="3A1615A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single" w:sz="8" w:space="0" w:color="auto"/>
              <w:left w:val="nil"/>
              <w:bottom w:val="single" w:sz="8" w:space="0" w:color="auto"/>
              <w:right w:val="single" w:sz="8" w:space="0" w:color="auto"/>
            </w:tcBorders>
            <w:shd w:val="clear" w:color="000000" w:fill="0000FF"/>
            <w:vAlign w:val="center"/>
            <w:hideMark/>
          </w:tcPr>
          <w:p w14:paraId="7C48AD3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0B2AB84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single" w:sz="8" w:space="0" w:color="auto"/>
              <w:left w:val="nil"/>
              <w:bottom w:val="single" w:sz="8" w:space="0" w:color="auto"/>
              <w:right w:val="single" w:sz="8" w:space="0" w:color="auto"/>
            </w:tcBorders>
            <w:shd w:val="clear" w:color="000000" w:fill="0000FF"/>
            <w:vAlign w:val="center"/>
            <w:hideMark/>
          </w:tcPr>
          <w:p w14:paraId="00EC61C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076FA49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single" w:sz="8" w:space="0" w:color="auto"/>
              <w:left w:val="nil"/>
              <w:bottom w:val="single" w:sz="8" w:space="0" w:color="auto"/>
              <w:right w:val="single" w:sz="8" w:space="0" w:color="auto"/>
            </w:tcBorders>
            <w:shd w:val="clear" w:color="000000" w:fill="0000FF"/>
            <w:vAlign w:val="center"/>
            <w:hideMark/>
          </w:tcPr>
          <w:p w14:paraId="6109655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000000" w:fill="0000FF"/>
            <w:vAlign w:val="center"/>
            <w:hideMark/>
          </w:tcPr>
          <w:p w14:paraId="4082441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607BEBD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0D13991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single" w:sz="8" w:space="0" w:color="auto"/>
              <w:left w:val="nil"/>
              <w:bottom w:val="single" w:sz="8" w:space="0" w:color="auto"/>
              <w:right w:val="single" w:sz="8" w:space="0" w:color="auto"/>
            </w:tcBorders>
            <w:shd w:val="clear" w:color="000000" w:fill="0000FF"/>
            <w:vAlign w:val="center"/>
            <w:hideMark/>
          </w:tcPr>
          <w:p w14:paraId="43E5804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000000" w:fill="0000FF"/>
            <w:vAlign w:val="center"/>
            <w:hideMark/>
          </w:tcPr>
          <w:p w14:paraId="56769A4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single" w:sz="8" w:space="0" w:color="auto"/>
              <w:left w:val="nil"/>
              <w:bottom w:val="single" w:sz="8" w:space="0" w:color="auto"/>
              <w:right w:val="single" w:sz="8" w:space="0" w:color="auto"/>
            </w:tcBorders>
            <w:shd w:val="clear" w:color="000000" w:fill="0000FF"/>
            <w:vAlign w:val="center"/>
            <w:hideMark/>
          </w:tcPr>
          <w:p w14:paraId="1F096D0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47A7D00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single" w:sz="8" w:space="0" w:color="auto"/>
              <w:left w:val="nil"/>
              <w:bottom w:val="single" w:sz="8" w:space="0" w:color="auto"/>
              <w:right w:val="single" w:sz="8" w:space="0" w:color="auto"/>
            </w:tcBorders>
            <w:shd w:val="clear" w:color="000000" w:fill="0000FF"/>
            <w:vAlign w:val="center"/>
            <w:hideMark/>
          </w:tcPr>
          <w:p w14:paraId="0BE552E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68D7BE01" w14:textId="77777777" w:rsidTr="00595060">
        <w:trPr>
          <w:trHeight w:val="709"/>
        </w:trPr>
        <w:tc>
          <w:tcPr>
            <w:tcW w:w="702" w:type="dxa"/>
            <w:gridSpan w:val="2"/>
            <w:tcBorders>
              <w:top w:val="nil"/>
              <w:left w:val="nil"/>
              <w:bottom w:val="nil"/>
              <w:right w:val="nil"/>
            </w:tcBorders>
            <w:shd w:val="clear" w:color="auto" w:fill="auto"/>
            <w:vAlign w:val="bottom"/>
            <w:hideMark/>
          </w:tcPr>
          <w:p w14:paraId="50352E0A"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23342042"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21C649A9"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4F04AF6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01C93E6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Analysis of the situation and determination of the need for the establishment of a Central Unit for IT internal audits in the Ministry of Finance</w:t>
            </w:r>
          </w:p>
        </w:tc>
        <w:tc>
          <w:tcPr>
            <w:tcW w:w="522" w:type="dxa"/>
            <w:gridSpan w:val="2"/>
            <w:tcBorders>
              <w:top w:val="nil"/>
              <w:left w:val="nil"/>
              <w:bottom w:val="single" w:sz="8" w:space="0" w:color="auto"/>
              <w:right w:val="single" w:sz="8" w:space="0" w:color="auto"/>
            </w:tcBorders>
            <w:shd w:val="clear" w:color="auto" w:fill="auto"/>
            <w:vAlign w:val="center"/>
            <w:hideMark/>
          </w:tcPr>
          <w:p w14:paraId="206B1224"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46A3AF12"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82" w:type="dxa"/>
            <w:gridSpan w:val="3"/>
            <w:tcBorders>
              <w:top w:val="nil"/>
              <w:left w:val="nil"/>
              <w:bottom w:val="single" w:sz="8" w:space="0" w:color="auto"/>
              <w:right w:val="single" w:sz="8" w:space="0" w:color="auto"/>
            </w:tcBorders>
            <w:shd w:val="clear" w:color="auto" w:fill="auto"/>
            <w:vAlign w:val="center"/>
            <w:hideMark/>
          </w:tcPr>
          <w:p w14:paraId="108014AB"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80" w:type="dxa"/>
            <w:gridSpan w:val="3"/>
            <w:tcBorders>
              <w:top w:val="nil"/>
              <w:left w:val="nil"/>
              <w:bottom w:val="single" w:sz="8" w:space="0" w:color="auto"/>
              <w:right w:val="single" w:sz="8" w:space="0" w:color="auto"/>
            </w:tcBorders>
            <w:shd w:val="clear" w:color="auto" w:fill="auto"/>
            <w:vAlign w:val="center"/>
            <w:hideMark/>
          </w:tcPr>
          <w:p w14:paraId="1CA59068"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16A1A6AC"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12" w:type="dxa"/>
            <w:gridSpan w:val="3"/>
            <w:tcBorders>
              <w:top w:val="nil"/>
              <w:left w:val="nil"/>
              <w:bottom w:val="single" w:sz="8" w:space="0" w:color="auto"/>
              <w:right w:val="single" w:sz="8" w:space="0" w:color="auto"/>
            </w:tcBorders>
            <w:shd w:val="clear" w:color="auto" w:fill="auto"/>
            <w:vAlign w:val="center"/>
            <w:hideMark/>
          </w:tcPr>
          <w:p w14:paraId="5283D380"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2655A620"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540" w:type="dxa"/>
            <w:gridSpan w:val="3"/>
            <w:tcBorders>
              <w:top w:val="nil"/>
              <w:left w:val="nil"/>
              <w:bottom w:val="single" w:sz="8" w:space="0" w:color="auto"/>
              <w:right w:val="single" w:sz="8" w:space="0" w:color="auto"/>
            </w:tcBorders>
            <w:shd w:val="clear" w:color="auto" w:fill="auto"/>
            <w:vAlign w:val="center"/>
            <w:hideMark/>
          </w:tcPr>
          <w:p w14:paraId="3ED2DE2F"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3AA292A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09E0175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4ECFB5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4273070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auto" w:fill="auto"/>
            <w:vAlign w:val="center"/>
            <w:hideMark/>
          </w:tcPr>
          <w:p w14:paraId="51E284D1"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2"/>
            <w:tcBorders>
              <w:top w:val="nil"/>
              <w:left w:val="nil"/>
              <w:bottom w:val="single" w:sz="8" w:space="0" w:color="auto"/>
              <w:right w:val="single" w:sz="8" w:space="0" w:color="auto"/>
            </w:tcBorders>
            <w:shd w:val="clear" w:color="auto" w:fill="auto"/>
            <w:vAlign w:val="center"/>
            <w:hideMark/>
          </w:tcPr>
          <w:p w14:paraId="7A0E32DE"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450" w:type="dxa"/>
            <w:gridSpan w:val="3"/>
            <w:tcBorders>
              <w:top w:val="nil"/>
              <w:left w:val="nil"/>
              <w:bottom w:val="single" w:sz="8" w:space="0" w:color="auto"/>
              <w:right w:val="single" w:sz="8" w:space="0" w:color="auto"/>
            </w:tcBorders>
            <w:shd w:val="clear" w:color="auto" w:fill="auto"/>
            <w:vAlign w:val="center"/>
            <w:hideMark/>
          </w:tcPr>
          <w:p w14:paraId="0DC272E6"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648" w:type="dxa"/>
            <w:gridSpan w:val="3"/>
            <w:tcBorders>
              <w:top w:val="nil"/>
              <w:left w:val="nil"/>
              <w:bottom w:val="single" w:sz="8" w:space="0" w:color="auto"/>
              <w:right w:val="single" w:sz="8" w:space="0" w:color="auto"/>
            </w:tcBorders>
            <w:shd w:val="clear" w:color="auto" w:fill="auto"/>
            <w:vAlign w:val="center"/>
            <w:hideMark/>
          </w:tcPr>
          <w:p w14:paraId="77BEABF5"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r>
      <w:tr w:rsidR="00C93723" w:rsidRPr="00D30847" w14:paraId="382442CE" w14:textId="77777777" w:rsidTr="00B84551">
        <w:trPr>
          <w:trHeight w:val="300"/>
        </w:trPr>
        <w:tc>
          <w:tcPr>
            <w:tcW w:w="15210" w:type="dxa"/>
            <w:gridSpan w:val="55"/>
            <w:tcBorders>
              <w:top w:val="nil"/>
              <w:left w:val="nil"/>
              <w:bottom w:val="nil"/>
              <w:right w:val="nil"/>
            </w:tcBorders>
            <w:shd w:val="clear" w:color="000000" w:fill="33CCFF"/>
            <w:vAlign w:val="center"/>
            <w:hideMark/>
          </w:tcPr>
          <w:p w14:paraId="37A10AB3" w14:textId="7BCA5C09"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xml:space="preserve">Pillar VII - External </w:t>
            </w:r>
            <w:r w:rsidR="0002594F" w:rsidRPr="00D30847">
              <w:rPr>
                <w:rFonts w:eastAsia="Times New Roman" w:cs="Calibri"/>
                <w:b/>
                <w:bCs/>
                <w:sz w:val="16"/>
                <w:szCs w:val="16"/>
                <w:lang w:val="en-GB"/>
              </w:rPr>
              <w:t>Audit</w:t>
            </w:r>
            <w:r w:rsidRPr="00D30847">
              <w:rPr>
                <w:rFonts w:eastAsia="Times New Roman" w:cs="Calibri"/>
                <w:b/>
                <w:bCs/>
                <w:sz w:val="16"/>
                <w:szCs w:val="16"/>
                <w:lang w:val="en-GB"/>
              </w:rPr>
              <w:t xml:space="preserve"> and Parliamentary Oversight</w:t>
            </w:r>
          </w:p>
        </w:tc>
      </w:tr>
      <w:tr w:rsidR="00C93723" w:rsidRPr="00D30847" w14:paraId="077ED0E0" w14:textId="77777777" w:rsidTr="00B84551">
        <w:trPr>
          <w:trHeight w:val="300"/>
        </w:trPr>
        <w:tc>
          <w:tcPr>
            <w:tcW w:w="702" w:type="dxa"/>
            <w:gridSpan w:val="2"/>
            <w:tcBorders>
              <w:top w:val="nil"/>
              <w:left w:val="nil"/>
              <w:bottom w:val="nil"/>
              <w:right w:val="nil"/>
            </w:tcBorders>
            <w:shd w:val="clear" w:color="000000" w:fill="00FF00"/>
            <w:vAlign w:val="center"/>
            <w:hideMark/>
          </w:tcPr>
          <w:p w14:paraId="6223A12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510" w:type="dxa"/>
            <w:gridSpan w:val="6"/>
            <w:tcBorders>
              <w:top w:val="nil"/>
              <w:left w:val="nil"/>
              <w:bottom w:val="nil"/>
              <w:right w:val="nil"/>
            </w:tcBorders>
            <w:shd w:val="clear" w:color="000000" w:fill="00FF00"/>
            <w:vAlign w:val="center"/>
            <w:hideMark/>
          </w:tcPr>
          <w:p w14:paraId="0BE9C6C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xml:space="preserve"> Priority 1.</w:t>
            </w:r>
          </w:p>
        </w:tc>
        <w:tc>
          <w:tcPr>
            <w:tcW w:w="3258" w:type="dxa"/>
            <w:gridSpan w:val="2"/>
            <w:tcBorders>
              <w:top w:val="nil"/>
              <w:left w:val="nil"/>
              <w:bottom w:val="nil"/>
              <w:right w:val="nil"/>
            </w:tcBorders>
            <w:shd w:val="clear" w:color="000000" w:fill="00FF00"/>
            <w:vAlign w:val="center"/>
            <w:hideMark/>
          </w:tcPr>
          <w:p w14:paraId="227BC54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External audit</w:t>
            </w:r>
          </w:p>
        </w:tc>
        <w:tc>
          <w:tcPr>
            <w:tcW w:w="522" w:type="dxa"/>
            <w:gridSpan w:val="2"/>
            <w:tcBorders>
              <w:top w:val="nil"/>
              <w:left w:val="nil"/>
              <w:bottom w:val="nil"/>
              <w:right w:val="nil"/>
            </w:tcBorders>
            <w:shd w:val="clear" w:color="000000" w:fill="00FF00"/>
            <w:vAlign w:val="center"/>
            <w:hideMark/>
          </w:tcPr>
          <w:p w14:paraId="014C918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7177EC9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00FF00"/>
            <w:vAlign w:val="center"/>
            <w:hideMark/>
          </w:tcPr>
          <w:p w14:paraId="20BC431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00FF00"/>
            <w:vAlign w:val="center"/>
            <w:hideMark/>
          </w:tcPr>
          <w:p w14:paraId="7165728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5BE7D4A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00FF00"/>
            <w:vAlign w:val="center"/>
            <w:hideMark/>
          </w:tcPr>
          <w:p w14:paraId="67D6C1B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34D1A32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00FF00"/>
            <w:vAlign w:val="center"/>
            <w:hideMark/>
          </w:tcPr>
          <w:p w14:paraId="696BFE2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6F0318B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64D7A41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3FBF7D3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00FF00"/>
            <w:vAlign w:val="center"/>
            <w:hideMark/>
          </w:tcPr>
          <w:p w14:paraId="3034A0C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6E0878F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00FF00"/>
            <w:vAlign w:val="center"/>
            <w:hideMark/>
          </w:tcPr>
          <w:p w14:paraId="5615559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0B80CAF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00FF00"/>
            <w:vAlign w:val="center"/>
            <w:hideMark/>
          </w:tcPr>
          <w:p w14:paraId="66F6073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64F5E35E" w14:textId="77777777" w:rsidTr="00595060">
        <w:trPr>
          <w:trHeight w:val="315"/>
        </w:trPr>
        <w:tc>
          <w:tcPr>
            <w:tcW w:w="702" w:type="dxa"/>
            <w:gridSpan w:val="2"/>
            <w:tcBorders>
              <w:top w:val="nil"/>
              <w:left w:val="nil"/>
              <w:bottom w:val="nil"/>
              <w:right w:val="nil"/>
            </w:tcBorders>
            <w:shd w:val="clear" w:color="000000" w:fill="6FE7FF"/>
            <w:vAlign w:val="center"/>
            <w:hideMark/>
          </w:tcPr>
          <w:p w14:paraId="271FCE5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0A3B6C1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24AFA18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1.</w:t>
            </w:r>
          </w:p>
        </w:tc>
        <w:tc>
          <w:tcPr>
            <w:tcW w:w="1770" w:type="dxa"/>
            <w:gridSpan w:val="2"/>
            <w:tcBorders>
              <w:top w:val="nil"/>
              <w:left w:val="nil"/>
              <w:bottom w:val="single" w:sz="8" w:space="0" w:color="auto"/>
              <w:right w:val="nil"/>
            </w:tcBorders>
            <w:shd w:val="clear" w:color="000000" w:fill="6FE7FF"/>
            <w:vAlign w:val="center"/>
            <w:hideMark/>
          </w:tcPr>
          <w:p w14:paraId="00D5723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258" w:type="dxa"/>
            <w:gridSpan w:val="2"/>
            <w:tcBorders>
              <w:top w:val="nil"/>
              <w:left w:val="nil"/>
              <w:bottom w:val="single" w:sz="8" w:space="0" w:color="auto"/>
              <w:right w:val="nil"/>
            </w:tcBorders>
            <w:shd w:val="clear" w:color="000000" w:fill="6FE7FF"/>
            <w:vAlign w:val="center"/>
            <w:hideMark/>
          </w:tcPr>
          <w:p w14:paraId="178B9993" w14:textId="717A106F" w:rsidR="00C93723" w:rsidRPr="00D30847" w:rsidRDefault="00673B45"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Strengthen the  legal framework for external audit</w:t>
            </w:r>
          </w:p>
        </w:tc>
        <w:tc>
          <w:tcPr>
            <w:tcW w:w="522" w:type="dxa"/>
            <w:gridSpan w:val="2"/>
            <w:tcBorders>
              <w:top w:val="nil"/>
              <w:left w:val="nil"/>
              <w:bottom w:val="single" w:sz="8" w:space="0" w:color="auto"/>
              <w:right w:val="nil"/>
            </w:tcBorders>
            <w:shd w:val="clear" w:color="000000" w:fill="6FE7FF"/>
            <w:vAlign w:val="center"/>
            <w:hideMark/>
          </w:tcPr>
          <w:p w14:paraId="618F5DF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5414AF9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single" w:sz="8" w:space="0" w:color="auto"/>
              <w:right w:val="nil"/>
            </w:tcBorders>
            <w:shd w:val="clear" w:color="000000" w:fill="6FE7FF"/>
            <w:vAlign w:val="center"/>
            <w:hideMark/>
          </w:tcPr>
          <w:p w14:paraId="38A1611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single" w:sz="8" w:space="0" w:color="auto"/>
              <w:right w:val="nil"/>
            </w:tcBorders>
            <w:shd w:val="clear" w:color="000000" w:fill="6FE7FF"/>
            <w:vAlign w:val="center"/>
            <w:hideMark/>
          </w:tcPr>
          <w:p w14:paraId="2216876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555517F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single" w:sz="8" w:space="0" w:color="auto"/>
              <w:right w:val="nil"/>
            </w:tcBorders>
            <w:shd w:val="clear" w:color="000000" w:fill="6FE7FF"/>
            <w:vAlign w:val="center"/>
            <w:hideMark/>
          </w:tcPr>
          <w:p w14:paraId="3C8441C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38DB74B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single" w:sz="8" w:space="0" w:color="auto"/>
              <w:right w:val="nil"/>
            </w:tcBorders>
            <w:shd w:val="clear" w:color="000000" w:fill="6FE7FF"/>
            <w:vAlign w:val="center"/>
            <w:hideMark/>
          </w:tcPr>
          <w:p w14:paraId="56193DA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215F6A8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64870A6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single" w:sz="8" w:space="0" w:color="auto"/>
              <w:right w:val="nil"/>
            </w:tcBorders>
            <w:shd w:val="clear" w:color="000000" w:fill="6FE7FF"/>
            <w:vAlign w:val="center"/>
            <w:hideMark/>
          </w:tcPr>
          <w:p w14:paraId="2BA7A65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single" w:sz="8" w:space="0" w:color="auto"/>
              <w:right w:val="nil"/>
            </w:tcBorders>
            <w:shd w:val="clear" w:color="000000" w:fill="6FE7FF"/>
            <w:vAlign w:val="center"/>
            <w:hideMark/>
          </w:tcPr>
          <w:p w14:paraId="59A5B1B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single" w:sz="8" w:space="0" w:color="auto"/>
              <w:right w:val="nil"/>
            </w:tcBorders>
            <w:shd w:val="clear" w:color="000000" w:fill="6FE7FF"/>
            <w:vAlign w:val="center"/>
            <w:hideMark/>
          </w:tcPr>
          <w:p w14:paraId="449FD6A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single" w:sz="8" w:space="0" w:color="auto"/>
              <w:right w:val="nil"/>
            </w:tcBorders>
            <w:shd w:val="clear" w:color="000000" w:fill="6FE7FF"/>
            <w:vAlign w:val="center"/>
            <w:hideMark/>
          </w:tcPr>
          <w:p w14:paraId="42FBAE3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single" w:sz="8" w:space="0" w:color="auto"/>
              <w:right w:val="nil"/>
            </w:tcBorders>
            <w:shd w:val="clear" w:color="000000" w:fill="6FE7FF"/>
            <w:vAlign w:val="center"/>
            <w:hideMark/>
          </w:tcPr>
          <w:p w14:paraId="4C569DF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single" w:sz="8" w:space="0" w:color="auto"/>
              <w:right w:val="nil"/>
            </w:tcBorders>
            <w:shd w:val="clear" w:color="000000" w:fill="6FE7FF"/>
            <w:vAlign w:val="center"/>
            <w:hideMark/>
          </w:tcPr>
          <w:p w14:paraId="31F6D27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3E6E72B7" w14:textId="77777777" w:rsidTr="00595060">
        <w:trPr>
          <w:trHeight w:val="430"/>
        </w:trPr>
        <w:tc>
          <w:tcPr>
            <w:tcW w:w="702" w:type="dxa"/>
            <w:gridSpan w:val="2"/>
            <w:tcBorders>
              <w:top w:val="nil"/>
              <w:left w:val="nil"/>
              <w:bottom w:val="nil"/>
              <w:right w:val="nil"/>
            </w:tcBorders>
            <w:shd w:val="clear" w:color="auto" w:fill="auto"/>
            <w:vAlign w:val="bottom"/>
            <w:hideMark/>
          </w:tcPr>
          <w:p w14:paraId="482084CF"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2293D61D"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1C89D301"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6E70973D"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nil"/>
              <w:left w:val="nil"/>
              <w:bottom w:val="single" w:sz="8" w:space="0" w:color="auto"/>
              <w:right w:val="single" w:sz="8" w:space="0" w:color="auto"/>
            </w:tcBorders>
            <w:shd w:val="clear" w:color="auto" w:fill="auto"/>
            <w:vAlign w:val="center"/>
            <w:hideMark/>
          </w:tcPr>
          <w:p w14:paraId="7067031B"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xml:space="preserve">Approval of constitutional changes to achieve constitutional independence of the SAO in </w:t>
            </w:r>
            <w:r w:rsidRPr="00D30847">
              <w:rPr>
                <w:rFonts w:eastAsia="Times New Roman" w:cs="Calibri"/>
                <w:sz w:val="16"/>
                <w:szCs w:val="16"/>
                <w:lang w:val="en-GB"/>
              </w:rPr>
              <w:lastRenderedPageBreak/>
              <w:t>accordance with the principles, standards and guidelines of INTOSAI;</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3AEF1E1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lastRenderedPageBreak/>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261446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6888D45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6445FF2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6C5AF9F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7935A29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19AC98B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0D6A533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4306E5B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7AA809B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B8A19C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1C0B049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6DBCCC6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7EFA95A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6E4C532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011FDD0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6291E24F" w14:textId="77777777" w:rsidTr="00595060">
        <w:trPr>
          <w:trHeight w:val="718"/>
        </w:trPr>
        <w:tc>
          <w:tcPr>
            <w:tcW w:w="702" w:type="dxa"/>
            <w:gridSpan w:val="2"/>
            <w:tcBorders>
              <w:top w:val="nil"/>
              <w:left w:val="nil"/>
              <w:bottom w:val="nil"/>
              <w:right w:val="nil"/>
            </w:tcBorders>
            <w:shd w:val="clear" w:color="auto" w:fill="auto"/>
            <w:vAlign w:val="bottom"/>
            <w:hideMark/>
          </w:tcPr>
          <w:p w14:paraId="2E3399EB"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0CA49D99"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single" w:sz="8" w:space="0" w:color="auto"/>
            </w:tcBorders>
            <w:shd w:val="clear" w:color="auto" w:fill="auto"/>
            <w:vAlign w:val="bottom"/>
            <w:hideMark/>
          </w:tcPr>
          <w:p w14:paraId="223EA62A"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w:t>
            </w:r>
          </w:p>
        </w:tc>
        <w:tc>
          <w:tcPr>
            <w:tcW w:w="1770" w:type="dxa"/>
            <w:gridSpan w:val="2"/>
            <w:tcBorders>
              <w:top w:val="nil"/>
              <w:left w:val="nil"/>
              <w:bottom w:val="single" w:sz="8" w:space="0" w:color="auto"/>
              <w:right w:val="nil"/>
            </w:tcBorders>
            <w:shd w:val="clear" w:color="auto" w:fill="auto"/>
            <w:vAlign w:val="center"/>
            <w:hideMark/>
          </w:tcPr>
          <w:p w14:paraId="587959D8"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4278A356"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xml:space="preserve">Approval of external audit legal framework aimed at strengthening financial and operational independence of SAO in line with INTOSAI principles, standards and guidelines </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291EFB5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249D6EC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46AED1C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3BB1CBA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FFFFFF"/>
            <w:vAlign w:val="center"/>
            <w:hideMark/>
          </w:tcPr>
          <w:p w14:paraId="2EDFA1A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FFFFFF"/>
            <w:vAlign w:val="center"/>
            <w:hideMark/>
          </w:tcPr>
          <w:p w14:paraId="5448B25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FFFFFF"/>
            <w:vAlign w:val="center"/>
            <w:hideMark/>
          </w:tcPr>
          <w:p w14:paraId="03EFBD4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FFFFFF"/>
            <w:vAlign w:val="center"/>
            <w:hideMark/>
          </w:tcPr>
          <w:p w14:paraId="1F3D33A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FFFFFF"/>
            <w:vAlign w:val="center"/>
            <w:hideMark/>
          </w:tcPr>
          <w:p w14:paraId="09F4100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FFFFFF"/>
            <w:vAlign w:val="center"/>
            <w:hideMark/>
          </w:tcPr>
          <w:p w14:paraId="7317750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FFFFFF"/>
            <w:vAlign w:val="center"/>
            <w:hideMark/>
          </w:tcPr>
          <w:p w14:paraId="65F2100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FFFFFF"/>
            <w:vAlign w:val="center"/>
            <w:hideMark/>
          </w:tcPr>
          <w:p w14:paraId="125E695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FFFFFF"/>
            <w:vAlign w:val="center"/>
            <w:hideMark/>
          </w:tcPr>
          <w:p w14:paraId="4AFAEA7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FFFFFF"/>
            <w:vAlign w:val="center"/>
            <w:hideMark/>
          </w:tcPr>
          <w:p w14:paraId="1700DCB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FFFFFF"/>
            <w:vAlign w:val="center"/>
            <w:hideMark/>
          </w:tcPr>
          <w:p w14:paraId="17207FB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FFFFFF"/>
            <w:vAlign w:val="center"/>
            <w:hideMark/>
          </w:tcPr>
          <w:p w14:paraId="54D09FD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47EEAB4C" w14:textId="77777777" w:rsidTr="00595060">
        <w:trPr>
          <w:trHeight w:val="277"/>
        </w:trPr>
        <w:tc>
          <w:tcPr>
            <w:tcW w:w="702" w:type="dxa"/>
            <w:gridSpan w:val="2"/>
            <w:tcBorders>
              <w:top w:val="nil"/>
              <w:left w:val="nil"/>
              <w:bottom w:val="nil"/>
              <w:right w:val="nil"/>
            </w:tcBorders>
            <w:shd w:val="clear" w:color="000000" w:fill="6FE7FF"/>
            <w:vAlign w:val="center"/>
            <w:hideMark/>
          </w:tcPr>
          <w:p w14:paraId="11A3E8A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58216DD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157EBD4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2.</w:t>
            </w:r>
          </w:p>
        </w:tc>
        <w:tc>
          <w:tcPr>
            <w:tcW w:w="1770" w:type="dxa"/>
            <w:gridSpan w:val="2"/>
            <w:tcBorders>
              <w:top w:val="nil"/>
              <w:left w:val="nil"/>
              <w:bottom w:val="nil"/>
              <w:right w:val="nil"/>
            </w:tcBorders>
            <w:shd w:val="clear" w:color="000000" w:fill="6FE7FF"/>
            <w:vAlign w:val="center"/>
            <w:hideMark/>
          </w:tcPr>
          <w:p w14:paraId="3A2FF1C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258" w:type="dxa"/>
            <w:gridSpan w:val="2"/>
            <w:tcBorders>
              <w:top w:val="nil"/>
              <w:left w:val="nil"/>
              <w:bottom w:val="nil"/>
              <w:right w:val="nil"/>
            </w:tcBorders>
            <w:shd w:val="clear" w:color="000000" w:fill="6FE7FF"/>
            <w:vAlign w:val="center"/>
            <w:hideMark/>
          </w:tcPr>
          <w:p w14:paraId="5C5C61B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xml:space="preserve">Strengthen the institutional capacity and human resource capacities of the SAO </w:t>
            </w:r>
          </w:p>
        </w:tc>
        <w:tc>
          <w:tcPr>
            <w:tcW w:w="522" w:type="dxa"/>
            <w:gridSpan w:val="2"/>
            <w:tcBorders>
              <w:top w:val="nil"/>
              <w:left w:val="nil"/>
              <w:bottom w:val="nil"/>
              <w:right w:val="nil"/>
            </w:tcBorders>
            <w:shd w:val="clear" w:color="000000" w:fill="6FE7FF"/>
            <w:vAlign w:val="center"/>
            <w:hideMark/>
          </w:tcPr>
          <w:p w14:paraId="5F1CDF2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71A9ADD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6FE7FF"/>
            <w:vAlign w:val="center"/>
            <w:hideMark/>
          </w:tcPr>
          <w:p w14:paraId="157DEBD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6FE7FF"/>
            <w:vAlign w:val="center"/>
            <w:hideMark/>
          </w:tcPr>
          <w:p w14:paraId="1ACC701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2FF500E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6FE7FF"/>
            <w:vAlign w:val="center"/>
            <w:hideMark/>
          </w:tcPr>
          <w:p w14:paraId="6530F3B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2201893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6FE7FF"/>
            <w:vAlign w:val="center"/>
            <w:hideMark/>
          </w:tcPr>
          <w:p w14:paraId="2FFAF55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49A351C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19849E6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0FBD92D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6FE7FF"/>
            <w:vAlign w:val="center"/>
            <w:hideMark/>
          </w:tcPr>
          <w:p w14:paraId="76B7D9A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06261D2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6FE7FF"/>
            <w:vAlign w:val="center"/>
            <w:hideMark/>
          </w:tcPr>
          <w:p w14:paraId="7F387B3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34DAD87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6FE7FF"/>
            <w:vAlign w:val="center"/>
            <w:hideMark/>
          </w:tcPr>
          <w:p w14:paraId="4AAF737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2CADF57F" w14:textId="77777777" w:rsidTr="00595060">
        <w:trPr>
          <w:trHeight w:val="673"/>
        </w:trPr>
        <w:tc>
          <w:tcPr>
            <w:tcW w:w="702" w:type="dxa"/>
            <w:gridSpan w:val="2"/>
            <w:tcBorders>
              <w:top w:val="nil"/>
              <w:left w:val="nil"/>
              <w:bottom w:val="nil"/>
              <w:right w:val="nil"/>
            </w:tcBorders>
            <w:shd w:val="clear" w:color="auto" w:fill="auto"/>
            <w:vAlign w:val="bottom"/>
            <w:hideMark/>
          </w:tcPr>
          <w:p w14:paraId="2A2E6C7C"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52049DC6"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16258EC6"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single" w:sz="8" w:space="0" w:color="auto"/>
              <w:left w:val="single" w:sz="8" w:space="0" w:color="auto"/>
              <w:bottom w:val="single" w:sz="8" w:space="0" w:color="auto"/>
              <w:right w:val="nil"/>
            </w:tcBorders>
            <w:shd w:val="clear" w:color="auto" w:fill="auto"/>
            <w:vAlign w:val="center"/>
            <w:hideMark/>
          </w:tcPr>
          <w:p w14:paraId="39E2ED3D"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single" w:sz="8" w:space="0" w:color="auto"/>
              <w:left w:val="nil"/>
              <w:bottom w:val="single" w:sz="8" w:space="0" w:color="auto"/>
              <w:right w:val="single" w:sz="8" w:space="0" w:color="auto"/>
            </w:tcBorders>
            <w:shd w:val="clear" w:color="auto" w:fill="auto"/>
            <w:vAlign w:val="center"/>
            <w:hideMark/>
          </w:tcPr>
          <w:p w14:paraId="51B4168D"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Implementation of adopted strategic, planning and methodological acts and adoption of new methodological acts of the SAO</w:t>
            </w:r>
          </w:p>
        </w:tc>
        <w:tc>
          <w:tcPr>
            <w:tcW w:w="522" w:type="dxa"/>
            <w:gridSpan w:val="2"/>
            <w:tcBorders>
              <w:top w:val="single" w:sz="8" w:space="0" w:color="auto"/>
              <w:left w:val="nil"/>
              <w:bottom w:val="single" w:sz="8" w:space="0" w:color="auto"/>
              <w:right w:val="single" w:sz="8" w:space="0" w:color="auto"/>
            </w:tcBorders>
            <w:shd w:val="clear" w:color="000000" w:fill="0000FF"/>
            <w:vAlign w:val="center"/>
            <w:hideMark/>
          </w:tcPr>
          <w:p w14:paraId="04D1ED7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048F208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single" w:sz="8" w:space="0" w:color="auto"/>
              <w:left w:val="nil"/>
              <w:bottom w:val="single" w:sz="8" w:space="0" w:color="auto"/>
              <w:right w:val="single" w:sz="8" w:space="0" w:color="auto"/>
            </w:tcBorders>
            <w:shd w:val="clear" w:color="000000" w:fill="0000FF"/>
            <w:vAlign w:val="center"/>
            <w:hideMark/>
          </w:tcPr>
          <w:p w14:paraId="01DFCD6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single" w:sz="8" w:space="0" w:color="auto"/>
              <w:left w:val="nil"/>
              <w:bottom w:val="single" w:sz="8" w:space="0" w:color="auto"/>
              <w:right w:val="single" w:sz="8" w:space="0" w:color="auto"/>
            </w:tcBorders>
            <w:shd w:val="clear" w:color="000000" w:fill="0000FF"/>
            <w:vAlign w:val="center"/>
            <w:hideMark/>
          </w:tcPr>
          <w:p w14:paraId="01D7097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3193AE9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single" w:sz="8" w:space="0" w:color="auto"/>
              <w:left w:val="nil"/>
              <w:bottom w:val="single" w:sz="8" w:space="0" w:color="auto"/>
              <w:right w:val="single" w:sz="8" w:space="0" w:color="auto"/>
            </w:tcBorders>
            <w:shd w:val="clear" w:color="000000" w:fill="0000FF"/>
            <w:vAlign w:val="center"/>
            <w:hideMark/>
          </w:tcPr>
          <w:p w14:paraId="099CDD5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61E34D2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single" w:sz="8" w:space="0" w:color="auto"/>
              <w:left w:val="nil"/>
              <w:bottom w:val="single" w:sz="8" w:space="0" w:color="auto"/>
              <w:right w:val="single" w:sz="8" w:space="0" w:color="auto"/>
            </w:tcBorders>
            <w:shd w:val="clear" w:color="000000" w:fill="0000FF"/>
            <w:vAlign w:val="center"/>
            <w:hideMark/>
          </w:tcPr>
          <w:p w14:paraId="6813E47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000000" w:fill="0000FF"/>
            <w:vAlign w:val="center"/>
            <w:hideMark/>
          </w:tcPr>
          <w:p w14:paraId="5E30FA3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17FB8D9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single" w:sz="8" w:space="0" w:color="auto"/>
              <w:left w:val="nil"/>
              <w:bottom w:val="single" w:sz="8" w:space="0" w:color="auto"/>
              <w:right w:val="single" w:sz="8" w:space="0" w:color="auto"/>
            </w:tcBorders>
            <w:shd w:val="clear" w:color="000000" w:fill="0000FF"/>
            <w:vAlign w:val="center"/>
            <w:hideMark/>
          </w:tcPr>
          <w:p w14:paraId="28736E2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single" w:sz="8" w:space="0" w:color="auto"/>
              <w:left w:val="nil"/>
              <w:bottom w:val="single" w:sz="8" w:space="0" w:color="auto"/>
              <w:right w:val="single" w:sz="8" w:space="0" w:color="auto"/>
            </w:tcBorders>
            <w:shd w:val="clear" w:color="000000" w:fill="0000FF"/>
            <w:vAlign w:val="center"/>
            <w:hideMark/>
          </w:tcPr>
          <w:p w14:paraId="6F55FD5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single" w:sz="8" w:space="0" w:color="auto"/>
              <w:left w:val="nil"/>
              <w:bottom w:val="single" w:sz="8" w:space="0" w:color="auto"/>
              <w:right w:val="single" w:sz="8" w:space="0" w:color="auto"/>
            </w:tcBorders>
            <w:shd w:val="clear" w:color="000000" w:fill="0000FF"/>
            <w:vAlign w:val="center"/>
            <w:hideMark/>
          </w:tcPr>
          <w:p w14:paraId="50E5331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single" w:sz="8" w:space="0" w:color="auto"/>
              <w:left w:val="nil"/>
              <w:bottom w:val="single" w:sz="8" w:space="0" w:color="auto"/>
              <w:right w:val="single" w:sz="8" w:space="0" w:color="auto"/>
            </w:tcBorders>
            <w:shd w:val="clear" w:color="000000" w:fill="0000FF"/>
            <w:vAlign w:val="center"/>
            <w:hideMark/>
          </w:tcPr>
          <w:p w14:paraId="03E611F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single" w:sz="8" w:space="0" w:color="auto"/>
              <w:left w:val="nil"/>
              <w:bottom w:val="single" w:sz="8" w:space="0" w:color="auto"/>
              <w:right w:val="single" w:sz="8" w:space="0" w:color="auto"/>
            </w:tcBorders>
            <w:shd w:val="clear" w:color="000000" w:fill="0000FF"/>
            <w:vAlign w:val="center"/>
            <w:hideMark/>
          </w:tcPr>
          <w:p w14:paraId="2C4CCA7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single" w:sz="8" w:space="0" w:color="auto"/>
              <w:left w:val="nil"/>
              <w:bottom w:val="single" w:sz="8" w:space="0" w:color="auto"/>
              <w:right w:val="single" w:sz="8" w:space="0" w:color="auto"/>
            </w:tcBorders>
            <w:shd w:val="clear" w:color="000000" w:fill="0000FF"/>
            <w:vAlign w:val="center"/>
            <w:hideMark/>
          </w:tcPr>
          <w:p w14:paraId="18FFE98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3BA91BDC" w14:textId="77777777" w:rsidTr="00595060">
        <w:trPr>
          <w:trHeight w:val="241"/>
        </w:trPr>
        <w:tc>
          <w:tcPr>
            <w:tcW w:w="702" w:type="dxa"/>
            <w:gridSpan w:val="2"/>
            <w:tcBorders>
              <w:top w:val="nil"/>
              <w:left w:val="nil"/>
              <w:bottom w:val="nil"/>
              <w:right w:val="nil"/>
            </w:tcBorders>
            <w:shd w:val="clear" w:color="auto" w:fill="auto"/>
            <w:vAlign w:val="bottom"/>
            <w:hideMark/>
          </w:tcPr>
          <w:p w14:paraId="28AFD7BD"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7CF435E3"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3FC44990"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6846FC24"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0643E15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Strengthen the capacity for conducting audits</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7527E45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6710BB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09DA76D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1D0D10E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94D899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4EA4376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0CED4FB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07170FC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1AC4C39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098F8B1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62D6A22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5F188F7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4C455A8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1BAF5FD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31FB75D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16E3C92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06F939D0" w14:textId="77777777" w:rsidTr="00595060">
        <w:trPr>
          <w:trHeight w:val="421"/>
        </w:trPr>
        <w:tc>
          <w:tcPr>
            <w:tcW w:w="702" w:type="dxa"/>
            <w:gridSpan w:val="2"/>
            <w:tcBorders>
              <w:top w:val="nil"/>
              <w:left w:val="nil"/>
              <w:bottom w:val="nil"/>
              <w:right w:val="nil"/>
            </w:tcBorders>
            <w:shd w:val="clear" w:color="auto" w:fill="auto"/>
            <w:vAlign w:val="bottom"/>
            <w:hideMark/>
          </w:tcPr>
          <w:p w14:paraId="619EAB53"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1F1F7847"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15560F91"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219FE400"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3.</w:t>
            </w:r>
          </w:p>
        </w:tc>
        <w:tc>
          <w:tcPr>
            <w:tcW w:w="3258" w:type="dxa"/>
            <w:gridSpan w:val="2"/>
            <w:tcBorders>
              <w:top w:val="nil"/>
              <w:left w:val="nil"/>
              <w:bottom w:val="single" w:sz="8" w:space="0" w:color="auto"/>
              <w:right w:val="single" w:sz="8" w:space="0" w:color="auto"/>
            </w:tcBorders>
            <w:shd w:val="clear" w:color="auto" w:fill="auto"/>
            <w:vAlign w:val="center"/>
            <w:hideMark/>
          </w:tcPr>
          <w:p w14:paraId="0DFAA1EE"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Increasing the visibility of the SAO and communication with the stakeholders</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6322D75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4AAC011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43B1C88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1667F88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2DB73AE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695C59A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16E9624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126BC6C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4BB5DF1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1B3B650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50A036F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2D6A08D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57E0CDE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6649106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1C0743A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5DBBC17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51D595C2" w14:textId="77777777" w:rsidTr="00B84551">
        <w:trPr>
          <w:trHeight w:val="300"/>
        </w:trPr>
        <w:tc>
          <w:tcPr>
            <w:tcW w:w="702" w:type="dxa"/>
            <w:gridSpan w:val="2"/>
            <w:tcBorders>
              <w:top w:val="nil"/>
              <w:left w:val="nil"/>
              <w:bottom w:val="nil"/>
              <w:right w:val="nil"/>
            </w:tcBorders>
            <w:shd w:val="clear" w:color="000000" w:fill="00FF00"/>
            <w:vAlign w:val="center"/>
            <w:hideMark/>
          </w:tcPr>
          <w:p w14:paraId="222B9CA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510" w:type="dxa"/>
            <w:gridSpan w:val="6"/>
            <w:tcBorders>
              <w:top w:val="nil"/>
              <w:left w:val="nil"/>
              <w:bottom w:val="nil"/>
              <w:right w:val="nil"/>
            </w:tcBorders>
            <w:shd w:val="clear" w:color="000000" w:fill="00FF00"/>
            <w:vAlign w:val="center"/>
            <w:hideMark/>
          </w:tcPr>
          <w:p w14:paraId="7E25A66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Priority 2.</w:t>
            </w:r>
          </w:p>
        </w:tc>
        <w:tc>
          <w:tcPr>
            <w:tcW w:w="3258" w:type="dxa"/>
            <w:gridSpan w:val="2"/>
            <w:tcBorders>
              <w:top w:val="nil"/>
              <w:left w:val="nil"/>
              <w:bottom w:val="nil"/>
              <w:right w:val="nil"/>
            </w:tcBorders>
            <w:shd w:val="clear" w:color="000000" w:fill="00FF00"/>
            <w:vAlign w:val="center"/>
            <w:hideMark/>
          </w:tcPr>
          <w:p w14:paraId="056EBC2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xml:space="preserve">Parliamentary oversight </w:t>
            </w:r>
          </w:p>
        </w:tc>
        <w:tc>
          <w:tcPr>
            <w:tcW w:w="522" w:type="dxa"/>
            <w:gridSpan w:val="2"/>
            <w:tcBorders>
              <w:top w:val="nil"/>
              <w:left w:val="nil"/>
              <w:bottom w:val="nil"/>
              <w:right w:val="nil"/>
            </w:tcBorders>
            <w:shd w:val="clear" w:color="000000" w:fill="00FF00"/>
            <w:vAlign w:val="center"/>
            <w:hideMark/>
          </w:tcPr>
          <w:p w14:paraId="0434F71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7EF8F04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00FF00"/>
            <w:vAlign w:val="center"/>
            <w:hideMark/>
          </w:tcPr>
          <w:p w14:paraId="2F27688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00FF00"/>
            <w:vAlign w:val="center"/>
            <w:hideMark/>
          </w:tcPr>
          <w:p w14:paraId="15E0EF1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713FF64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00FF00"/>
            <w:vAlign w:val="center"/>
            <w:hideMark/>
          </w:tcPr>
          <w:p w14:paraId="3DD6F35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7A42B88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00FF00"/>
            <w:vAlign w:val="center"/>
            <w:hideMark/>
          </w:tcPr>
          <w:p w14:paraId="6CAD33E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4BAC4B3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2BCEE01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00FF00"/>
            <w:vAlign w:val="center"/>
            <w:hideMark/>
          </w:tcPr>
          <w:p w14:paraId="3A779B0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00FF00"/>
            <w:vAlign w:val="center"/>
            <w:hideMark/>
          </w:tcPr>
          <w:p w14:paraId="1983897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00FF00"/>
            <w:vAlign w:val="center"/>
            <w:hideMark/>
          </w:tcPr>
          <w:p w14:paraId="663CF12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00FF00"/>
            <w:vAlign w:val="center"/>
            <w:hideMark/>
          </w:tcPr>
          <w:p w14:paraId="4AFCEA2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00FF00"/>
            <w:vAlign w:val="center"/>
            <w:hideMark/>
          </w:tcPr>
          <w:p w14:paraId="63AF5A0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00FF00"/>
            <w:vAlign w:val="center"/>
            <w:hideMark/>
          </w:tcPr>
          <w:p w14:paraId="591D3DB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1D505ACB" w14:textId="77777777" w:rsidTr="00595060">
        <w:trPr>
          <w:trHeight w:val="864"/>
        </w:trPr>
        <w:tc>
          <w:tcPr>
            <w:tcW w:w="702" w:type="dxa"/>
            <w:gridSpan w:val="2"/>
            <w:tcBorders>
              <w:top w:val="nil"/>
              <w:left w:val="nil"/>
              <w:bottom w:val="nil"/>
              <w:right w:val="nil"/>
            </w:tcBorders>
            <w:shd w:val="clear" w:color="000000" w:fill="6FE7FF"/>
            <w:vAlign w:val="center"/>
            <w:hideMark/>
          </w:tcPr>
          <w:p w14:paraId="09DF0C1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4CE0B02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046" w:type="dxa"/>
            <w:gridSpan w:val="4"/>
            <w:tcBorders>
              <w:top w:val="nil"/>
              <w:left w:val="nil"/>
              <w:bottom w:val="nil"/>
              <w:right w:val="nil"/>
            </w:tcBorders>
            <w:shd w:val="clear" w:color="000000" w:fill="6FE7FF"/>
            <w:vAlign w:val="center"/>
            <w:hideMark/>
          </w:tcPr>
          <w:p w14:paraId="62D3303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1.</w:t>
            </w:r>
          </w:p>
        </w:tc>
        <w:tc>
          <w:tcPr>
            <w:tcW w:w="3258" w:type="dxa"/>
            <w:gridSpan w:val="2"/>
            <w:tcBorders>
              <w:top w:val="nil"/>
              <w:left w:val="nil"/>
              <w:bottom w:val="nil"/>
              <w:right w:val="nil"/>
            </w:tcBorders>
            <w:shd w:val="clear" w:color="000000" w:fill="6FE7FF"/>
            <w:vAlign w:val="center"/>
            <w:hideMark/>
          </w:tcPr>
          <w:p w14:paraId="5AEDC2F0"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Establishing a mechanism for reviewing the audit reports and the measures taken following the recommendations given in the audit reports in the RNM Assembly</w:t>
            </w:r>
          </w:p>
        </w:tc>
        <w:tc>
          <w:tcPr>
            <w:tcW w:w="522" w:type="dxa"/>
            <w:gridSpan w:val="2"/>
            <w:tcBorders>
              <w:top w:val="nil"/>
              <w:left w:val="nil"/>
              <w:bottom w:val="nil"/>
              <w:right w:val="nil"/>
            </w:tcBorders>
            <w:shd w:val="clear" w:color="000000" w:fill="6FE7FF"/>
            <w:vAlign w:val="center"/>
            <w:hideMark/>
          </w:tcPr>
          <w:p w14:paraId="6E5C4EE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664C967D"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6FE7FF"/>
            <w:vAlign w:val="center"/>
            <w:hideMark/>
          </w:tcPr>
          <w:p w14:paraId="233622D6"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6FE7FF"/>
            <w:vAlign w:val="center"/>
            <w:hideMark/>
          </w:tcPr>
          <w:p w14:paraId="6EE3350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1D75F36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6FE7FF"/>
            <w:vAlign w:val="center"/>
            <w:hideMark/>
          </w:tcPr>
          <w:p w14:paraId="5106C61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0BEAA29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6FE7FF"/>
            <w:vAlign w:val="center"/>
            <w:hideMark/>
          </w:tcPr>
          <w:p w14:paraId="436B8DA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102759D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50ADD90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386BD88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6FE7FF"/>
            <w:vAlign w:val="center"/>
            <w:hideMark/>
          </w:tcPr>
          <w:p w14:paraId="1C5E9DF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74DEEE49"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6FE7FF"/>
            <w:vAlign w:val="center"/>
            <w:hideMark/>
          </w:tcPr>
          <w:p w14:paraId="2768536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6853FA51"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6FE7FF"/>
            <w:vAlign w:val="center"/>
            <w:hideMark/>
          </w:tcPr>
          <w:p w14:paraId="78B6F13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942045" w:rsidRPr="00D30847" w14:paraId="6234480A" w14:textId="77777777" w:rsidTr="00595060">
        <w:trPr>
          <w:trHeight w:val="457"/>
        </w:trPr>
        <w:tc>
          <w:tcPr>
            <w:tcW w:w="702" w:type="dxa"/>
            <w:gridSpan w:val="2"/>
            <w:tcBorders>
              <w:top w:val="nil"/>
              <w:left w:val="nil"/>
              <w:bottom w:val="nil"/>
              <w:right w:val="nil"/>
            </w:tcBorders>
            <w:shd w:val="clear" w:color="auto" w:fill="auto"/>
            <w:vAlign w:val="bottom"/>
            <w:hideMark/>
          </w:tcPr>
          <w:p w14:paraId="2EB7DDD0" w14:textId="77777777" w:rsidR="00942045" w:rsidRPr="00D30847" w:rsidRDefault="00942045" w:rsidP="00942045">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5EC533A7"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4E5B6542"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single" w:sz="8" w:space="0" w:color="auto"/>
              <w:left w:val="single" w:sz="8" w:space="0" w:color="auto"/>
              <w:bottom w:val="single" w:sz="8" w:space="0" w:color="auto"/>
              <w:right w:val="nil"/>
            </w:tcBorders>
            <w:shd w:val="clear" w:color="auto" w:fill="auto"/>
            <w:vAlign w:val="center"/>
            <w:hideMark/>
          </w:tcPr>
          <w:p w14:paraId="23487BC8"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single" w:sz="8" w:space="0" w:color="auto"/>
              <w:left w:val="nil"/>
              <w:bottom w:val="single" w:sz="8" w:space="0" w:color="auto"/>
              <w:right w:val="single" w:sz="8" w:space="0" w:color="auto"/>
            </w:tcBorders>
            <w:shd w:val="clear" w:color="auto" w:fill="auto"/>
            <w:vAlign w:val="center"/>
            <w:hideMark/>
          </w:tcPr>
          <w:p w14:paraId="2EC1633A"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Implementation of concluded Memorandum of cooperation between the Assembly and the SAO.</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4C086B0E" w14:textId="5308081B"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9FFE0C2" w14:textId="0985E19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685E6929" w14:textId="6DD9DCE2"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08F53F50" w14:textId="27DE0E81"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438A8560" w14:textId="68EEC681" w:rsidR="00942045" w:rsidRPr="00D30847" w:rsidRDefault="00942045" w:rsidP="00942045">
            <w:pPr>
              <w:spacing w:after="0" w:line="240" w:lineRule="auto"/>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342B9F40" w14:textId="26A6A546" w:rsidR="00942045" w:rsidRPr="00D30847" w:rsidRDefault="00942045" w:rsidP="00942045">
            <w:pPr>
              <w:spacing w:after="0" w:line="240" w:lineRule="auto"/>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088918E5" w14:textId="6305092E" w:rsidR="00942045" w:rsidRPr="00D30847" w:rsidRDefault="00942045" w:rsidP="00942045">
            <w:pPr>
              <w:spacing w:after="0" w:line="240" w:lineRule="auto"/>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0E8CB6FA" w14:textId="0EC756A1" w:rsidR="00942045" w:rsidRPr="00D30847" w:rsidRDefault="00942045" w:rsidP="00942045">
            <w:pPr>
              <w:spacing w:after="0" w:line="240" w:lineRule="auto"/>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4754479F" w14:textId="5DCB2391" w:rsidR="00942045" w:rsidRPr="00D30847" w:rsidRDefault="00942045" w:rsidP="00942045">
            <w:pPr>
              <w:spacing w:after="0" w:line="240" w:lineRule="auto"/>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074C7E73" w14:textId="52BBBB99" w:rsidR="00942045" w:rsidRPr="00D30847" w:rsidRDefault="00942045" w:rsidP="00942045">
            <w:pPr>
              <w:spacing w:after="0" w:line="240" w:lineRule="auto"/>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C9BB388" w14:textId="5CBEA083" w:rsidR="00942045" w:rsidRPr="00D30847" w:rsidRDefault="00942045" w:rsidP="00942045">
            <w:pPr>
              <w:spacing w:after="0" w:line="240" w:lineRule="auto"/>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1C433343" w14:textId="3A3ECB5C" w:rsidR="00942045" w:rsidRPr="00D30847" w:rsidRDefault="00942045" w:rsidP="00942045">
            <w:pPr>
              <w:spacing w:after="0" w:line="240" w:lineRule="auto"/>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5912566C" w14:textId="747B9200" w:rsidR="00942045" w:rsidRPr="00D30847" w:rsidRDefault="00942045" w:rsidP="00942045">
            <w:pPr>
              <w:spacing w:after="0" w:line="240" w:lineRule="auto"/>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2F8A5935" w14:textId="78A63531" w:rsidR="00942045" w:rsidRPr="00D30847" w:rsidRDefault="00942045" w:rsidP="00942045">
            <w:pPr>
              <w:spacing w:after="0" w:line="240" w:lineRule="auto"/>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698D1646" w14:textId="6FE83B47" w:rsidR="00942045" w:rsidRPr="00D30847" w:rsidRDefault="00942045" w:rsidP="00942045">
            <w:pPr>
              <w:spacing w:after="0" w:line="240" w:lineRule="auto"/>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649C7B55" w14:textId="4B39AE73" w:rsidR="00942045" w:rsidRPr="00D30847" w:rsidRDefault="00942045" w:rsidP="00942045">
            <w:pPr>
              <w:spacing w:after="0" w:line="240" w:lineRule="auto"/>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942045" w:rsidRPr="00D30847" w14:paraId="4066C82D" w14:textId="77777777" w:rsidTr="00595060">
        <w:trPr>
          <w:trHeight w:val="538"/>
        </w:trPr>
        <w:tc>
          <w:tcPr>
            <w:tcW w:w="702" w:type="dxa"/>
            <w:gridSpan w:val="2"/>
            <w:tcBorders>
              <w:top w:val="nil"/>
              <w:left w:val="nil"/>
              <w:bottom w:val="nil"/>
              <w:right w:val="nil"/>
            </w:tcBorders>
            <w:shd w:val="clear" w:color="auto" w:fill="auto"/>
            <w:vAlign w:val="bottom"/>
            <w:hideMark/>
          </w:tcPr>
          <w:p w14:paraId="0ABC9183" w14:textId="77777777" w:rsidR="00942045" w:rsidRPr="00D30847" w:rsidRDefault="00942045" w:rsidP="00942045">
            <w:pPr>
              <w:spacing w:after="0" w:line="240" w:lineRule="auto"/>
              <w:rPr>
                <w:rFonts w:eastAsia="Times New Roman" w:cs="Calibri"/>
                <w:sz w:val="16"/>
                <w:szCs w:val="16"/>
                <w:lang w:val="en-GB"/>
              </w:rPr>
            </w:pPr>
          </w:p>
        </w:tc>
        <w:tc>
          <w:tcPr>
            <w:tcW w:w="464" w:type="dxa"/>
            <w:gridSpan w:val="2"/>
            <w:tcBorders>
              <w:top w:val="nil"/>
              <w:left w:val="nil"/>
              <w:bottom w:val="nil"/>
              <w:right w:val="nil"/>
            </w:tcBorders>
            <w:shd w:val="clear" w:color="auto" w:fill="auto"/>
            <w:vAlign w:val="bottom"/>
            <w:hideMark/>
          </w:tcPr>
          <w:p w14:paraId="7F26F4F3"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14900E7C" w14:textId="77777777" w:rsidR="00942045" w:rsidRPr="00D30847" w:rsidRDefault="00942045" w:rsidP="00942045">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7588566D"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0A689A53" w14:textId="77777777" w:rsidR="00942045" w:rsidRPr="00D30847" w:rsidRDefault="00942045" w:rsidP="00942045">
            <w:pPr>
              <w:spacing w:after="0" w:line="240" w:lineRule="auto"/>
              <w:rPr>
                <w:rFonts w:eastAsia="Times New Roman" w:cs="Calibri"/>
                <w:sz w:val="16"/>
                <w:szCs w:val="16"/>
                <w:lang w:val="en-GB"/>
              </w:rPr>
            </w:pPr>
            <w:r w:rsidRPr="00D30847">
              <w:rPr>
                <w:rFonts w:eastAsia="Times New Roman" w:cs="Calibri"/>
                <w:sz w:val="16"/>
                <w:szCs w:val="16"/>
                <w:lang w:val="en-GB"/>
              </w:rPr>
              <w:t>Preparation of final/proposal procedures in the SAO and the Assembly for submission and review of audit reports and other documents.</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69F5060A"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7F5AE0F"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27235C07"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128E45A6"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7712A141"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20C14469"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316A251F"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501ED9D9" w14:textId="77777777"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4A982D87" w14:textId="2DC184BE"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4B1769C3" w14:textId="632E990A"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5C412FE3" w14:textId="034C2DA0"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4BD6ED55" w14:textId="5101CA0C"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0F5BB5DE" w14:textId="424053E9"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4C5CACE9" w14:textId="008DAEE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1A624761" w14:textId="5F8F76A0"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47591AD2" w14:textId="6D3B44A8" w:rsidR="00942045" w:rsidRPr="00D30847" w:rsidRDefault="00942045" w:rsidP="00942045">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2786D3AF" w14:textId="77777777" w:rsidTr="00595060">
        <w:trPr>
          <w:trHeight w:val="615"/>
        </w:trPr>
        <w:tc>
          <w:tcPr>
            <w:tcW w:w="702" w:type="dxa"/>
            <w:gridSpan w:val="2"/>
            <w:tcBorders>
              <w:top w:val="nil"/>
              <w:left w:val="nil"/>
              <w:bottom w:val="nil"/>
              <w:right w:val="nil"/>
            </w:tcBorders>
            <w:shd w:val="clear" w:color="000000" w:fill="6FE7FF"/>
            <w:vAlign w:val="center"/>
            <w:hideMark/>
          </w:tcPr>
          <w:p w14:paraId="4FCFFCD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64" w:type="dxa"/>
            <w:gridSpan w:val="2"/>
            <w:tcBorders>
              <w:top w:val="nil"/>
              <w:left w:val="nil"/>
              <w:bottom w:val="nil"/>
              <w:right w:val="nil"/>
            </w:tcBorders>
            <w:shd w:val="clear" w:color="000000" w:fill="6FE7FF"/>
            <w:vAlign w:val="center"/>
            <w:hideMark/>
          </w:tcPr>
          <w:p w14:paraId="79241D0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1276" w:type="dxa"/>
            <w:gridSpan w:val="2"/>
            <w:tcBorders>
              <w:top w:val="nil"/>
              <w:left w:val="nil"/>
              <w:bottom w:val="nil"/>
              <w:right w:val="nil"/>
            </w:tcBorders>
            <w:shd w:val="clear" w:color="000000" w:fill="6FE7FF"/>
            <w:vAlign w:val="center"/>
            <w:hideMark/>
          </w:tcPr>
          <w:p w14:paraId="797A433F"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Measure 2.</w:t>
            </w:r>
          </w:p>
        </w:tc>
        <w:tc>
          <w:tcPr>
            <w:tcW w:w="1770" w:type="dxa"/>
            <w:gridSpan w:val="2"/>
            <w:tcBorders>
              <w:top w:val="nil"/>
              <w:left w:val="nil"/>
              <w:bottom w:val="nil"/>
              <w:right w:val="nil"/>
            </w:tcBorders>
            <w:shd w:val="clear" w:color="000000" w:fill="6FE7FF"/>
            <w:vAlign w:val="center"/>
            <w:hideMark/>
          </w:tcPr>
          <w:p w14:paraId="6272C09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258" w:type="dxa"/>
            <w:gridSpan w:val="2"/>
            <w:tcBorders>
              <w:top w:val="nil"/>
              <w:left w:val="nil"/>
              <w:bottom w:val="nil"/>
              <w:right w:val="nil"/>
            </w:tcBorders>
            <w:shd w:val="clear" w:color="000000" w:fill="6FE7FF"/>
            <w:vAlign w:val="center"/>
            <w:hideMark/>
          </w:tcPr>
          <w:p w14:paraId="6753790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Strengthening the institutional capacities for reviewing audit reports in the Assembly of RNM.</w:t>
            </w:r>
          </w:p>
        </w:tc>
        <w:tc>
          <w:tcPr>
            <w:tcW w:w="522" w:type="dxa"/>
            <w:gridSpan w:val="2"/>
            <w:tcBorders>
              <w:top w:val="nil"/>
              <w:left w:val="nil"/>
              <w:bottom w:val="nil"/>
              <w:right w:val="nil"/>
            </w:tcBorders>
            <w:shd w:val="clear" w:color="000000" w:fill="6FE7FF"/>
            <w:vAlign w:val="center"/>
            <w:hideMark/>
          </w:tcPr>
          <w:p w14:paraId="085724B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122931A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82" w:type="dxa"/>
            <w:gridSpan w:val="3"/>
            <w:tcBorders>
              <w:top w:val="nil"/>
              <w:left w:val="nil"/>
              <w:bottom w:val="nil"/>
              <w:right w:val="nil"/>
            </w:tcBorders>
            <w:shd w:val="clear" w:color="000000" w:fill="6FE7FF"/>
            <w:vAlign w:val="center"/>
            <w:hideMark/>
          </w:tcPr>
          <w:p w14:paraId="516319C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80" w:type="dxa"/>
            <w:gridSpan w:val="3"/>
            <w:tcBorders>
              <w:top w:val="nil"/>
              <w:left w:val="nil"/>
              <w:bottom w:val="nil"/>
              <w:right w:val="nil"/>
            </w:tcBorders>
            <w:shd w:val="clear" w:color="000000" w:fill="6FE7FF"/>
            <w:vAlign w:val="center"/>
            <w:hideMark/>
          </w:tcPr>
          <w:p w14:paraId="61E0CB0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07D975F5"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12" w:type="dxa"/>
            <w:gridSpan w:val="3"/>
            <w:tcBorders>
              <w:top w:val="nil"/>
              <w:left w:val="nil"/>
              <w:bottom w:val="nil"/>
              <w:right w:val="nil"/>
            </w:tcBorders>
            <w:shd w:val="clear" w:color="000000" w:fill="6FE7FF"/>
            <w:vAlign w:val="center"/>
            <w:hideMark/>
          </w:tcPr>
          <w:p w14:paraId="3C8EE423"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50D2EC0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40" w:type="dxa"/>
            <w:gridSpan w:val="3"/>
            <w:tcBorders>
              <w:top w:val="nil"/>
              <w:left w:val="nil"/>
              <w:bottom w:val="nil"/>
              <w:right w:val="nil"/>
            </w:tcBorders>
            <w:shd w:val="clear" w:color="000000" w:fill="6FE7FF"/>
            <w:vAlign w:val="center"/>
            <w:hideMark/>
          </w:tcPr>
          <w:p w14:paraId="46B5B62A"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441A3922"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3D0E98F4"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378" w:type="dxa"/>
            <w:gridSpan w:val="2"/>
            <w:tcBorders>
              <w:top w:val="nil"/>
              <w:left w:val="nil"/>
              <w:bottom w:val="nil"/>
              <w:right w:val="nil"/>
            </w:tcBorders>
            <w:shd w:val="clear" w:color="000000" w:fill="6FE7FF"/>
            <w:vAlign w:val="center"/>
            <w:hideMark/>
          </w:tcPr>
          <w:p w14:paraId="740EAD0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522" w:type="dxa"/>
            <w:gridSpan w:val="3"/>
            <w:tcBorders>
              <w:top w:val="nil"/>
              <w:left w:val="nil"/>
              <w:bottom w:val="nil"/>
              <w:right w:val="nil"/>
            </w:tcBorders>
            <w:shd w:val="clear" w:color="000000" w:fill="6FE7FF"/>
            <w:vAlign w:val="center"/>
            <w:hideMark/>
          </w:tcPr>
          <w:p w14:paraId="7211681E"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4"/>
            <w:tcBorders>
              <w:top w:val="nil"/>
              <w:left w:val="nil"/>
              <w:bottom w:val="nil"/>
              <w:right w:val="nil"/>
            </w:tcBorders>
            <w:shd w:val="clear" w:color="000000" w:fill="6FE7FF"/>
            <w:vAlign w:val="center"/>
            <w:hideMark/>
          </w:tcPr>
          <w:p w14:paraId="20D4411C"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2"/>
            <w:tcBorders>
              <w:top w:val="nil"/>
              <w:left w:val="nil"/>
              <w:bottom w:val="nil"/>
              <w:right w:val="nil"/>
            </w:tcBorders>
            <w:shd w:val="clear" w:color="000000" w:fill="6FE7FF"/>
            <w:vAlign w:val="center"/>
            <w:hideMark/>
          </w:tcPr>
          <w:p w14:paraId="09D28C8B"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450" w:type="dxa"/>
            <w:gridSpan w:val="3"/>
            <w:tcBorders>
              <w:top w:val="nil"/>
              <w:left w:val="nil"/>
              <w:bottom w:val="nil"/>
              <w:right w:val="nil"/>
            </w:tcBorders>
            <w:shd w:val="clear" w:color="000000" w:fill="6FE7FF"/>
            <w:vAlign w:val="center"/>
            <w:hideMark/>
          </w:tcPr>
          <w:p w14:paraId="6D665AE7"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c>
          <w:tcPr>
            <w:tcW w:w="648" w:type="dxa"/>
            <w:gridSpan w:val="3"/>
            <w:tcBorders>
              <w:top w:val="nil"/>
              <w:left w:val="nil"/>
              <w:bottom w:val="nil"/>
              <w:right w:val="nil"/>
            </w:tcBorders>
            <w:shd w:val="clear" w:color="000000" w:fill="6FE7FF"/>
            <w:vAlign w:val="center"/>
            <w:hideMark/>
          </w:tcPr>
          <w:p w14:paraId="0ABA48C8" w14:textId="77777777" w:rsidR="00C93723" w:rsidRPr="00D30847" w:rsidRDefault="00C93723" w:rsidP="00C93723">
            <w:pPr>
              <w:spacing w:after="0" w:line="240" w:lineRule="auto"/>
              <w:rPr>
                <w:rFonts w:eastAsia="Times New Roman" w:cs="Calibri"/>
                <w:b/>
                <w:bCs/>
                <w:sz w:val="16"/>
                <w:szCs w:val="16"/>
                <w:lang w:val="en-GB"/>
              </w:rPr>
            </w:pPr>
            <w:r w:rsidRPr="00D30847">
              <w:rPr>
                <w:rFonts w:eastAsia="Times New Roman" w:cs="Calibri"/>
                <w:b/>
                <w:bCs/>
                <w:sz w:val="16"/>
                <w:szCs w:val="16"/>
                <w:lang w:val="en-GB"/>
              </w:rPr>
              <w:t> </w:t>
            </w:r>
          </w:p>
        </w:tc>
      </w:tr>
      <w:tr w:rsidR="00C93723" w:rsidRPr="00D30847" w14:paraId="4A2943F4" w14:textId="77777777" w:rsidTr="001B576F">
        <w:trPr>
          <w:trHeight w:val="1024"/>
        </w:trPr>
        <w:tc>
          <w:tcPr>
            <w:tcW w:w="702" w:type="dxa"/>
            <w:gridSpan w:val="2"/>
            <w:tcBorders>
              <w:top w:val="nil"/>
              <w:left w:val="nil"/>
              <w:bottom w:val="nil"/>
              <w:right w:val="nil"/>
            </w:tcBorders>
            <w:shd w:val="clear" w:color="auto" w:fill="auto"/>
            <w:vAlign w:val="bottom"/>
            <w:hideMark/>
          </w:tcPr>
          <w:p w14:paraId="7A73AECC" w14:textId="77777777" w:rsidR="00C93723" w:rsidRPr="00D30847" w:rsidRDefault="00C93723" w:rsidP="00C93723">
            <w:pPr>
              <w:spacing w:after="0" w:line="240" w:lineRule="auto"/>
              <w:rPr>
                <w:rFonts w:eastAsia="Times New Roman" w:cs="Calibri"/>
                <w:b/>
                <w:bCs/>
                <w:sz w:val="16"/>
                <w:szCs w:val="16"/>
                <w:lang w:val="en-GB"/>
              </w:rPr>
            </w:pPr>
          </w:p>
        </w:tc>
        <w:tc>
          <w:tcPr>
            <w:tcW w:w="464" w:type="dxa"/>
            <w:gridSpan w:val="2"/>
            <w:tcBorders>
              <w:top w:val="nil"/>
              <w:left w:val="nil"/>
              <w:bottom w:val="nil"/>
              <w:right w:val="nil"/>
            </w:tcBorders>
            <w:shd w:val="clear" w:color="auto" w:fill="auto"/>
            <w:vAlign w:val="bottom"/>
            <w:hideMark/>
          </w:tcPr>
          <w:p w14:paraId="4305BA3A"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4DC60F1F"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single" w:sz="8" w:space="0" w:color="auto"/>
              <w:left w:val="single" w:sz="8" w:space="0" w:color="auto"/>
              <w:bottom w:val="single" w:sz="8" w:space="0" w:color="auto"/>
              <w:right w:val="nil"/>
            </w:tcBorders>
            <w:shd w:val="clear" w:color="auto" w:fill="auto"/>
            <w:vAlign w:val="center"/>
            <w:hideMark/>
          </w:tcPr>
          <w:p w14:paraId="423F001D"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1.</w:t>
            </w:r>
          </w:p>
        </w:tc>
        <w:tc>
          <w:tcPr>
            <w:tcW w:w="3258" w:type="dxa"/>
            <w:gridSpan w:val="2"/>
            <w:tcBorders>
              <w:top w:val="single" w:sz="8" w:space="0" w:color="auto"/>
              <w:left w:val="nil"/>
              <w:bottom w:val="single" w:sz="8" w:space="0" w:color="auto"/>
              <w:right w:val="single" w:sz="8" w:space="0" w:color="auto"/>
            </w:tcBorders>
            <w:shd w:val="clear" w:color="auto" w:fill="auto"/>
            <w:vAlign w:val="center"/>
            <w:hideMark/>
          </w:tcPr>
          <w:p w14:paraId="05F428F0"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Preparation of a Training Plan for MPs and employees of the RNM Assembly Service in order to facilitate the understanding of the audit reports and preparation for a debate on the audit reports.</w:t>
            </w:r>
          </w:p>
        </w:tc>
        <w:tc>
          <w:tcPr>
            <w:tcW w:w="522" w:type="dxa"/>
            <w:gridSpan w:val="2"/>
            <w:tcBorders>
              <w:top w:val="nil"/>
              <w:left w:val="nil"/>
              <w:bottom w:val="single" w:sz="8" w:space="0" w:color="auto"/>
              <w:right w:val="single" w:sz="8" w:space="0" w:color="auto"/>
            </w:tcBorders>
            <w:shd w:val="clear" w:color="auto" w:fill="auto"/>
            <w:vAlign w:val="center"/>
            <w:hideMark/>
          </w:tcPr>
          <w:p w14:paraId="02D32ED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7AB8DC0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auto" w:fill="auto"/>
            <w:vAlign w:val="center"/>
            <w:hideMark/>
          </w:tcPr>
          <w:p w14:paraId="20DDBDE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auto" w:fill="0000FF"/>
            <w:vAlign w:val="center"/>
            <w:hideMark/>
          </w:tcPr>
          <w:p w14:paraId="75CC25A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0000FF"/>
            <w:vAlign w:val="center"/>
            <w:hideMark/>
          </w:tcPr>
          <w:p w14:paraId="33CD81D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6DFAC67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489D516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5649761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5B43889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48DB48C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F8461F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34AF593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45FE389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44CE001A"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2DE6B9F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07790E6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67987CEA" w14:textId="77777777" w:rsidTr="001B576F">
        <w:trPr>
          <w:trHeight w:val="880"/>
        </w:trPr>
        <w:tc>
          <w:tcPr>
            <w:tcW w:w="702" w:type="dxa"/>
            <w:gridSpan w:val="2"/>
            <w:tcBorders>
              <w:top w:val="nil"/>
              <w:left w:val="nil"/>
              <w:bottom w:val="nil"/>
              <w:right w:val="nil"/>
            </w:tcBorders>
            <w:shd w:val="clear" w:color="auto" w:fill="auto"/>
            <w:vAlign w:val="bottom"/>
            <w:hideMark/>
          </w:tcPr>
          <w:p w14:paraId="2C20C1A2"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7FB11D18"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48B6193B"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0CF2BB7D"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2.</w:t>
            </w:r>
          </w:p>
        </w:tc>
        <w:tc>
          <w:tcPr>
            <w:tcW w:w="3258" w:type="dxa"/>
            <w:gridSpan w:val="2"/>
            <w:tcBorders>
              <w:top w:val="nil"/>
              <w:left w:val="nil"/>
              <w:bottom w:val="single" w:sz="8" w:space="0" w:color="auto"/>
              <w:right w:val="single" w:sz="8" w:space="0" w:color="auto"/>
            </w:tcBorders>
            <w:shd w:val="clear" w:color="auto" w:fill="auto"/>
            <w:vAlign w:val="center"/>
            <w:hideMark/>
          </w:tcPr>
          <w:p w14:paraId="570F4FB9"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 xml:space="preserve">Conducting trainings in accordance with the Training Plan for the Members of Parliament and employees of the RNM Assembly Service in order to facilitate the understanding of the audit reports and preparation for the debate on the audit reports. </w:t>
            </w:r>
          </w:p>
        </w:tc>
        <w:tc>
          <w:tcPr>
            <w:tcW w:w="522" w:type="dxa"/>
            <w:gridSpan w:val="2"/>
            <w:tcBorders>
              <w:top w:val="nil"/>
              <w:left w:val="nil"/>
              <w:bottom w:val="single" w:sz="8" w:space="0" w:color="auto"/>
              <w:right w:val="single" w:sz="8" w:space="0" w:color="auto"/>
            </w:tcBorders>
            <w:shd w:val="clear" w:color="auto" w:fill="auto"/>
            <w:vAlign w:val="center"/>
            <w:hideMark/>
          </w:tcPr>
          <w:p w14:paraId="0172579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auto" w:fill="auto"/>
            <w:vAlign w:val="center"/>
            <w:hideMark/>
          </w:tcPr>
          <w:p w14:paraId="1A96ADC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auto" w:fill="auto"/>
            <w:vAlign w:val="center"/>
            <w:hideMark/>
          </w:tcPr>
          <w:p w14:paraId="219532B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auto" w:fill="0000FF"/>
            <w:vAlign w:val="center"/>
            <w:hideMark/>
          </w:tcPr>
          <w:p w14:paraId="73C754C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410C6AF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1471448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585FAA7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691C725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035C951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11D10A8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B8E594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3F02D58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6AC65762"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5613456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3C5A9BE5"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7B1B765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r w:rsidR="00C93723" w:rsidRPr="00D30847" w14:paraId="753C3A1F" w14:textId="77777777" w:rsidTr="00595060">
        <w:trPr>
          <w:trHeight w:val="610"/>
        </w:trPr>
        <w:tc>
          <w:tcPr>
            <w:tcW w:w="702" w:type="dxa"/>
            <w:gridSpan w:val="2"/>
            <w:tcBorders>
              <w:top w:val="nil"/>
              <w:left w:val="nil"/>
              <w:bottom w:val="nil"/>
              <w:right w:val="nil"/>
            </w:tcBorders>
            <w:shd w:val="clear" w:color="auto" w:fill="auto"/>
            <w:vAlign w:val="bottom"/>
            <w:hideMark/>
          </w:tcPr>
          <w:p w14:paraId="5FFD0096" w14:textId="77777777" w:rsidR="00C93723" w:rsidRPr="00D30847" w:rsidRDefault="00C93723" w:rsidP="00C93723">
            <w:pPr>
              <w:spacing w:after="0" w:line="240" w:lineRule="auto"/>
              <w:jc w:val="center"/>
              <w:rPr>
                <w:rFonts w:eastAsia="Times New Roman" w:cs="Calibri"/>
                <w:color w:val="FFFFFF"/>
                <w:sz w:val="16"/>
                <w:szCs w:val="16"/>
                <w:lang w:val="en-GB"/>
              </w:rPr>
            </w:pPr>
          </w:p>
        </w:tc>
        <w:tc>
          <w:tcPr>
            <w:tcW w:w="464" w:type="dxa"/>
            <w:gridSpan w:val="2"/>
            <w:tcBorders>
              <w:top w:val="nil"/>
              <w:left w:val="nil"/>
              <w:bottom w:val="nil"/>
              <w:right w:val="nil"/>
            </w:tcBorders>
            <w:shd w:val="clear" w:color="auto" w:fill="auto"/>
            <w:vAlign w:val="bottom"/>
            <w:hideMark/>
          </w:tcPr>
          <w:p w14:paraId="080C63B2"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276" w:type="dxa"/>
            <w:gridSpan w:val="2"/>
            <w:tcBorders>
              <w:top w:val="nil"/>
              <w:left w:val="nil"/>
              <w:bottom w:val="nil"/>
              <w:right w:val="nil"/>
            </w:tcBorders>
            <w:shd w:val="clear" w:color="auto" w:fill="auto"/>
            <w:vAlign w:val="bottom"/>
            <w:hideMark/>
          </w:tcPr>
          <w:p w14:paraId="5E59580A" w14:textId="77777777" w:rsidR="00C93723" w:rsidRPr="00D30847" w:rsidRDefault="00C93723" w:rsidP="00C93723">
            <w:pPr>
              <w:spacing w:after="0" w:line="240" w:lineRule="auto"/>
              <w:rPr>
                <w:rFonts w:ascii="Times New Roman" w:eastAsia="Times New Roman" w:hAnsi="Times New Roman"/>
                <w:sz w:val="16"/>
                <w:szCs w:val="16"/>
                <w:lang w:val="en-GB"/>
              </w:rPr>
            </w:pPr>
          </w:p>
        </w:tc>
        <w:tc>
          <w:tcPr>
            <w:tcW w:w="1770" w:type="dxa"/>
            <w:gridSpan w:val="2"/>
            <w:tcBorders>
              <w:top w:val="nil"/>
              <w:left w:val="single" w:sz="8" w:space="0" w:color="auto"/>
              <w:bottom w:val="single" w:sz="8" w:space="0" w:color="auto"/>
              <w:right w:val="nil"/>
            </w:tcBorders>
            <w:shd w:val="clear" w:color="auto" w:fill="auto"/>
            <w:vAlign w:val="center"/>
            <w:hideMark/>
          </w:tcPr>
          <w:p w14:paraId="24935033"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Activity 3.</w:t>
            </w:r>
          </w:p>
        </w:tc>
        <w:tc>
          <w:tcPr>
            <w:tcW w:w="3258" w:type="dxa"/>
            <w:gridSpan w:val="2"/>
            <w:tcBorders>
              <w:top w:val="nil"/>
              <w:left w:val="nil"/>
              <w:bottom w:val="single" w:sz="8" w:space="0" w:color="auto"/>
              <w:right w:val="single" w:sz="8" w:space="0" w:color="auto"/>
            </w:tcBorders>
            <w:shd w:val="clear" w:color="auto" w:fill="auto"/>
            <w:vAlign w:val="center"/>
            <w:hideMark/>
          </w:tcPr>
          <w:p w14:paraId="427882D4" w14:textId="77777777" w:rsidR="00C93723" w:rsidRPr="00D30847" w:rsidRDefault="00C93723" w:rsidP="00C93723">
            <w:pPr>
              <w:spacing w:after="0" w:line="240" w:lineRule="auto"/>
              <w:rPr>
                <w:rFonts w:eastAsia="Times New Roman" w:cs="Calibri"/>
                <w:sz w:val="16"/>
                <w:szCs w:val="16"/>
                <w:lang w:val="en-GB"/>
              </w:rPr>
            </w:pPr>
            <w:r w:rsidRPr="00D30847">
              <w:rPr>
                <w:rFonts w:eastAsia="Times New Roman" w:cs="Calibri"/>
                <w:sz w:val="16"/>
                <w:szCs w:val="16"/>
                <w:lang w:val="en-GB"/>
              </w:rPr>
              <w:t>Implementation of activities for strengthening cooperation with Committee on Financing and Budget,</w:t>
            </w:r>
            <w:r w:rsidRPr="00D30847">
              <w:rPr>
                <w:rFonts w:eastAsia="Times New Roman" w:cs="Calibri"/>
                <w:sz w:val="16"/>
                <w:szCs w:val="16"/>
                <w:lang w:val="en-GB"/>
              </w:rPr>
              <w:br/>
              <w:t>Parliamentary Institute and the Parliamentary budget office of the RNM Assembly.</w:t>
            </w:r>
          </w:p>
        </w:tc>
        <w:tc>
          <w:tcPr>
            <w:tcW w:w="522" w:type="dxa"/>
            <w:gridSpan w:val="2"/>
            <w:tcBorders>
              <w:top w:val="nil"/>
              <w:left w:val="nil"/>
              <w:bottom w:val="single" w:sz="8" w:space="0" w:color="auto"/>
              <w:right w:val="single" w:sz="8" w:space="0" w:color="auto"/>
            </w:tcBorders>
            <w:shd w:val="clear" w:color="000000" w:fill="0000FF"/>
            <w:vAlign w:val="center"/>
            <w:hideMark/>
          </w:tcPr>
          <w:p w14:paraId="243FD1BD"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3F5E078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82" w:type="dxa"/>
            <w:gridSpan w:val="3"/>
            <w:tcBorders>
              <w:top w:val="nil"/>
              <w:left w:val="nil"/>
              <w:bottom w:val="single" w:sz="8" w:space="0" w:color="auto"/>
              <w:right w:val="single" w:sz="8" w:space="0" w:color="auto"/>
            </w:tcBorders>
            <w:shd w:val="clear" w:color="000000" w:fill="0000FF"/>
            <w:vAlign w:val="center"/>
            <w:hideMark/>
          </w:tcPr>
          <w:p w14:paraId="15533437"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80" w:type="dxa"/>
            <w:gridSpan w:val="3"/>
            <w:tcBorders>
              <w:top w:val="nil"/>
              <w:left w:val="nil"/>
              <w:bottom w:val="single" w:sz="8" w:space="0" w:color="auto"/>
              <w:right w:val="single" w:sz="8" w:space="0" w:color="auto"/>
            </w:tcBorders>
            <w:shd w:val="clear" w:color="000000" w:fill="0000FF"/>
            <w:vAlign w:val="center"/>
            <w:hideMark/>
          </w:tcPr>
          <w:p w14:paraId="3406CC9E"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03E48A71"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12" w:type="dxa"/>
            <w:gridSpan w:val="3"/>
            <w:tcBorders>
              <w:top w:val="nil"/>
              <w:left w:val="nil"/>
              <w:bottom w:val="single" w:sz="8" w:space="0" w:color="auto"/>
              <w:right w:val="single" w:sz="8" w:space="0" w:color="auto"/>
            </w:tcBorders>
            <w:shd w:val="clear" w:color="000000" w:fill="0000FF"/>
            <w:vAlign w:val="center"/>
            <w:hideMark/>
          </w:tcPr>
          <w:p w14:paraId="719FB7A3"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1754D6F6"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40" w:type="dxa"/>
            <w:gridSpan w:val="3"/>
            <w:tcBorders>
              <w:top w:val="nil"/>
              <w:left w:val="nil"/>
              <w:bottom w:val="single" w:sz="8" w:space="0" w:color="auto"/>
              <w:right w:val="single" w:sz="8" w:space="0" w:color="auto"/>
            </w:tcBorders>
            <w:shd w:val="clear" w:color="000000" w:fill="0000FF"/>
            <w:vAlign w:val="center"/>
            <w:hideMark/>
          </w:tcPr>
          <w:p w14:paraId="2CC760D4"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77DA671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10B2323B"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378" w:type="dxa"/>
            <w:gridSpan w:val="2"/>
            <w:tcBorders>
              <w:top w:val="nil"/>
              <w:left w:val="nil"/>
              <w:bottom w:val="single" w:sz="8" w:space="0" w:color="auto"/>
              <w:right w:val="single" w:sz="8" w:space="0" w:color="auto"/>
            </w:tcBorders>
            <w:shd w:val="clear" w:color="000000" w:fill="0000FF"/>
            <w:vAlign w:val="center"/>
            <w:hideMark/>
          </w:tcPr>
          <w:p w14:paraId="1F3DB68F"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522" w:type="dxa"/>
            <w:gridSpan w:val="3"/>
            <w:tcBorders>
              <w:top w:val="nil"/>
              <w:left w:val="nil"/>
              <w:bottom w:val="single" w:sz="8" w:space="0" w:color="auto"/>
              <w:right w:val="single" w:sz="8" w:space="0" w:color="auto"/>
            </w:tcBorders>
            <w:shd w:val="clear" w:color="000000" w:fill="0000FF"/>
            <w:vAlign w:val="center"/>
            <w:hideMark/>
          </w:tcPr>
          <w:p w14:paraId="1D915D79"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4"/>
            <w:tcBorders>
              <w:top w:val="nil"/>
              <w:left w:val="nil"/>
              <w:bottom w:val="single" w:sz="8" w:space="0" w:color="auto"/>
              <w:right w:val="single" w:sz="8" w:space="0" w:color="auto"/>
            </w:tcBorders>
            <w:shd w:val="clear" w:color="000000" w:fill="0000FF"/>
            <w:vAlign w:val="center"/>
            <w:hideMark/>
          </w:tcPr>
          <w:p w14:paraId="6CBBB66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2"/>
            <w:tcBorders>
              <w:top w:val="nil"/>
              <w:left w:val="nil"/>
              <w:bottom w:val="single" w:sz="8" w:space="0" w:color="auto"/>
              <w:right w:val="single" w:sz="8" w:space="0" w:color="auto"/>
            </w:tcBorders>
            <w:shd w:val="clear" w:color="000000" w:fill="0000FF"/>
            <w:vAlign w:val="center"/>
            <w:hideMark/>
          </w:tcPr>
          <w:p w14:paraId="7851B09C"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450" w:type="dxa"/>
            <w:gridSpan w:val="3"/>
            <w:tcBorders>
              <w:top w:val="nil"/>
              <w:left w:val="nil"/>
              <w:bottom w:val="single" w:sz="8" w:space="0" w:color="auto"/>
              <w:right w:val="single" w:sz="8" w:space="0" w:color="auto"/>
            </w:tcBorders>
            <w:shd w:val="clear" w:color="000000" w:fill="0000FF"/>
            <w:vAlign w:val="center"/>
            <w:hideMark/>
          </w:tcPr>
          <w:p w14:paraId="70F14230"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c>
          <w:tcPr>
            <w:tcW w:w="648" w:type="dxa"/>
            <w:gridSpan w:val="3"/>
            <w:tcBorders>
              <w:top w:val="nil"/>
              <w:left w:val="nil"/>
              <w:bottom w:val="single" w:sz="8" w:space="0" w:color="auto"/>
              <w:right w:val="single" w:sz="8" w:space="0" w:color="auto"/>
            </w:tcBorders>
            <w:shd w:val="clear" w:color="000000" w:fill="0000FF"/>
            <w:vAlign w:val="center"/>
            <w:hideMark/>
          </w:tcPr>
          <w:p w14:paraId="72850C78" w14:textId="77777777" w:rsidR="00C93723" w:rsidRPr="00D30847" w:rsidRDefault="00C93723" w:rsidP="00C93723">
            <w:pPr>
              <w:spacing w:after="0" w:line="240" w:lineRule="auto"/>
              <w:jc w:val="center"/>
              <w:rPr>
                <w:rFonts w:eastAsia="Times New Roman" w:cs="Calibri"/>
                <w:color w:val="FFFFFF"/>
                <w:sz w:val="16"/>
                <w:szCs w:val="16"/>
                <w:lang w:val="en-GB"/>
              </w:rPr>
            </w:pPr>
            <w:r w:rsidRPr="00D30847">
              <w:rPr>
                <w:rFonts w:eastAsia="Times New Roman" w:cs="Calibri"/>
                <w:color w:val="FFFFFF"/>
                <w:sz w:val="16"/>
                <w:szCs w:val="16"/>
                <w:lang w:val="en-GB"/>
              </w:rPr>
              <w:t> </w:t>
            </w:r>
          </w:p>
        </w:tc>
      </w:tr>
    </w:tbl>
    <w:p w14:paraId="5CC9B5A3" w14:textId="60D5A6ED" w:rsidR="001B4C45" w:rsidRPr="00D30847" w:rsidRDefault="00C022CE" w:rsidP="00E84CD0">
      <w:pPr>
        <w:pStyle w:val="Heading1"/>
        <w:spacing w:line="240" w:lineRule="auto"/>
        <w:jc w:val="both"/>
        <w:rPr>
          <w:rFonts w:ascii="Calibri" w:eastAsia="MS PGothic" w:hAnsi="Calibri" w:cs="Calibri"/>
          <w:color w:val="2F5496"/>
          <w:kern w:val="0"/>
          <w:lang w:val="en-GB" w:eastAsia="zh-CN"/>
        </w:rPr>
      </w:pPr>
      <w:r w:rsidRPr="00D30847">
        <w:rPr>
          <w:rFonts w:eastAsia="MS PGothic"/>
          <w:lang w:val="en-GB" w:eastAsia="zh-CN"/>
        </w:rPr>
        <w:br w:type="page"/>
      </w:r>
      <w:r w:rsidR="00DF0C16" w:rsidRPr="00D30847">
        <w:rPr>
          <w:rFonts w:eastAsia="MS PGothic"/>
          <w:lang w:val="en-GB" w:eastAsia="zh-CN"/>
        </w:rPr>
        <w:lastRenderedPageBreak/>
        <w:t xml:space="preserve">    </w:t>
      </w:r>
      <w:bookmarkStart w:id="74" w:name="_Toc187841827"/>
      <w:r w:rsidR="00A42B0B" w:rsidRPr="00D30847">
        <w:rPr>
          <w:rFonts w:ascii="Calibri" w:eastAsia="MS PGothic" w:hAnsi="Calibri" w:cs="Calibri"/>
          <w:color w:val="2F5496"/>
          <w:kern w:val="0"/>
          <w:lang w:val="en-GB" w:eastAsia="zh-CN"/>
        </w:rPr>
        <w:t>A</w:t>
      </w:r>
      <w:r w:rsidR="00726AC7" w:rsidRPr="00D30847">
        <w:rPr>
          <w:rFonts w:ascii="Calibri" w:eastAsia="MS PGothic" w:hAnsi="Calibri" w:cs="Calibri"/>
          <w:color w:val="2F5496"/>
          <w:kern w:val="0"/>
          <w:lang w:val="en-GB" w:eastAsia="zh-CN"/>
        </w:rPr>
        <w:t>nnex</w:t>
      </w:r>
      <w:r w:rsidR="00F368A1">
        <w:rPr>
          <w:rFonts w:ascii="Calibri" w:eastAsia="MS PGothic" w:hAnsi="Calibri" w:cs="Calibri"/>
          <w:color w:val="2F5496"/>
          <w:kern w:val="0"/>
          <w:lang w:val="en-GB" w:eastAsia="zh-CN"/>
        </w:rPr>
        <w:t xml:space="preserve"> </w:t>
      </w:r>
      <w:r w:rsidR="00726AC7" w:rsidRPr="00D30847">
        <w:rPr>
          <w:rFonts w:ascii="Calibri" w:eastAsia="MS PGothic" w:hAnsi="Calibri" w:cs="Calibri"/>
          <w:color w:val="2F5496"/>
          <w:kern w:val="0"/>
          <w:lang w:val="en-GB" w:eastAsia="zh-CN"/>
        </w:rPr>
        <w:t>II</w:t>
      </w:r>
      <w:r w:rsidR="00A42B0B" w:rsidRPr="00D30847">
        <w:rPr>
          <w:rFonts w:ascii="Calibri" w:eastAsia="MS PGothic" w:hAnsi="Calibri" w:cs="Calibri"/>
          <w:color w:val="2F5496"/>
          <w:kern w:val="0"/>
          <w:lang w:val="en-GB" w:eastAsia="zh-CN"/>
        </w:rPr>
        <w:t xml:space="preserve"> – </w:t>
      </w:r>
      <w:proofErr w:type="spellStart"/>
      <w:r w:rsidR="00A42B0B" w:rsidRPr="00D30847">
        <w:rPr>
          <w:rFonts w:ascii="Calibri" w:eastAsia="MS PGothic" w:hAnsi="Calibri" w:cs="Calibri"/>
          <w:color w:val="2F5496"/>
          <w:kern w:val="0"/>
          <w:lang w:val="en-GB" w:eastAsia="zh-CN"/>
        </w:rPr>
        <w:t>Logframe</w:t>
      </w:r>
      <w:proofErr w:type="spellEnd"/>
      <w:r w:rsidR="00A42B0B" w:rsidRPr="00D30847">
        <w:rPr>
          <w:rFonts w:ascii="Calibri" w:eastAsia="MS PGothic" w:hAnsi="Calibri" w:cs="Calibri"/>
          <w:color w:val="2F5496"/>
          <w:kern w:val="0"/>
          <w:lang w:val="en-GB" w:eastAsia="zh-CN"/>
        </w:rPr>
        <w:t xml:space="preserve"> table</w:t>
      </w:r>
      <w:r w:rsidR="00FB5DF5" w:rsidRPr="00D30847">
        <w:rPr>
          <w:rFonts w:ascii="Calibri" w:eastAsia="MS PGothic" w:hAnsi="Calibri" w:cs="Calibri"/>
          <w:color w:val="2F5496"/>
          <w:kern w:val="0"/>
          <w:lang w:val="en-GB" w:eastAsia="zh-CN"/>
        </w:rPr>
        <w:t xml:space="preserve"> for the PFM Reform Programme 202</w:t>
      </w:r>
      <w:r w:rsidR="00EA2E6F" w:rsidRPr="00D30847">
        <w:rPr>
          <w:rFonts w:ascii="Calibri" w:eastAsia="MS PGothic" w:hAnsi="Calibri" w:cs="Calibri"/>
          <w:color w:val="2F5496"/>
          <w:kern w:val="0"/>
          <w:lang w:val="en-GB" w:eastAsia="zh-CN"/>
        </w:rPr>
        <w:t>5</w:t>
      </w:r>
      <w:r w:rsidR="00FB5DF5" w:rsidRPr="00D30847">
        <w:rPr>
          <w:rFonts w:ascii="Calibri" w:eastAsia="MS PGothic" w:hAnsi="Calibri" w:cs="Calibri"/>
          <w:color w:val="2F5496"/>
          <w:kern w:val="0"/>
          <w:lang w:val="en-GB" w:eastAsia="zh-CN"/>
        </w:rPr>
        <w:t xml:space="preserve"> - 202</w:t>
      </w:r>
      <w:r w:rsidR="00EA2E6F" w:rsidRPr="00D30847">
        <w:rPr>
          <w:rFonts w:ascii="Calibri" w:eastAsia="MS PGothic" w:hAnsi="Calibri" w:cs="Calibri"/>
          <w:color w:val="2F5496"/>
          <w:kern w:val="0"/>
          <w:lang w:val="en-GB" w:eastAsia="zh-CN"/>
        </w:rPr>
        <w:t>8</w:t>
      </w:r>
      <w:bookmarkEnd w:id="74"/>
    </w:p>
    <w:tbl>
      <w:tblPr>
        <w:tblW w:w="135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
        <w:gridCol w:w="10"/>
        <w:gridCol w:w="17"/>
        <w:gridCol w:w="1288"/>
        <w:gridCol w:w="24"/>
        <w:gridCol w:w="991"/>
        <w:gridCol w:w="38"/>
        <w:gridCol w:w="157"/>
        <w:gridCol w:w="1559"/>
        <w:gridCol w:w="46"/>
        <w:gridCol w:w="36"/>
        <w:gridCol w:w="1170"/>
        <w:gridCol w:w="24"/>
        <w:gridCol w:w="30"/>
        <w:gridCol w:w="115"/>
        <w:gridCol w:w="1273"/>
        <w:gridCol w:w="52"/>
        <w:gridCol w:w="1568"/>
        <w:gridCol w:w="24"/>
        <w:gridCol w:w="28"/>
        <w:gridCol w:w="32"/>
        <w:gridCol w:w="1678"/>
        <w:gridCol w:w="20"/>
        <w:gridCol w:w="18"/>
        <w:gridCol w:w="97"/>
        <w:gridCol w:w="173"/>
        <w:gridCol w:w="1554"/>
        <w:gridCol w:w="28"/>
        <w:gridCol w:w="38"/>
        <w:gridCol w:w="79"/>
        <w:gridCol w:w="1361"/>
        <w:gridCol w:w="52"/>
      </w:tblGrid>
      <w:tr w:rsidR="00485BAA" w:rsidRPr="00D30847" w14:paraId="5A02242B" w14:textId="77777777" w:rsidTr="00FD4DDE">
        <w:trPr>
          <w:gridBefore w:val="3"/>
          <w:gridAfter w:val="1"/>
          <w:wBefore w:w="37" w:type="dxa"/>
          <w:wAfter w:w="52" w:type="dxa"/>
          <w:trHeight w:val="276"/>
          <w:jc w:val="center"/>
        </w:trPr>
        <w:tc>
          <w:tcPr>
            <w:tcW w:w="13501" w:type="dxa"/>
            <w:gridSpan w:val="28"/>
            <w:vMerge w:val="restart"/>
            <w:shd w:val="clear" w:color="000000" w:fill="ED7D31"/>
            <w:noWrap/>
            <w:vAlign w:val="bottom"/>
            <w:hideMark/>
          </w:tcPr>
          <w:p w14:paraId="5EF0E15A" w14:textId="45F8E05C" w:rsidR="00485BAA" w:rsidRPr="00D30847" w:rsidRDefault="00485BAA" w:rsidP="00A72B30">
            <w:pPr>
              <w:spacing w:after="0" w:line="240" w:lineRule="auto"/>
              <w:jc w:val="center"/>
              <w:rPr>
                <w:rFonts w:ascii="Arial" w:eastAsia="Times New Roman" w:hAnsi="Arial" w:cs="Arial"/>
                <w:b/>
                <w:bCs/>
                <w:sz w:val="24"/>
                <w:szCs w:val="24"/>
                <w:lang w:val="en-GB" w:eastAsia="mk-MK"/>
              </w:rPr>
            </w:pPr>
            <w:bookmarkStart w:id="75" w:name="RANGE!A1:I491"/>
            <w:r w:rsidRPr="00D30847">
              <w:rPr>
                <w:rFonts w:ascii="Arial" w:eastAsia="Times New Roman" w:hAnsi="Arial" w:cs="Arial"/>
                <w:b/>
                <w:bCs/>
                <w:sz w:val="24"/>
                <w:szCs w:val="24"/>
                <w:lang w:val="en-GB" w:eastAsia="mk-MK"/>
              </w:rPr>
              <w:t>LOGICAL FRAMEWORK OF THE PFM REFORM PROGRAMME 202</w:t>
            </w:r>
            <w:r w:rsidR="00637A09" w:rsidRPr="00D30847">
              <w:rPr>
                <w:rFonts w:ascii="Arial" w:eastAsia="Times New Roman" w:hAnsi="Arial" w:cs="Arial"/>
                <w:b/>
                <w:bCs/>
                <w:sz w:val="24"/>
                <w:szCs w:val="24"/>
                <w:lang w:val="en-GB" w:eastAsia="mk-MK"/>
              </w:rPr>
              <w:t>5</w:t>
            </w:r>
            <w:r w:rsidRPr="00D30847">
              <w:rPr>
                <w:rFonts w:ascii="Arial" w:eastAsia="Times New Roman" w:hAnsi="Arial" w:cs="Arial"/>
                <w:b/>
                <w:bCs/>
                <w:sz w:val="24"/>
                <w:szCs w:val="24"/>
                <w:lang w:val="en-GB" w:eastAsia="mk-MK"/>
              </w:rPr>
              <w:t xml:space="preserve"> - 202</w:t>
            </w:r>
            <w:bookmarkEnd w:id="75"/>
            <w:r w:rsidR="00637A09" w:rsidRPr="00D30847">
              <w:rPr>
                <w:rFonts w:ascii="Arial" w:eastAsia="Times New Roman" w:hAnsi="Arial" w:cs="Arial"/>
                <w:b/>
                <w:bCs/>
                <w:sz w:val="24"/>
                <w:szCs w:val="24"/>
                <w:lang w:val="en-GB" w:eastAsia="mk-MK"/>
              </w:rPr>
              <w:t>8</w:t>
            </w:r>
          </w:p>
        </w:tc>
      </w:tr>
      <w:tr w:rsidR="00485BAA" w:rsidRPr="00D30847" w14:paraId="6B28DC2A" w14:textId="77777777" w:rsidTr="00FD4DDE">
        <w:trPr>
          <w:gridBefore w:val="3"/>
          <w:gridAfter w:val="1"/>
          <w:wBefore w:w="37" w:type="dxa"/>
          <w:wAfter w:w="52" w:type="dxa"/>
          <w:trHeight w:val="269"/>
          <w:jc w:val="center"/>
        </w:trPr>
        <w:tc>
          <w:tcPr>
            <w:tcW w:w="13501" w:type="dxa"/>
            <w:gridSpan w:val="28"/>
            <w:vMerge/>
            <w:vAlign w:val="center"/>
            <w:hideMark/>
          </w:tcPr>
          <w:p w14:paraId="1F3263BC" w14:textId="77777777" w:rsidR="00485BAA" w:rsidRPr="00D30847" w:rsidRDefault="00485BAA" w:rsidP="00485BAA">
            <w:pPr>
              <w:spacing w:after="0" w:line="240" w:lineRule="auto"/>
              <w:rPr>
                <w:rFonts w:ascii="Arial" w:eastAsia="Times New Roman" w:hAnsi="Arial" w:cs="Arial"/>
                <w:b/>
                <w:bCs/>
                <w:sz w:val="12"/>
                <w:szCs w:val="12"/>
                <w:lang w:val="en-GB" w:eastAsia="mk-MK"/>
              </w:rPr>
            </w:pPr>
          </w:p>
        </w:tc>
      </w:tr>
      <w:tr w:rsidR="00485BAA" w:rsidRPr="00D30847" w14:paraId="3EFD249D" w14:textId="77777777" w:rsidTr="00FD4DDE">
        <w:trPr>
          <w:gridBefore w:val="3"/>
          <w:gridAfter w:val="1"/>
          <w:wBefore w:w="37" w:type="dxa"/>
          <w:wAfter w:w="52" w:type="dxa"/>
          <w:trHeight w:val="190"/>
          <w:jc w:val="center"/>
        </w:trPr>
        <w:tc>
          <w:tcPr>
            <w:tcW w:w="13501" w:type="dxa"/>
            <w:gridSpan w:val="28"/>
            <w:shd w:val="clear" w:color="000000" w:fill="1F3864"/>
            <w:vAlign w:val="center"/>
            <w:hideMark/>
          </w:tcPr>
          <w:p w14:paraId="1993324B" w14:textId="56F5D69E"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PILLAR I</w:t>
            </w:r>
            <w:r w:rsidR="001A1627" w:rsidRPr="00D30847">
              <w:rPr>
                <w:rFonts w:ascii="Arial" w:eastAsia="Times New Roman" w:hAnsi="Arial" w:cs="Arial"/>
                <w:b/>
                <w:bCs/>
                <w:color w:val="FFFFFF"/>
                <w:sz w:val="12"/>
                <w:szCs w:val="12"/>
                <w:lang w:val="en-GB" w:eastAsia="mk-MK"/>
              </w:rPr>
              <w:t>.</w:t>
            </w:r>
            <w:r w:rsidRPr="00D30847">
              <w:rPr>
                <w:rFonts w:ascii="Arial" w:eastAsia="Times New Roman" w:hAnsi="Arial" w:cs="Arial"/>
                <w:b/>
                <w:bCs/>
                <w:color w:val="FFFFFF"/>
                <w:sz w:val="12"/>
                <w:szCs w:val="12"/>
                <w:lang w:val="en-GB" w:eastAsia="mk-MK"/>
              </w:rPr>
              <w:t xml:space="preserve"> Economic</w:t>
            </w:r>
            <w:r w:rsidR="007A1FFE"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Analysis, Macroeconomic</w:t>
            </w:r>
            <w:r w:rsidR="007A1FFE"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and</w:t>
            </w:r>
            <w:r w:rsidR="007A1FFE"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Fiscal</w:t>
            </w:r>
            <w:r w:rsidR="001B27C8"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Framework</w:t>
            </w:r>
          </w:p>
        </w:tc>
      </w:tr>
      <w:tr w:rsidR="00485BAA" w:rsidRPr="00D30847" w14:paraId="109EB6B3" w14:textId="77777777" w:rsidTr="00FD4DDE">
        <w:trPr>
          <w:gridBefore w:val="3"/>
          <w:gridAfter w:val="1"/>
          <w:wBefore w:w="37" w:type="dxa"/>
          <w:wAfter w:w="52" w:type="dxa"/>
          <w:trHeight w:val="232"/>
          <w:jc w:val="center"/>
        </w:trPr>
        <w:tc>
          <w:tcPr>
            <w:tcW w:w="13501" w:type="dxa"/>
            <w:gridSpan w:val="28"/>
            <w:shd w:val="clear" w:color="000000" w:fill="1F3864"/>
            <w:vAlign w:val="center"/>
            <w:hideMark/>
          </w:tcPr>
          <w:p w14:paraId="10726BD0" w14:textId="222E54FF"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 xml:space="preserve">PRIORITY 1. </w:t>
            </w:r>
            <w:r w:rsidR="00B561EC" w:rsidRPr="00D30847">
              <w:rPr>
                <w:rFonts w:ascii="Arial" w:eastAsia="Times New Roman" w:hAnsi="Arial" w:cs="Arial"/>
                <w:b/>
                <w:bCs/>
                <w:color w:val="FFFFFF"/>
                <w:sz w:val="12"/>
                <w:szCs w:val="12"/>
                <w:lang w:val="en-GB" w:eastAsia="mk-MK"/>
              </w:rPr>
              <w:t>Tax revenues forecasting and reporting</w:t>
            </w:r>
          </w:p>
        </w:tc>
      </w:tr>
      <w:tr w:rsidR="00485BAA" w:rsidRPr="00D30847" w14:paraId="3E40C8F8" w14:textId="77777777" w:rsidTr="00FD4DDE">
        <w:trPr>
          <w:gridBefore w:val="3"/>
          <w:gridAfter w:val="1"/>
          <w:wBefore w:w="37" w:type="dxa"/>
          <w:wAfter w:w="52" w:type="dxa"/>
          <w:trHeight w:val="224"/>
          <w:jc w:val="center"/>
        </w:trPr>
        <w:tc>
          <w:tcPr>
            <w:tcW w:w="2303" w:type="dxa"/>
            <w:gridSpan w:val="3"/>
            <w:shd w:val="clear" w:color="000000" w:fill="9BD2ED"/>
            <w:vAlign w:val="center"/>
            <w:hideMark/>
          </w:tcPr>
          <w:p w14:paraId="33D3A3FB"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Outcome(s)</w:t>
            </w:r>
          </w:p>
        </w:tc>
        <w:tc>
          <w:tcPr>
            <w:tcW w:w="1836" w:type="dxa"/>
            <w:gridSpan w:val="5"/>
            <w:shd w:val="clear" w:color="000000" w:fill="9BD2ED"/>
            <w:vAlign w:val="center"/>
            <w:hideMark/>
          </w:tcPr>
          <w:p w14:paraId="59469B70" w14:textId="1432FCB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7A1FF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04C60DEE"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proofErr w:type="spellStart"/>
            <w:r w:rsidRPr="00D30847">
              <w:rPr>
                <w:rFonts w:ascii="Arial" w:eastAsia="Times New Roman" w:hAnsi="Arial" w:cs="Arial"/>
                <w:b/>
                <w:bCs/>
                <w:sz w:val="12"/>
                <w:szCs w:val="12"/>
                <w:lang w:val="en-GB" w:eastAsia="mk-MK"/>
              </w:rPr>
              <w:t>DataSource</w:t>
            </w:r>
            <w:proofErr w:type="spellEnd"/>
          </w:p>
        </w:tc>
        <w:tc>
          <w:tcPr>
            <w:tcW w:w="1418" w:type="dxa"/>
            <w:gridSpan w:val="3"/>
            <w:shd w:val="clear" w:color="000000" w:fill="9BD2ED"/>
            <w:vAlign w:val="center"/>
            <w:hideMark/>
          </w:tcPr>
          <w:p w14:paraId="3D1108B3" w14:textId="667F70C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B561EC"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51879F6E" w14:textId="42179B8D"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A157B0"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5AFC2816" w14:textId="1EB74EB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A157B0"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169AA7C4" w14:textId="795351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A157B0"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4622C087" w14:textId="0C6928A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A157B0" w:rsidRPr="00D30847">
              <w:rPr>
                <w:rFonts w:ascii="Arial" w:eastAsia="Times New Roman" w:hAnsi="Arial" w:cs="Arial"/>
                <w:b/>
                <w:bCs/>
                <w:sz w:val="12"/>
                <w:szCs w:val="12"/>
                <w:lang w:val="en-GB" w:eastAsia="mk-MK"/>
              </w:rPr>
              <w:t>8</w:t>
            </w:r>
          </w:p>
        </w:tc>
      </w:tr>
      <w:tr w:rsidR="00485BAA" w:rsidRPr="00D30847" w14:paraId="0A98D98F" w14:textId="77777777" w:rsidTr="00FD4DDE">
        <w:trPr>
          <w:gridBefore w:val="3"/>
          <w:gridAfter w:val="1"/>
          <w:wBefore w:w="37" w:type="dxa"/>
          <w:wAfter w:w="52" w:type="dxa"/>
          <w:trHeight w:val="964"/>
          <w:jc w:val="center"/>
        </w:trPr>
        <w:tc>
          <w:tcPr>
            <w:tcW w:w="2303" w:type="dxa"/>
            <w:gridSpan w:val="3"/>
            <w:shd w:val="clear" w:color="000000" w:fill="FFFF99"/>
            <w:vAlign w:val="center"/>
            <w:hideMark/>
          </w:tcPr>
          <w:p w14:paraId="566AA856" w14:textId="4559E3E8" w:rsidR="00485BAA" w:rsidRPr="00D30847" w:rsidRDefault="00FC75A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w:t>
            </w:r>
            <w:r w:rsidR="00726DF5" w:rsidRPr="00D30847">
              <w:rPr>
                <w:rFonts w:ascii="Arial" w:eastAsia="Times New Roman" w:hAnsi="Arial" w:cs="Arial"/>
                <w:sz w:val="12"/>
                <w:szCs w:val="12"/>
                <w:lang w:val="en-GB" w:eastAsia="mk-MK"/>
              </w:rPr>
              <w:t>Reduced deviation between planned and realized amounts, in individual and total tax revenues, indicating improved forecasting;</w:t>
            </w:r>
          </w:p>
        </w:tc>
        <w:tc>
          <w:tcPr>
            <w:tcW w:w="1836" w:type="dxa"/>
            <w:gridSpan w:val="5"/>
            <w:shd w:val="clear" w:color="000000" w:fill="FFFF99"/>
            <w:vAlign w:val="center"/>
            <w:hideMark/>
          </w:tcPr>
          <w:p w14:paraId="1B3E5887" w14:textId="77777777" w:rsidR="00B561EC" w:rsidRPr="00D30847" w:rsidRDefault="00B561EC" w:rsidP="00B561EC">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Deviation in total revenues and in the composition of revenues between planned and actual amounts, as used in PEFA PI3* as part of SIGMA*.</w:t>
            </w:r>
          </w:p>
          <w:p w14:paraId="41D7023E" w14:textId="77777777" w:rsidR="00B561EC" w:rsidRPr="00D30847" w:rsidRDefault="00B561EC" w:rsidP="00B561EC">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Program-based ratings: A, B, C, D (highest rating - A, lowest - D)</w:t>
            </w:r>
          </w:p>
          <w:p w14:paraId="707DDE23" w14:textId="77777777" w:rsidR="00B561EC" w:rsidRPr="00D30847" w:rsidRDefault="00B561EC" w:rsidP="00B561EC">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*https://www.pefa.org/resources/calculation-sheet-revenue-composition-outturn-pi-32-november-2018</w:t>
            </w:r>
          </w:p>
          <w:p w14:paraId="35A223C6" w14:textId="3B40E952" w:rsidR="00485BAA" w:rsidRPr="00D30847" w:rsidRDefault="00B561EC"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*https://www.sigmaweb.org/</w:t>
            </w:r>
          </w:p>
        </w:tc>
        <w:tc>
          <w:tcPr>
            <w:tcW w:w="1194" w:type="dxa"/>
            <w:gridSpan w:val="2"/>
            <w:shd w:val="clear" w:color="000000" w:fill="FFFF99"/>
            <w:vAlign w:val="center"/>
            <w:hideMark/>
          </w:tcPr>
          <w:p w14:paraId="28434589" w14:textId="77777777" w:rsidR="00485BAA" w:rsidRPr="00D30847" w:rsidRDefault="00485BAA" w:rsidP="004A38FD">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w:t>
            </w:r>
            <w:r w:rsidR="004A38FD" w:rsidRPr="00D30847">
              <w:rPr>
                <w:rFonts w:ascii="Arial" w:eastAsia="Times New Roman" w:hAnsi="Arial" w:cs="Arial"/>
                <w:sz w:val="12"/>
                <w:szCs w:val="12"/>
                <w:lang w:val="en-GB" w:eastAsia="mk-MK"/>
              </w:rPr>
              <w:t>o</w:t>
            </w:r>
            <w:r w:rsidRPr="00D30847">
              <w:rPr>
                <w:rFonts w:ascii="Arial" w:eastAsia="Times New Roman" w:hAnsi="Arial" w:cs="Arial"/>
                <w:sz w:val="12"/>
                <w:szCs w:val="12"/>
                <w:lang w:val="en-GB" w:eastAsia="mk-MK"/>
              </w:rPr>
              <w:t>F</w:t>
            </w:r>
          </w:p>
        </w:tc>
        <w:tc>
          <w:tcPr>
            <w:tcW w:w="1418" w:type="dxa"/>
            <w:gridSpan w:val="3"/>
            <w:shd w:val="clear" w:color="000000" w:fill="FFFF99"/>
            <w:vAlign w:val="center"/>
            <w:hideMark/>
          </w:tcPr>
          <w:p w14:paraId="37CF741C" w14:textId="7697441D" w:rsidR="00485BAA" w:rsidRPr="00D30847" w:rsidRDefault="00B561E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644" w:type="dxa"/>
            <w:gridSpan w:val="3"/>
            <w:shd w:val="clear" w:color="000000" w:fill="FFFF99"/>
            <w:vAlign w:val="center"/>
            <w:hideMark/>
          </w:tcPr>
          <w:p w14:paraId="2CA619C2" w14:textId="241D16B4" w:rsidR="003C20E4" w:rsidRPr="00D30847" w:rsidRDefault="0030493E" w:rsidP="00CE2DF4">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Score </w:t>
            </w:r>
            <w:r w:rsidR="00B561EC" w:rsidRPr="00D30847">
              <w:rPr>
                <w:rFonts w:ascii="Arial" w:eastAsia="Times New Roman" w:hAnsi="Arial" w:cs="Arial"/>
                <w:sz w:val="12"/>
                <w:szCs w:val="12"/>
                <w:lang w:val="en-GB" w:eastAsia="mk-MK"/>
              </w:rPr>
              <w:t>C</w:t>
            </w:r>
          </w:p>
        </w:tc>
        <w:tc>
          <w:tcPr>
            <w:tcW w:w="1758" w:type="dxa"/>
            <w:gridSpan w:val="4"/>
            <w:shd w:val="clear" w:color="000000" w:fill="FFFF99"/>
            <w:vAlign w:val="center"/>
            <w:hideMark/>
          </w:tcPr>
          <w:p w14:paraId="7B36FB2B" w14:textId="0E321804" w:rsidR="003C20E4" w:rsidRPr="00D30847" w:rsidRDefault="0030493E" w:rsidP="00CE2DF4">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Score B</w:t>
            </w:r>
          </w:p>
        </w:tc>
        <w:tc>
          <w:tcPr>
            <w:tcW w:w="1842" w:type="dxa"/>
            <w:gridSpan w:val="4"/>
            <w:shd w:val="clear" w:color="000000" w:fill="FFFF99"/>
            <w:vAlign w:val="center"/>
            <w:hideMark/>
          </w:tcPr>
          <w:p w14:paraId="074E9CB5" w14:textId="0AFCCF23" w:rsidR="003C20E4" w:rsidRPr="00D30847" w:rsidRDefault="0030493E" w:rsidP="00CE2DF4">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Score </w:t>
            </w:r>
            <w:r w:rsidR="00B561EC" w:rsidRPr="00D30847">
              <w:rPr>
                <w:rFonts w:ascii="Arial" w:eastAsia="Times New Roman" w:hAnsi="Arial" w:cs="Arial"/>
                <w:sz w:val="12"/>
                <w:szCs w:val="12"/>
                <w:lang w:val="en-GB" w:eastAsia="mk-MK"/>
              </w:rPr>
              <w:t>B</w:t>
            </w:r>
          </w:p>
        </w:tc>
        <w:tc>
          <w:tcPr>
            <w:tcW w:w="1506" w:type="dxa"/>
            <w:gridSpan w:val="4"/>
            <w:shd w:val="clear" w:color="000000" w:fill="FFFF99"/>
            <w:vAlign w:val="center"/>
            <w:hideMark/>
          </w:tcPr>
          <w:p w14:paraId="6DDE776F" w14:textId="78A87165" w:rsidR="003C20E4" w:rsidRPr="00D30847" w:rsidRDefault="0030493E" w:rsidP="00CE2DF4">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Score A</w:t>
            </w:r>
          </w:p>
        </w:tc>
      </w:tr>
      <w:tr w:rsidR="003B2558" w:rsidRPr="00D30847" w14:paraId="3E7A0048" w14:textId="77777777" w:rsidTr="00FD4DDE">
        <w:trPr>
          <w:gridBefore w:val="3"/>
          <w:gridAfter w:val="1"/>
          <w:wBefore w:w="37" w:type="dxa"/>
          <w:wAfter w:w="52" w:type="dxa"/>
          <w:trHeight w:val="2140"/>
          <w:jc w:val="center"/>
        </w:trPr>
        <w:tc>
          <w:tcPr>
            <w:tcW w:w="2303" w:type="dxa"/>
            <w:gridSpan w:val="3"/>
            <w:shd w:val="clear" w:color="000000" w:fill="FFFF99"/>
            <w:vAlign w:val="center"/>
          </w:tcPr>
          <w:p w14:paraId="02DB77E9" w14:textId="1FA319BB" w:rsidR="003B2558" w:rsidRPr="00D30847" w:rsidRDefault="00FC75A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w:t>
            </w:r>
            <w:r w:rsidR="00B561EC" w:rsidRPr="00D30847">
              <w:rPr>
                <w:rFonts w:ascii="Arial" w:eastAsia="Times New Roman" w:hAnsi="Arial" w:cs="Arial"/>
                <w:sz w:val="12"/>
                <w:szCs w:val="12"/>
                <w:lang w:val="en-GB" w:eastAsia="mk-MK"/>
              </w:rPr>
              <w:t>Enhanced public awareness of tax expenditures and other tax indicators</w:t>
            </w:r>
          </w:p>
        </w:tc>
        <w:tc>
          <w:tcPr>
            <w:tcW w:w="1836" w:type="dxa"/>
            <w:gridSpan w:val="5"/>
            <w:shd w:val="clear" w:color="000000" w:fill="FFFF99"/>
            <w:vAlign w:val="center"/>
          </w:tcPr>
          <w:p w14:paraId="3893E8EE" w14:textId="4F1ECE42" w:rsidR="003B2558" w:rsidRPr="00D30847" w:rsidRDefault="00B561EC"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Tax expenditure reports are prepared and submitted as part of the Final Account of the Budget of the Republic of North Macedonia and a report on other tax indicators is prepared.</w:t>
            </w:r>
          </w:p>
        </w:tc>
        <w:tc>
          <w:tcPr>
            <w:tcW w:w="1194" w:type="dxa"/>
            <w:gridSpan w:val="2"/>
            <w:shd w:val="clear" w:color="000000" w:fill="FFFF99"/>
            <w:vAlign w:val="center"/>
          </w:tcPr>
          <w:p w14:paraId="1D5BD0A7" w14:textId="77777777" w:rsidR="003B2558" w:rsidRPr="00D30847" w:rsidRDefault="003B2558" w:rsidP="004A38FD">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p>
        </w:tc>
        <w:tc>
          <w:tcPr>
            <w:tcW w:w="1418" w:type="dxa"/>
            <w:gridSpan w:val="3"/>
            <w:shd w:val="clear" w:color="000000" w:fill="FFFF99"/>
            <w:vAlign w:val="center"/>
          </w:tcPr>
          <w:p w14:paraId="66604725" w14:textId="025273A9" w:rsidR="003B2558" w:rsidRPr="00D30847" w:rsidRDefault="004A38FD"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tax</w:t>
            </w:r>
            <w:r w:rsidR="00FC75A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expenditure</w:t>
            </w:r>
            <w:r w:rsidR="00FC75A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repor</w:t>
            </w:r>
            <w:r w:rsidR="004473B1" w:rsidRPr="00D30847">
              <w:rPr>
                <w:rFonts w:ascii="Arial" w:eastAsia="Times New Roman" w:hAnsi="Arial" w:cs="Arial"/>
                <w:sz w:val="12"/>
                <w:szCs w:val="12"/>
                <w:lang w:val="en-GB" w:eastAsia="mk-MK"/>
              </w:rPr>
              <w:t>t</w:t>
            </w:r>
            <w:r w:rsidR="00FC75A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prepared</w:t>
            </w:r>
          </w:p>
        </w:tc>
        <w:tc>
          <w:tcPr>
            <w:tcW w:w="1644" w:type="dxa"/>
            <w:gridSpan w:val="3"/>
            <w:shd w:val="clear" w:color="000000" w:fill="FFFF99"/>
            <w:vAlign w:val="center"/>
          </w:tcPr>
          <w:p w14:paraId="648E0E36" w14:textId="0E4E0C71" w:rsidR="003B2558" w:rsidRPr="00D30847" w:rsidRDefault="00B561EC" w:rsidP="00FC75A1">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Prepared tax expenditures</w:t>
            </w:r>
          </w:p>
        </w:tc>
        <w:tc>
          <w:tcPr>
            <w:tcW w:w="1758" w:type="dxa"/>
            <w:gridSpan w:val="4"/>
            <w:shd w:val="clear" w:color="000000" w:fill="FFFF99"/>
            <w:vAlign w:val="center"/>
          </w:tcPr>
          <w:p w14:paraId="6DDF6162" w14:textId="1B3FAB5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Annual </w:t>
            </w:r>
            <w:proofErr w:type="spellStart"/>
            <w:r w:rsidRPr="00D30847">
              <w:rPr>
                <w:rFonts w:ascii="Arial" w:eastAsia="Times New Roman" w:hAnsi="Arial" w:cs="Arial"/>
                <w:sz w:val="12"/>
                <w:szCs w:val="12"/>
                <w:lang w:val="en-GB" w:eastAsia="mk-MK"/>
              </w:rPr>
              <w:t>Тax</w:t>
            </w:r>
            <w:proofErr w:type="spellEnd"/>
            <w:r w:rsidRPr="00D30847">
              <w:rPr>
                <w:rFonts w:ascii="Arial" w:eastAsia="Times New Roman" w:hAnsi="Arial" w:cs="Arial"/>
                <w:sz w:val="12"/>
                <w:szCs w:val="12"/>
                <w:lang w:val="en-GB" w:eastAsia="mk-MK"/>
              </w:rPr>
              <w:t xml:space="preserve"> expenditures Report prepared and submitted as part of the Final Account of </w:t>
            </w:r>
            <w:r w:rsidR="00F368A1" w:rsidRPr="00D30847">
              <w:rPr>
                <w:rFonts w:ascii="Arial" w:eastAsia="Times New Roman" w:hAnsi="Arial" w:cs="Arial"/>
                <w:sz w:val="12"/>
                <w:szCs w:val="12"/>
                <w:lang w:val="en-GB" w:eastAsia="mk-MK"/>
              </w:rPr>
              <w:t>the Budget</w:t>
            </w:r>
            <w:r w:rsidRPr="00D30847">
              <w:rPr>
                <w:rFonts w:ascii="Arial" w:eastAsia="Times New Roman" w:hAnsi="Arial" w:cs="Arial"/>
                <w:sz w:val="12"/>
                <w:szCs w:val="12"/>
                <w:lang w:val="en-GB" w:eastAsia="mk-MK"/>
              </w:rPr>
              <w:t xml:space="preserve"> of the Republic of North Macedonia;</w:t>
            </w:r>
          </w:p>
          <w:p w14:paraId="2DA7D221"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p>
          <w:p w14:paraId="1A351AA0"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p>
          <w:p w14:paraId="024B2F6A"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Conducted trainings for preparation of reports on: </w:t>
            </w:r>
          </w:p>
          <w:p w14:paraId="1966AD55"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ab/>
              <w:t xml:space="preserve"> VAT-GAP, </w:t>
            </w:r>
          </w:p>
          <w:p w14:paraId="45278DBA" w14:textId="6DC789A6" w:rsidR="003B2558" w:rsidRPr="00D30847" w:rsidRDefault="00B561EC" w:rsidP="004A38FD">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ab/>
              <w:t>C-Efficiency</w:t>
            </w:r>
          </w:p>
        </w:tc>
        <w:tc>
          <w:tcPr>
            <w:tcW w:w="1842" w:type="dxa"/>
            <w:gridSpan w:val="4"/>
            <w:shd w:val="clear" w:color="000000" w:fill="FFFF99"/>
            <w:vAlign w:val="center"/>
          </w:tcPr>
          <w:p w14:paraId="1C7706B6"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Annual </w:t>
            </w:r>
            <w:proofErr w:type="spellStart"/>
            <w:r w:rsidRPr="00D30847">
              <w:rPr>
                <w:rFonts w:ascii="Arial" w:eastAsia="Times New Roman" w:hAnsi="Arial" w:cs="Arial"/>
                <w:sz w:val="12"/>
                <w:szCs w:val="12"/>
                <w:lang w:val="en-GB" w:eastAsia="mk-MK"/>
              </w:rPr>
              <w:t>Тax</w:t>
            </w:r>
            <w:proofErr w:type="spellEnd"/>
            <w:r w:rsidRPr="00D30847">
              <w:rPr>
                <w:rFonts w:ascii="Arial" w:eastAsia="Times New Roman" w:hAnsi="Arial" w:cs="Arial"/>
                <w:sz w:val="12"/>
                <w:szCs w:val="12"/>
                <w:lang w:val="en-GB" w:eastAsia="mk-MK"/>
              </w:rPr>
              <w:t xml:space="preserve"> expenditures Report prepared and submitted as part of the Final Account of the Budget of the Republic of North Macedonia.</w:t>
            </w:r>
          </w:p>
          <w:p w14:paraId="1D492DBD"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p>
          <w:p w14:paraId="1B6C794A" w14:textId="5DE913B5"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Prepared </w:t>
            </w:r>
            <w:r w:rsidR="00F368A1" w:rsidRPr="00D30847">
              <w:rPr>
                <w:rFonts w:ascii="Arial" w:eastAsia="Times New Roman" w:hAnsi="Arial" w:cs="Arial"/>
                <w:sz w:val="12"/>
                <w:szCs w:val="12"/>
                <w:lang w:val="en-GB" w:eastAsia="mk-MK"/>
              </w:rPr>
              <w:t>report of</w:t>
            </w:r>
            <w:r w:rsidRPr="00D30847">
              <w:rPr>
                <w:rFonts w:ascii="Arial" w:eastAsia="Times New Roman" w:hAnsi="Arial" w:cs="Arial"/>
                <w:sz w:val="12"/>
                <w:szCs w:val="12"/>
                <w:lang w:val="en-GB" w:eastAsia="mk-MK"/>
              </w:rPr>
              <w:t xml:space="preserve"> the next tax indicators:</w:t>
            </w:r>
          </w:p>
          <w:p w14:paraId="2B75C641"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ab/>
              <w:t xml:space="preserve">VAT-GAP, </w:t>
            </w:r>
          </w:p>
          <w:p w14:paraId="60437232"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ab/>
              <w:t>C-Efficiency</w:t>
            </w:r>
          </w:p>
          <w:p w14:paraId="1680C60D"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p>
          <w:p w14:paraId="653AAB0D"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Conducted trainings for preparation of reports on:</w:t>
            </w:r>
          </w:p>
          <w:p w14:paraId="16C0F2C2"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ab/>
              <w:t xml:space="preserve">Coefficients for tax buoyancy and tax elasticity, </w:t>
            </w:r>
          </w:p>
          <w:p w14:paraId="032DB893"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ab/>
              <w:t xml:space="preserve">Effective marginal tax rates (EMTRs) </w:t>
            </w:r>
          </w:p>
          <w:p w14:paraId="596C0767" w14:textId="4D5FE001" w:rsidR="003B2558" w:rsidRPr="00D30847" w:rsidRDefault="00B561EC" w:rsidP="00FC75A1">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ab/>
              <w:t>Effective average tax rates (EATRs)</w:t>
            </w:r>
          </w:p>
        </w:tc>
        <w:tc>
          <w:tcPr>
            <w:tcW w:w="1506" w:type="dxa"/>
            <w:gridSpan w:val="4"/>
            <w:shd w:val="clear" w:color="000000" w:fill="FFFF99"/>
            <w:vAlign w:val="center"/>
          </w:tcPr>
          <w:p w14:paraId="5B32E821"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Annual </w:t>
            </w:r>
            <w:proofErr w:type="spellStart"/>
            <w:r w:rsidRPr="00D30847">
              <w:rPr>
                <w:rFonts w:ascii="Arial" w:eastAsia="Times New Roman" w:hAnsi="Arial" w:cs="Arial"/>
                <w:sz w:val="12"/>
                <w:szCs w:val="12"/>
                <w:lang w:val="en-GB" w:eastAsia="mk-MK"/>
              </w:rPr>
              <w:t>Тax</w:t>
            </w:r>
            <w:proofErr w:type="spellEnd"/>
            <w:r w:rsidRPr="00D30847">
              <w:rPr>
                <w:rFonts w:ascii="Arial" w:eastAsia="Times New Roman" w:hAnsi="Arial" w:cs="Arial"/>
                <w:sz w:val="12"/>
                <w:szCs w:val="12"/>
                <w:lang w:val="en-GB" w:eastAsia="mk-MK"/>
              </w:rPr>
              <w:t xml:space="preserve"> expenditures Report prepared and submitted as part of the Final Account of the Budget of the Republic of North Macedonia;</w:t>
            </w:r>
          </w:p>
          <w:p w14:paraId="4B000F25"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p>
          <w:p w14:paraId="5C51D5CE" w14:textId="199DA255"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Prepared </w:t>
            </w:r>
            <w:r w:rsidR="00F368A1" w:rsidRPr="00D30847">
              <w:rPr>
                <w:rFonts w:ascii="Arial" w:eastAsia="Times New Roman" w:hAnsi="Arial" w:cs="Arial"/>
                <w:sz w:val="12"/>
                <w:szCs w:val="12"/>
                <w:lang w:val="en-GB" w:eastAsia="mk-MK"/>
              </w:rPr>
              <w:t>report of</w:t>
            </w:r>
            <w:r w:rsidRPr="00D30847">
              <w:rPr>
                <w:rFonts w:ascii="Arial" w:eastAsia="Times New Roman" w:hAnsi="Arial" w:cs="Arial"/>
                <w:sz w:val="12"/>
                <w:szCs w:val="12"/>
                <w:lang w:val="en-GB" w:eastAsia="mk-MK"/>
              </w:rPr>
              <w:t xml:space="preserve"> the next tax indicators:</w:t>
            </w:r>
          </w:p>
          <w:p w14:paraId="4A843818"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ab/>
              <w:t xml:space="preserve">VAT-GAP, </w:t>
            </w:r>
          </w:p>
          <w:p w14:paraId="4D68DF03"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ab/>
              <w:t>C-Efficiency</w:t>
            </w:r>
          </w:p>
          <w:p w14:paraId="4B405E51"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ab/>
              <w:t xml:space="preserve">Coefficients for tax buoyancy and tax elasticity, </w:t>
            </w:r>
          </w:p>
          <w:p w14:paraId="7F6F164C"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ab/>
              <w:t xml:space="preserve">Effective marginal tax rates (EMTRs) </w:t>
            </w:r>
          </w:p>
          <w:p w14:paraId="121EB106" w14:textId="241E30BF" w:rsidR="003B2558" w:rsidRPr="00D30847" w:rsidRDefault="00B561EC" w:rsidP="00FC75A1">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ab/>
              <w:t>Effective average tax rates (EATRs)</w:t>
            </w:r>
          </w:p>
        </w:tc>
      </w:tr>
      <w:tr w:rsidR="003B2558" w:rsidRPr="00D30847" w14:paraId="47789F0A" w14:textId="77777777" w:rsidTr="00FD4DDE">
        <w:trPr>
          <w:gridBefore w:val="3"/>
          <w:gridAfter w:val="1"/>
          <w:wBefore w:w="37" w:type="dxa"/>
          <w:wAfter w:w="52" w:type="dxa"/>
          <w:trHeight w:val="964"/>
          <w:jc w:val="center"/>
        </w:trPr>
        <w:tc>
          <w:tcPr>
            <w:tcW w:w="2303" w:type="dxa"/>
            <w:gridSpan w:val="3"/>
            <w:shd w:val="clear" w:color="000000" w:fill="FFFF99"/>
            <w:vAlign w:val="center"/>
          </w:tcPr>
          <w:p w14:paraId="6969A079" w14:textId="3540D9F1" w:rsidR="003B2558" w:rsidRPr="00D30847" w:rsidRDefault="00FC75A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iii) </w:t>
            </w:r>
            <w:proofErr w:type="spellStart"/>
            <w:r w:rsidR="00B561EC" w:rsidRPr="00D30847">
              <w:rPr>
                <w:rFonts w:ascii="Arial" w:eastAsia="Times New Roman" w:hAnsi="Arial" w:cs="Arial"/>
                <w:sz w:val="12"/>
                <w:szCs w:val="12"/>
                <w:lang w:val="en-GB" w:eastAsia="mk-MK"/>
              </w:rPr>
              <w:t>Enhaced</w:t>
            </w:r>
            <w:proofErr w:type="spellEnd"/>
            <w:r w:rsidR="00B561EC" w:rsidRPr="00D30847">
              <w:rPr>
                <w:rFonts w:ascii="Arial" w:eastAsia="Times New Roman" w:hAnsi="Arial" w:cs="Arial"/>
                <w:sz w:val="12"/>
                <w:szCs w:val="12"/>
                <w:lang w:val="en-GB" w:eastAsia="mk-MK"/>
              </w:rPr>
              <w:t xml:space="preserve"> capabilities of </w:t>
            </w:r>
            <w:proofErr w:type="spellStart"/>
            <w:r w:rsidR="00B561EC" w:rsidRPr="00D30847">
              <w:rPr>
                <w:rFonts w:ascii="Arial" w:eastAsia="Times New Roman" w:hAnsi="Arial" w:cs="Arial"/>
                <w:sz w:val="12"/>
                <w:szCs w:val="12"/>
                <w:lang w:val="en-GB" w:eastAsia="mk-MK"/>
              </w:rPr>
              <w:t>MoF</w:t>
            </w:r>
            <w:proofErr w:type="spellEnd"/>
            <w:r w:rsidR="00B561EC" w:rsidRPr="00D30847">
              <w:rPr>
                <w:rFonts w:ascii="Arial" w:eastAsia="Times New Roman" w:hAnsi="Arial" w:cs="Arial"/>
                <w:sz w:val="12"/>
                <w:szCs w:val="12"/>
                <w:lang w:val="en-GB" w:eastAsia="mk-MK"/>
              </w:rPr>
              <w:t xml:space="preserve"> employees for application of tax models, forecast, and monitor revenues</w:t>
            </w:r>
          </w:p>
        </w:tc>
        <w:tc>
          <w:tcPr>
            <w:tcW w:w="1836" w:type="dxa"/>
            <w:gridSpan w:val="5"/>
            <w:shd w:val="clear" w:color="000000" w:fill="FFFF99"/>
            <w:vAlign w:val="center"/>
          </w:tcPr>
          <w:p w14:paraId="143E2564" w14:textId="13F5C221" w:rsidR="003B2558" w:rsidRPr="00D30847" w:rsidRDefault="00B561EC"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Employees are fully trained in the application of tax models for revenue forecasting, tax revenue monitoring, and tax expenditure estimation.</w:t>
            </w:r>
          </w:p>
        </w:tc>
        <w:tc>
          <w:tcPr>
            <w:tcW w:w="1194" w:type="dxa"/>
            <w:gridSpan w:val="2"/>
            <w:shd w:val="clear" w:color="000000" w:fill="FFFF99"/>
            <w:vAlign w:val="center"/>
          </w:tcPr>
          <w:p w14:paraId="2F2D223B" w14:textId="77777777" w:rsidR="003B2558" w:rsidRPr="00D30847" w:rsidRDefault="003B2558" w:rsidP="004A38FD">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p>
        </w:tc>
        <w:tc>
          <w:tcPr>
            <w:tcW w:w="1418" w:type="dxa"/>
            <w:gridSpan w:val="3"/>
            <w:shd w:val="clear" w:color="000000" w:fill="FFFF99"/>
            <w:vAlign w:val="center"/>
          </w:tcPr>
          <w:p w14:paraId="7186EE0C" w14:textId="56251BB7" w:rsidR="003B2558" w:rsidRPr="00D30847" w:rsidRDefault="00B561E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5 trainings performed</w:t>
            </w:r>
          </w:p>
        </w:tc>
        <w:tc>
          <w:tcPr>
            <w:tcW w:w="1644" w:type="dxa"/>
            <w:gridSpan w:val="3"/>
            <w:shd w:val="clear" w:color="000000" w:fill="FFFF99"/>
            <w:vAlign w:val="center"/>
          </w:tcPr>
          <w:p w14:paraId="60674089" w14:textId="68A5305E" w:rsidR="003B2558" w:rsidRPr="00D30847" w:rsidRDefault="00B561EC" w:rsidP="00485BA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Regular annual training of employees on the application of tax models</w:t>
            </w:r>
          </w:p>
        </w:tc>
        <w:tc>
          <w:tcPr>
            <w:tcW w:w="1758" w:type="dxa"/>
            <w:gridSpan w:val="4"/>
            <w:shd w:val="clear" w:color="000000" w:fill="FFFF99"/>
            <w:vAlign w:val="center"/>
          </w:tcPr>
          <w:p w14:paraId="7423C379" w14:textId="243D6DC7" w:rsidR="003B2558" w:rsidRPr="00D30847" w:rsidRDefault="00B561EC" w:rsidP="00485BA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Regular annual training of employees on the application of tax models</w:t>
            </w:r>
          </w:p>
        </w:tc>
        <w:tc>
          <w:tcPr>
            <w:tcW w:w="1842" w:type="dxa"/>
            <w:gridSpan w:val="4"/>
            <w:shd w:val="clear" w:color="000000" w:fill="FFFF99"/>
            <w:vAlign w:val="center"/>
          </w:tcPr>
          <w:p w14:paraId="1B0EF4E4" w14:textId="63A926C9" w:rsidR="003B2558" w:rsidRPr="00D30847" w:rsidRDefault="00B561EC" w:rsidP="00485BA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Regular annual training of employees on the application of tax models</w:t>
            </w:r>
          </w:p>
        </w:tc>
        <w:tc>
          <w:tcPr>
            <w:tcW w:w="1506" w:type="dxa"/>
            <w:gridSpan w:val="4"/>
            <w:shd w:val="clear" w:color="000000" w:fill="FFFF99"/>
            <w:vAlign w:val="center"/>
          </w:tcPr>
          <w:p w14:paraId="27D59317" w14:textId="6B41CF66" w:rsidR="003B2558" w:rsidRPr="00D30847" w:rsidRDefault="00B561EC" w:rsidP="00485BA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Regular annual training of employees on the application of tax models</w:t>
            </w:r>
          </w:p>
        </w:tc>
      </w:tr>
      <w:tr w:rsidR="00485BAA" w:rsidRPr="00D30847" w14:paraId="780AF291" w14:textId="77777777" w:rsidTr="00FD4DDE">
        <w:trPr>
          <w:gridBefore w:val="3"/>
          <w:gridAfter w:val="1"/>
          <w:wBefore w:w="37" w:type="dxa"/>
          <w:wAfter w:w="52" w:type="dxa"/>
          <w:trHeight w:val="205"/>
          <w:jc w:val="center"/>
        </w:trPr>
        <w:tc>
          <w:tcPr>
            <w:tcW w:w="13501" w:type="dxa"/>
            <w:gridSpan w:val="28"/>
            <w:shd w:val="clear" w:color="000000" w:fill="9BD2ED"/>
            <w:vAlign w:val="center"/>
            <w:hideMark/>
          </w:tcPr>
          <w:p w14:paraId="76FA3688" w14:textId="02DCA3F7"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w:t>
            </w:r>
            <w:r w:rsidR="001A1627"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1</w:t>
            </w:r>
            <w:r w:rsidR="001A1627" w:rsidRPr="00D30847">
              <w:rPr>
                <w:rFonts w:ascii="Arial" w:eastAsia="Times New Roman" w:hAnsi="Arial" w:cs="Arial"/>
                <w:b/>
                <w:bCs/>
                <w:sz w:val="12"/>
                <w:szCs w:val="12"/>
                <w:lang w:val="en-GB" w:eastAsia="mk-MK"/>
              </w:rPr>
              <w:t>.</w:t>
            </w:r>
            <w:r w:rsidRPr="00D30847">
              <w:rPr>
                <w:rFonts w:ascii="Arial" w:eastAsia="Times New Roman" w:hAnsi="Arial" w:cs="Arial"/>
                <w:b/>
                <w:bCs/>
                <w:sz w:val="12"/>
                <w:szCs w:val="12"/>
                <w:lang w:val="en-GB" w:eastAsia="mk-MK"/>
              </w:rPr>
              <w:t xml:space="preserve"> </w:t>
            </w:r>
            <w:r w:rsidR="00B561EC" w:rsidRPr="00D30847">
              <w:rPr>
                <w:rFonts w:ascii="Arial" w:eastAsia="Times New Roman" w:hAnsi="Arial" w:cs="Arial"/>
                <w:b/>
                <w:bCs/>
                <w:sz w:val="12"/>
                <w:szCs w:val="12"/>
                <w:lang w:val="en-GB" w:eastAsia="mk-MK"/>
              </w:rPr>
              <w:t>Improved reporting on tax expenditures and other tax indicators</w:t>
            </w:r>
          </w:p>
        </w:tc>
      </w:tr>
      <w:tr w:rsidR="00485BAA" w:rsidRPr="00D30847" w14:paraId="36DFA221" w14:textId="77777777" w:rsidTr="00FD4DDE">
        <w:trPr>
          <w:gridBefore w:val="3"/>
          <w:gridAfter w:val="1"/>
          <w:wBefore w:w="37" w:type="dxa"/>
          <w:wAfter w:w="52" w:type="dxa"/>
          <w:trHeight w:val="169"/>
          <w:jc w:val="center"/>
        </w:trPr>
        <w:tc>
          <w:tcPr>
            <w:tcW w:w="2303" w:type="dxa"/>
            <w:gridSpan w:val="3"/>
            <w:tcBorders>
              <w:top w:val="nil"/>
              <w:left w:val="nil"/>
              <w:bottom w:val="nil"/>
              <w:right w:val="single" w:sz="8" w:space="0" w:color="000000"/>
            </w:tcBorders>
            <w:shd w:val="clear" w:color="auto" w:fill="auto"/>
            <w:vAlign w:val="center"/>
            <w:hideMark/>
          </w:tcPr>
          <w:p w14:paraId="5708ABEC" w14:textId="77777777" w:rsidR="00485BAA" w:rsidRPr="00D30847" w:rsidRDefault="00485BAA" w:rsidP="00485BAA">
            <w:pPr>
              <w:spacing w:after="0" w:line="240" w:lineRule="auto"/>
              <w:jc w:val="both"/>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9BD2ED"/>
            <w:vAlign w:val="center"/>
            <w:hideMark/>
          </w:tcPr>
          <w:p w14:paraId="02B85155" w14:textId="548505FD"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7A1FF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7414E020" w14:textId="0E4391C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7A1FF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5FE718F2" w14:textId="658ADE52" w:rsidR="00485BAA" w:rsidRPr="00D30847" w:rsidRDefault="00485BAA" w:rsidP="00485BAA">
            <w:pPr>
              <w:spacing w:after="0" w:line="240" w:lineRule="auto"/>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B561EC"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3FB4ED48" w14:textId="1B7FD45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B561EC"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1AFFB62E" w14:textId="12021BAC"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B561EC"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5EFCC013" w14:textId="75EC57F1" w:rsidR="00485BAA" w:rsidRPr="00D30847" w:rsidRDefault="00485BAA" w:rsidP="004A38FD">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B561EC"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2161900A" w14:textId="06F6BD2D"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B561EC" w:rsidRPr="00D30847">
              <w:rPr>
                <w:rFonts w:ascii="Arial" w:eastAsia="Times New Roman" w:hAnsi="Arial" w:cs="Arial"/>
                <w:b/>
                <w:bCs/>
                <w:sz w:val="12"/>
                <w:szCs w:val="12"/>
                <w:lang w:val="en-GB" w:eastAsia="mk-MK"/>
              </w:rPr>
              <w:t>8</w:t>
            </w:r>
          </w:p>
        </w:tc>
      </w:tr>
      <w:tr w:rsidR="004A38FD" w:rsidRPr="00D30847" w14:paraId="5FC2A62A" w14:textId="77777777" w:rsidTr="00FD4DDE">
        <w:trPr>
          <w:gridBefore w:val="3"/>
          <w:gridAfter w:val="1"/>
          <w:wBefore w:w="37" w:type="dxa"/>
          <w:wAfter w:w="52" w:type="dxa"/>
          <w:trHeight w:val="700"/>
          <w:jc w:val="center"/>
        </w:trPr>
        <w:tc>
          <w:tcPr>
            <w:tcW w:w="2303" w:type="dxa"/>
            <w:gridSpan w:val="3"/>
            <w:tcBorders>
              <w:top w:val="nil"/>
              <w:left w:val="nil"/>
              <w:bottom w:val="nil"/>
              <w:right w:val="single" w:sz="8" w:space="0" w:color="000000"/>
            </w:tcBorders>
            <w:shd w:val="clear" w:color="auto" w:fill="auto"/>
            <w:vAlign w:val="center"/>
          </w:tcPr>
          <w:p w14:paraId="3C5BA54E" w14:textId="77777777" w:rsidR="004A38FD" w:rsidRPr="00D30847" w:rsidRDefault="004A38FD" w:rsidP="00485BAA">
            <w:pPr>
              <w:spacing w:after="0" w:line="240" w:lineRule="auto"/>
              <w:jc w:val="center"/>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FFFF99"/>
            <w:vAlign w:val="center"/>
          </w:tcPr>
          <w:p w14:paraId="22E16898" w14:textId="08AB82A1" w:rsidR="004A38FD" w:rsidRPr="00D30847" w:rsidRDefault="007A1FFE"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data sharing protocols signed and implemented</w:t>
            </w:r>
          </w:p>
        </w:tc>
        <w:tc>
          <w:tcPr>
            <w:tcW w:w="1194" w:type="dxa"/>
            <w:gridSpan w:val="2"/>
            <w:shd w:val="clear" w:color="000000" w:fill="FFFF99"/>
            <w:vAlign w:val="center"/>
          </w:tcPr>
          <w:p w14:paraId="3C765F18" w14:textId="42C42E4E" w:rsidR="004A38FD" w:rsidRPr="00D30847" w:rsidRDefault="00B561EC" w:rsidP="008208F0">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website</w:t>
            </w:r>
          </w:p>
        </w:tc>
        <w:tc>
          <w:tcPr>
            <w:tcW w:w="1418" w:type="dxa"/>
            <w:gridSpan w:val="3"/>
            <w:shd w:val="clear" w:color="000000" w:fill="FFFF99"/>
            <w:vAlign w:val="center"/>
          </w:tcPr>
          <w:p w14:paraId="242AE753" w14:textId="719EBCA6" w:rsidR="004A38FD" w:rsidRPr="00D30847" w:rsidRDefault="007A1FFE"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No protocols for tax data sharing in place</w:t>
            </w:r>
          </w:p>
        </w:tc>
        <w:tc>
          <w:tcPr>
            <w:tcW w:w="1644" w:type="dxa"/>
            <w:gridSpan w:val="3"/>
            <w:shd w:val="clear" w:color="000000" w:fill="FFFF99"/>
            <w:vAlign w:val="center"/>
          </w:tcPr>
          <w:p w14:paraId="1CF91932" w14:textId="7B3140B2" w:rsidR="004A38FD" w:rsidRPr="00D30847" w:rsidRDefault="00B561EC"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Data sharing protocols signed with PRO, CA</w:t>
            </w:r>
          </w:p>
        </w:tc>
        <w:tc>
          <w:tcPr>
            <w:tcW w:w="1758" w:type="dxa"/>
            <w:gridSpan w:val="4"/>
            <w:shd w:val="clear" w:color="000000" w:fill="FFFF99"/>
            <w:vAlign w:val="center"/>
          </w:tcPr>
          <w:p w14:paraId="1B4855EE" w14:textId="2B8BEF1E" w:rsidR="004A38FD" w:rsidRPr="00D30847" w:rsidRDefault="00B561EC"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Data protocols signed with SSO, MLSP, MOE, CR</w:t>
            </w:r>
          </w:p>
        </w:tc>
        <w:tc>
          <w:tcPr>
            <w:tcW w:w="1842" w:type="dxa"/>
            <w:gridSpan w:val="4"/>
            <w:shd w:val="clear" w:color="000000" w:fill="FFFF99"/>
            <w:vAlign w:val="center"/>
          </w:tcPr>
          <w:p w14:paraId="547EBF17" w14:textId="77777777" w:rsidR="00B561EC" w:rsidRPr="00D30847" w:rsidRDefault="00B561EC" w:rsidP="00B561EC">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Data protocols signed with other relevant institutions </w:t>
            </w:r>
          </w:p>
          <w:p w14:paraId="1D75C3A8" w14:textId="77777777" w:rsidR="00B561EC" w:rsidRPr="00D30847" w:rsidRDefault="00B561EC" w:rsidP="00B561EC">
            <w:pPr>
              <w:spacing w:after="0" w:line="240" w:lineRule="auto"/>
              <w:rPr>
                <w:rFonts w:ascii="Arial" w:eastAsia="Times New Roman" w:hAnsi="Arial" w:cs="Arial"/>
                <w:sz w:val="12"/>
                <w:szCs w:val="12"/>
                <w:lang w:val="en-GB" w:eastAsia="mk-MK"/>
              </w:rPr>
            </w:pPr>
          </w:p>
          <w:p w14:paraId="411538DE" w14:textId="32610E84" w:rsidR="004A38FD" w:rsidRPr="00D30847" w:rsidRDefault="00B561EC" w:rsidP="00B561EC">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Continuous update of signed data sharing protocols</w:t>
            </w:r>
          </w:p>
        </w:tc>
        <w:tc>
          <w:tcPr>
            <w:tcW w:w="1506" w:type="dxa"/>
            <w:gridSpan w:val="4"/>
            <w:shd w:val="clear" w:color="000000" w:fill="FFFF99"/>
            <w:vAlign w:val="center"/>
          </w:tcPr>
          <w:p w14:paraId="66337955" w14:textId="5076B5C5" w:rsidR="004A38FD" w:rsidRPr="00D30847" w:rsidRDefault="00B561EC"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Continuous update of signed data sharing protocols</w:t>
            </w:r>
          </w:p>
        </w:tc>
      </w:tr>
      <w:tr w:rsidR="00485BAA" w:rsidRPr="00D30847" w14:paraId="1AAD6B9E" w14:textId="77777777" w:rsidTr="00FD4DDE">
        <w:trPr>
          <w:gridBefore w:val="3"/>
          <w:gridAfter w:val="1"/>
          <w:wBefore w:w="37" w:type="dxa"/>
          <w:wAfter w:w="52" w:type="dxa"/>
          <w:trHeight w:val="2797"/>
          <w:jc w:val="center"/>
        </w:trPr>
        <w:tc>
          <w:tcPr>
            <w:tcW w:w="2303" w:type="dxa"/>
            <w:gridSpan w:val="3"/>
            <w:tcBorders>
              <w:top w:val="nil"/>
              <w:left w:val="nil"/>
              <w:bottom w:val="nil"/>
              <w:right w:val="single" w:sz="8" w:space="0" w:color="000000"/>
            </w:tcBorders>
            <w:shd w:val="clear" w:color="auto" w:fill="auto"/>
            <w:vAlign w:val="center"/>
            <w:hideMark/>
          </w:tcPr>
          <w:p w14:paraId="496D95DD"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FFFF99"/>
            <w:vAlign w:val="center"/>
            <w:hideMark/>
          </w:tcPr>
          <w:p w14:paraId="0C1B1BC0" w14:textId="75281BE8" w:rsidR="00485BAA" w:rsidRPr="00D30847" w:rsidRDefault="00B561EC"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prepared reports and trainings provided for preparation of reports</w:t>
            </w:r>
          </w:p>
        </w:tc>
        <w:tc>
          <w:tcPr>
            <w:tcW w:w="1194" w:type="dxa"/>
            <w:gridSpan w:val="2"/>
            <w:shd w:val="clear" w:color="000000" w:fill="FFFF99"/>
            <w:vAlign w:val="center"/>
            <w:hideMark/>
          </w:tcPr>
          <w:p w14:paraId="07044DC6" w14:textId="14296541" w:rsidR="00485BAA" w:rsidRPr="00D30847" w:rsidRDefault="00485BAA"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Web</w:t>
            </w:r>
            <w:r w:rsidR="007A1FFE"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page</w:t>
            </w:r>
            <w:r w:rsidR="007A1FFE"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w:t>
            </w:r>
            <w:r w:rsidR="007A1FFE"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MoF</w:t>
            </w:r>
          </w:p>
        </w:tc>
        <w:tc>
          <w:tcPr>
            <w:tcW w:w="1418" w:type="dxa"/>
            <w:gridSpan w:val="3"/>
            <w:shd w:val="clear" w:color="000000" w:fill="FFFF99"/>
            <w:vAlign w:val="center"/>
            <w:hideMark/>
          </w:tcPr>
          <w:p w14:paraId="4B28612C" w14:textId="49221135" w:rsidR="00485BAA" w:rsidRPr="00D30847" w:rsidRDefault="00B561EC"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Draft report on tax expenditures prepared by the Twinning project "Improving revenue collection and tax and customs policy"</w:t>
            </w:r>
          </w:p>
        </w:tc>
        <w:tc>
          <w:tcPr>
            <w:tcW w:w="1644" w:type="dxa"/>
            <w:gridSpan w:val="3"/>
            <w:shd w:val="clear" w:color="000000" w:fill="FFFF99"/>
            <w:vAlign w:val="center"/>
            <w:hideMark/>
          </w:tcPr>
          <w:p w14:paraId="2CA016A1"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Training for preparation of annual tax expenditures provided</w:t>
            </w:r>
          </w:p>
          <w:p w14:paraId="1490F93B"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p>
          <w:p w14:paraId="12A0DD5C" w14:textId="3F0754C7" w:rsidR="00485BAA" w:rsidRPr="00D30847" w:rsidRDefault="00B561EC"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Annual tax expenditures prepared</w:t>
            </w:r>
            <w:r w:rsidRPr="00D30847" w:rsidDel="00B561EC">
              <w:rPr>
                <w:rFonts w:ascii="Arial" w:eastAsia="Times New Roman" w:hAnsi="Arial" w:cs="Arial"/>
                <w:sz w:val="12"/>
                <w:szCs w:val="12"/>
                <w:lang w:val="en-GB" w:eastAsia="mk-MK"/>
              </w:rPr>
              <w:t xml:space="preserve"> </w:t>
            </w:r>
          </w:p>
        </w:tc>
        <w:tc>
          <w:tcPr>
            <w:tcW w:w="1758" w:type="dxa"/>
            <w:gridSpan w:val="4"/>
            <w:shd w:val="clear" w:color="000000" w:fill="FFFF99"/>
            <w:vAlign w:val="center"/>
            <w:hideMark/>
          </w:tcPr>
          <w:p w14:paraId="1F76C9E7" w14:textId="6FF8AD65"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Annual </w:t>
            </w:r>
            <w:proofErr w:type="spellStart"/>
            <w:r w:rsidRPr="00D30847">
              <w:rPr>
                <w:rFonts w:ascii="Arial" w:eastAsia="Times New Roman" w:hAnsi="Arial" w:cs="Arial"/>
                <w:sz w:val="12"/>
                <w:szCs w:val="12"/>
                <w:lang w:val="en-GB" w:eastAsia="mk-MK"/>
              </w:rPr>
              <w:t>Тax</w:t>
            </w:r>
            <w:proofErr w:type="spellEnd"/>
            <w:r w:rsidRPr="00D30847">
              <w:rPr>
                <w:rFonts w:ascii="Arial" w:eastAsia="Times New Roman" w:hAnsi="Arial" w:cs="Arial"/>
                <w:sz w:val="12"/>
                <w:szCs w:val="12"/>
                <w:lang w:val="en-GB" w:eastAsia="mk-MK"/>
              </w:rPr>
              <w:t xml:space="preserve"> expenditures Report prepared and submitted as part of the Final Account of </w:t>
            </w:r>
            <w:r w:rsidR="00F368A1" w:rsidRPr="00D30847">
              <w:rPr>
                <w:rFonts w:ascii="Arial" w:eastAsia="Times New Roman" w:hAnsi="Arial" w:cs="Arial"/>
                <w:sz w:val="12"/>
                <w:szCs w:val="12"/>
                <w:lang w:val="en-GB" w:eastAsia="mk-MK"/>
              </w:rPr>
              <w:t>the Budget</w:t>
            </w:r>
            <w:r w:rsidRPr="00D30847">
              <w:rPr>
                <w:rFonts w:ascii="Arial" w:eastAsia="Times New Roman" w:hAnsi="Arial" w:cs="Arial"/>
                <w:sz w:val="12"/>
                <w:szCs w:val="12"/>
                <w:lang w:val="en-GB" w:eastAsia="mk-MK"/>
              </w:rPr>
              <w:t xml:space="preserve"> of the Republic of North Macedonia</w:t>
            </w:r>
          </w:p>
          <w:p w14:paraId="2B2C727F"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p>
          <w:p w14:paraId="633138DE"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Conducted trainings for preparation of reports on: </w:t>
            </w:r>
          </w:p>
          <w:p w14:paraId="725F8878"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ab/>
              <w:t xml:space="preserve"> VAT-GAP, </w:t>
            </w:r>
          </w:p>
          <w:p w14:paraId="21B18DF1" w14:textId="60358E21" w:rsidR="00485BAA" w:rsidRPr="00D30847" w:rsidRDefault="00B561EC"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ab/>
              <w:t>C-Efficiency</w:t>
            </w:r>
          </w:p>
        </w:tc>
        <w:tc>
          <w:tcPr>
            <w:tcW w:w="1842" w:type="dxa"/>
            <w:gridSpan w:val="4"/>
            <w:shd w:val="clear" w:color="000000" w:fill="FFFF99"/>
            <w:vAlign w:val="center"/>
            <w:hideMark/>
          </w:tcPr>
          <w:p w14:paraId="18F0AE58" w14:textId="5F3B8CE5"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Annual </w:t>
            </w:r>
            <w:proofErr w:type="spellStart"/>
            <w:r w:rsidRPr="00D30847">
              <w:rPr>
                <w:rFonts w:ascii="Arial" w:eastAsia="Times New Roman" w:hAnsi="Arial" w:cs="Arial"/>
                <w:sz w:val="12"/>
                <w:szCs w:val="12"/>
                <w:lang w:val="en-GB" w:eastAsia="mk-MK"/>
              </w:rPr>
              <w:t>Тax</w:t>
            </w:r>
            <w:proofErr w:type="spellEnd"/>
            <w:r w:rsidRPr="00D30847">
              <w:rPr>
                <w:rFonts w:ascii="Arial" w:eastAsia="Times New Roman" w:hAnsi="Arial" w:cs="Arial"/>
                <w:sz w:val="12"/>
                <w:szCs w:val="12"/>
                <w:lang w:val="en-GB" w:eastAsia="mk-MK"/>
              </w:rPr>
              <w:t xml:space="preserve"> expenditures Report prepared and submitted as part of the Final Account of </w:t>
            </w:r>
            <w:r w:rsidR="00F368A1" w:rsidRPr="00D30847">
              <w:rPr>
                <w:rFonts w:ascii="Arial" w:eastAsia="Times New Roman" w:hAnsi="Arial" w:cs="Arial"/>
                <w:sz w:val="12"/>
                <w:szCs w:val="12"/>
                <w:lang w:val="en-GB" w:eastAsia="mk-MK"/>
              </w:rPr>
              <w:t>the Budget</w:t>
            </w:r>
            <w:r w:rsidRPr="00D30847">
              <w:rPr>
                <w:rFonts w:ascii="Arial" w:eastAsia="Times New Roman" w:hAnsi="Arial" w:cs="Arial"/>
                <w:sz w:val="12"/>
                <w:szCs w:val="12"/>
                <w:lang w:val="en-GB" w:eastAsia="mk-MK"/>
              </w:rPr>
              <w:t xml:space="preserve"> of the Republic of North Macedonia</w:t>
            </w:r>
          </w:p>
          <w:p w14:paraId="645D140C"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p>
          <w:p w14:paraId="61D70565"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Conducted trainings for preparation of reports on: </w:t>
            </w:r>
          </w:p>
          <w:p w14:paraId="10F6E942"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ab/>
              <w:t xml:space="preserve"> VAT-GAP, </w:t>
            </w:r>
          </w:p>
          <w:p w14:paraId="6B5F3C3A"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ab/>
              <w:t>C-Efficiency</w:t>
            </w:r>
          </w:p>
          <w:p w14:paraId="3F966033"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p>
          <w:p w14:paraId="06F56A5C"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Conducted trainings for preparation of reports on:</w:t>
            </w:r>
          </w:p>
          <w:p w14:paraId="0FFDF922"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ab/>
              <w:t xml:space="preserve">Coefficients for tax buoyancy and tax elasticity, </w:t>
            </w:r>
          </w:p>
          <w:p w14:paraId="1D4B3930"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ab/>
              <w:t xml:space="preserve">Effective marginal tax rates (EMTRs) </w:t>
            </w:r>
          </w:p>
          <w:p w14:paraId="3C51F336" w14:textId="60459DAA" w:rsidR="00485BAA" w:rsidRPr="00D30847" w:rsidRDefault="00B561EC" w:rsidP="007A1FF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ab/>
              <w:t>Effective average tax rates (EATRs)</w:t>
            </w:r>
          </w:p>
        </w:tc>
        <w:tc>
          <w:tcPr>
            <w:tcW w:w="1506" w:type="dxa"/>
            <w:gridSpan w:val="4"/>
            <w:shd w:val="clear" w:color="000000" w:fill="FFFF99"/>
            <w:vAlign w:val="center"/>
            <w:hideMark/>
          </w:tcPr>
          <w:p w14:paraId="2C9C1206" w14:textId="557F2EF6"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Report prepared and submitted as part of the Final Account of </w:t>
            </w:r>
            <w:r w:rsidR="00F368A1" w:rsidRPr="00D30847">
              <w:rPr>
                <w:rFonts w:ascii="Arial" w:eastAsia="Times New Roman" w:hAnsi="Arial" w:cs="Arial"/>
                <w:sz w:val="12"/>
                <w:szCs w:val="12"/>
                <w:lang w:val="en-GB" w:eastAsia="mk-MK"/>
              </w:rPr>
              <w:t>the Budget</w:t>
            </w:r>
            <w:r w:rsidRPr="00D30847">
              <w:rPr>
                <w:rFonts w:ascii="Arial" w:eastAsia="Times New Roman" w:hAnsi="Arial" w:cs="Arial"/>
                <w:sz w:val="12"/>
                <w:szCs w:val="12"/>
                <w:lang w:val="en-GB" w:eastAsia="mk-MK"/>
              </w:rPr>
              <w:t xml:space="preserve"> of the Republic of North Macedonia</w:t>
            </w:r>
          </w:p>
          <w:p w14:paraId="7A6C4B37"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p>
          <w:p w14:paraId="278E716C"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Conducted trainings for preparation of reports on: </w:t>
            </w:r>
          </w:p>
          <w:p w14:paraId="1EA1FA34"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VAT-GAP, </w:t>
            </w:r>
          </w:p>
          <w:p w14:paraId="470858AF"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-C-Efficiency</w:t>
            </w:r>
          </w:p>
          <w:p w14:paraId="263F0978"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Coefficients for tax buoyancy and tax elasticity, </w:t>
            </w:r>
          </w:p>
          <w:p w14:paraId="5B5AF68A" w14:textId="77777777" w:rsidR="00B561EC" w:rsidRPr="00D30847" w:rsidRDefault="00B561EC" w:rsidP="00B561EC">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-Effective marginal tax rates (EMTRs) </w:t>
            </w:r>
          </w:p>
          <w:p w14:paraId="37DFAAEF" w14:textId="193FD1D1" w:rsidR="00485BAA" w:rsidRPr="00D30847" w:rsidRDefault="00B561EC" w:rsidP="007A1FF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-Effective average tax rates (EATRs)</w:t>
            </w:r>
          </w:p>
        </w:tc>
      </w:tr>
      <w:tr w:rsidR="00485BAA" w:rsidRPr="00D30847" w14:paraId="2A608EEC" w14:textId="77777777" w:rsidTr="00FD4DDE">
        <w:trPr>
          <w:gridBefore w:val="3"/>
          <w:gridAfter w:val="1"/>
          <w:wBefore w:w="37" w:type="dxa"/>
          <w:wAfter w:w="52" w:type="dxa"/>
          <w:trHeight w:val="239"/>
          <w:jc w:val="center"/>
        </w:trPr>
        <w:tc>
          <w:tcPr>
            <w:tcW w:w="2303" w:type="dxa"/>
            <w:gridSpan w:val="3"/>
            <w:vMerge w:val="restart"/>
            <w:tcBorders>
              <w:top w:val="nil"/>
              <w:left w:val="nil"/>
              <w:bottom w:val="nil"/>
              <w:right w:val="single" w:sz="8" w:space="0" w:color="000000"/>
            </w:tcBorders>
            <w:shd w:val="clear" w:color="auto" w:fill="auto"/>
            <w:vAlign w:val="center"/>
            <w:hideMark/>
          </w:tcPr>
          <w:p w14:paraId="0A06493E"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2E3495E2"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3266C815" w14:textId="513B6098"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7A1FF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2C16A453" w14:textId="6DF58BF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7A1FF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7BAABDB2" w14:textId="00089B3E"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7A1FF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603C42AF"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02D71882" w14:textId="3DAF3680"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7A1FF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7A1FF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10D3DA0B"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3A1725" w:rsidRPr="00D30847" w14:paraId="41786C57" w14:textId="77777777" w:rsidTr="00FD4DDE">
        <w:trPr>
          <w:gridBefore w:val="3"/>
          <w:gridAfter w:val="1"/>
          <w:wBefore w:w="37" w:type="dxa"/>
          <w:wAfter w:w="52" w:type="dxa"/>
          <w:trHeight w:val="708"/>
          <w:jc w:val="center"/>
        </w:trPr>
        <w:tc>
          <w:tcPr>
            <w:tcW w:w="2303" w:type="dxa"/>
            <w:gridSpan w:val="3"/>
            <w:vMerge/>
            <w:tcBorders>
              <w:top w:val="nil"/>
              <w:left w:val="nil"/>
              <w:bottom w:val="nil"/>
              <w:right w:val="single" w:sz="8" w:space="0" w:color="000000"/>
            </w:tcBorders>
            <w:vAlign w:val="center"/>
            <w:hideMark/>
          </w:tcPr>
          <w:p w14:paraId="5557C3AF" w14:textId="77777777" w:rsidR="003A1725" w:rsidRPr="00D30847" w:rsidRDefault="003A1725"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hideMark/>
          </w:tcPr>
          <w:p w14:paraId="22FAE326" w14:textId="651A4A3D" w:rsidR="003A1725" w:rsidRPr="00D30847" w:rsidRDefault="003A1725"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Establishing an effective and efficient mechanism for data exchange between relevant institutions and the Ministry of Finance;</w:t>
            </w:r>
          </w:p>
        </w:tc>
        <w:tc>
          <w:tcPr>
            <w:tcW w:w="1194" w:type="dxa"/>
            <w:gridSpan w:val="2"/>
            <w:vMerge w:val="restart"/>
            <w:shd w:val="clear" w:color="000000" w:fill="FFFF99"/>
            <w:vAlign w:val="center"/>
            <w:hideMark/>
          </w:tcPr>
          <w:p w14:paraId="05F81B7B" w14:textId="3C9EFAF9" w:rsidR="003A1725" w:rsidRPr="00D30847" w:rsidRDefault="003A1725" w:rsidP="00485BAA">
            <w:pPr>
              <w:spacing w:after="0" w:line="240" w:lineRule="auto"/>
              <w:jc w:val="center"/>
              <w:rPr>
                <w:rFonts w:ascii="Arial" w:eastAsia="Times New Roman" w:hAnsi="Arial" w:cs="Arial"/>
                <w:sz w:val="12"/>
                <w:szCs w:val="12"/>
                <w:lang w:val="en-GB" w:eastAsia="mk-MK"/>
              </w:rPr>
            </w:pPr>
          </w:p>
          <w:p w14:paraId="0DE8E2BA" w14:textId="6CF75583" w:rsidR="003A1725" w:rsidRPr="00D30847" w:rsidRDefault="003A17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18" w:type="dxa"/>
            <w:gridSpan w:val="3"/>
            <w:vMerge w:val="restart"/>
            <w:shd w:val="clear" w:color="000000" w:fill="FFFF99"/>
            <w:vAlign w:val="center"/>
            <w:hideMark/>
          </w:tcPr>
          <w:p w14:paraId="4A383AA8" w14:textId="77777777" w:rsidR="003A1725" w:rsidRPr="00D30847" w:rsidRDefault="003A17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Public revenues and Tax and Customs Policy Department</w:t>
            </w:r>
          </w:p>
          <w:p w14:paraId="3A4EBCB5" w14:textId="67986498" w:rsidR="003A1725" w:rsidRPr="00D30847" w:rsidRDefault="003A1725" w:rsidP="00485BAA">
            <w:pPr>
              <w:spacing w:after="0" w:line="240" w:lineRule="auto"/>
              <w:jc w:val="center"/>
              <w:rPr>
                <w:rFonts w:ascii="Arial" w:eastAsia="Times New Roman" w:hAnsi="Arial" w:cs="Arial"/>
                <w:sz w:val="12"/>
                <w:szCs w:val="12"/>
                <w:lang w:val="en-GB" w:eastAsia="mk-MK"/>
              </w:rPr>
            </w:pPr>
          </w:p>
        </w:tc>
        <w:tc>
          <w:tcPr>
            <w:tcW w:w="1644" w:type="dxa"/>
            <w:gridSpan w:val="3"/>
            <w:vMerge w:val="restart"/>
            <w:shd w:val="clear" w:color="000000" w:fill="FFFF99"/>
            <w:vAlign w:val="center"/>
            <w:hideMark/>
          </w:tcPr>
          <w:p w14:paraId="1EBDC739" w14:textId="15E24EFA" w:rsidR="003A1725" w:rsidRPr="00D30847" w:rsidRDefault="003A17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CA,</w:t>
            </w:r>
            <w:r w:rsidR="00F368A1">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w:t>
            </w:r>
            <w:r w:rsidR="00F368A1">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SSO and others</w:t>
            </w:r>
          </w:p>
          <w:p w14:paraId="79AA3C00" w14:textId="5C580B89" w:rsidR="003A1725" w:rsidRPr="00D30847" w:rsidRDefault="003A1725" w:rsidP="00485BAA">
            <w:pPr>
              <w:spacing w:after="0" w:line="240" w:lineRule="auto"/>
              <w:jc w:val="center"/>
              <w:rPr>
                <w:rFonts w:ascii="Arial" w:eastAsia="Times New Roman" w:hAnsi="Arial" w:cs="Arial"/>
                <w:sz w:val="12"/>
                <w:szCs w:val="12"/>
                <w:lang w:val="en-GB" w:eastAsia="mk-MK"/>
              </w:rPr>
            </w:pPr>
          </w:p>
        </w:tc>
        <w:tc>
          <w:tcPr>
            <w:tcW w:w="1758" w:type="dxa"/>
            <w:gridSpan w:val="4"/>
            <w:vMerge w:val="restart"/>
            <w:shd w:val="clear" w:color="000000" w:fill="FFFF99"/>
            <w:vAlign w:val="center"/>
            <w:hideMark/>
          </w:tcPr>
          <w:p w14:paraId="25DC22D0" w14:textId="38BF6B53" w:rsidR="003A1725" w:rsidRPr="00D30847" w:rsidRDefault="003A1725" w:rsidP="007A1FFE">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120.000</w:t>
            </w:r>
          </w:p>
          <w:p w14:paraId="12CCBA73" w14:textId="22851FDA" w:rsidR="003A1725" w:rsidRPr="00D30847" w:rsidRDefault="003A1725" w:rsidP="007A1FFE">
            <w:pPr>
              <w:spacing w:after="0" w:line="240" w:lineRule="auto"/>
              <w:jc w:val="center"/>
              <w:rPr>
                <w:rFonts w:ascii="Arial" w:eastAsia="Times New Roman" w:hAnsi="Arial" w:cs="Arial"/>
                <w:sz w:val="12"/>
                <w:szCs w:val="12"/>
                <w:lang w:val="en-GB" w:eastAsia="mk-MK"/>
              </w:rPr>
            </w:pPr>
          </w:p>
        </w:tc>
        <w:tc>
          <w:tcPr>
            <w:tcW w:w="1842" w:type="dxa"/>
            <w:gridSpan w:val="4"/>
            <w:vMerge w:val="restart"/>
            <w:shd w:val="clear" w:color="000000" w:fill="FFFF99"/>
            <w:vAlign w:val="center"/>
            <w:hideMark/>
          </w:tcPr>
          <w:p w14:paraId="2BE3C54E" w14:textId="6823B9B9" w:rsidR="003A1725" w:rsidRPr="00D30847" w:rsidRDefault="003A1725" w:rsidP="00485BAA">
            <w:pPr>
              <w:spacing w:after="0" w:line="240" w:lineRule="auto"/>
              <w:rPr>
                <w:rFonts w:ascii="Arial" w:eastAsia="Times New Roman" w:hAnsi="Arial" w:cs="Arial"/>
                <w:sz w:val="12"/>
                <w:szCs w:val="12"/>
                <w:lang w:val="en-GB" w:eastAsia="mk-MK"/>
              </w:rPr>
            </w:pPr>
            <w:r w:rsidRPr="00D30847">
              <w:rPr>
                <w:lang w:val="en-GB"/>
              </w:rPr>
              <w:t xml:space="preserve"> </w:t>
            </w:r>
            <w:r w:rsidRPr="00D30847">
              <w:rPr>
                <w:rFonts w:ascii="Arial" w:eastAsia="Times New Roman" w:hAnsi="Arial" w:cs="Arial"/>
                <w:sz w:val="12"/>
                <w:szCs w:val="12"/>
                <w:lang w:val="en-GB" w:eastAsia="mk-MK"/>
              </w:rPr>
              <w:t>IMF and the World Bank other partners</w:t>
            </w:r>
          </w:p>
          <w:p w14:paraId="5319775D" w14:textId="3D98CBA5" w:rsidR="003A1725" w:rsidRPr="00D30847" w:rsidRDefault="003A1725" w:rsidP="00485BAA">
            <w:pPr>
              <w:spacing w:after="0" w:line="240" w:lineRule="auto"/>
              <w:rPr>
                <w:rFonts w:ascii="Arial" w:eastAsia="Times New Roman" w:hAnsi="Arial" w:cs="Arial"/>
                <w:sz w:val="12"/>
                <w:szCs w:val="12"/>
                <w:lang w:val="en-GB" w:eastAsia="mk-MK"/>
              </w:rPr>
            </w:pPr>
          </w:p>
        </w:tc>
        <w:tc>
          <w:tcPr>
            <w:tcW w:w="1506" w:type="dxa"/>
            <w:gridSpan w:val="4"/>
            <w:shd w:val="clear" w:color="000000" w:fill="FFFF99"/>
            <w:vAlign w:val="center"/>
            <w:hideMark/>
          </w:tcPr>
          <w:p w14:paraId="1304FD5C" w14:textId="77777777" w:rsidR="003A1725" w:rsidRPr="00D30847" w:rsidRDefault="003A17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3A1725" w:rsidRPr="00D30847" w14:paraId="31A7169C" w14:textId="77777777" w:rsidTr="00FD4DDE">
        <w:trPr>
          <w:gridBefore w:val="3"/>
          <w:gridAfter w:val="1"/>
          <w:wBefore w:w="37" w:type="dxa"/>
          <w:wAfter w:w="52" w:type="dxa"/>
          <w:trHeight w:val="395"/>
          <w:jc w:val="center"/>
        </w:trPr>
        <w:tc>
          <w:tcPr>
            <w:tcW w:w="2303" w:type="dxa"/>
            <w:gridSpan w:val="3"/>
            <w:vMerge/>
            <w:tcBorders>
              <w:top w:val="nil"/>
              <w:left w:val="nil"/>
              <w:bottom w:val="nil"/>
              <w:right w:val="single" w:sz="8" w:space="0" w:color="000000"/>
            </w:tcBorders>
            <w:vAlign w:val="center"/>
            <w:hideMark/>
          </w:tcPr>
          <w:p w14:paraId="43E12F1B" w14:textId="77777777" w:rsidR="003A1725" w:rsidRPr="00D30847" w:rsidRDefault="003A1725"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hideMark/>
          </w:tcPr>
          <w:p w14:paraId="30D8EF0F" w14:textId="29C93FD3" w:rsidR="003A1725" w:rsidRPr="00D30847" w:rsidRDefault="003A1725"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2. </w:t>
            </w:r>
            <w:r w:rsidR="005E73F5" w:rsidRPr="00D30847">
              <w:rPr>
                <w:rFonts w:ascii="Arial" w:eastAsia="Times New Roman" w:hAnsi="Arial" w:cs="Arial"/>
                <w:sz w:val="12"/>
                <w:szCs w:val="12"/>
                <w:lang w:val="en-GB" w:eastAsia="mk-MK"/>
              </w:rPr>
              <w:t>Extending the tax models with new modules and installation of Power BI tool</w:t>
            </w:r>
            <w:r w:rsidRPr="00D30847">
              <w:rPr>
                <w:rFonts w:ascii="Arial" w:eastAsia="Times New Roman" w:hAnsi="Arial" w:cs="Arial"/>
                <w:sz w:val="12"/>
                <w:szCs w:val="12"/>
                <w:lang w:val="en-GB" w:eastAsia="mk-MK"/>
              </w:rPr>
              <w:t>;</w:t>
            </w:r>
          </w:p>
        </w:tc>
        <w:tc>
          <w:tcPr>
            <w:tcW w:w="1194" w:type="dxa"/>
            <w:gridSpan w:val="2"/>
            <w:vMerge/>
            <w:shd w:val="clear" w:color="000000" w:fill="FFFF99"/>
            <w:vAlign w:val="center"/>
            <w:hideMark/>
          </w:tcPr>
          <w:p w14:paraId="0D57DA89" w14:textId="363E0FFD" w:rsidR="003A1725" w:rsidRPr="00D30847" w:rsidRDefault="003A1725" w:rsidP="00485BAA">
            <w:pPr>
              <w:spacing w:after="0" w:line="240" w:lineRule="auto"/>
              <w:jc w:val="center"/>
              <w:rPr>
                <w:rFonts w:ascii="Arial" w:eastAsia="Times New Roman" w:hAnsi="Arial" w:cs="Arial"/>
                <w:sz w:val="12"/>
                <w:szCs w:val="12"/>
                <w:lang w:val="en-GB" w:eastAsia="mk-MK"/>
              </w:rPr>
            </w:pPr>
          </w:p>
        </w:tc>
        <w:tc>
          <w:tcPr>
            <w:tcW w:w="1418" w:type="dxa"/>
            <w:gridSpan w:val="3"/>
            <w:vMerge/>
            <w:shd w:val="clear" w:color="000000" w:fill="FFFF99"/>
            <w:vAlign w:val="center"/>
            <w:hideMark/>
          </w:tcPr>
          <w:p w14:paraId="7E676334" w14:textId="4B745D9D" w:rsidR="003A1725" w:rsidRPr="00D30847" w:rsidRDefault="003A1725" w:rsidP="00485BAA">
            <w:pPr>
              <w:spacing w:after="0" w:line="240" w:lineRule="auto"/>
              <w:jc w:val="center"/>
              <w:rPr>
                <w:rFonts w:ascii="Arial" w:eastAsia="Times New Roman" w:hAnsi="Arial" w:cs="Arial"/>
                <w:sz w:val="12"/>
                <w:szCs w:val="12"/>
                <w:lang w:val="en-GB" w:eastAsia="mk-MK"/>
              </w:rPr>
            </w:pPr>
          </w:p>
        </w:tc>
        <w:tc>
          <w:tcPr>
            <w:tcW w:w="1644" w:type="dxa"/>
            <w:gridSpan w:val="3"/>
            <w:vMerge/>
            <w:shd w:val="clear" w:color="000000" w:fill="FFFF99"/>
            <w:vAlign w:val="center"/>
            <w:hideMark/>
          </w:tcPr>
          <w:p w14:paraId="5F55ACE3" w14:textId="114853A6" w:rsidR="003A1725" w:rsidRPr="00D30847" w:rsidRDefault="003A1725" w:rsidP="00485BAA">
            <w:pPr>
              <w:spacing w:after="0" w:line="240" w:lineRule="auto"/>
              <w:jc w:val="center"/>
              <w:rPr>
                <w:rFonts w:ascii="Arial" w:eastAsia="Times New Roman" w:hAnsi="Arial" w:cs="Arial"/>
                <w:sz w:val="12"/>
                <w:szCs w:val="12"/>
                <w:lang w:val="en-GB" w:eastAsia="mk-MK"/>
              </w:rPr>
            </w:pPr>
          </w:p>
        </w:tc>
        <w:tc>
          <w:tcPr>
            <w:tcW w:w="1758" w:type="dxa"/>
            <w:gridSpan w:val="4"/>
            <w:vMerge/>
            <w:shd w:val="clear" w:color="000000" w:fill="FFFF99"/>
            <w:vAlign w:val="center"/>
            <w:hideMark/>
          </w:tcPr>
          <w:p w14:paraId="74D668FD" w14:textId="37DC9F68" w:rsidR="003A1725" w:rsidRPr="00D30847" w:rsidRDefault="003A1725" w:rsidP="007A1FFE">
            <w:pPr>
              <w:spacing w:after="0" w:line="240" w:lineRule="auto"/>
              <w:jc w:val="center"/>
              <w:rPr>
                <w:rFonts w:ascii="Arial" w:eastAsia="Times New Roman" w:hAnsi="Arial" w:cs="Arial"/>
                <w:sz w:val="12"/>
                <w:szCs w:val="12"/>
                <w:lang w:val="en-GB" w:eastAsia="mk-MK"/>
              </w:rPr>
            </w:pPr>
          </w:p>
        </w:tc>
        <w:tc>
          <w:tcPr>
            <w:tcW w:w="1842" w:type="dxa"/>
            <w:gridSpan w:val="4"/>
            <w:vMerge/>
            <w:shd w:val="clear" w:color="000000" w:fill="FFFF99"/>
            <w:vAlign w:val="center"/>
            <w:hideMark/>
          </w:tcPr>
          <w:p w14:paraId="60869AA9" w14:textId="422BF85C" w:rsidR="003A1725" w:rsidRPr="00D30847" w:rsidRDefault="003A1725" w:rsidP="00485BAA">
            <w:pPr>
              <w:spacing w:after="0" w:line="240" w:lineRule="auto"/>
              <w:rPr>
                <w:rFonts w:ascii="Arial" w:eastAsia="Times New Roman" w:hAnsi="Arial" w:cs="Arial"/>
                <w:sz w:val="12"/>
                <w:szCs w:val="12"/>
                <w:lang w:val="en-GB" w:eastAsia="mk-MK"/>
              </w:rPr>
            </w:pPr>
          </w:p>
        </w:tc>
        <w:tc>
          <w:tcPr>
            <w:tcW w:w="1506" w:type="dxa"/>
            <w:gridSpan w:val="4"/>
            <w:shd w:val="clear" w:color="000000" w:fill="FFFF99"/>
            <w:vAlign w:val="center"/>
            <w:hideMark/>
          </w:tcPr>
          <w:p w14:paraId="26E81CD6" w14:textId="77777777" w:rsidR="003A1725" w:rsidRPr="00D30847" w:rsidRDefault="003A1725" w:rsidP="00485BA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485BAA" w:rsidRPr="00D30847" w14:paraId="1606B149" w14:textId="77777777" w:rsidTr="00FD4DDE">
        <w:trPr>
          <w:gridBefore w:val="3"/>
          <w:gridAfter w:val="1"/>
          <w:wBefore w:w="37" w:type="dxa"/>
          <w:wAfter w:w="52" w:type="dxa"/>
          <w:trHeight w:val="188"/>
          <w:jc w:val="center"/>
        </w:trPr>
        <w:tc>
          <w:tcPr>
            <w:tcW w:w="13501" w:type="dxa"/>
            <w:gridSpan w:val="28"/>
            <w:shd w:val="clear" w:color="000000" w:fill="9BD2ED"/>
            <w:vAlign w:val="center"/>
            <w:hideMark/>
          </w:tcPr>
          <w:p w14:paraId="721B227B" w14:textId="2357BA77" w:rsidR="00ED2D5D"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w:t>
            </w:r>
            <w:r w:rsidR="001A1627"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2</w:t>
            </w:r>
            <w:r w:rsidR="001A1627" w:rsidRPr="00D30847">
              <w:rPr>
                <w:rFonts w:ascii="Arial" w:eastAsia="Times New Roman" w:hAnsi="Arial" w:cs="Arial"/>
                <w:b/>
                <w:bCs/>
                <w:sz w:val="12"/>
                <w:szCs w:val="12"/>
                <w:lang w:val="en-GB" w:eastAsia="mk-MK"/>
              </w:rPr>
              <w:t xml:space="preserve">. </w:t>
            </w:r>
            <w:r w:rsidR="003A1725" w:rsidRPr="00D30847">
              <w:rPr>
                <w:rFonts w:ascii="Arial" w:eastAsia="Times New Roman" w:hAnsi="Arial" w:cs="Arial"/>
                <w:b/>
                <w:bCs/>
                <w:sz w:val="12"/>
                <w:szCs w:val="12"/>
                <w:lang w:val="en-GB" w:eastAsia="mk-MK"/>
              </w:rPr>
              <w:t>Enhancing capacity  for application of tax models</w:t>
            </w:r>
          </w:p>
        </w:tc>
      </w:tr>
      <w:tr w:rsidR="00485BAA" w:rsidRPr="00D30847" w14:paraId="2E4199C3" w14:textId="77777777" w:rsidTr="00FD4DDE">
        <w:trPr>
          <w:gridBefore w:val="3"/>
          <w:gridAfter w:val="1"/>
          <w:wBefore w:w="37" w:type="dxa"/>
          <w:wAfter w:w="52" w:type="dxa"/>
          <w:trHeight w:val="119"/>
          <w:jc w:val="center"/>
        </w:trPr>
        <w:tc>
          <w:tcPr>
            <w:tcW w:w="2303" w:type="dxa"/>
            <w:gridSpan w:val="3"/>
            <w:vMerge w:val="restart"/>
            <w:tcBorders>
              <w:top w:val="nil"/>
              <w:left w:val="nil"/>
              <w:bottom w:val="nil"/>
              <w:right w:val="single" w:sz="8" w:space="0" w:color="000000"/>
            </w:tcBorders>
            <w:shd w:val="clear" w:color="auto" w:fill="auto"/>
            <w:vAlign w:val="center"/>
            <w:hideMark/>
          </w:tcPr>
          <w:p w14:paraId="19CC06E1" w14:textId="77777777" w:rsidR="00485BAA" w:rsidRPr="00D30847" w:rsidRDefault="00485BAA" w:rsidP="00485BAA">
            <w:pPr>
              <w:spacing w:after="0" w:line="240" w:lineRule="auto"/>
              <w:jc w:val="both"/>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9BD2ED"/>
            <w:vAlign w:val="center"/>
            <w:hideMark/>
          </w:tcPr>
          <w:p w14:paraId="4330928C" w14:textId="03EA2B42" w:rsidR="00485BAA" w:rsidRPr="00D30847" w:rsidRDefault="00B77BB0"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w:t>
            </w:r>
          </w:p>
        </w:tc>
        <w:tc>
          <w:tcPr>
            <w:tcW w:w="1194" w:type="dxa"/>
            <w:gridSpan w:val="2"/>
            <w:shd w:val="clear" w:color="000000" w:fill="9BD2ED"/>
            <w:vAlign w:val="center"/>
            <w:hideMark/>
          </w:tcPr>
          <w:p w14:paraId="3972D02A" w14:textId="04E0C28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7A1FF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04A8A3CB" w14:textId="77991C9D"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3A1725"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54A04FA1" w14:textId="47EBB02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3A1725"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251BA5C3" w14:textId="37D0B23D"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3A1725"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30B2EE40" w14:textId="5C52963D" w:rsidR="00485BAA" w:rsidRPr="00D30847" w:rsidRDefault="00485BAA" w:rsidP="004A38FD">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3A1725"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5B6AE0DE" w14:textId="675A985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3A1725" w:rsidRPr="00D30847">
              <w:rPr>
                <w:rFonts w:ascii="Arial" w:eastAsia="Times New Roman" w:hAnsi="Arial" w:cs="Arial"/>
                <w:b/>
                <w:bCs/>
                <w:sz w:val="12"/>
                <w:szCs w:val="12"/>
                <w:lang w:val="en-GB" w:eastAsia="mk-MK"/>
              </w:rPr>
              <w:t>8</w:t>
            </w:r>
          </w:p>
        </w:tc>
      </w:tr>
      <w:tr w:rsidR="00485BAA" w:rsidRPr="00D30847" w14:paraId="4EA565AA" w14:textId="77777777" w:rsidTr="00FD4DDE">
        <w:trPr>
          <w:gridBefore w:val="3"/>
          <w:gridAfter w:val="1"/>
          <w:wBefore w:w="37" w:type="dxa"/>
          <w:wAfter w:w="52" w:type="dxa"/>
          <w:trHeight w:val="1357"/>
          <w:jc w:val="center"/>
        </w:trPr>
        <w:tc>
          <w:tcPr>
            <w:tcW w:w="2303" w:type="dxa"/>
            <w:gridSpan w:val="3"/>
            <w:vMerge/>
            <w:tcBorders>
              <w:top w:val="nil"/>
              <w:left w:val="nil"/>
              <w:bottom w:val="nil"/>
              <w:right w:val="single" w:sz="8" w:space="0" w:color="000000"/>
            </w:tcBorders>
            <w:vAlign w:val="center"/>
            <w:hideMark/>
          </w:tcPr>
          <w:p w14:paraId="25B4A402" w14:textId="77777777" w:rsidR="00485BAA" w:rsidRPr="00D30847" w:rsidRDefault="00485BAA" w:rsidP="00485BAA">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FFFF99"/>
            <w:vAlign w:val="center"/>
            <w:hideMark/>
          </w:tcPr>
          <w:p w14:paraId="1E04B639" w14:textId="2164438C" w:rsidR="00485BAA" w:rsidRPr="00D30847" w:rsidRDefault="003A1725"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implemented  customized trainings for employees</w:t>
            </w:r>
          </w:p>
        </w:tc>
        <w:tc>
          <w:tcPr>
            <w:tcW w:w="1194" w:type="dxa"/>
            <w:gridSpan w:val="2"/>
            <w:shd w:val="clear" w:color="000000" w:fill="FFFF99"/>
            <w:vAlign w:val="center"/>
            <w:hideMark/>
          </w:tcPr>
          <w:p w14:paraId="35CF65D9" w14:textId="2E2F8BA4" w:rsidR="00485BAA" w:rsidRPr="00D30847" w:rsidRDefault="003A17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PRO, CA</w:t>
            </w:r>
          </w:p>
        </w:tc>
        <w:tc>
          <w:tcPr>
            <w:tcW w:w="1418" w:type="dxa"/>
            <w:gridSpan w:val="3"/>
            <w:shd w:val="clear" w:color="000000" w:fill="FFFF99"/>
            <w:vAlign w:val="center"/>
            <w:hideMark/>
          </w:tcPr>
          <w:p w14:paraId="703EFCAB" w14:textId="5BBE1027" w:rsidR="00485BAA" w:rsidRPr="00D30847" w:rsidRDefault="003A1725" w:rsidP="007A1FF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Implemented 3 trainings for tax </w:t>
            </w:r>
            <w:proofErr w:type="spellStart"/>
            <w:r w:rsidRPr="00D30847">
              <w:rPr>
                <w:rFonts w:ascii="Arial" w:eastAsia="Times New Roman" w:hAnsi="Arial" w:cs="Arial"/>
                <w:sz w:val="12"/>
                <w:szCs w:val="12"/>
                <w:lang w:val="en-GB" w:eastAsia="mk-MK"/>
              </w:rPr>
              <w:t>modeling</w:t>
            </w:r>
            <w:proofErr w:type="spellEnd"/>
          </w:p>
        </w:tc>
        <w:tc>
          <w:tcPr>
            <w:tcW w:w="1644" w:type="dxa"/>
            <w:gridSpan w:val="3"/>
            <w:shd w:val="clear" w:color="000000" w:fill="FFFF99"/>
            <w:vAlign w:val="center"/>
            <w:hideMark/>
          </w:tcPr>
          <w:p w14:paraId="43596048" w14:textId="5437D470" w:rsidR="00485BAA" w:rsidRPr="00D30847" w:rsidRDefault="003A1725" w:rsidP="007A1FF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Provided training on the application of tax models (PIT, CIT, VAT)  </w:t>
            </w:r>
          </w:p>
        </w:tc>
        <w:tc>
          <w:tcPr>
            <w:tcW w:w="1758" w:type="dxa"/>
            <w:gridSpan w:val="4"/>
            <w:shd w:val="clear" w:color="000000" w:fill="FFFF99"/>
            <w:vAlign w:val="center"/>
            <w:hideMark/>
          </w:tcPr>
          <w:p w14:paraId="50E29DAD" w14:textId="77777777" w:rsidR="003A1725" w:rsidRPr="00D30847" w:rsidRDefault="003A1725" w:rsidP="003A172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Provided training for employees on tax models (PIT, CIT, VAT) with extensions with a tax expenditure module;</w:t>
            </w:r>
          </w:p>
          <w:p w14:paraId="20C7E4BE" w14:textId="77777777" w:rsidR="003A1725" w:rsidRPr="00D30847" w:rsidRDefault="003A1725" w:rsidP="003A1725">
            <w:pPr>
              <w:spacing w:after="0" w:line="240" w:lineRule="auto"/>
              <w:rPr>
                <w:rFonts w:ascii="Arial" w:eastAsia="Times New Roman" w:hAnsi="Arial" w:cs="Arial"/>
                <w:sz w:val="12"/>
                <w:szCs w:val="12"/>
                <w:lang w:val="en-GB" w:eastAsia="mk-MK"/>
              </w:rPr>
            </w:pPr>
          </w:p>
          <w:p w14:paraId="56CF8F15" w14:textId="7CDDACAB" w:rsidR="00485BAA" w:rsidRPr="00D30847" w:rsidRDefault="003A1725" w:rsidP="003A172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Provided training on Power BI</w:t>
            </w:r>
          </w:p>
        </w:tc>
        <w:tc>
          <w:tcPr>
            <w:tcW w:w="1842" w:type="dxa"/>
            <w:gridSpan w:val="4"/>
            <w:shd w:val="clear" w:color="000000" w:fill="FFFF99"/>
            <w:vAlign w:val="center"/>
            <w:hideMark/>
          </w:tcPr>
          <w:p w14:paraId="1461CD50" w14:textId="77777777" w:rsidR="003A1725" w:rsidRPr="00D30847" w:rsidRDefault="003A1725" w:rsidP="003A172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Provided training for employees on tax models (PIT, CIT, VAT) with extensions with a tax expenditure module; </w:t>
            </w:r>
          </w:p>
          <w:p w14:paraId="070E318F" w14:textId="77777777" w:rsidR="003A1725" w:rsidRPr="00D30847" w:rsidRDefault="003A1725" w:rsidP="003A1725">
            <w:pPr>
              <w:spacing w:after="0" w:line="240" w:lineRule="auto"/>
              <w:rPr>
                <w:rFonts w:ascii="Arial" w:eastAsia="Times New Roman" w:hAnsi="Arial" w:cs="Arial"/>
                <w:sz w:val="12"/>
                <w:szCs w:val="12"/>
                <w:lang w:val="en-GB" w:eastAsia="mk-MK"/>
              </w:rPr>
            </w:pPr>
          </w:p>
          <w:p w14:paraId="73B10C2A" w14:textId="3814E2E8" w:rsidR="00485BAA" w:rsidRPr="00D30847" w:rsidRDefault="003A1725" w:rsidP="003A1725">
            <w:pPr>
              <w:spacing w:after="0" w:line="240" w:lineRule="auto"/>
              <w:rPr>
                <w:rFonts w:ascii="Arial" w:eastAsia="Times New Roman" w:hAnsi="Arial" w:cs="Arial"/>
                <w:sz w:val="12"/>
                <w:szCs w:val="12"/>
                <w:lang w:val="en-GB" w:eastAsia="mk-MK"/>
              </w:rPr>
            </w:pPr>
            <w:proofErr w:type="spellStart"/>
            <w:r w:rsidRPr="00D30847">
              <w:rPr>
                <w:rFonts w:ascii="Arial" w:eastAsia="Times New Roman" w:hAnsi="Arial" w:cs="Arial"/>
                <w:sz w:val="12"/>
                <w:szCs w:val="12"/>
                <w:lang w:val="en-GB" w:eastAsia="mk-MK"/>
              </w:rPr>
              <w:t>Continous</w:t>
            </w:r>
            <w:proofErr w:type="spellEnd"/>
            <w:r w:rsidRPr="00D30847">
              <w:rPr>
                <w:rFonts w:ascii="Arial" w:eastAsia="Times New Roman" w:hAnsi="Arial" w:cs="Arial"/>
                <w:sz w:val="12"/>
                <w:szCs w:val="12"/>
                <w:lang w:val="en-GB" w:eastAsia="mk-MK"/>
              </w:rPr>
              <w:t xml:space="preserve"> training provided on Power BI</w:t>
            </w:r>
          </w:p>
        </w:tc>
        <w:tc>
          <w:tcPr>
            <w:tcW w:w="1506" w:type="dxa"/>
            <w:gridSpan w:val="4"/>
            <w:shd w:val="clear" w:color="000000" w:fill="FFFF99"/>
            <w:vAlign w:val="center"/>
            <w:hideMark/>
          </w:tcPr>
          <w:p w14:paraId="6A2CAAE8" w14:textId="1451A4DE" w:rsidR="00485BAA" w:rsidRPr="00D30847" w:rsidRDefault="003A1725"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Provided regular annual training for employees on the application of tax models with extensions to the tax expenditure module and the use of the Power BI tool.</w:t>
            </w:r>
          </w:p>
        </w:tc>
      </w:tr>
      <w:tr w:rsidR="004A38FD" w:rsidRPr="00D30847" w14:paraId="01BBC504" w14:textId="77777777" w:rsidTr="00FD4DDE">
        <w:trPr>
          <w:gridBefore w:val="3"/>
          <w:gridAfter w:val="1"/>
          <w:wBefore w:w="37" w:type="dxa"/>
          <w:wAfter w:w="52" w:type="dxa"/>
          <w:trHeight w:val="844"/>
          <w:jc w:val="center"/>
        </w:trPr>
        <w:tc>
          <w:tcPr>
            <w:tcW w:w="2303" w:type="dxa"/>
            <w:gridSpan w:val="3"/>
            <w:vMerge/>
            <w:tcBorders>
              <w:top w:val="nil"/>
              <w:left w:val="nil"/>
              <w:bottom w:val="nil"/>
              <w:right w:val="single" w:sz="8" w:space="0" w:color="000000"/>
            </w:tcBorders>
            <w:vAlign w:val="center"/>
          </w:tcPr>
          <w:p w14:paraId="3A3A0D5D" w14:textId="77777777" w:rsidR="004A38FD" w:rsidRPr="00D30847" w:rsidRDefault="004A38FD" w:rsidP="00485BAA">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FFFF99"/>
            <w:vAlign w:val="center"/>
          </w:tcPr>
          <w:p w14:paraId="601F841F" w14:textId="1B2E902C" w:rsidR="004A38FD" w:rsidRPr="00D30847" w:rsidRDefault="003A1725"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tax models fully operational; new modules for tax expenditures developed and Power BI tool installed</w:t>
            </w:r>
          </w:p>
        </w:tc>
        <w:tc>
          <w:tcPr>
            <w:tcW w:w="1194" w:type="dxa"/>
            <w:gridSpan w:val="2"/>
            <w:shd w:val="clear" w:color="000000" w:fill="FFFF99"/>
            <w:vAlign w:val="center"/>
          </w:tcPr>
          <w:p w14:paraId="341C8336" w14:textId="6C07E32C" w:rsidR="004A38FD" w:rsidRPr="00D30847" w:rsidRDefault="003A17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PRO, CA</w:t>
            </w:r>
          </w:p>
        </w:tc>
        <w:tc>
          <w:tcPr>
            <w:tcW w:w="1418" w:type="dxa"/>
            <w:gridSpan w:val="3"/>
            <w:shd w:val="clear" w:color="000000" w:fill="FFFF99"/>
            <w:vAlign w:val="center"/>
          </w:tcPr>
          <w:p w14:paraId="44E28250" w14:textId="05A302E7" w:rsidR="004A38FD" w:rsidRPr="00D30847" w:rsidRDefault="003A1725" w:rsidP="004A38FD">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tax model fully implemented</w:t>
            </w:r>
          </w:p>
        </w:tc>
        <w:tc>
          <w:tcPr>
            <w:tcW w:w="1644" w:type="dxa"/>
            <w:gridSpan w:val="3"/>
            <w:shd w:val="clear" w:color="000000" w:fill="FFFF99"/>
            <w:vAlign w:val="center"/>
          </w:tcPr>
          <w:p w14:paraId="0F329D43" w14:textId="44C8F35D" w:rsidR="004A38FD" w:rsidRPr="00D30847" w:rsidRDefault="003A1725" w:rsidP="007A1FF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shd w:val="clear" w:color="000000" w:fill="FFFF99"/>
            <w:vAlign w:val="center"/>
          </w:tcPr>
          <w:p w14:paraId="7B7C120B" w14:textId="77777777" w:rsidR="003A1725" w:rsidRPr="00D30847" w:rsidRDefault="003A1725" w:rsidP="003A172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Implemented tax models (PIT, CIT, VAT) with extensions with a tax expenditure module;</w:t>
            </w:r>
          </w:p>
          <w:p w14:paraId="61CD1C0A" w14:textId="77777777" w:rsidR="003A1725" w:rsidRPr="00D30847" w:rsidRDefault="003A1725" w:rsidP="003A1725">
            <w:pPr>
              <w:spacing w:after="0" w:line="240" w:lineRule="auto"/>
              <w:rPr>
                <w:rFonts w:ascii="Arial" w:eastAsia="Times New Roman" w:hAnsi="Arial" w:cs="Arial"/>
                <w:sz w:val="12"/>
                <w:szCs w:val="12"/>
                <w:lang w:val="en-GB" w:eastAsia="mk-MK"/>
              </w:rPr>
            </w:pPr>
          </w:p>
          <w:p w14:paraId="0581B2CB" w14:textId="4821AD82" w:rsidR="004A38FD" w:rsidRPr="00D30847" w:rsidRDefault="003A1725" w:rsidP="007A1FF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Power BI tool installed   </w:t>
            </w:r>
          </w:p>
        </w:tc>
        <w:tc>
          <w:tcPr>
            <w:tcW w:w="1842" w:type="dxa"/>
            <w:gridSpan w:val="4"/>
            <w:shd w:val="clear" w:color="000000" w:fill="FFFF99"/>
            <w:vAlign w:val="center"/>
          </w:tcPr>
          <w:p w14:paraId="7252B917" w14:textId="4BDC66BC" w:rsidR="004A38FD" w:rsidRPr="00D30847" w:rsidRDefault="003A1725" w:rsidP="007A1FF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Implemented tax models (PIT, CIT, VAT, Excise) with extensions with a tax expenditure module;</w:t>
            </w:r>
          </w:p>
        </w:tc>
        <w:tc>
          <w:tcPr>
            <w:tcW w:w="1506" w:type="dxa"/>
            <w:gridSpan w:val="4"/>
            <w:shd w:val="clear" w:color="000000" w:fill="FFFF99"/>
            <w:vAlign w:val="center"/>
          </w:tcPr>
          <w:p w14:paraId="784B745B" w14:textId="79CDC028" w:rsidR="004A38FD" w:rsidRPr="00D30847" w:rsidRDefault="003A1725" w:rsidP="007A1FF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Fully implemented tax models with extensions with a tax expenditure  module and the use of the Power BI tool;</w:t>
            </w:r>
          </w:p>
        </w:tc>
      </w:tr>
      <w:tr w:rsidR="00485BAA" w:rsidRPr="00D30847" w14:paraId="775D9EB6" w14:textId="77777777" w:rsidTr="00FD4DDE">
        <w:trPr>
          <w:gridBefore w:val="3"/>
          <w:gridAfter w:val="1"/>
          <w:wBefore w:w="37" w:type="dxa"/>
          <w:wAfter w:w="52" w:type="dxa"/>
          <w:trHeight w:val="135"/>
          <w:jc w:val="center"/>
        </w:trPr>
        <w:tc>
          <w:tcPr>
            <w:tcW w:w="2303" w:type="dxa"/>
            <w:gridSpan w:val="3"/>
            <w:vMerge/>
            <w:tcBorders>
              <w:top w:val="nil"/>
              <w:left w:val="nil"/>
              <w:bottom w:val="nil"/>
              <w:right w:val="single" w:sz="8" w:space="0" w:color="000000"/>
            </w:tcBorders>
            <w:vAlign w:val="center"/>
            <w:hideMark/>
          </w:tcPr>
          <w:p w14:paraId="1B81EAF8" w14:textId="77777777" w:rsidR="00485BAA" w:rsidRPr="00D30847" w:rsidRDefault="00485BAA" w:rsidP="00485BAA">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9BD2ED"/>
            <w:vAlign w:val="center"/>
            <w:hideMark/>
          </w:tcPr>
          <w:p w14:paraId="621FEEA1"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bookmarkStart w:id="76" w:name="RANGE!C17"/>
            <w:r w:rsidRPr="00D30847">
              <w:rPr>
                <w:rFonts w:ascii="Arial" w:eastAsia="Times New Roman" w:hAnsi="Arial" w:cs="Arial"/>
                <w:b/>
                <w:bCs/>
                <w:sz w:val="12"/>
                <w:szCs w:val="12"/>
                <w:lang w:val="en-GB" w:eastAsia="mk-MK"/>
              </w:rPr>
              <w:t>Activities</w:t>
            </w:r>
            <w:bookmarkEnd w:id="76"/>
          </w:p>
        </w:tc>
        <w:tc>
          <w:tcPr>
            <w:tcW w:w="1194" w:type="dxa"/>
            <w:gridSpan w:val="2"/>
            <w:shd w:val="clear" w:color="000000" w:fill="9BD2ED"/>
            <w:vAlign w:val="center"/>
            <w:hideMark/>
          </w:tcPr>
          <w:p w14:paraId="7E1292B7" w14:textId="07F525B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7A1FF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29937CD4" w14:textId="62B5C05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7A1FF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1A289EB8" w14:textId="71A0AD08"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7A1FF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235DBA2F"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5DBC5F89" w14:textId="74E2FD89"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7A1FF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7A1FF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1EA9E908"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3A1725" w:rsidRPr="00D30847" w14:paraId="7DC7A62E" w14:textId="77777777" w:rsidTr="00FD4DDE">
        <w:trPr>
          <w:gridBefore w:val="3"/>
          <w:gridAfter w:val="1"/>
          <w:wBefore w:w="37" w:type="dxa"/>
          <w:wAfter w:w="52" w:type="dxa"/>
          <w:trHeight w:val="524"/>
          <w:jc w:val="center"/>
        </w:trPr>
        <w:tc>
          <w:tcPr>
            <w:tcW w:w="2303" w:type="dxa"/>
            <w:gridSpan w:val="3"/>
            <w:vMerge/>
            <w:tcBorders>
              <w:top w:val="nil"/>
              <w:left w:val="nil"/>
              <w:bottom w:val="nil"/>
              <w:right w:val="single" w:sz="8" w:space="0" w:color="000000"/>
            </w:tcBorders>
            <w:vAlign w:val="center"/>
            <w:hideMark/>
          </w:tcPr>
          <w:p w14:paraId="5D9E9EE8" w14:textId="77777777" w:rsidR="003A1725" w:rsidRPr="00D30847" w:rsidRDefault="003A1725" w:rsidP="00485BAA">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FFFF99"/>
            <w:vAlign w:val="center"/>
            <w:hideMark/>
          </w:tcPr>
          <w:p w14:paraId="29430E9D" w14:textId="6551BCEF" w:rsidR="003A1725" w:rsidRPr="00D30847" w:rsidRDefault="003A1725"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1.  </w:t>
            </w:r>
            <w:r w:rsidR="00540A66" w:rsidRPr="00D30847">
              <w:rPr>
                <w:rFonts w:ascii="Arial" w:eastAsia="Times New Roman" w:hAnsi="Arial" w:cs="Arial"/>
                <w:sz w:val="12"/>
                <w:szCs w:val="12"/>
                <w:lang w:val="en-GB" w:eastAsia="mk-MK"/>
              </w:rPr>
              <w:t xml:space="preserve">Employee training </w:t>
            </w:r>
            <w:r w:rsidRPr="00D30847">
              <w:rPr>
                <w:rFonts w:ascii="Arial" w:eastAsia="Times New Roman" w:hAnsi="Arial" w:cs="Arial"/>
                <w:sz w:val="12"/>
                <w:szCs w:val="12"/>
                <w:lang w:val="en-GB" w:eastAsia="mk-MK"/>
              </w:rPr>
              <w:t>and implementation of developed tax models;</w:t>
            </w:r>
          </w:p>
        </w:tc>
        <w:tc>
          <w:tcPr>
            <w:tcW w:w="1194" w:type="dxa"/>
            <w:gridSpan w:val="2"/>
            <w:shd w:val="clear" w:color="000000" w:fill="FFFF99"/>
            <w:vAlign w:val="center"/>
            <w:hideMark/>
          </w:tcPr>
          <w:p w14:paraId="0C9458D5" w14:textId="0BCA0727" w:rsidR="003A1725" w:rsidRPr="00D30847" w:rsidRDefault="003A17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18" w:type="dxa"/>
            <w:gridSpan w:val="3"/>
            <w:vMerge w:val="restart"/>
            <w:shd w:val="clear" w:color="000000" w:fill="FFFF99"/>
            <w:vAlign w:val="center"/>
            <w:hideMark/>
          </w:tcPr>
          <w:p w14:paraId="5849B55F" w14:textId="77777777" w:rsidR="003A1725" w:rsidRPr="00D30847" w:rsidRDefault="003A17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 Public revenues and Tax and </w:t>
            </w:r>
            <w:r w:rsidRPr="00D30847">
              <w:rPr>
                <w:rFonts w:ascii="Arial" w:eastAsia="Times New Roman" w:hAnsi="Arial" w:cs="Arial"/>
                <w:sz w:val="12"/>
                <w:szCs w:val="12"/>
                <w:lang w:val="en-GB" w:eastAsia="mk-MK"/>
              </w:rPr>
              <w:lastRenderedPageBreak/>
              <w:t>Customs Policy Department</w:t>
            </w:r>
          </w:p>
          <w:p w14:paraId="322094E8" w14:textId="51DBBA4C" w:rsidR="003A1725" w:rsidRPr="00D30847" w:rsidRDefault="003A1725" w:rsidP="00485BAA">
            <w:pPr>
              <w:spacing w:after="0" w:line="240" w:lineRule="auto"/>
              <w:jc w:val="center"/>
              <w:rPr>
                <w:rFonts w:ascii="Arial" w:eastAsia="Times New Roman" w:hAnsi="Arial" w:cs="Arial"/>
                <w:sz w:val="12"/>
                <w:szCs w:val="12"/>
                <w:lang w:val="en-GB" w:eastAsia="mk-MK"/>
              </w:rPr>
            </w:pPr>
          </w:p>
        </w:tc>
        <w:tc>
          <w:tcPr>
            <w:tcW w:w="1644" w:type="dxa"/>
            <w:gridSpan w:val="3"/>
            <w:vMerge w:val="restart"/>
            <w:shd w:val="clear" w:color="000000" w:fill="FFFF99"/>
            <w:vAlign w:val="center"/>
            <w:hideMark/>
          </w:tcPr>
          <w:p w14:paraId="4A34B5A7" w14:textId="77777777" w:rsidR="003A1725" w:rsidRPr="00D30847" w:rsidRDefault="003A17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lastRenderedPageBreak/>
              <w:t>PRO and CA</w:t>
            </w:r>
          </w:p>
          <w:p w14:paraId="26FD6498" w14:textId="7586C987" w:rsidR="003A1725" w:rsidRPr="00D30847" w:rsidRDefault="003A1725" w:rsidP="00485BAA">
            <w:pPr>
              <w:spacing w:after="0" w:line="240" w:lineRule="auto"/>
              <w:jc w:val="center"/>
              <w:rPr>
                <w:rFonts w:ascii="Arial" w:eastAsia="Times New Roman" w:hAnsi="Arial" w:cs="Arial"/>
                <w:sz w:val="12"/>
                <w:szCs w:val="12"/>
                <w:lang w:val="en-GB" w:eastAsia="mk-MK"/>
              </w:rPr>
            </w:pPr>
          </w:p>
        </w:tc>
        <w:tc>
          <w:tcPr>
            <w:tcW w:w="1758" w:type="dxa"/>
            <w:gridSpan w:val="4"/>
            <w:vMerge w:val="restart"/>
            <w:shd w:val="clear" w:color="000000" w:fill="FFFF99"/>
            <w:vAlign w:val="center"/>
            <w:hideMark/>
          </w:tcPr>
          <w:p w14:paraId="4144CD9E" w14:textId="4EEE2AAA" w:rsidR="003A1725" w:rsidRPr="00D30847" w:rsidRDefault="003A1725" w:rsidP="00330707">
            <w:pPr>
              <w:spacing w:after="0" w:line="240" w:lineRule="auto"/>
              <w:rPr>
                <w:rFonts w:ascii="Arial" w:eastAsia="Times New Roman" w:hAnsi="Arial" w:cs="Arial"/>
                <w:sz w:val="12"/>
                <w:szCs w:val="12"/>
                <w:lang w:val="en-GB" w:eastAsia="mk-MK"/>
              </w:rPr>
            </w:pPr>
          </w:p>
          <w:p w14:paraId="6208ECAA" w14:textId="21E7A7E2" w:rsidR="003A1725" w:rsidRPr="00D30847" w:rsidRDefault="003A1725" w:rsidP="00330707">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w:t>
            </w:r>
            <w:r w:rsidR="00CD7AF7" w:rsidRPr="00D30847">
              <w:rPr>
                <w:rFonts w:ascii="Arial" w:eastAsia="Times New Roman" w:hAnsi="Arial" w:cs="Arial"/>
                <w:sz w:val="12"/>
                <w:szCs w:val="12"/>
                <w:lang w:val="en-GB" w:eastAsia="mk-MK"/>
              </w:rPr>
              <w:t>18</w:t>
            </w:r>
            <w:r w:rsidRPr="00D30847">
              <w:rPr>
                <w:rFonts w:ascii="Arial" w:eastAsia="Times New Roman" w:hAnsi="Arial" w:cs="Arial"/>
                <w:sz w:val="12"/>
                <w:szCs w:val="12"/>
                <w:lang w:val="en-GB" w:eastAsia="mk-MK"/>
              </w:rPr>
              <w:t xml:space="preserve">0.000  </w:t>
            </w:r>
          </w:p>
        </w:tc>
        <w:tc>
          <w:tcPr>
            <w:tcW w:w="1842" w:type="dxa"/>
            <w:gridSpan w:val="4"/>
            <w:vMerge w:val="restart"/>
            <w:shd w:val="clear" w:color="000000" w:fill="FFFF99"/>
            <w:vAlign w:val="center"/>
            <w:hideMark/>
          </w:tcPr>
          <w:p w14:paraId="3607C156" w14:textId="4F2040B3" w:rsidR="003A1725" w:rsidRPr="00D30847" w:rsidRDefault="003A1725" w:rsidP="00485BAA">
            <w:pPr>
              <w:spacing w:after="0" w:line="240" w:lineRule="auto"/>
              <w:rPr>
                <w:rFonts w:ascii="Arial" w:eastAsia="Times New Roman" w:hAnsi="Arial" w:cs="Arial"/>
                <w:sz w:val="12"/>
                <w:szCs w:val="12"/>
                <w:lang w:val="en-GB" w:eastAsia="mk-MK"/>
              </w:rPr>
            </w:pPr>
          </w:p>
          <w:p w14:paraId="0B6C209C" w14:textId="235EE454" w:rsidR="003A1725" w:rsidRPr="00D30847" w:rsidRDefault="003A1725" w:rsidP="00485BAA">
            <w:pPr>
              <w:spacing w:after="0" w:line="240" w:lineRule="auto"/>
              <w:rPr>
                <w:rFonts w:ascii="Arial" w:eastAsia="Times New Roman" w:hAnsi="Arial" w:cs="Arial"/>
                <w:sz w:val="12"/>
                <w:szCs w:val="12"/>
                <w:lang w:val="en-GB" w:eastAsia="mk-MK"/>
              </w:rPr>
            </w:pPr>
            <w:r w:rsidRPr="00D30847">
              <w:rPr>
                <w:lang w:val="en-GB"/>
              </w:rPr>
              <w:t xml:space="preserve"> </w:t>
            </w:r>
            <w:r w:rsidRPr="00D30847">
              <w:rPr>
                <w:rFonts w:ascii="Arial" w:eastAsia="Times New Roman" w:hAnsi="Arial" w:cs="Arial"/>
                <w:sz w:val="12"/>
                <w:szCs w:val="12"/>
                <w:lang w:val="en-GB" w:eastAsia="mk-MK"/>
              </w:rPr>
              <w:t>IMF, World Bank and other partners</w:t>
            </w:r>
          </w:p>
        </w:tc>
        <w:tc>
          <w:tcPr>
            <w:tcW w:w="1506" w:type="dxa"/>
            <w:gridSpan w:val="4"/>
            <w:shd w:val="clear" w:color="000000" w:fill="FFFF99"/>
            <w:vAlign w:val="center"/>
            <w:hideMark/>
          </w:tcPr>
          <w:p w14:paraId="4E2BB4E5" w14:textId="09AF46E0" w:rsidR="003A1725" w:rsidRPr="00D30847" w:rsidRDefault="003A1725" w:rsidP="00407B01">
            <w:pPr>
              <w:spacing w:after="0" w:line="240" w:lineRule="auto"/>
              <w:jc w:val="center"/>
              <w:rPr>
                <w:rFonts w:ascii="Arial" w:eastAsia="Times New Roman" w:hAnsi="Arial" w:cs="Arial"/>
                <w:sz w:val="12"/>
                <w:szCs w:val="12"/>
                <w:lang w:val="en-GB" w:eastAsia="mk-MK"/>
              </w:rPr>
            </w:pPr>
          </w:p>
        </w:tc>
      </w:tr>
      <w:tr w:rsidR="003A1725" w:rsidRPr="00D30847" w14:paraId="4114AA15" w14:textId="77777777" w:rsidTr="00FD4DDE">
        <w:trPr>
          <w:gridBefore w:val="3"/>
          <w:gridAfter w:val="1"/>
          <w:wBefore w:w="37" w:type="dxa"/>
          <w:wAfter w:w="52" w:type="dxa"/>
          <w:trHeight w:val="655"/>
          <w:jc w:val="center"/>
        </w:trPr>
        <w:tc>
          <w:tcPr>
            <w:tcW w:w="2303" w:type="dxa"/>
            <w:gridSpan w:val="3"/>
            <w:vMerge/>
            <w:tcBorders>
              <w:top w:val="nil"/>
              <w:left w:val="nil"/>
              <w:bottom w:val="nil"/>
              <w:right w:val="single" w:sz="8" w:space="0" w:color="000000"/>
            </w:tcBorders>
            <w:vAlign w:val="center"/>
            <w:hideMark/>
          </w:tcPr>
          <w:p w14:paraId="6F3F2F9D" w14:textId="77777777" w:rsidR="003A1725" w:rsidRPr="00D30847" w:rsidRDefault="003A1725" w:rsidP="00485BAA">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FFFF99"/>
            <w:vAlign w:val="center"/>
            <w:hideMark/>
          </w:tcPr>
          <w:p w14:paraId="66129271" w14:textId="7F929A21" w:rsidR="003A1725" w:rsidRPr="00D30847" w:rsidRDefault="003A1725"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Extending the tax models with new modules and installation of Power BI tool</w:t>
            </w:r>
          </w:p>
        </w:tc>
        <w:tc>
          <w:tcPr>
            <w:tcW w:w="1194" w:type="dxa"/>
            <w:gridSpan w:val="2"/>
            <w:shd w:val="clear" w:color="000000" w:fill="FFFF99"/>
            <w:vAlign w:val="center"/>
            <w:hideMark/>
          </w:tcPr>
          <w:p w14:paraId="7188F55B" w14:textId="0A6A2111" w:rsidR="003A1725" w:rsidRPr="00D30847" w:rsidRDefault="003A1725" w:rsidP="00485BAA">
            <w:pPr>
              <w:spacing w:after="0" w:line="240" w:lineRule="auto"/>
              <w:jc w:val="center"/>
              <w:rPr>
                <w:rFonts w:ascii="Arial" w:eastAsia="Times New Roman" w:hAnsi="Arial" w:cs="Arial"/>
                <w:sz w:val="12"/>
                <w:szCs w:val="12"/>
                <w:lang w:val="en-GB" w:eastAsia="mk-MK"/>
              </w:rPr>
            </w:pPr>
          </w:p>
        </w:tc>
        <w:tc>
          <w:tcPr>
            <w:tcW w:w="1418" w:type="dxa"/>
            <w:gridSpan w:val="3"/>
            <w:vMerge/>
            <w:shd w:val="clear" w:color="000000" w:fill="FFFF99"/>
            <w:vAlign w:val="center"/>
            <w:hideMark/>
          </w:tcPr>
          <w:p w14:paraId="2E398B03" w14:textId="293B055E" w:rsidR="003A1725" w:rsidRPr="00D30847" w:rsidRDefault="003A1725" w:rsidP="00485BAA">
            <w:pPr>
              <w:spacing w:after="0" w:line="240" w:lineRule="auto"/>
              <w:jc w:val="center"/>
              <w:rPr>
                <w:rFonts w:ascii="Arial" w:eastAsia="Times New Roman" w:hAnsi="Arial" w:cs="Arial"/>
                <w:sz w:val="12"/>
                <w:szCs w:val="12"/>
                <w:lang w:val="en-GB" w:eastAsia="mk-MK"/>
              </w:rPr>
            </w:pPr>
          </w:p>
        </w:tc>
        <w:tc>
          <w:tcPr>
            <w:tcW w:w="1644" w:type="dxa"/>
            <w:gridSpan w:val="3"/>
            <w:vMerge/>
            <w:shd w:val="clear" w:color="000000" w:fill="FFFF99"/>
            <w:vAlign w:val="center"/>
            <w:hideMark/>
          </w:tcPr>
          <w:p w14:paraId="7096BBBE" w14:textId="3C41FA86" w:rsidR="003A1725" w:rsidRPr="00D30847" w:rsidRDefault="003A1725" w:rsidP="00485BAA">
            <w:pPr>
              <w:spacing w:after="0" w:line="240" w:lineRule="auto"/>
              <w:jc w:val="center"/>
              <w:rPr>
                <w:rFonts w:ascii="Arial" w:eastAsia="Times New Roman" w:hAnsi="Arial" w:cs="Arial"/>
                <w:sz w:val="12"/>
                <w:szCs w:val="12"/>
                <w:lang w:val="en-GB" w:eastAsia="mk-MK"/>
              </w:rPr>
            </w:pPr>
          </w:p>
        </w:tc>
        <w:tc>
          <w:tcPr>
            <w:tcW w:w="1758" w:type="dxa"/>
            <w:gridSpan w:val="4"/>
            <w:vMerge/>
            <w:shd w:val="clear" w:color="000000" w:fill="FFFF99"/>
            <w:vAlign w:val="center"/>
            <w:hideMark/>
          </w:tcPr>
          <w:p w14:paraId="61AD5711" w14:textId="1C53432D" w:rsidR="003A1725" w:rsidRPr="00D30847" w:rsidRDefault="003A1725" w:rsidP="00330707">
            <w:pPr>
              <w:spacing w:after="0" w:line="240" w:lineRule="auto"/>
              <w:rPr>
                <w:rFonts w:ascii="Arial" w:eastAsia="Times New Roman" w:hAnsi="Arial" w:cs="Arial"/>
                <w:sz w:val="12"/>
                <w:szCs w:val="12"/>
                <w:lang w:val="en-GB" w:eastAsia="mk-MK"/>
              </w:rPr>
            </w:pPr>
          </w:p>
        </w:tc>
        <w:tc>
          <w:tcPr>
            <w:tcW w:w="1842" w:type="dxa"/>
            <w:gridSpan w:val="4"/>
            <w:vMerge/>
            <w:shd w:val="clear" w:color="000000" w:fill="FFFF99"/>
            <w:vAlign w:val="center"/>
            <w:hideMark/>
          </w:tcPr>
          <w:p w14:paraId="51F20882" w14:textId="2EB021A7" w:rsidR="003A1725" w:rsidRPr="00D30847" w:rsidRDefault="003A1725" w:rsidP="00485BAA">
            <w:pPr>
              <w:spacing w:after="0" w:line="240" w:lineRule="auto"/>
              <w:rPr>
                <w:rFonts w:ascii="Arial" w:eastAsia="Times New Roman" w:hAnsi="Arial" w:cs="Arial"/>
                <w:sz w:val="12"/>
                <w:szCs w:val="12"/>
                <w:lang w:val="en-GB" w:eastAsia="mk-MK"/>
              </w:rPr>
            </w:pPr>
          </w:p>
        </w:tc>
        <w:tc>
          <w:tcPr>
            <w:tcW w:w="1506" w:type="dxa"/>
            <w:gridSpan w:val="4"/>
            <w:shd w:val="clear" w:color="000000" w:fill="FFFF99"/>
            <w:vAlign w:val="center"/>
            <w:hideMark/>
          </w:tcPr>
          <w:p w14:paraId="4D3D3B31" w14:textId="14B1F276" w:rsidR="003A1725" w:rsidRPr="00D30847" w:rsidRDefault="003A1725" w:rsidP="00407B01">
            <w:pPr>
              <w:spacing w:after="0" w:line="240" w:lineRule="auto"/>
              <w:jc w:val="center"/>
              <w:rPr>
                <w:rFonts w:ascii="Arial" w:eastAsia="Times New Roman" w:hAnsi="Arial" w:cs="Arial"/>
                <w:sz w:val="12"/>
                <w:szCs w:val="12"/>
                <w:lang w:val="en-GB" w:eastAsia="mk-MK"/>
              </w:rPr>
            </w:pPr>
          </w:p>
        </w:tc>
      </w:tr>
      <w:tr w:rsidR="00485BAA" w:rsidRPr="00D30847" w14:paraId="7EA3DFDC" w14:textId="77777777" w:rsidTr="00FD4DDE">
        <w:trPr>
          <w:gridBefore w:val="3"/>
          <w:gridAfter w:val="1"/>
          <w:wBefore w:w="37" w:type="dxa"/>
          <w:wAfter w:w="52" w:type="dxa"/>
          <w:trHeight w:val="205"/>
          <w:jc w:val="center"/>
        </w:trPr>
        <w:tc>
          <w:tcPr>
            <w:tcW w:w="13501" w:type="dxa"/>
            <w:gridSpan w:val="28"/>
            <w:shd w:val="clear" w:color="000000" w:fill="1F3864"/>
            <w:vAlign w:val="center"/>
            <w:hideMark/>
          </w:tcPr>
          <w:p w14:paraId="50CDB4F4" w14:textId="05387F6F"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lastRenderedPageBreak/>
              <w:t>PILLAR I</w:t>
            </w:r>
            <w:r w:rsidR="001A1627" w:rsidRPr="00D30847">
              <w:rPr>
                <w:rFonts w:ascii="Arial" w:eastAsia="Times New Roman" w:hAnsi="Arial" w:cs="Arial"/>
                <w:b/>
                <w:bCs/>
                <w:color w:val="FFFFFF"/>
                <w:sz w:val="12"/>
                <w:szCs w:val="12"/>
                <w:lang w:val="en-GB" w:eastAsia="mk-MK"/>
              </w:rPr>
              <w:t>.</w:t>
            </w:r>
            <w:r w:rsidRPr="00D30847">
              <w:rPr>
                <w:rFonts w:ascii="Arial" w:eastAsia="Times New Roman" w:hAnsi="Arial" w:cs="Arial"/>
                <w:b/>
                <w:bCs/>
                <w:color w:val="FFFFFF"/>
                <w:sz w:val="12"/>
                <w:szCs w:val="12"/>
                <w:lang w:val="en-GB" w:eastAsia="mk-MK"/>
              </w:rPr>
              <w:t xml:space="preserve"> Economic</w:t>
            </w:r>
            <w:r w:rsidR="003A513F"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Analysis, Macroeconomic</w:t>
            </w:r>
            <w:r w:rsidR="003A513F"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and</w:t>
            </w:r>
            <w:r w:rsidR="003A513F"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Fiscal</w:t>
            </w:r>
            <w:r w:rsidR="001B27C8"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Framework</w:t>
            </w:r>
          </w:p>
        </w:tc>
      </w:tr>
      <w:tr w:rsidR="00485BAA" w:rsidRPr="00D30847" w14:paraId="1877713C" w14:textId="77777777" w:rsidTr="00FD4DDE">
        <w:trPr>
          <w:gridBefore w:val="3"/>
          <w:gridAfter w:val="1"/>
          <w:wBefore w:w="37" w:type="dxa"/>
          <w:wAfter w:w="52" w:type="dxa"/>
          <w:trHeight w:val="223"/>
          <w:jc w:val="center"/>
        </w:trPr>
        <w:tc>
          <w:tcPr>
            <w:tcW w:w="13501" w:type="dxa"/>
            <w:gridSpan w:val="28"/>
            <w:shd w:val="clear" w:color="000000" w:fill="1F3864"/>
            <w:vAlign w:val="center"/>
            <w:hideMark/>
          </w:tcPr>
          <w:p w14:paraId="6FCFF859" w14:textId="0A38050E"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PRIORITY 2. Economic</w:t>
            </w:r>
            <w:r w:rsidR="003A513F"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analysis</w:t>
            </w:r>
            <w:r w:rsidR="003A513F"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and</w:t>
            </w:r>
            <w:r w:rsidR="003A513F"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Macroeconomic</w:t>
            </w:r>
            <w:r w:rsidR="003A513F"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forecasting</w:t>
            </w:r>
          </w:p>
        </w:tc>
      </w:tr>
      <w:tr w:rsidR="00485BAA" w:rsidRPr="00D30847" w14:paraId="54F94C7B" w14:textId="77777777" w:rsidTr="00FD4DDE">
        <w:trPr>
          <w:gridBefore w:val="3"/>
          <w:gridAfter w:val="1"/>
          <w:wBefore w:w="37" w:type="dxa"/>
          <w:wAfter w:w="52" w:type="dxa"/>
          <w:trHeight w:val="229"/>
          <w:jc w:val="center"/>
        </w:trPr>
        <w:tc>
          <w:tcPr>
            <w:tcW w:w="2303" w:type="dxa"/>
            <w:gridSpan w:val="3"/>
            <w:shd w:val="clear" w:color="000000" w:fill="9BD2ED"/>
            <w:vAlign w:val="center"/>
            <w:hideMark/>
          </w:tcPr>
          <w:p w14:paraId="393FCADC" w14:textId="41DA7D93" w:rsidR="00485BAA" w:rsidRPr="00D30847" w:rsidRDefault="00485BAA" w:rsidP="00485BAA">
            <w:pPr>
              <w:spacing w:after="0" w:line="240" w:lineRule="auto"/>
              <w:jc w:val="center"/>
              <w:rPr>
                <w:rFonts w:ascii="Arial" w:eastAsia="Times New Roman" w:hAnsi="Arial" w:cs="Arial"/>
                <w:b/>
                <w:bCs/>
                <w:sz w:val="12"/>
                <w:szCs w:val="12"/>
                <w:lang w:val="en-GB" w:eastAsia="mk-MK"/>
              </w:rPr>
            </w:pPr>
            <w:bookmarkStart w:id="77" w:name="RANGE!A22"/>
            <w:r w:rsidRPr="00D30847">
              <w:rPr>
                <w:rFonts w:ascii="Arial" w:eastAsia="Times New Roman" w:hAnsi="Arial" w:cs="Arial"/>
                <w:b/>
                <w:bCs/>
                <w:sz w:val="12"/>
                <w:szCs w:val="12"/>
                <w:lang w:val="en-GB" w:eastAsia="mk-MK"/>
              </w:rPr>
              <w:t>Outcome(s)</w:t>
            </w:r>
            <w:bookmarkEnd w:id="77"/>
          </w:p>
        </w:tc>
        <w:tc>
          <w:tcPr>
            <w:tcW w:w="1836" w:type="dxa"/>
            <w:gridSpan w:val="5"/>
            <w:shd w:val="clear" w:color="000000" w:fill="9BD2ED"/>
            <w:vAlign w:val="center"/>
            <w:hideMark/>
          </w:tcPr>
          <w:p w14:paraId="5F563F60" w14:textId="2226AD2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3A513F"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0ACA1D78" w14:textId="40CD541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3A513F"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06D94509" w14:textId="248345A5"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177D1C"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583A25D6" w14:textId="5B1394D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177D1C"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49CA6C17" w14:textId="194119E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177D1C"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75A19707" w14:textId="718A7B3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177D1C"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532BDE3B" w14:textId="68A4F85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177D1C" w:rsidRPr="00D30847">
              <w:rPr>
                <w:rFonts w:ascii="Arial" w:eastAsia="Times New Roman" w:hAnsi="Arial" w:cs="Arial"/>
                <w:b/>
                <w:bCs/>
                <w:sz w:val="12"/>
                <w:szCs w:val="12"/>
                <w:lang w:val="en-GB" w:eastAsia="mk-MK"/>
              </w:rPr>
              <w:t>8</w:t>
            </w:r>
          </w:p>
        </w:tc>
      </w:tr>
      <w:tr w:rsidR="00DF6F7F" w:rsidRPr="00D30847" w14:paraId="735F0EC0" w14:textId="77777777" w:rsidTr="00FD4DDE">
        <w:trPr>
          <w:gridBefore w:val="3"/>
          <w:gridAfter w:val="1"/>
          <w:wBefore w:w="37" w:type="dxa"/>
          <w:wAfter w:w="52" w:type="dxa"/>
          <w:trHeight w:val="801"/>
          <w:jc w:val="center"/>
        </w:trPr>
        <w:tc>
          <w:tcPr>
            <w:tcW w:w="2303" w:type="dxa"/>
            <w:gridSpan w:val="3"/>
            <w:shd w:val="clear" w:color="000000" w:fill="FFFF99"/>
            <w:vAlign w:val="center"/>
            <w:hideMark/>
          </w:tcPr>
          <w:p w14:paraId="7AF7FCB9" w14:textId="51C7EFEE" w:rsidR="00DF6F7F" w:rsidRPr="00D30847" w:rsidRDefault="00DF6F7F"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Impact assessment of certain economic policies, reforms or measures and carrying out of additional economic analyses.</w:t>
            </w:r>
          </w:p>
        </w:tc>
        <w:tc>
          <w:tcPr>
            <w:tcW w:w="1836" w:type="dxa"/>
            <w:gridSpan w:val="5"/>
            <w:vMerge w:val="restart"/>
            <w:shd w:val="clear" w:color="000000" w:fill="FFFF99"/>
            <w:vAlign w:val="center"/>
          </w:tcPr>
          <w:p w14:paraId="14E99173" w14:textId="1609C840" w:rsidR="00DF6F7F" w:rsidRPr="00D30847" w:rsidRDefault="00DF6F7F" w:rsidP="00DF6F7F">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•Deviation between realised and forecasted GDP</w:t>
            </w:r>
          </w:p>
          <w:p w14:paraId="16A73095" w14:textId="1053F67A" w:rsidR="00DF6F7F" w:rsidRPr="00D30847" w:rsidRDefault="00DF6F7F" w:rsidP="00DF6F7F">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•Deviation between actual and budgeted expenditures for specified risk-prone expenditures</w:t>
            </w:r>
          </w:p>
        </w:tc>
        <w:tc>
          <w:tcPr>
            <w:tcW w:w="1194" w:type="dxa"/>
            <w:gridSpan w:val="2"/>
            <w:shd w:val="clear" w:color="000000" w:fill="FFFF99"/>
            <w:vAlign w:val="center"/>
            <w:hideMark/>
          </w:tcPr>
          <w:p w14:paraId="26FF82D9" w14:textId="77777777" w:rsidR="00DF6F7F" w:rsidRPr="00D30847" w:rsidRDefault="00DF6F7F"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p>
        </w:tc>
        <w:tc>
          <w:tcPr>
            <w:tcW w:w="1418" w:type="dxa"/>
            <w:gridSpan w:val="3"/>
            <w:shd w:val="clear" w:color="000000" w:fill="FFFF99"/>
            <w:vAlign w:val="center"/>
            <w:hideMark/>
          </w:tcPr>
          <w:p w14:paraId="334B7395" w14:textId="3079E36A" w:rsidR="00DF6F7F" w:rsidRPr="00D30847" w:rsidRDefault="00DF6F7F" w:rsidP="00485BA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Analysis of current macroeconomic trends and indicators</w:t>
            </w:r>
          </w:p>
        </w:tc>
        <w:tc>
          <w:tcPr>
            <w:tcW w:w="1644" w:type="dxa"/>
            <w:gridSpan w:val="3"/>
            <w:shd w:val="clear" w:color="000000" w:fill="FFFF99"/>
            <w:vAlign w:val="center"/>
            <w:hideMark/>
          </w:tcPr>
          <w:p w14:paraId="709DF02B" w14:textId="1BD71C76" w:rsidR="00DF6F7F" w:rsidRPr="00D30847" w:rsidRDefault="00177D1C" w:rsidP="00AA03A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trainings and workshops conducted to assess the impact of structural policies using existing and new tools.</w:t>
            </w:r>
          </w:p>
        </w:tc>
        <w:tc>
          <w:tcPr>
            <w:tcW w:w="1758" w:type="dxa"/>
            <w:gridSpan w:val="4"/>
            <w:shd w:val="clear" w:color="000000" w:fill="FFFF99"/>
            <w:vAlign w:val="center"/>
            <w:hideMark/>
          </w:tcPr>
          <w:p w14:paraId="7613A80A" w14:textId="266B96F6" w:rsidR="00DF6F7F" w:rsidRPr="00D30847" w:rsidRDefault="00177D1C" w:rsidP="00AA03A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trainings and workshops conducted to assess the impact of structural policies using existing and new tools.</w:t>
            </w:r>
          </w:p>
        </w:tc>
        <w:tc>
          <w:tcPr>
            <w:tcW w:w="1842" w:type="dxa"/>
            <w:gridSpan w:val="4"/>
            <w:shd w:val="clear" w:color="000000" w:fill="FFFF99"/>
            <w:vAlign w:val="center"/>
            <w:hideMark/>
          </w:tcPr>
          <w:p w14:paraId="09C811B7" w14:textId="77777777" w:rsidR="00177D1C" w:rsidRPr="00D30847" w:rsidRDefault="00DF6F7F" w:rsidP="00177D1C">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r w:rsidR="00177D1C" w:rsidRPr="00D30847">
              <w:rPr>
                <w:rFonts w:ascii="Arial" w:eastAsia="Times New Roman" w:hAnsi="Arial" w:cs="Arial"/>
                <w:sz w:val="12"/>
                <w:szCs w:val="12"/>
                <w:lang w:val="en-GB" w:eastAsia="mk-MK"/>
              </w:rPr>
              <w:t>Number of economic analyses and impact assessments</w:t>
            </w:r>
          </w:p>
          <w:p w14:paraId="25FE7749" w14:textId="0B4BCAA4" w:rsidR="00DF6F7F" w:rsidRPr="00D30847" w:rsidRDefault="00177D1C" w:rsidP="00AA03A6">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(from the area of </w:t>
            </w:r>
            <w:proofErr w:type="spellStart"/>
            <w:r w:rsidRPr="00D30847">
              <w:rPr>
                <w:rFonts w:ascii="Arial" w:eastAsia="Times New Roman" w:hAnsi="Arial" w:cs="Arial"/>
                <w:sz w:val="12"/>
                <w:szCs w:val="12"/>
                <w:lang w:val="en-GB" w:eastAsia="mk-MK"/>
              </w:rPr>
              <w:t>labor</w:t>
            </w:r>
            <w:proofErr w:type="spellEnd"/>
            <w:r w:rsidRPr="00D30847">
              <w:rPr>
                <w:rFonts w:ascii="Arial" w:eastAsia="Times New Roman" w:hAnsi="Arial" w:cs="Arial"/>
                <w:sz w:val="12"/>
                <w:szCs w:val="12"/>
                <w:lang w:val="en-GB" w:eastAsia="mk-MK"/>
              </w:rPr>
              <w:t xml:space="preserve"> market, the informal economy, the assessment of the productivity and the competitiveness of the economy, etc.)</w:t>
            </w:r>
          </w:p>
        </w:tc>
        <w:tc>
          <w:tcPr>
            <w:tcW w:w="1506" w:type="dxa"/>
            <w:gridSpan w:val="4"/>
            <w:shd w:val="clear" w:color="000000" w:fill="FFFF99"/>
            <w:vAlign w:val="center"/>
            <w:hideMark/>
          </w:tcPr>
          <w:p w14:paraId="2E32F147" w14:textId="736A0966" w:rsidR="00DF6F7F" w:rsidRPr="00D30847" w:rsidRDefault="00AA03A6" w:rsidP="00AA03A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r>
      <w:tr w:rsidR="00DF6F7F" w:rsidRPr="00D30847" w14:paraId="084B726C" w14:textId="77777777" w:rsidTr="00FD4DDE">
        <w:trPr>
          <w:gridBefore w:val="3"/>
          <w:gridAfter w:val="1"/>
          <w:wBefore w:w="37" w:type="dxa"/>
          <w:wAfter w:w="52" w:type="dxa"/>
          <w:trHeight w:val="835"/>
          <w:jc w:val="center"/>
        </w:trPr>
        <w:tc>
          <w:tcPr>
            <w:tcW w:w="2303" w:type="dxa"/>
            <w:gridSpan w:val="3"/>
            <w:shd w:val="clear" w:color="000000" w:fill="FFFF99"/>
            <w:vAlign w:val="center"/>
            <w:hideMark/>
          </w:tcPr>
          <w:p w14:paraId="20C5D36A" w14:textId="32223731" w:rsidR="00DF6F7F" w:rsidRPr="00D30847" w:rsidRDefault="00DF6F7F" w:rsidP="00485BAA">
            <w:pPr>
              <w:spacing w:after="0" w:line="240" w:lineRule="auto"/>
              <w:rPr>
                <w:rFonts w:ascii="Arial" w:eastAsia="Times New Roman" w:hAnsi="Arial" w:cs="Arial"/>
                <w:sz w:val="12"/>
                <w:szCs w:val="12"/>
                <w:lang w:val="en-GB" w:eastAsia="mk-MK"/>
              </w:rPr>
            </w:pPr>
            <w:bookmarkStart w:id="78" w:name="RANGE!A24"/>
            <w:r w:rsidRPr="00D30847">
              <w:rPr>
                <w:rFonts w:ascii="Arial" w:eastAsia="Times New Roman" w:hAnsi="Arial" w:cs="Arial"/>
                <w:sz w:val="12"/>
                <w:szCs w:val="12"/>
                <w:lang w:val="en-GB" w:eastAsia="mk-MK"/>
              </w:rPr>
              <w:t>2) Improved quality and coverage of projections for macroeconomic indicators.</w:t>
            </w:r>
            <w:bookmarkEnd w:id="78"/>
          </w:p>
        </w:tc>
        <w:tc>
          <w:tcPr>
            <w:tcW w:w="1836" w:type="dxa"/>
            <w:gridSpan w:val="5"/>
            <w:vMerge/>
            <w:shd w:val="clear" w:color="000000" w:fill="FFFF99"/>
            <w:vAlign w:val="center"/>
            <w:hideMark/>
          </w:tcPr>
          <w:p w14:paraId="604C4021" w14:textId="202547AF" w:rsidR="00DF6F7F" w:rsidRPr="00D30847" w:rsidRDefault="00DF6F7F" w:rsidP="00485BAA">
            <w:pPr>
              <w:spacing w:after="0" w:line="240" w:lineRule="auto"/>
              <w:rPr>
                <w:rFonts w:ascii="Arial" w:eastAsia="Times New Roman" w:hAnsi="Arial" w:cs="Arial"/>
                <w:sz w:val="12"/>
                <w:szCs w:val="12"/>
                <w:lang w:val="en-GB" w:eastAsia="mk-MK"/>
              </w:rPr>
            </w:pPr>
          </w:p>
        </w:tc>
        <w:tc>
          <w:tcPr>
            <w:tcW w:w="1194" w:type="dxa"/>
            <w:gridSpan w:val="2"/>
            <w:shd w:val="clear" w:color="000000" w:fill="FFFF99"/>
            <w:vAlign w:val="center"/>
            <w:hideMark/>
          </w:tcPr>
          <w:p w14:paraId="68451BC9" w14:textId="77777777" w:rsidR="00DF6F7F" w:rsidRPr="00D30847" w:rsidRDefault="00DF6F7F" w:rsidP="00ED2D5D">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p>
        </w:tc>
        <w:tc>
          <w:tcPr>
            <w:tcW w:w="1418" w:type="dxa"/>
            <w:gridSpan w:val="3"/>
            <w:shd w:val="clear" w:color="000000" w:fill="FFFF99"/>
            <w:vAlign w:val="center"/>
            <w:hideMark/>
          </w:tcPr>
          <w:p w14:paraId="3E47DA24" w14:textId="21FBB130" w:rsidR="00DF6F7F" w:rsidRPr="00D30847" w:rsidRDefault="00DF6F7F" w:rsidP="00ED2D5D">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Nowcasting tool and a structural macroeconomic model</w:t>
            </w:r>
            <w:r w:rsidRPr="00D30847">
              <w:rPr>
                <w:rFonts w:ascii="Arial" w:eastAsia="Times New Roman" w:hAnsi="Arial" w:cs="Arial"/>
                <w:sz w:val="12"/>
                <w:szCs w:val="12"/>
                <w:lang w:val="en-GB" w:eastAsia="mk-MK"/>
              </w:rPr>
              <w:br/>
              <w:t>PEFA score PI-14. Macroeconomic and fiscal forecasting (M2) C+</w:t>
            </w:r>
          </w:p>
        </w:tc>
        <w:tc>
          <w:tcPr>
            <w:tcW w:w="1644" w:type="dxa"/>
            <w:gridSpan w:val="3"/>
            <w:shd w:val="clear" w:color="000000" w:fill="FFFF99"/>
            <w:vAlign w:val="center"/>
            <w:hideMark/>
          </w:tcPr>
          <w:p w14:paraId="64637560" w14:textId="77777777" w:rsidR="00177D1C" w:rsidRPr="00D30847" w:rsidRDefault="00177D1C" w:rsidP="00177D1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Developing new tools for macroeconomic planning and projections, as well as policy analyses:</w:t>
            </w:r>
          </w:p>
          <w:p w14:paraId="65887509" w14:textId="75A9ABF9" w:rsidR="00DF6F7F" w:rsidRPr="00D30847" w:rsidRDefault="00177D1C" w:rsidP="00177D1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Development of a macro-fiscal structural model and appropriate adjustment</w:t>
            </w:r>
          </w:p>
        </w:tc>
        <w:tc>
          <w:tcPr>
            <w:tcW w:w="1758" w:type="dxa"/>
            <w:gridSpan w:val="4"/>
            <w:shd w:val="clear" w:color="000000" w:fill="FFFF99"/>
            <w:vAlign w:val="center"/>
            <w:hideMark/>
          </w:tcPr>
          <w:p w14:paraId="4F8D4F8A" w14:textId="77777777" w:rsidR="00177D1C" w:rsidRPr="00D30847" w:rsidRDefault="00177D1C" w:rsidP="00177D1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New tools (short-term and macro-fiscal structural models) for forecasting and analysis:</w:t>
            </w:r>
          </w:p>
          <w:p w14:paraId="7B315040" w14:textId="77777777" w:rsidR="00177D1C" w:rsidRPr="00D30847" w:rsidRDefault="00177D1C" w:rsidP="00177D1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developed macro-fiscal structural model</w:t>
            </w:r>
          </w:p>
          <w:p w14:paraId="3EFED1EE" w14:textId="09376AB8" w:rsidR="00DF6F7F" w:rsidRPr="00D30847" w:rsidRDefault="00177D1C" w:rsidP="00177D1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Developed module for climate change influence within the macrostructural model</w:t>
            </w:r>
          </w:p>
        </w:tc>
        <w:tc>
          <w:tcPr>
            <w:tcW w:w="1842" w:type="dxa"/>
            <w:gridSpan w:val="4"/>
            <w:shd w:val="clear" w:color="000000" w:fill="FFFF99"/>
            <w:vAlign w:val="center"/>
            <w:hideMark/>
          </w:tcPr>
          <w:p w14:paraId="35254358" w14:textId="63F84085" w:rsidR="00DF6F7F" w:rsidRPr="00D30847" w:rsidRDefault="00177D1C" w:rsidP="00AA03A6">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Prepared Action Plan for CGE Model Development  </w:t>
            </w:r>
          </w:p>
        </w:tc>
        <w:tc>
          <w:tcPr>
            <w:tcW w:w="1506" w:type="dxa"/>
            <w:gridSpan w:val="4"/>
            <w:shd w:val="clear" w:color="000000" w:fill="FFFF99"/>
            <w:vAlign w:val="center"/>
            <w:hideMark/>
          </w:tcPr>
          <w:p w14:paraId="719550D8" w14:textId="45D00801" w:rsidR="00DF6F7F" w:rsidRPr="00D30847" w:rsidRDefault="00177D1C" w:rsidP="00485BA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r>
      <w:tr w:rsidR="00DF6F7F" w:rsidRPr="00D30847" w14:paraId="0D810467" w14:textId="77777777" w:rsidTr="00FD4DDE">
        <w:trPr>
          <w:gridBefore w:val="3"/>
          <w:gridAfter w:val="1"/>
          <w:wBefore w:w="37" w:type="dxa"/>
          <w:wAfter w:w="52" w:type="dxa"/>
          <w:trHeight w:val="970"/>
          <w:jc w:val="center"/>
        </w:trPr>
        <w:tc>
          <w:tcPr>
            <w:tcW w:w="2303" w:type="dxa"/>
            <w:gridSpan w:val="3"/>
            <w:shd w:val="clear" w:color="000000" w:fill="FFFF99"/>
            <w:vAlign w:val="center"/>
            <w:hideMark/>
          </w:tcPr>
          <w:p w14:paraId="517147C4" w14:textId="4844B2DA" w:rsidR="00DF6F7F" w:rsidRPr="00D30847" w:rsidRDefault="00DF6F7F"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 Increased scope of fiscal risk analysis (for all types of fiscal risks determined in line with the good international practices).</w:t>
            </w:r>
          </w:p>
        </w:tc>
        <w:tc>
          <w:tcPr>
            <w:tcW w:w="1836" w:type="dxa"/>
            <w:gridSpan w:val="5"/>
            <w:vMerge/>
            <w:shd w:val="clear" w:color="000000" w:fill="FFFF99"/>
            <w:vAlign w:val="center"/>
            <w:hideMark/>
          </w:tcPr>
          <w:p w14:paraId="01DAFC54" w14:textId="63D9BF2B" w:rsidR="00DF6F7F" w:rsidRPr="00D30847" w:rsidRDefault="00DF6F7F" w:rsidP="00485BAA">
            <w:pPr>
              <w:spacing w:after="0" w:line="240" w:lineRule="auto"/>
              <w:rPr>
                <w:rFonts w:ascii="Arial" w:eastAsia="Times New Roman" w:hAnsi="Arial" w:cs="Arial"/>
                <w:sz w:val="12"/>
                <w:szCs w:val="12"/>
                <w:lang w:val="en-GB" w:eastAsia="mk-MK"/>
              </w:rPr>
            </w:pPr>
          </w:p>
        </w:tc>
        <w:tc>
          <w:tcPr>
            <w:tcW w:w="1194" w:type="dxa"/>
            <w:gridSpan w:val="2"/>
            <w:shd w:val="clear" w:color="000000" w:fill="FFFF99"/>
            <w:vAlign w:val="center"/>
            <w:hideMark/>
          </w:tcPr>
          <w:p w14:paraId="490ED8FD" w14:textId="75AB1516" w:rsidR="00DF6F7F" w:rsidRPr="00D30847" w:rsidRDefault="00DF6F7F"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w:t>
            </w:r>
            <w:r w:rsidRPr="00D30847">
              <w:rPr>
                <w:rFonts w:ascii="Arial" w:eastAsia="Times New Roman" w:hAnsi="Arial" w:cs="Arial"/>
                <w:sz w:val="12"/>
                <w:szCs w:val="12"/>
                <w:lang w:val="en-GB" w:eastAsia="mk-MK"/>
              </w:rPr>
              <w:br w:type="page"/>
              <w:t>PEFA</w:t>
            </w:r>
          </w:p>
        </w:tc>
        <w:tc>
          <w:tcPr>
            <w:tcW w:w="1418" w:type="dxa"/>
            <w:gridSpan w:val="3"/>
            <w:shd w:val="clear" w:color="000000" w:fill="FFFF99"/>
            <w:vAlign w:val="center"/>
            <w:hideMark/>
          </w:tcPr>
          <w:p w14:paraId="59A73DC6" w14:textId="54DCE94F" w:rsidR="00DF6F7F" w:rsidRPr="00D30847" w:rsidRDefault="00DF6F7F"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Fiscal risks/Sensitive analyses in Fiscal Strategy (2021-2023)</w:t>
            </w:r>
            <w:r w:rsidRPr="00D30847">
              <w:rPr>
                <w:rFonts w:ascii="Arial" w:eastAsia="Times New Roman" w:hAnsi="Arial" w:cs="Arial"/>
                <w:sz w:val="12"/>
                <w:szCs w:val="12"/>
                <w:lang w:val="en-GB" w:eastAsia="mk-MK"/>
              </w:rPr>
              <w:br w:type="page"/>
              <w:t>PEFA scorePI-10. Fiscal risk reporting C+</w:t>
            </w:r>
          </w:p>
        </w:tc>
        <w:tc>
          <w:tcPr>
            <w:tcW w:w="1644" w:type="dxa"/>
            <w:gridSpan w:val="3"/>
            <w:shd w:val="clear" w:color="000000" w:fill="FFFF99"/>
            <w:vAlign w:val="center"/>
            <w:hideMark/>
          </w:tcPr>
          <w:p w14:paraId="0EEB4803" w14:textId="77777777" w:rsidR="00DD57C6" w:rsidRPr="00D30847" w:rsidRDefault="00DD57C6" w:rsidP="00DD57C6">
            <w:pPr>
              <w:spacing w:after="0" w:line="240" w:lineRule="auto"/>
              <w:ind w:left="-137" w:right="-143"/>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Implemented initial activities to improve the institutional framework for fiscal risks</w:t>
            </w:r>
          </w:p>
          <w:p w14:paraId="733658C1" w14:textId="77777777" w:rsidR="00DD57C6" w:rsidRPr="00D30847" w:rsidRDefault="00DD57C6" w:rsidP="00DD57C6">
            <w:pPr>
              <w:spacing w:after="0" w:line="240" w:lineRule="auto"/>
              <w:ind w:left="-137" w:right="-143"/>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Implemented initial activities for realization of action plan for improvement of fiscal risks monitoring and analyses</w:t>
            </w:r>
          </w:p>
          <w:p w14:paraId="7FF9B9EE" w14:textId="67545C39" w:rsidR="00DF6F7F" w:rsidRPr="00D30847" w:rsidRDefault="00DD57C6" w:rsidP="0053405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Improved presentation of fiscal risks in Fiscal Strategy</w:t>
            </w:r>
          </w:p>
        </w:tc>
        <w:tc>
          <w:tcPr>
            <w:tcW w:w="1758" w:type="dxa"/>
            <w:gridSpan w:val="4"/>
            <w:shd w:val="clear" w:color="000000" w:fill="FFFF99"/>
            <w:vAlign w:val="center"/>
            <w:hideMark/>
          </w:tcPr>
          <w:p w14:paraId="0D8BBD8A" w14:textId="77777777" w:rsidR="00DD57C6" w:rsidRPr="00D30847" w:rsidRDefault="00DD57C6" w:rsidP="00DD57C6">
            <w:pPr>
              <w:spacing w:after="0" w:line="240" w:lineRule="auto"/>
              <w:ind w:left="-137" w:right="-143"/>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Revised Plan of Activities to Strengthen Capacity for Assessment and Fiscal Risks Analyses</w:t>
            </w:r>
          </w:p>
          <w:p w14:paraId="2A5ED9F8" w14:textId="59EFD9FC" w:rsidR="00DF6F7F" w:rsidRPr="00D30847" w:rsidRDefault="00DD57C6" w:rsidP="0053405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Institutional framework for fiscal risks improved</w:t>
            </w:r>
          </w:p>
        </w:tc>
        <w:tc>
          <w:tcPr>
            <w:tcW w:w="1842" w:type="dxa"/>
            <w:gridSpan w:val="4"/>
            <w:shd w:val="clear" w:color="000000" w:fill="FFFF99"/>
            <w:vAlign w:val="center"/>
            <w:hideMark/>
          </w:tcPr>
          <w:p w14:paraId="13DCD856" w14:textId="68B9567F" w:rsidR="00DF6F7F" w:rsidRPr="00D30847" w:rsidRDefault="00DD57C6" w:rsidP="00AA03A6">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Realized plan of activities to strengthen capacity for assessment and analysis of fiscal risks</w:t>
            </w:r>
          </w:p>
        </w:tc>
        <w:tc>
          <w:tcPr>
            <w:tcW w:w="1506" w:type="dxa"/>
            <w:gridSpan w:val="4"/>
            <w:shd w:val="clear" w:color="000000" w:fill="FFFF99"/>
            <w:vAlign w:val="center"/>
            <w:hideMark/>
          </w:tcPr>
          <w:p w14:paraId="1A641B89" w14:textId="45F78DCF" w:rsidR="00DF6F7F" w:rsidRPr="00D30847" w:rsidRDefault="00AA03A6" w:rsidP="00AA03A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r>
      <w:tr w:rsidR="00485BAA" w:rsidRPr="00D30847" w14:paraId="11C00E9F" w14:textId="77777777" w:rsidTr="00FD4DDE">
        <w:trPr>
          <w:gridBefore w:val="3"/>
          <w:gridAfter w:val="1"/>
          <w:wBefore w:w="37" w:type="dxa"/>
          <w:wAfter w:w="52" w:type="dxa"/>
          <w:trHeight w:val="232"/>
          <w:jc w:val="center"/>
        </w:trPr>
        <w:tc>
          <w:tcPr>
            <w:tcW w:w="13501" w:type="dxa"/>
            <w:gridSpan w:val="28"/>
            <w:shd w:val="clear" w:color="000000" w:fill="9BD2ED"/>
            <w:vAlign w:val="center"/>
            <w:hideMark/>
          </w:tcPr>
          <w:p w14:paraId="7AAB1E8D" w14:textId="0318C714"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w:t>
            </w:r>
            <w:r w:rsidR="001A1627"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1</w:t>
            </w:r>
            <w:r w:rsidR="001A1627" w:rsidRPr="00D30847">
              <w:rPr>
                <w:rFonts w:ascii="Arial" w:eastAsia="Times New Roman" w:hAnsi="Arial" w:cs="Arial"/>
                <w:b/>
                <w:bCs/>
                <w:sz w:val="12"/>
                <w:szCs w:val="12"/>
                <w:lang w:val="en-GB" w:eastAsia="mk-MK"/>
              </w:rPr>
              <w:t>.</w:t>
            </w:r>
            <w:r w:rsidRPr="00D30847">
              <w:rPr>
                <w:rFonts w:ascii="Arial" w:eastAsia="Times New Roman" w:hAnsi="Arial" w:cs="Arial"/>
                <w:b/>
                <w:bCs/>
                <w:sz w:val="12"/>
                <w:szCs w:val="12"/>
                <w:lang w:val="en-GB" w:eastAsia="mk-MK"/>
              </w:rPr>
              <w:t xml:space="preserve"> Capacity</w:t>
            </w:r>
            <w:r w:rsidR="003A513F"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building</w:t>
            </w:r>
            <w:r w:rsidR="003A513F"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for</w:t>
            </w:r>
            <w:r w:rsidR="003A513F"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economic</w:t>
            </w:r>
            <w:r w:rsidR="003A513F"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analyses</w:t>
            </w:r>
          </w:p>
        </w:tc>
      </w:tr>
      <w:tr w:rsidR="00485BAA" w:rsidRPr="00D30847" w14:paraId="10834057" w14:textId="77777777" w:rsidTr="00FD4DDE">
        <w:trPr>
          <w:gridBefore w:val="3"/>
          <w:gridAfter w:val="1"/>
          <w:wBefore w:w="37" w:type="dxa"/>
          <w:wAfter w:w="52" w:type="dxa"/>
          <w:trHeight w:val="250"/>
          <w:jc w:val="center"/>
        </w:trPr>
        <w:tc>
          <w:tcPr>
            <w:tcW w:w="2303" w:type="dxa"/>
            <w:gridSpan w:val="3"/>
            <w:vMerge w:val="restart"/>
            <w:tcBorders>
              <w:top w:val="nil"/>
              <w:left w:val="nil"/>
              <w:bottom w:val="nil"/>
              <w:right w:val="single" w:sz="8" w:space="0" w:color="000000"/>
            </w:tcBorders>
            <w:shd w:val="clear" w:color="000000" w:fill="FFFFFF"/>
            <w:vAlign w:val="center"/>
            <w:hideMark/>
          </w:tcPr>
          <w:p w14:paraId="0FFDA5EF"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c>
          <w:tcPr>
            <w:tcW w:w="1836" w:type="dxa"/>
            <w:gridSpan w:val="5"/>
            <w:tcBorders>
              <w:left w:val="single" w:sz="8" w:space="0" w:color="000000"/>
            </w:tcBorders>
            <w:shd w:val="clear" w:color="000000" w:fill="9BD2ED"/>
            <w:vAlign w:val="center"/>
            <w:hideMark/>
          </w:tcPr>
          <w:p w14:paraId="10D36FD5" w14:textId="040F889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3A513F"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1A760617" w14:textId="62F6F08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3A513F"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3CD44D50" w14:textId="29382CB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DD57C6"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37A6CF4E" w14:textId="6B18358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D57C6"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156BA3A1" w14:textId="1AC98B94"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D57C6"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5D71051E" w14:textId="40FC6E07"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D57C6"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53DE417D" w14:textId="2F15E46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D57C6" w:rsidRPr="00D30847">
              <w:rPr>
                <w:rFonts w:ascii="Arial" w:eastAsia="Times New Roman" w:hAnsi="Arial" w:cs="Arial"/>
                <w:b/>
                <w:bCs/>
                <w:sz w:val="12"/>
                <w:szCs w:val="12"/>
                <w:lang w:val="en-GB" w:eastAsia="mk-MK"/>
              </w:rPr>
              <w:t>8</w:t>
            </w:r>
          </w:p>
        </w:tc>
      </w:tr>
      <w:tr w:rsidR="00485BAA" w:rsidRPr="00D30847" w14:paraId="18CEDEAD" w14:textId="77777777" w:rsidTr="00FD4DDE">
        <w:trPr>
          <w:gridBefore w:val="3"/>
          <w:gridAfter w:val="1"/>
          <w:wBefore w:w="37" w:type="dxa"/>
          <w:wAfter w:w="52" w:type="dxa"/>
          <w:trHeight w:val="784"/>
          <w:jc w:val="center"/>
        </w:trPr>
        <w:tc>
          <w:tcPr>
            <w:tcW w:w="2303" w:type="dxa"/>
            <w:gridSpan w:val="3"/>
            <w:vMerge/>
            <w:tcBorders>
              <w:top w:val="nil"/>
              <w:left w:val="nil"/>
              <w:bottom w:val="nil"/>
              <w:right w:val="single" w:sz="8" w:space="0" w:color="000000"/>
            </w:tcBorders>
            <w:vAlign w:val="center"/>
            <w:hideMark/>
          </w:tcPr>
          <w:p w14:paraId="1647FA9D" w14:textId="77777777" w:rsidR="00485BAA" w:rsidRPr="00D30847" w:rsidRDefault="00485BAA" w:rsidP="00485BAA">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FFFF99"/>
            <w:vAlign w:val="center"/>
            <w:hideMark/>
          </w:tcPr>
          <w:p w14:paraId="62660491" w14:textId="669734CA" w:rsidR="00485BAA" w:rsidRPr="00D30847" w:rsidRDefault="003A513F"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Impact assessment of certain economic policies, reforms or measures and additional economic analyses conducted</w:t>
            </w:r>
          </w:p>
        </w:tc>
        <w:tc>
          <w:tcPr>
            <w:tcW w:w="1194" w:type="dxa"/>
            <w:gridSpan w:val="2"/>
            <w:shd w:val="clear" w:color="000000" w:fill="FFFF99"/>
            <w:vAlign w:val="center"/>
            <w:hideMark/>
          </w:tcPr>
          <w:p w14:paraId="7ECA1CF7" w14:textId="60332EAD" w:rsidR="00485BAA" w:rsidRPr="00D30847" w:rsidRDefault="00485BAA"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strategic</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documents</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and</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reports</w:t>
            </w:r>
          </w:p>
        </w:tc>
        <w:tc>
          <w:tcPr>
            <w:tcW w:w="1418" w:type="dxa"/>
            <w:gridSpan w:val="3"/>
            <w:shd w:val="clear" w:color="000000" w:fill="FFFF99"/>
            <w:vAlign w:val="center"/>
            <w:hideMark/>
          </w:tcPr>
          <w:p w14:paraId="2AC63E52" w14:textId="267A042F" w:rsidR="00485BAA" w:rsidRPr="00D30847" w:rsidRDefault="003A513F"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ERP’s sensitivity analysis and alike</w:t>
            </w:r>
          </w:p>
        </w:tc>
        <w:tc>
          <w:tcPr>
            <w:tcW w:w="1644" w:type="dxa"/>
            <w:gridSpan w:val="3"/>
            <w:shd w:val="clear" w:color="000000" w:fill="FFFF99"/>
            <w:vAlign w:val="center"/>
            <w:hideMark/>
          </w:tcPr>
          <w:p w14:paraId="12519CBE" w14:textId="31FF3C24"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Trainings</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provided</w:t>
            </w:r>
          </w:p>
        </w:tc>
        <w:tc>
          <w:tcPr>
            <w:tcW w:w="1758" w:type="dxa"/>
            <w:gridSpan w:val="4"/>
            <w:shd w:val="clear" w:color="000000" w:fill="FFFF99"/>
            <w:vAlign w:val="center"/>
            <w:hideMark/>
          </w:tcPr>
          <w:p w14:paraId="5FF6ED67" w14:textId="27B30C58"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Trainings</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provided</w:t>
            </w:r>
          </w:p>
        </w:tc>
        <w:tc>
          <w:tcPr>
            <w:tcW w:w="1842" w:type="dxa"/>
            <w:gridSpan w:val="4"/>
            <w:shd w:val="clear" w:color="000000" w:fill="FFFF99"/>
            <w:vAlign w:val="center"/>
            <w:hideMark/>
          </w:tcPr>
          <w:p w14:paraId="1EFE7418" w14:textId="17CF4C35" w:rsidR="00485BAA" w:rsidRPr="00D30847" w:rsidRDefault="009B5409"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New</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economic</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analyses</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and</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impact</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assessments</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conducted</w:t>
            </w:r>
          </w:p>
        </w:tc>
        <w:tc>
          <w:tcPr>
            <w:tcW w:w="1506" w:type="dxa"/>
            <w:gridSpan w:val="4"/>
            <w:shd w:val="clear" w:color="000000" w:fill="FFFF99"/>
            <w:vAlign w:val="center"/>
            <w:hideMark/>
          </w:tcPr>
          <w:p w14:paraId="22B870DF" w14:textId="0AC94EAD" w:rsidR="00485BAA" w:rsidRPr="00D30847" w:rsidRDefault="00AA03A6" w:rsidP="00AA03A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r>
      <w:tr w:rsidR="00485BAA" w:rsidRPr="00D30847" w14:paraId="6FDF86CD" w14:textId="77777777" w:rsidTr="00FD4DDE">
        <w:trPr>
          <w:gridBefore w:val="3"/>
          <w:gridAfter w:val="1"/>
          <w:wBefore w:w="37" w:type="dxa"/>
          <w:wAfter w:w="52" w:type="dxa"/>
          <w:trHeight w:val="275"/>
          <w:jc w:val="center"/>
        </w:trPr>
        <w:tc>
          <w:tcPr>
            <w:tcW w:w="2303" w:type="dxa"/>
            <w:gridSpan w:val="3"/>
            <w:vMerge/>
            <w:tcBorders>
              <w:top w:val="nil"/>
              <w:left w:val="nil"/>
              <w:bottom w:val="nil"/>
              <w:right w:val="single" w:sz="8" w:space="0" w:color="000000"/>
            </w:tcBorders>
            <w:vAlign w:val="center"/>
            <w:hideMark/>
          </w:tcPr>
          <w:p w14:paraId="53414726" w14:textId="77777777" w:rsidR="00485BAA" w:rsidRPr="00D30847" w:rsidRDefault="00485BAA" w:rsidP="00485BAA">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9BD2ED"/>
            <w:vAlign w:val="center"/>
            <w:hideMark/>
          </w:tcPr>
          <w:p w14:paraId="0A534E68"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38F397D7" w14:textId="06AB4D1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3A513F"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7414E573" w14:textId="74B96244"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3A513F"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60B35E84" w14:textId="06FBAEA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3A513F"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5C3DE3F7"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4D5F57CA" w14:textId="3BBFF3FE"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3A513F"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3A513F"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5DB7D126"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485BAA" w:rsidRPr="00D30847" w14:paraId="251F9853" w14:textId="77777777" w:rsidTr="00FD4DDE">
        <w:trPr>
          <w:gridBefore w:val="3"/>
          <w:gridAfter w:val="1"/>
          <w:wBefore w:w="37" w:type="dxa"/>
          <w:wAfter w:w="52" w:type="dxa"/>
          <w:trHeight w:val="387"/>
          <w:jc w:val="center"/>
        </w:trPr>
        <w:tc>
          <w:tcPr>
            <w:tcW w:w="2303" w:type="dxa"/>
            <w:gridSpan w:val="3"/>
            <w:vMerge/>
            <w:tcBorders>
              <w:top w:val="nil"/>
              <w:left w:val="nil"/>
              <w:bottom w:val="nil"/>
              <w:right w:val="single" w:sz="8" w:space="0" w:color="000000"/>
            </w:tcBorders>
            <w:vAlign w:val="center"/>
            <w:hideMark/>
          </w:tcPr>
          <w:p w14:paraId="6D436B2B" w14:textId="77777777" w:rsidR="00485BAA" w:rsidRPr="00D30847" w:rsidRDefault="00485BAA" w:rsidP="00485BAA">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FFFF99"/>
            <w:vAlign w:val="center"/>
            <w:hideMark/>
          </w:tcPr>
          <w:p w14:paraId="4E7344D6" w14:textId="2188499D" w:rsidR="00485BAA" w:rsidRPr="00D30847" w:rsidRDefault="00485BAA"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Increasing</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the</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scope</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economic</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analyses</w:t>
            </w:r>
          </w:p>
        </w:tc>
        <w:tc>
          <w:tcPr>
            <w:tcW w:w="1194" w:type="dxa"/>
            <w:gridSpan w:val="2"/>
            <w:shd w:val="clear" w:color="000000" w:fill="FFFF99"/>
            <w:vAlign w:val="center"/>
            <w:hideMark/>
          </w:tcPr>
          <w:p w14:paraId="37249518" w14:textId="0F52AD31" w:rsidR="00485BAA" w:rsidRPr="00D30847" w:rsidRDefault="00DD57C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2025-2026</w:t>
            </w:r>
          </w:p>
        </w:tc>
        <w:tc>
          <w:tcPr>
            <w:tcW w:w="1418" w:type="dxa"/>
            <w:gridSpan w:val="3"/>
            <w:shd w:val="clear" w:color="000000" w:fill="FFFF99"/>
            <w:vAlign w:val="center"/>
            <w:hideMark/>
          </w:tcPr>
          <w:p w14:paraId="11787AE9" w14:textId="71CAEADE"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r w:rsidR="000E21C1" w:rsidRPr="00D30847">
              <w:rPr>
                <w:rFonts w:ascii="Arial" w:eastAsia="Times New Roman" w:hAnsi="Arial" w:cs="Arial"/>
                <w:sz w:val="12"/>
                <w:szCs w:val="12"/>
                <w:lang w:val="en-GB" w:eastAsia="mk-MK"/>
              </w:rPr>
              <w:t xml:space="preserve"> </w:t>
            </w:r>
          </w:p>
        </w:tc>
        <w:tc>
          <w:tcPr>
            <w:tcW w:w="1644" w:type="dxa"/>
            <w:gridSpan w:val="3"/>
            <w:shd w:val="clear" w:color="000000" w:fill="FFFF99"/>
            <w:vAlign w:val="center"/>
            <w:hideMark/>
          </w:tcPr>
          <w:p w14:paraId="560FF12B" w14:textId="10A13E16" w:rsidR="00485BAA" w:rsidRPr="00D30847" w:rsidRDefault="00DD57C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IMF/EU/SB</w:t>
            </w:r>
          </w:p>
        </w:tc>
        <w:tc>
          <w:tcPr>
            <w:tcW w:w="1758" w:type="dxa"/>
            <w:gridSpan w:val="4"/>
            <w:shd w:val="clear" w:color="000000" w:fill="FFFF99"/>
            <w:vAlign w:val="center"/>
            <w:hideMark/>
          </w:tcPr>
          <w:p w14:paraId="3CA3E520" w14:textId="14D79A27" w:rsidR="00485BAA" w:rsidRPr="00D30847" w:rsidRDefault="00DD57C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70</w:t>
            </w:r>
            <w:r w:rsidR="00534056" w:rsidRPr="00D30847">
              <w:rPr>
                <w:rFonts w:ascii="Arial" w:eastAsia="Times New Roman" w:hAnsi="Arial" w:cs="Arial"/>
                <w:sz w:val="12"/>
                <w:szCs w:val="12"/>
                <w:lang w:val="en-GB" w:eastAsia="mk-MK"/>
              </w:rPr>
              <w:t>.000</w:t>
            </w:r>
            <w:r w:rsidR="00485BAA" w:rsidRPr="00D30847">
              <w:rPr>
                <w:rFonts w:ascii="Arial" w:eastAsia="Times New Roman" w:hAnsi="Arial" w:cs="Arial"/>
                <w:sz w:val="12"/>
                <w:szCs w:val="12"/>
                <w:lang w:val="en-GB" w:eastAsia="mk-MK"/>
              </w:rPr>
              <w:t xml:space="preserve"> </w:t>
            </w:r>
          </w:p>
        </w:tc>
        <w:tc>
          <w:tcPr>
            <w:tcW w:w="1842" w:type="dxa"/>
            <w:gridSpan w:val="4"/>
            <w:shd w:val="clear" w:color="000000" w:fill="FFFF99"/>
            <w:vAlign w:val="center"/>
            <w:hideMark/>
          </w:tcPr>
          <w:p w14:paraId="7699C2AE" w14:textId="77777777" w:rsidR="00485BAA" w:rsidRPr="00D30847" w:rsidRDefault="009B5409"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 EU/WB/SECO</w:t>
            </w:r>
          </w:p>
        </w:tc>
        <w:tc>
          <w:tcPr>
            <w:tcW w:w="1506" w:type="dxa"/>
            <w:gridSpan w:val="4"/>
            <w:shd w:val="clear" w:color="000000" w:fill="FFFF99"/>
            <w:vAlign w:val="center"/>
            <w:hideMark/>
          </w:tcPr>
          <w:p w14:paraId="03CE870C" w14:textId="4004D6D1" w:rsidR="00485BAA" w:rsidRPr="00D30847" w:rsidRDefault="00485BAA" w:rsidP="00AA03A6">
            <w:pPr>
              <w:spacing w:after="0" w:line="240" w:lineRule="auto"/>
              <w:jc w:val="center"/>
              <w:rPr>
                <w:rFonts w:ascii="Arial" w:eastAsia="Times New Roman" w:hAnsi="Arial" w:cs="Arial"/>
                <w:sz w:val="12"/>
                <w:szCs w:val="12"/>
                <w:lang w:val="en-GB" w:eastAsia="mk-MK"/>
              </w:rPr>
            </w:pPr>
          </w:p>
        </w:tc>
      </w:tr>
      <w:tr w:rsidR="00485BAA" w:rsidRPr="00D30847" w14:paraId="058C0843" w14:textId="77777777" w:rsidTr="00FD4DDE">
        <w:trPr>
          <w:gridBefore w:val="3"/>
          <w:gridAfter w:val="1"/>
          <w:wBefore w:w="37" w:type="dxa"/>
          <w:wAfter w:w="52" w:type="dxa"/>
          <w:trHeight w:val="335"/>
          <w:jc w:val="center"/>
        </w:trPr>
        <w:tc>
          <w:tcPr>
            <w:tcW w:w="2303" w:type="dxa"/>
            <w:gridSpan w:val="3"/>
            <w:vMerge/>
            <w:tcBorders>
              <w:top w:val="nil"/>
              <w:left w:val="nil"/>
              <w:bottom w:val="nil"/>
              <w:right w:val="single" w:sz="8" w:space="0" w:color="000000"/>
            </w:tcBorders>
            <w:vAlign w:val="center"/>
            <w:hideMark/>
          </w:tcPr>
          <w:p w14:paraId="48236E23" w14:textId="77777777" w:rsidR="00485BAA" w:rsidRPr="00D30847" w:rsidRDefault="00485BAA" w:rsidP="00485BAA">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FFFF99"/>
            <w:vAlign w:val="center"/>
            <w:hideMark/>
          </w:tcPr>
          <w:p w14:paraId="12450138" w14:textId="73DA86DA" w:rsidR="00485BAA" w:rsidRPr="00D30847" w:rsidRDefault="00485BAA"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Economic</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policy</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impact</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assessment</w:t>
            </w:r>
          </w:p>
        </w:tc>
        <w:tc>
          <w:tcPr>
            <w:tcW w:w="1194" w:type="dxa"/>
            <w:gridSpan w:val="2"/>
            <w:shd w:val="clear" w:color="000000" w:fill="FFFF99"/>
            <w:vAlign w:val="center"/>
            <w:hideMark/>
          </w:tcPr>
          <w:p w14:paraId="7C4C8646" w14:textId="2B63BF83" w:rsidR="00485BAA" w:rsidRPr="00D30847" w:rsidRDefault="00DD57C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2025-2026</w:t>
            </w:r>
          </w:p>
        </w:tc>
        <w:tc>
          <w:tcPr>
            <w:tcW w:w="1418" w:type="dxa"/>
            <w:gridSpan w:val="3"/>
            <w:shd w:val="clear" w:color="000000" w:fill="FFFF99"/>
            <w:vAlign w:val="center"/>
            <w:hideMark/>
          </w:tcPr>
          <w:p w14:paraId="1EC82FD5" w14:textId="2CB6C747" w:rsidR="00485BAA" w:rsidRPr="00D30847" w:rsidRDefault="000E21C1"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w:t>
            </w:r>
          </w:p>
        </w:tc>
        <w:tc>
          <w:tcPr>
            <w:tcW w:w="1644" w:type="dxa"/>
            <w:gridSpan w:val="3"/>
            <w:shd w:val="clear" w:color="000000" w:fill="FFFF99"/>
            <w:vAlign w:val="center"/>
            <w:hideMark/>
          </w:tcPr>
          <w:p w14:paraId="00DFB05C" w14:textId="7B07BB97" w:rsidR="00485BAA" w:rsidRPr="00D30847" w:rsidRDefault="00DD57C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IMF/EU/SB</w:t>
            </w:r>
          </w:p>
        </w:tc>
        <w:tc>
          <w:tcPr>
            <w:tcW w:w="1758" w:type="dxa"/>
            <w:gridSpan w:val="4"/>
            <w:shd w:val="clear" w:color="000000" w:fill="FFFF99"/>
            <w:vAlign w:val="center"/>
            <w:hideMark/>
          </w:tcPr>
          <w:p w14:paraId="207D72D2" w14:textId="72B49706" w:rsidR="00485BAA" w:rsidRPr="00D30847" w:rsidRDefault="00DD57C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70</w:t>
            </w:r>
            <w:r w:rsidR="00534056" w:rsidRPr="00D30847">
              <w:rPr>
                <w:rFonts w:ascii="Arial" w:eastAsia="Times New Roman" w:hAnsi="Arial" w:cs="Arial"/>
                <w:sz w:val="12"/>
                <w:szCs w:val="12"/>
                <w:lang w:val="en-GB" w:eastAsia="mk-MK"/>
              </w:rPr>
              <w:t>.000</w:t>
            </w:r>
          </w:p>
        </w:tc>
        <w:tc>
          <w:tcPr>
            <w:tcW w:w="1842" w:type="dxa"/>
            <w:gridSpan w:val="4"/>
            <w:shd w:val="clear" w:color="000000" w:fill="FFFF99"/>
            <w:vAlign w:val="center"/>
            <w:hideMark/>
          </w:tcPr>
          <w:p w14:paraId="07AA9B04" w14:textId="77777777" w:rsidR="00485BAA" w:rsidRPr="00D30847" w:rsidRDefault="009B5409"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 EU/WB/SECO</w:t>
            </w:r>
          </w:p>
        </w:tc>
        <w:tc>
          <w:tcPr>
            <w:tcW w:w="1506" w:type="dxa"/>
            <w:gridSpan w:val="4"/>
            <w:shd w:val="clear" w:color="000000" w:fill="FFFF99"/>
            <w:vAlign w:val="center"/>
            <w:hideMark/>
          </w:tcPr>
          <w:p w14:paraId="37099453" w14:textId="7DFBCD6D" w:rsidR="00485BAA" w:rsidRPr="00D30847" w:rsidRDefault="00485BAA" w:rsidP="00AA03A6">
            <w:pPr>
              <w:spacing w:after="0" w:line="240" w:lineRule="auto"/>
              <w:jc w:val="center"/>
              <w:rPr>
                <w:rFonts w:ascii="Arial" w:eastAsia="Times New Roman" w:hAnsi="Arial" w:cs="Arial"/>
                <w:sz w:val="12"/>
                <w:szCs w:val="12"/>
                <w:lang w:val="en-GB" w:eastAsia="mk-MK"/>
              </w:rPr>
            </w:pPr>
          </w:p>
        </w:tc>
      </w:tr>
      <w:tr w:rsidR="00485BAA" w:rsidRPr="00D30847" w14:paraId="0998DA9B" w14:textId="77777777" w:rsidTr="00FD4DDE">
        <w:trPr>
          <w:gridBefore w:val="3"/>
          <w:gridAfter w:val="1"/>
          <w:wBefore w:w="37" w:type="dxa"/>
          <w:wAfter w:w="52" w:type="dxa"/>
          <w:trHeight w:val="277"/>
          <w:jc w:val="center"/>
        </w:trPr>
        <w:tc>
          <w:tcPr>
            <w:tcW w:w="13501" w:type="dxa"/>
            <w:gridSpan w:val="28"/>
            <w:shd w:val="clear" w:color="000000" w:fill="9BD2ED"/>
            <w:vAlign w:val="center"/>
            <w:hideMark/>
          </w:tcPr>
          <w:p w14:paraId="6825B4E0" w14:textId="4696EA3C" w:rsidR="00482A8E"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w:t>
            </w:r>
            <w:r w:rsidR="001A1627"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2</w:t>
            </w:r>
            <w:r w:rsidR="001A1627"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Developing new</w:t>
            </w:r>
            <w:r w:rsidR="003A513F"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macroeconomic</w:t>
            </w:r>
            <w:r w:rsidR="003A513F"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models</w:t>
            </w:r>
          </w:p>
        </w:tc>
      </w:tr>
      <w:tr w:rsidR="00485BAA" w:rsidRPr="00D30847" w14:paraId="72E292CA" w14:textId="77777777" w:rsidTr="00FD4DDE">
        <w:trPr>
          <w:gridBefore w:val="3"/>
          <w:gridAfter w:val="1"/>
          <w:wBefore w:w="37" w:type="dxa"/>
          <w:wAfter w:w="52" w:type="dxa"/>
          <w:trHeight w:val="189"/>
          <w:jc w:val="center"/>
        </w:trPr>
        <w:tc>
          <w:tcPr>
            <w:tcW w:w="2303" w:type="dxa"/>
            <w:gridSpan w:val="3"/>
            <w:vMerge w:val="restart"/>
            <w:tcBorders>
              <w:top w:val="nil"/>
              <w:left w:val="nil"/>
              <w:bottom w:val="nil"/>
              <w:right w:val="single" w:sz="8" w:space="0" w:color="000000"/>
            </w:tcBorders>
            <w:shd w:val="clear" w:color="auto" w:fill="auto"/>
            <w:vAlign w:val="center"/>
            <w:hideMark/>
          </w:tcPr>
          <w:p w14:paraId="48072EFF"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56A2B970" w14:textId="7739631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3A513F"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3BB0DE7F" w14:textId="6F9B28BE"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3A513F"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0B547BB1" w14:textId="1512B51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DD57C6"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4319E8B4" w14:textId="09BA3390"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D57C6"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54010C18" w14:textId="4758C69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D57C6"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4739D23B" w14:textId="33C89B27"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D57C6"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1042EF4A" w14:textId="31F4F565"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D57C6" w:rsidRPr="00D30847">
              <w:rPr>
                <w:rFonts w:ascii="Arial" w:eastAsia="Times New Roman" w:hAnsi="Arial" w:cs="Arial"/>
                <w:b/>
                <w:bCs/>
                <w:sz w:val="12"/>
                <w:szCs w:val="12"/>
                <w:lang w:val="en-GB" w:eastAsia="mk-MK"/>
              </w:rPr>
              <w:t>8</w:t>
            </w:r>
          </w:p>
        </w:tc>
      </w:tr>
      <w:tr w:rsidR="00485BAA" w:rsidRPr="00D30847" w14:paraId="15B8B66E" w14:textId="77777777" w:rsidTr="00FD4DDE">
        <w:trPr>
          <w:gridBefore w:val="3"/>
          <w:gridAfter w:val="1"/>
          <w:wBefore w:w="37" w:type="dxa"/>
          <w:wAfter w:w="52" w:type="dxa"/>
          <w:trHeight w:val="719"/>
          <w:jc w:val="center"/>
        </w:trPr>
        <w:tc>
          <w:tcPr>
            <w:tcW w:w="2303" w:type="dxa"/>
            <w:gridSpan w:val="3"/>
            <w:vMerge/>
            <w:tcBorders>
              <w:top w:val="nil"/>
              <w:left w:val="nil"/>
              <w:bottom w:val="nil"/>
              <w:right w:val="single" w:sz="8" w:space="0" w:color="000000"/>
            </w:tcBorders>
            <w:vAlign w:val="center"/>
            <w:hideMark/>
          </w:tcPr>
          <w:p w14:paraId="79265653"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4ECAB399" w14:textId="3675598F" w:rsidR="00485BAA" w:rsidRPr="00D30847" w:rsidRDefault="003A513F"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New macroeconomic models used during the preparation of the budgetary documents and Economic Reform Programme</w:t>
            </w:r>
          </w:p>
        </w:tc>
        <w:tc>
          <w:tcPr>
            <w:tcW w:w="1194" w:type="dxa"/>
            <w:gridSpan w:val="2"/>
            <w:shd w:val="clear" w:color="000000" w:fill="FFFF99"/>
            <w:vAlign w:val="center"/>
            <w:hideMark/>
          </w:tcPr>
          <w:p w14:paraId="5158E1C0" w14:textId="02DF723E" w:rsidR="00485BAA" w:rsidRPr="00D30847" w:rsidRDefault="003A513F"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strategic documents and reports</w:t>
            </w:r>
          </w:p>
        </w:tc>
        <w:tc>
          <w:tcPr>
            <w:tcW w:w="1418" w:type="dxa"/>
            <w:gridSpan w:val="3"/>
            <w:shd w:val="clear" w:color="000000" w:fill="FFFF99"/>
            <w:vAlign w:val="center"/>
            <w:hideMark/>
          </w:tcPr>
          <w:p w14:paraId="59D9758A" w14:textId="4B4422CF" w:rsidR="00485BAA" w:rsidRPr="00D30847" w:rsidRDefault="003A513F"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Nowcasting and a structural macroeconomic model</w:t>
            </w:r>
          </w:p>
        </w:tc>
        <w:tc>
          <w:tcPr>
            <w:tcW w:w="1644" w:type="dxa"/>
            <w:gridSpan w:val="3"/>
            <w:shd w:val="clear" w:color="000000" w:fill="FFFF99"/>
            <w:vAlign w:val="center"/>
            <w:hideMark/>
          </w:tcPr>
          <w:p w14:paraId="067F1377" w14:textId="0FF84B2D"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Trainings</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provided</w:t>
            </w:r>
          </w:p>
        </w:tc>
        <w:tc>
          <w:tcPr>
            <w:tcW w:w="1758" w:type="dxa"/>
            <w:gridSpan w:val="4"/>
            <w:shd w:val="clear" w:color="000000" w:fill="FFFF99"/>
            <w:vAlign w:val="center"/>
            <w:hideMark/>
          </w:tcPr>
          <w:p w14:paraId="541A7806" w14:textId="4368A702"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Trainings</w:t>
            </w:r>
            <w:r w:rsidR="003A513F"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provided</w:t>
            </w:r>
          </w:p>
        </w:tc>
        <w:tc>
          <w:tcPr>
            <w:tcW w:w="1842" w:type="dxa"/>
            <w:gridSpan w:val="4"/>
            <w:shd w:val="clear" w:color="000000" w:fill="FFFF99"/>
            <w:vAlign w:val="center"/>
            <w:hideMark/>
          </w:tcPr>
          <w:p w14:paraId="5D385F99" w14:textId="77777777" w:rsidR="003A513F" w:rsidRPr="00D30847" w:rsidRDefault="003A513F" w:rsidP="00AA03A6">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New macroeconomic forecasting tools developed</w:t>
            </w:r>
          </w:p>
          <w:p w14:paraId="14A1CCDB" w14:textId="56B8689E" w:rsidR="00485BAA" w:rsidRPr="00D30847" w:rsidRDefault="003A513F" w:rsidP="00AA03A6">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PEFA score PI-14. Macroeconomic and fiscal forecasting (M2)   &gt; = B  </w:t>
            </w:r>
          </w:p>
        </w:tc>
        <w:tc>
          <w:tcPr>
            <w:tcW w:w="1506" w:type="dxa"/>
            <w:gridSpan w:val="4"/>
            <w:shd w:val="clear" w:color="000000" w:fill="FFFF99"/>
            <w:vAlign w:val="center"/>
            <w:hideMark/>
          </w:tcPr>
          <w:p w14:paraId="1E3C98A5" w14:textId="77777777" w:rsidR="00485BAA" w:rsidRPr="00D30847" w:rsidRDefault="009F6773"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Plan for developing CGE model</w:t>
            </w:r>
          </w:p>
        </w:tc>
      </w:tr>
      <w:tr w:rsidR="00485BAA" w:rsidRPr="00D30847" w14:paraId="322BC8E4" w14:textId="77777777" w:rsidTr="00FD4DDE">
        <w:trPr>
          <w:gridBefore w:val="3"/>
          <w:gridAfter w:val="1"/>
          <w:wBefore w:w="37" w:type="dxa"/>
          <w:wAfter w:w="52" w:type="dxa"/>
          <w:trHeight w:val="232"/>
          <w:jc w:val="center"/>
        </w:trPr>
        <w:tc>
          <w:tcPr>
            <w:tcW w:w="2303" w:type="dxa"/>
            <w:gridSpan w:val="3"/>
            <w:vMerge/>
            <w:tcBorders>
              <w:top w:val="nil"/>
              <w:left w:val="nil"/>
              <w:bottom w:val="nil"/>
              <w:right w:val="single" w:sz="8" w:space="0" w:color="000000"/>
            </w:tcBorders>
            <w:vAlign w:val="center"/>
            <w:hideMark/>
          </w:tcPr>
          <w:p w14:paraId="6A3B4E2F"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00335212"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4BE02CB8" w14:textId="6BFD3B4C"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5F1D37"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722060D0" w14:textId="6CD8C6AC"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5F1D37"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5F2F0F36" w14:textId="348A6294"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5F1D37"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2B676A01"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 (in EUR)</w:t>
            </w:r>
          </w:p>
        </w:tc>
        <w:tc>
          <w:tcPr>
            <w:tcW w:w="1842" w:type="dxa"/>
            <w:gridSpan w:val="4"/>
            <w:shd w:val="clear" w:color="000000" w:fill="9BD2ED"/>
            <w:vAlign w:val="center"/>
            <w:hideMark/>
          </w:tcPr>
          <w:p w14:paraId="395A649B" w14:textId="2F7EB04C"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5F1D37"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5F1D37"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5BD269A5"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485BAA" w:rsidRPr="00D30847" w14:paraId="5FED077C" w14:textId="77777777" w:rsidTr="00FD4DDE">
        <w:trPr>
          <w:gridBefore w:val="3"/>
          <w:gridAfter w:val="1"/>
          <w:wBefore w:w="37" w:type="dxa"/>
          <w:wAfter w:w="52" w:type="dxa"/>
          <w:trHeight w:val="431"/>
          <w:jc w:val="center"/>
        </w:trPr>
        <w:tc>
          <w:tcPr>
            <w:tcW w:w="2303" w:type="dxa"/>
            <w:gridSpan w:val="3"/>
            <w:vMerge/>
            <w:tcBorders>
              <w:top w:val="nil"/>
              <w:left w:val="nil"/>
              <w:bottom w:val="nil"/>
              <w:right w:val="single" w:sz="8" w:space="0" w:color="000000"/>
            </w:tcBorders>
            <w:vAlign w:val="center"/>
            <w:hideMark/>
          </w:tcPr>
          <w:p w14:paraId="54C6A686"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63EF3865" w14:textId="2C573DFD" w:rsidR="00485BAA" w:rsidRPr="00D30847" w:rsidRDefault="00485BAA"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1.Developing macroeconomic</w:t>
            </w:r>
            <w:r w:rsidR="005F1D37"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forecasting</w:t>
            </w:r>
            <w:r w:rsidR="005F1D37"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tools</w:t>
            </w:r>
          </w:p>
        </w:tc>
        <w:tc>
          <w:tcPr>
            <w:tcW w:w="1194" w:type="dxa"/>
            <w:gridSpan w:val="2"/>
            <w:shd w:val="clear" w:color="000000" w:fill="FFFF99"/>
            <w:vAlign w:val="center"/>
            <w:hideMark/>
          </w:tcPr>
          <w:p w14:paraId="6B537319" w14:textId="4A9F8936" w:rsidR="00485BAA" w:rsidRPr="00D30847" w:rsidRDefault="00DD57C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2025-2027</w:t>
            </w:r>
          </w:p>
        </w:tc>
        <w:tc>
          <w:tcPr>
            <w:tcW w:w="1418" w:type="dxa"/>
            <w:gridSpan w:val="3"/>
            <w:shd w:val="clear" w:color="000000" w:fill="FFFF99"/>
            <w:vAlign w:val="center"/>
            <w:hideMark/>
          </w:tcPr>
          <w:p w14:paraId="7B73824F" w14:textId="655FB93A" w:rsidR="00485BAA" w:rsidRPr="00D30847" w:rsidRDefault="000E21C1"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w:t>
            </w:r>
          </w:p>
        </w:tc>
        <w:tc>
          <w:tcPr>
            <w:tcW w:w="1644" w:type="dxa"/>
            <w:gridSpan w:val="3"/>
            <w:shd w:val="clear" w:color="000000" w:fill="FFFF99"/>
            <w:vAlign w:val="center"/>
            <w:hideMark/>
          </w:tcPr>
          <w:p w14:paraId="195B1733" w14:textId="2451D365" w:rsidR="00485BAA" w:rsidRPr="00D30847" w:rsidRDefault="00DD57C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IMF/EU/SB</w:t>
            </w:r>
          </w:p>
        </w:tc>
        <w:tc>
          <w:tcPr>
            <w:tcW w:w="1758" w:type="dxa"/>
            <w:gridSpan w:val="4"/>
            <w:shd w:val="clear" w:color="000000" w:fill="FFFF99"/>
            <w:vAlign w:val="center"/>
            <w:hideMark/>
          </w:tcPr>
          <w:p w14:paraId="5695B4CD" w14:textId="72277DB0"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w:t>
            </w:r>
            <w:r w:rsidR="00813A99" w:rsidRPr="00D30847">
              <w:rPr>
                <w:rFonts w:ascii="Arial" w:eastAsia="Times New Roman" w:hAnsi="Arial" w:cs="Arial"/>
                <w:sz w:val="12"/>
                <w:szCs w:val="12"/>
                <w:lang w:val="en-GB" w:eastAsia="mk-MK"/>
              </w:rPr>
              <w:t>1</w:t>
            </w:r>
            <w:r w:rsidR="00DD57C6" w:rsidRPr="00D30847">
              <w:rPr>
                <w:rFonts w:ascii="Arial" w:eastAsia="Times New Roman" w:hAnsi="Arial" w:cs="Arial"/>
                <w:sz w:val="12"/>
                <w:szCs w:val="12"/>
                <w:lang w:val="en-GB" w:eastAsia="mk-MK"/>
              </w:rPr>
              <w:t>4</w:t>
            </w:r>
            <w:r w:rsidRPr="00D30847">
              <w:rPr>
                <w:rFonts w:ascii="Arial" w:eastAsia="Times New Roman" w:hAnsi="Arial" w:cs="Arial"/>
                <w:sz w:val="12"/>
                <w:szCs w:val="12"/>
                <w:lang w:val="en-GB" w:eastAsia="mk-MK"/>
              </w:rPr>
              <w:t xml:space="preserve">0,000 </w:t>
            </w:r>
          </w:p>
        </w:tc>
        <w:tc>
          <w:tcPr>
            <w:tcW w:w="1842" w:type="dxa"/>
            <w:gridSpan w:val="4"/>
            <w:shd w:val="clear" w:color="000000" w:fill="FFFF99"/>
            <w:vAlign w:val="center"/>
            <w:hideMark/>
          </w:tcPr>
          <w:p w14:paraId="4845FBEE" w14:textId="77777777" w:rsidR="00485BAA" w:rsidRPr="00D30847" w:rsidRDefault="009B5409"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 WB</w:t>
            </w:r>
          </w:p>
        </w:tc>
        <w:tc>
          <w:tcPr>
            <w:tcW w:w="1506" w:type="dxa"/>
            <w:gridSpan w:val="4"/>
            <w:shd w:val="clear" w:color="000000" w:fill="FFFF99"/>
            <w:vAlign w:val="center"/>
            <w:hideMark/>
          </w:tcPr>
          <w:p w14:paraId="3FDEC309" w14:textId="2F12C427" w:rsidR="00485BAA" w:rsidRPr="00D30847" w:rsidRDefault="00485BAA" w:rsidP="00485BAA">
            <w:pPr>
              <w:spacing w:after="0" w:line="240" w:lineRule="auto"/>
              <w:jc w:val="center"/>
              <w:rPr>
                <w:rFonts w:ascii="Arial" w:eastAsia="Times New Roman" w:hAnsi="Arial" w:cs="Arial"/>
                <w:sz w:val="12"/>
                <w:szCs w:val="12"/>
                <w:lang w:val="en-GB" w:eastAsia="mk-MK"/>
              </w:rPr>
            </w:pPr>
          </w:p>
        </w:tc>
      </w:tr>
      <w:tr w:rsidR="00485BAA" w:rsidRPr="00D30847" w14:paraId="2AABAEB0" w14:textId="77777777" w:rsidTr="00FD4DDE">
        <w:trPr>
          <w:gridBefore w:val="3"/>
          <w:gridAfter w:val="1"/>
          <w:wBefore w:w="37" w:type="dxa"/>
          <w:wAfter w:w="52" w:type="dxa"/>
          <w:trHeight w:val="196"/>
          <w:jc w:val="center"/>
        </w:trPr>
        <w:tc>
          <w:tcPr>
            <w:tcW w:w="13501" w:type="dxa"/>
            <w:gridSpan w:val="28"/>
            <w:shd w:val="clear" w:color="000000" w:fill="9BD2ED"/>
            <w:vAlign w:val="center"/>
            <w:hideMark/>
          </w:tcPr>
          <w:p w14:paraId="23450A5F" w14:textId="67FB366B"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w:t>
            </w:r>
            <w:r w:rsidR="001A1627"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3</w:t>
            </w:r>
            <w:r w:rsidR="001A1627" w:rsidRPr="00D30847">
              <w:rPr>
                <w:rFonts w:ascii="Arial" w:eastAsia="Times New Roman" w:hAnsi="Arial" w:cs="Arial"/>
                <w:b/>
                <w:bCs/>
                <w:sz w:val="12"/>
                <w:szCs w:val="12"/>
                <w:lang w:val="en-GB" w:eastAsia="mk-MK"/>
              </w:rPr>
              <w:t>.</w:t>
            </w:r>
            <w:r w:rsidRPr="00D30847">
              <w:rPr>
                <w:rFonts w:ascii="Arial" w:eastAsia="Times New Roman" w:hAnsi="Arial" w:cs="Arial"/>
                <w:b/>
                <w:bCs/>
                <w:sz w:val="12"/>
                <w:szCs w:val="12"/>
                <w:lang w:val="en-GB" w:eastAsia="mk-MK"/>
              </w:rPr>
              <w:t xml:space="preserve"> Fiscal</w:t>
            </w:r>
            <w:r w:rsidR="005F1D37"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Risks</w:t>
            </w:r>
          </w:p>
        </w:tc>
      </w:tr>
      <w:tr w:rsidR="00485BAA" w:rsidRPr="00D30847" w14:paraId="2108BF4C" w14:textId="77777777" w:rsidTr="00FD4DDE">
        <w:trPr>
          <w:gridBefore w:val="3"/>
          <w:gridAfter w:val="1"/>
          <w:wBefore w:w="37" w:type="dxa"/>
          <w:wAfter w:w="52" w:type="dxa"/>
          <w:trHeight w:val="232"/>
          <w:jc w:val="center"/>
        </w:trPr>
        <w:tc>
          <w:tcPr>
            <w:tcW w:w="2303" w:type="dxa"/>
            <w:gridSpan w:val="3"/>
            <w:vMerge w:val="restart"/>
            <w:tcBorders>
              <w:top w:val="nil"/>
              <w:left w:val="nil"/>
              <w:bottom w:val="nil"/>
              <w:right w:val="single" w:sz="8" w:space="0" w:color="000000"/>
            </w:tcBorders>
            <w:shd w:val="clear" w:color="auto" w:fill="auto"/>
            <w:vAlign w:val="center"/>
            <w:hideMark/>
          </w:tcPr>
          <w:p w14:paraId="1759570E" w14:textId="77777777" w:rsidR="00485BAA" w:rsidRPr="00D30847" w:rsidRDefault="00485BAA" w:rsidP="00485BAA">
            <w:pPr>
              <w:spacing w:after="0" w:line="240" w:lineRule="auto"/>
              <w:jc w:val="both"/>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9BD2ED"/>
            <w:vAlign w:val="center"/>
            <w:hideMark/>
          </w:tcPr>
          <w:p w14:paraId="596D61A4" w14:textId="3E6DF1F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5F1D37"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5447BB33" w14:textId="1AE7916E"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5F1D37"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5EE57F93" w14:textId="700DCB6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DD57C6"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255C0165" w14:textId="5C4077F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D57C6"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55AE551C" w14:textId="304656CE"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D57C6"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1C03EFB6" w14:textId="157CF927" w:rsidR="00485BAA" w:rsidRPr="00D30847" w:rsidRDefault="00485BAA" w:rsidP="009B5409">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D57C6"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5E0FD91B" w14:textId="766EF840"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D57C6" w:rsidRPr="00D30847">
              <w:rPr>
                <w:rFonts w:ascii="Arial" w:eastAsia="Times New Roman" w:hAnsi="Arial" w:cs="Arial"/>
                <w:b/>
                <w:bCs/>
                <w:sz w:val="12"/>
                <w:szCs w:val="12"/>
                <w:lang w:val="en-GB" w:eastAsia="mk-MK"/>
              </w:rPr>
              <w:t>8</w:t>
            </w:r>
          </w:p>
        </w:tc>
      </w:tr>
      <w:tr w:rsidR="00485BAA" w:rsidRPr="00D30847" w14:paraId="6FEED0AC" w14:textId="77777777" w:rsidTr="00FD4DDE">
        <w:trPr>
          <w:gridBefore w:val="3"/>
          <w:gridAfter w:val="1"/>
          <w:wBefore w:w="37" w:type="dxa"/>
          <w:wAfter w:w="52" w:type="dxa"/>
          <w:trHeight w:val="1429"/>
          <w:jc w:val="center"/>
        </w:trPr>
        <w:tc>
          <w:tcPr>
            <w:tcW w:w="2303" w:type="dxa"/>
            <w:gridSpan w:val="3"/>
            <w:vMerge/>
            <w:tcBorders>
              <w:top w:val="nil"/>
              <w:left w:val="nil"/>
              <w:bottom w:val="nil"/>
              <w:right w:val="single" w:sz="8" w:space="0" w:color="000000"/>
            </w:tcBorders>
            <w:vAlign w:val="center"/>
            <w:hideMark/>
          </w:tcPr>
          <w:p w14:paraId="679F7BF5" w14:textId="77777777" w:rsidR="00485BAA" w:rsidRPr="00D30847" w:rsidRDefault="00485BAA" w:rsidP="00485BAA">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FFFF99"/>
            <w:vAlign w:val="center"/>
            <w:hideMark/>
          </w:tcPr>
          <w:p w14:paraId="6C634C6E" w14:textId="1A369A1A" w:rsidR="00485BAA" w:rsidRPr="00D30847" w:rsidRDefault="00DD57C6"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Comprehensive reporting (Fiscal Risks chapter in the Fiscal Strategy) on: liabilities of central and local governments; PPP associated risks; summary of risks identified by the biggest </w:t>
            </w:r>
            <w:proofErr w:type="spellStart"/>
            <w:r w:rsidRPr="00D30847">
              <w:rPr>
                <w:rFonts w:ascii="Arial" w:eastAsia="Times New Roman" w:hAnsi="Arial" w:cs="Arial"/>
                <w:sz w:val="12"/>
                <w:szCs w:val="12"/>
                <w:lang w:val="en-GB" w:eastAsia="mk-MK"/>
              </w:rPr>
              <w:t>SoEs</w:t>
            </w:r>
            <w:proofErr w:type="spellEnd"/>
            <w:r w:rsidRPr="00D30847">
              <w:rPr>
                <w:rFonts w:ascii="Arial" w:eastAsia="Times New Roman" w:hAnsi="Arial" w:cs="Arial"/>
                <w:sz w:val="12"/>
                <w:szCs w:val="12"/>
                <w:lang w:val="en-GB" w:eastAsia="mk-MK"/>
              </w:rPr>
              <w:t>; comparison of macro-fiscal forecast scenarios</w:t>
            </w:r>
          </w:p>
        </w:tc>
        <w:tc>
          <w:tcPr>
            <w:tcW w:w="1194" w:type="dxa"/>
            <w:gridSpan w:val="2"/>
            <w:shd w:val="clear" w:color="000000" w:fill="FFFF99"/>
            <w:vAlign w:val="center"/>
            <w:hideMark/>
          </w:tcPr>
          <w:p w14:paraId="3877FD6A" w14:textId="7411184E" w:rsidR="00485BAA" w:rsidRPr="00D30847" w:rsidRDefault="005F1D37"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r w:rsidRPr="00D30847">
              <w:rPr>
                <w:rFonts w:ascii="Arial" w:eastAsia="Times New Roman" w:hAnsi="Arial" w:cs="Arial"/>
                <w:sz w:val="12"/>
                <w:szCs w:val="12"/>
                <w:lang w:val="en-GB" w:eastAsia="mk-MK"/>
              </w:rPr>
              <w:br/>
              <w:t>IMF</w:t>
            </w:r>
            <w:r w:rsidRPr="00D30847">
              <w:rPr>
                <w:rFonts w:ascii="Arial" w:eastAsia="Times New Roman" w:hAnsi="Arial" w:cs="Arial"/>
                <w:sz w:val="12"/>
                <w:szCs w:val="12"/>
                <w:lang w:val="en-GB" w:eastAsia="mk-MK"/>
              </w:rPr>
              <w:br/>
              <w:t>PEFA score for indicator PI-10. Fiscal risk reporting</w:t>
            </w:r>
          </w:p>
        </w:tc>
        <w:tc>
          <w:tcPr>
            <w:tcW w:w="1418" w:type="dxa"/>
            <w:gridSpan w:val="3"/>
            <w:shd w:val="clear" w:color="000000" w:fill="FFFF99"/>
            <w:vAlign w:val="center"/>
            <w:hideMark/>
          </w:tcPr>
          <w:p w14:paraId="6E41A33F"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w:t>
            </w:r>
          </w:p>
        </w:tc>
        <w:tc>
          <w:tcPr>
            <w:tcW w:w="1644" w:type="dxa"/>
            <w:gridSpan w:val="3"/>
            <w:shd w:val="clear" w:color="000000" w:fill="FFFF99"/>
            <w:vAlign w:val="center"/>
            <w:hideMark/>
          </w:tcPr>
          <w:p w14:paraId="67209C9F" w14:textId="627DA511" w:rsidR="00485BAA" w:rsidRPr="00D30847" w:rsidRDefault="00AA03A6" w:rsidP="00AA03A6">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w:t>
            </w:r>
          </w:p>
        </w:tc>
        <w:tc>
          <w:tcPr>
            <w:tcW w:w="1758" w:type="dxa"/>
            <w:gridSpan w:val="4"/>
            <w:shd w:val="clear" w:color="000000" w:fill="FFFF99"/>
            <w:vAlign w:val="center"/>
            <w:hideMark/>
          </w:tcPr>
          <w:p w14:paraId="69257FF6" w14:textId="46239EE2" w:rsidR="00485BAA" w:rsidRPr="00D30847" w:rsidRDefault="00485BAA" w:rsidP="00485BAA">
            <w:pPr>
              <w:spacing w:after="0" w:line="240" w:lineRule="auto"/>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r w:rsidR="009F6773" w:rsidRPr="00D30847">
              <w:rPr>
                <w:rFonts w:ascii="Arial" w:eastAsia="Times New Roman" w:hAnsi="Arial" w:cs="Arial"/>
                <w:sz w:val="12"/>
                <w:szCs w:val="12"/>
                <w:lang w:val="en-GB" w:eastAsia="mk-MK"/>
              </w:rPr>
              <w:t>Trainings</w:t>
            </w:r>
            <w:r w:rsidR="005F1D37" w:rsidRPr="00D30847">
              <w:rPr>
                <w:rFonts w:ascii="Arial" w:eastAsia="Times New Roman" w:hAnsi="Arial" w:cs="Arial"/>
                <w:sz w:val="12"/>
                <w:szCs w:val="12"/>
                <w:lang w:val="en-GB" w:eastAsia="mk-MK"/>
              </w:rPr>
              <w:t xml:space="preserve"> </w:t>
            </w:r>
            <w:r w:rsidR="009F6773" w:rsidRPr="00D30847">
              <w:rPr>
                <w:rFonts w:ascii="Arial" w:eastAsia="Times New Roman" w:hAnsi="Arial" w:cs="Arial"/>
                <w:sz w:val="12"/>
                <w:szCs w:val="12"/>
                <w:lang w:val="en-GB" w:eastAsia="mk-MK"/>
              </w:rPr>
              <w:t>provided</w:t>
            </w:r>
          </w:p>
        </w:tc>
        <w:tc>
          <w:tcPr>
            <w:tcW w:w="1842" w:type="dxa"/>
            <w:gridSpan w:val="4"/>
            <w:shd w:val="clear" w:color="000000" w:fill="FFFF99"/>
            <w:vAlign w:val="center"/>
            <w:hideMark/>
          </w:tcPr>
          <w:p w14:paraId="3F61A627" w14:textId="77777777" w:rsidR="00813A99" w:rsidRPr="00D30847" w:rsidRDefault="00485BAA" w:rsidP="00813A99">
            <w:pPr>
              <w:spacing w:after="0" w:line="240" w:lineRule="auto"/>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 </w:t>
            </w:r>
            <w:r w:rsidR="005F1D37" w:rsidRPr="00D30847">
              <w:rPr>
                <w:rFonts w:ascii="Arial" w:eastAsia="Times New Roman" w:hAnsi="Arial" w:cs="Arial"/>
                <w:b/>
                <w:bCs/>
                <w:sz w:val="12"/>
                <w:szCs w:val="12"/>
                <w:lang w:val="en-GB" w:eastAsia="mk-MK"/>
              </w:rPr>
              <w:t> </w:t>
            </w:r>
            <w:r w:rsidR="00813A99" w:rsidRPr="00D30847">
              <w:rPr>
                <w:rFonts w:ascii="Arial" w:eastAsia="Times New Roman" w:hAnsi="Arial" w:cs="Arial"/>
                <w:sz w:val="12"/>
                <w:szCs w:val="12"/>
                <w:lang w:val="en-GB" w:eastAsia="mk-MK"/>
              </w:rPr>
              <w:t>Procedure for preparation of comprehensive Fiscal Risks Statement and Fiscal Risks Chapter as part of the Fiscal Strategy</w:t>
            </w:r>
            <w:r w:rsidR="00813A99" w:rsidRPr="00D30847">
              <w:rPr>
                <w:rFonts w:ascii="Arial" w:eastAsia="Times New Roman" w:hAnsi="Arial" w:cs="Arial"/>
                <w:sz w:val="12"/>
                <w:szCs w:val="12"/>
                <w:lang w:val="en-GB" w:eastAsia="mk-MK"/>
              </w:rPr>
              <w:br w:type="page"/>
              <w:t xml:space="preserve"> </w:t>
            </w:r>
          </w:p>
          <w:p w14:paraId="600860CE" w14:textId="202FECFA" w:rsidR="00485BAA" w:rsidRPr="00D30847" w:rsidRDefault="00813A99" w:rsidP="00813A99">
            <w:pPr>
              <w:spacing w:after="0" w:line="240" w:lineRule="auto"/>
              <w:rPr>
                <w:rFonts w:ascii="Arial" w:eastAsia="Times New Roman" w:hAnsi="Arial" w:cs="Arial"/>
                <w:b/>
                <w:bCs/>
                <w:sz w:val="12"/>
                <w:szCs w:val="12"/>
                <w:lang w:val="en-GB" w:eastAsia="mk-MK"/>
              </w:rPr>
            </w:pPr>
            <w:r w:rsidRPr="00D30847">
              <w:rPr>
                <w:rFonts w:ascii="Arial" w:eastAsia="Times New Roman" w:hAnsi="Arial" w:cs="Arial"/>
                <w:sz w:val="12"/>
                <w:szCs w:val="12"/>
                <w:lang w:val="en-GB" w:eastAsia="mk-MK"/>
              </w:rPr>
              <w:t xml:space="preserve">PEFA Score: </w:t>
            </w:r>
            <w:r w:rsidRPr="00D30847">
              <w:rPr>
                <w:rFonts w:ascii="Arial" w:eastAsia="Times New Roman" w:hAnsi="Arial" w:cs="Arial"/>
                <w:sz w:val="12"/>
                <w:szCs w:val="12"/>
                <w:u w:val="single"/>
                <w:lang w:val="en-GB" w:eastAsia="mk-MK"/>
              </w:rPr>
              <w:t>&gt;</w:t>
            </w:r>
            <w:r w:rsidRPr="00D30847">
              <w:rPr>
                <w:rFonts w:ascii="Arial" w:eastAsia="Times New Roman" w:hAnsi="Arial" w:cs="Arial"/>
                <w:sz w:val="12"/>
                <w:szCs w:val="12"/>
                <w:lang w:val="en-GB" w:eastAsia="mk-MK"/>
              </w:rPr>
              <w:t>B</w:t>
            </w:r>
          </w:p>
        </w:tc>
        <w:tc>
          <w:tcPr>
            <w:tcW w:w="1506" w:type="dxa"/>
            <w:gridSpan w:val="4"/>
            <w:shd w:val="clear" w:color="000000" w:fill="FFFF99"/>
            <w:vAlign w:val="center"/>
            <w:hideMark/>
          </w:tcPr>
          <w:p w14:paraId="30CE285A" w14:textId="28D9CC56" w:rsidR="00485BAA" w:rsidRPr="00D30847" w:rsidRDefault="005F1D37" w:rsidP="009B5409">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Plan for further development of fiscal risks assessment and analyses</w:t>
            </w:r>
          </w:p>
        </w:tc>
      </w:tr>
      <w:tr w:rsidR="00485BAA" w:rsidRPr="00D30847" w14:paraId="02BE3E9F" w14:textId="77777777" w:rsidTr="00FD4DDE">
        <w:trPr>
          <w:gridBefore w:val="3"/>
          <w:gridAfter w:val="1"/>
          <w:wBefore w:w="37" w:type="dxa"/>
          <w:wAfter w:w="52" w:type="dxa"/>
          <w:trHeight w:val="213"/>
          <w:jc w:val="center"/>
        </w:trPr>
        <w:tc>
          <w:tcPr>
            <w:tcW w:w="2303" w:type="dxa"/>
            <w:gridSpan w:val="3"/>
            <w:vMerge/>
            <w:tcBorders>
              <w:top w:val="nil"/>
              <w:left w:val="nil"/>
              <w:bottom w:val="nil"/>
              <w:right w:val="single" w:sz="8" w:space="0" w:color="000000"/>
            </w:tcBorders>
            <w:vAlign w:val="center"/>
            <w:hideMark/>
          </w:tcPr>
          <w:p w14:paraId="37C8375E" w14:textId="77777777" w:rsidR="00485BAA" w:rsidRPr="00D30847" w:rsidRDefault="00485BAA" w:rsidP="00485BAA">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9BD2ED"/>
            <w:vAlign w:val="center"/>
            <w:hideMark/>
          </w:tcPr>
          <w:p w14:paraId="1700E5BF"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187A86A3" w14:textId="4680D48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5F1D37"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2F8BE22C" w14:textId="57657430"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5F1D37"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24708C5A" w14:textId="6A274408"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5F1D37"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0CC50E6C"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7EC701C6" w14:textId="17A9AA56"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5F1D37"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5F1D37"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339C0024"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485BAA" w:rsidRPr="00D30847" w14:paraId="3C2DB2CF" w14:textId="77777777" w:rsidTr="00FD4DDE">
        <w:trPr>
          <w:gridBefore w:val="3"/>
          <w:gridAfter w:val="1"/>
          <w:wBefore w:w="37" w:type="dxa"/>
          <w:wAfter w:w="52" w:type="dxa"/>
          <w:trHeight w:val="682"/>
          <w:jc w:val="center"/>
        </w:trPr>
        <w:tc>
          <w:tcPr>
            <w:tcW w:w="2303" w:type="dxa"/>
            <w:gridSpan w:val="3"/>
            <w:vMerge/>
            <w:tcBorders>
              <w:top w:val="nil"/>
              <w:left w:val="nil"/>
              <w:bottom w:val="nil"/>
              <w:right w:val="single" w:sz="8" w:space="0" w:color="000000"/>
            </w:tcBorders>
            <w:vAlign w:val="center"/>
            <w:hideMark/>
          </w:tcPr>
          <w:p w14:paraId="57750F8F" w14:textId="77777777" w:rsidR="00485BAA" w:rsidRPr="00D30847" w:rsidRDefault="00485BAA" w:rsidP="00485BAA">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FFFF99"/>
            <w:vAlign w:val="center"/>
            <w:hideMark/>
          </w:tcPr>
          <w:p w14:paraId="40E2CAD3" w14:textId="472DDDEF" w:rsidR="00485BAA" w:rsidRPr="00D30847" w:rsidRDefault="00DD57C6"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Implementation of a plan with activities to strengthen the capacities for fiscal risks analyses in line with FAD/IMF recommendations</w:t>
            </w:r>
          </w:p>
        </w:tc>
        <w:tc>
          <w:tcPr>
            <w:tcW w:w="1194" w:type="dxa"/>
            <w:gridSpan w:val="2"/>
            <w:shd w:val="clear" w:color="000000" w:fill="FFFF99"/>
            <w:vAlign w:val="center"/>
            <w:hideMark/>
          </w:tcPr>
          <w:p w14:paraId="578BE461" w14:textId="2547043F" w:rsidR="00485BAA" w:rsidRPr="00D30847" w:rsidRDefault="00DD57C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2025-2026</w:t>
            </w:r>
          </w:p>
        </w:tc>
        <w:tc>
          <w:tcPr>
            <w:tcW w:w="1418" w:type="dxa"/>
            <w:gridSpan w:val="3"/>
            <w:shd w:val="clear" w:color="000000" w:fill="FFFF99"/>
            <w:vAlign w:val="center"/>
            <w:hideMark/>
          </w:tcPr>
          <w:p w14:paraId="2CC55460" w14:textId="307AA33A" w:rsidR="00485BAA" w:rsidRPr="00D30847" w:rsidRDefault="000E21C1"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w:t>
            </w:r>
          </w:p>
        </w:tc>
        <w:tc>
          <w:tcPr>
            <w:tcW w:w="1644" w:type="dxa"/>
            <w:gridSpan w:val="3"/>
            <w:shd w:val="clear" w:color="000000" w:fill="FFFF99"/>
            <w:vAlign w:val="center"/>
            <w:hideMark/>
          </w:tcPr>
          <w:p w14:paraId="2942B95F" w14:textId="6BD4C6B4" w:rsidR="00485BAA" w:rsidRPr="00D30847" w:rsidRDefault="00DD57C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BU/</w:t>
            </w:r>
            <w:proofErr w:type="spellStart"/>
            <w:r w:rsidRPr="00D30847">
              <w:rPr>
                <w:rFonts w:ascii="Arial" w:eastAsia="Times New Roman" w:hAnsi="Arial" w:cs="Arial"/>
                <w:sz w:val="12"/>
                <w:szCs w:val="12"/>
                <w:lang w:val="en-GB" w:eastAsia="mk-MK"/>
              </w:rPr>
              <w:t>SoEs</w:t>
            </w:r>
            <w:proofErr w:type="spellEnd"/>
            <w:r w:rsidRPr="00D30847">
              <w:rPr>
                <w:rFonts w:ascii="Arial" w:eastAsia="Times New Roman" w:hAnsi="Arial" w:cs="Arial"/>
                <w:sz w:val="12"/>
                <w:szCs w:val="12"/>
                <w:lang w:val="en-GB" w:eastAsia="mk-MK"/>
              </w:rPr>
              <w:t>/LSGU/IMF</w:t>
            </w:r>
          </w:p>
        </w:tc>
        <w:tc>
          <w:tcPr>
            <w:tcW w:w="1758" w:type="dxa"/>
            <w:gridSpan w:val="4"/>
            <w:shd w:val="clear" w:color="000000" w:fill="FFFF99"/>
            <w:vAlign w:val="center"/>
            <w:hideMark/>
          </w:tcPr>
          <w:p w14:paraId="7FCE4AD3" w14:textId="5E7B4AF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w:t>
            </w:r>
            <w:r w:rsidR="00DD57C6" w:rsidRPr="00D30847">
              <w:rPr>
                <w:rFonts w:ascii="Arial" w:eastAsia="Times New Roman" w:hAnsi="Arial" w:cs="Arial"/>
                <w:sz w:val="12"/>
                <w:szCs w:val="12"/>
                <w:lang w:val="en-GB" w:eastAsia="mk-MK"/>
              </w:rPr>
              <w:t>7</w:t>
            </w:r>
            <w:r w:rsidR="00813A99" w:rsidRPr="00D30847">
              <w:rPr>
                <w:rFonts w:ascii="Arial" w:eastAsia="Times New Roman" w:hAnsi="Arial" w:cs="Arial"/>
                <w:sz w:val="12"/>
                <w:szCs w:val="12"/>
                <w:lang w:val="en-GB" w:eastAsia="mk-MK"/>
              </w:rPr>
              <w:t>0</w:t>
            </w:r>
            <w:r w:rsidRPr="00D30847">
              <w:rPr>
                <w:rFonts w:ascii="Arial" w:eastAsia="Times New Roman" w:hAnsi="Arial" w:cs="Arial"/>
                <w:sz w:val="12"/>
                <w:szCs w:val="12"/>
                <w:lang w:val="en-GB" w:eastAsia="mk-MK"/>
              </w:rPr>
              <w:t xml:space="preserve">,000 </w:t>
            </w:r>
          </w:p>
        </w:tc>
        <w:tc>
          <w:tcPr>
            <w:tcW w:w="1842" w:type="dxa"/>
            <w:gridSpan w:val="4"/>
            <w:shd w:val="clear" w:color="000000" w:fill="FFFF99"/>
            <w:vAlign w:val="center"/>
            <w:hideMark/>
          </w:tcPr>
          <w:p w14:paraId="28196E46" w14:textId="2B63D5A7" w:rsidR="00485BAA" w:rsidRPr="00D30847" w:rsidRDefault="00813A99"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 IMF/EU/SECO</w:t>
            </w:r>
          </w:p>
        </w:tc>
        <w:tc>
          <w:tcPr>
            <w:tcW w:w="1506" w:type="dxa"/>
            <w:gridSpan w:val="4"/>
            <w:shd w:val="clear" w:color="000000" w:fill="FFFF99"/>
            <w:vAlign w:val="center"/>
            <w:hideMark/>
          </w:tcPr>
          <w:p w14:paraId="72A84360" w14:textId="43E96E32" w:rsidR="00485BAA" w:rsidRPr="00D30847" w:rsidRDefault="00407B01"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r>
      <w:tr w:rsidR="00485BAA" w:rsidRPr="00D30847" w14:paraId="533B61EC" w14:textId="77777777" w:rsidTr="00FD4DDE">
        <w:trPr>
          <w:gridBefore w:val="3"/>
          <w:gridAfter w:val="1"/>
          <w:wBefore w:w="37" w:type="dxa"/>
          <w:wAfter w:w="52" w:type="dxa"/>
          <w:trHeight w:val="637"/>
          <w:jc w:val="center"/>
        </w:trPr>
        <w:tc>
          <w:tcPr>
            <w:tcW w:w="2303" w:type="dxa"/>
            <w:gridSpan w:val="3"/>
            <w:vMerge/>
            <w:tcBorders>
              <w:top w:val="nil"/>
              <w:left w:val="nil"/>
              <w:bottom w:val="nil"/>
              <w:right w:val="single" w:sz="8" w:space="0" w:color="000000"/>
            </w:tcBorders>
            <w:vAlign w:val="center"/>
            <w:hideMark/>
          </w:tcPr>
          <w:p w14:paraId="40318FA2" w14:textId="77777777" w:rsidR="00485BAA" w:rsidRPr="00D30847" w:rsidRDefault="00485BAA" w:rsidP="00485BAA">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FFFF99"/>
            <w:vAlign w:val="center"/>
            <w:hideMark/>
          </w:tcPr>
          <w:p w14:paraId="48600AEC" w14:textId="516E0851" w:rsidR="00485BAA" w:rsidRPr="00D30847" w:rsidRDefault="00DD57C6"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Development of a Fiscal Risk Registry and Promotion of Institutional Framework according to the best regional and EU practices</w:t>
            </w:r>
          </w:p>
        </w:tc>
        <w:tc>
          <w:tcPr>
            <w:tcW w:w="1194" w:type="dxa"/>
            <w:gridSpan w:val="2"/>
            <w:shd w:val="clear" w:color="000000" w:fill="FFFF99"/>
            <w:vAlign w:val="center"/>
            <w:hideMark/>
          </w:tcPr>
          <w:p w14:paraId="278FEE1B" w14:textId="70D94354" w:rsidR="00485BAA" w:rsidRPr="00D30847" w:rsidRDefault="00DD57C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2025-2026</w:t>
            </w:r>
          </w:p>
        </w:tc>
        <w:tc>
          <w:tcPr>
            <w:tcW w:w="1418" w:type="dxa"/>
            <w:gridSpan w:val="3"/>
            <w:shd w:val="clear" w:color="000000" w:fill="FFFF99"/>
            <w:vAlign w:val="center"/>
            <w:hideMark/>
          </w:tcPr>
          <w:p w14:paraId="57AE4AA3" w14:textId="59F8D3CB" w:rsidR="00485BAA" w:rsidRPr="00D30847" w:rsidRDefault="000E21C1"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w:t>
            </w:r>
          </w:p>
        </w:tc>
        <w:tc>
          <w:tcPr>
            <w:tcW w:w="1644" w:type="dxa"/>
            <w:gridSpan w:val="3"/>
            <w:shd w:val="clear" w:color="000000" w:fill="FFFF99"/>
            <w:vAlign w:val="center"/>
            <w:hideMark/>
          </w:tcPr>
          <w:p w14:paraId="54723E55" w14:textId="39E1EA57" w:rsidR="00485BAA" w:rsidRPr="00D30847" w:rsidRDefault="00DD57C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BU/</w:t>
            </w:r>
            <w:proofErr w:type="spellStart"/>
            <w:r w:rsidRPr="00D30847">
              <w:rPr>
                <w:rFonts w:ascii="Arial" w:eastAsia="Times New Roman" w:hAnsi="Arial" w:cs="Arial"/>
                <w:sz w:val="12"/>
                <w:szCs w:val="12"/>
                <w:lang w:val="en-GB" w:eastAsia="mk-MK"/>
              </w:rPr>
              <w:t>SoEs</w:t>
            </w:r>
            <w:proofErr w:type="spellEnd"/>
            <w:r w:rsidRPr="00D30847">
              <w:rPr>
                <w:rFonts w:ascii="Arial" w:eastAsia="Times New Roman" w:hAnsi="Arial" w:cs="Arial"/>
                <w:sz w:val="12"/>
                <w:szCs w:val="12"/>
                <w:lang w:val="en-GB" w:eastAsia="mk-MK"/>
              </w:rPr>
              <w:t>/LSGU/IMF</w:t>
            </w:r>
          </w:p>
        </w:tc>
        <w:tc>
          <w:tcPr>
            <w:tcW w:w="1758" w:type="dxa"/>
            <w:gridSpan w:val="4"/>
            <w:shd w:val="clear" w:color="000000" w:fill="FFFF99"/>
            <w:vAlign w:val="center"/>
            <w:hideMark/>
          </w:tcPr>
          <w:p w14:paraId="3DCE2B08" w14:textId="2AE7CC0C"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w:t>
            </w:r>
            <w:r w:rsidR="00DD57C6" w:rsidRPr="00D30847">
              <w:rPr>
                <w:rFonts w:ascii="Arial" w:eastAsia="Times New Roman" w:hAnsi="Arial" w:cs="Arial"/>
                <w:sz w:val="12"/>
                <w:szCs w:val="12"/>
                <w:lang w:val="en-GB" w:eastAsia="mk-MK"/>
              </w:rPr>
              <w:t>7</w:t>
            </w:r>
            <w:r w:rsidRPr="00D30847">
              <w:rPr>
                <w:rFonts w:ascii="Arial" w:eastAsia="Times New Roman" w:hAnsi="Arial" w:cs="Arial"/>
                <w:sz w:val="12"/>
                <w:szCs w:val="12"/>
                <w:lang w:val="en-GB" w:eastAsia="mk-MK"/>
              </w:rPr>
              <w:t xml:space="preserve">0,000 </w:t>
            </w:r>
          </w:p>
        </w:tc>
        <w:tc>
          <w:tcPr>
            <w:tcW w:w="1842" w:type="dxa"/>
            <w:gridSpan w:val="4"/>
            <w:shd w:val="clear" w:color="000000" w:fill="FFFF99"/>
            <w:vAlign w:val="center"/>
            <w:hideMark/>
          </w:tcPr>
          <w:p w14:paraId="295597D1" w14:textId="25957114" w:rsidR="00485BAA" w:rsidRPr="00D30847" w:rsidRDefault="00813A99"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 IMF/EU/EU/SECO</w:t>
            </w:r>
          </w:p>
        </w:tc>
        <w:tc>
          <w:tcPr>
            <w:tcW w:w="1506" w:type="dxa"/>
            <w:gridSpan w:val="4"/>
            <w:shd w:val="clear" w:color="000000" w:fill="FFFF99"/>
            <w:vAlign w:val="center"/>
            <w:hideMark/>
          </w:tcPr>
          <w:p w14:paraId="53ADF275" w14:textId="67FF3036" w:rsidR="00485BAA" w:rsidRPr="00D30847" w:rsidRDefault="00485BAA" w:rsidP="00407B01">
            <w:pPr>
              <w:spacing w:after="0" w:line="240" w:lineRule="auto"/>
              <w:jc w:val="center"/>
              <w:rPr>
                <w:rFonts w:ascii="Arial" w:eastAsia="Times New Roman" w:hAnsi="Arial" w:cs="Arial"/>
                <w:sz w:val="12"/>
                <w:szCs w:val="12"/>
                <w:lang w:val="en-GB" w:eastAsia="mk-MK"/>
              </w:rPr>
            </w:pPr>
          </w:p>
        </w:tc>
      </w:tr>
      <w:tr w:rsidR="00485BAA" w:rsidRPr="00D30847" w14:paraId="51EFD831" w14:textId="77777777" w:rsidTr="00FD4DDE">
        <w:trPr>
          <w:gridBefore w:val="3"/>
          <w:gridAfter w:val="1"/>
          <w:wBefore w:w="37" w:type="dxa"/>
          <w:wAfter w:w="52" w:type="dxa"/>
          <w:trHeight w:val="349"/>
          <w:jc w:val="center"/>
        </w:trPr>
        <w:tc>
          <w:tcPr>
            <w:tcW w:w="13501" w:type="dxa"/>
            <w:gridSpan w:val="28"/>
            <w:shd w:val="clear" w:color="000000" w:fill="1F3864"/>
            <w:vAlign w:val="center"/>
            <w:hideMark/>
          </w:tcPr>
          <w:p w14:paraId="320A5872" w14:textId="45226A37"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PILLAR I</w:t>
            </w:r>
            <w:r w:rsidR="001A1627"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 xml:space="preserve"> Economic</w:t>
            </w:r>
            <w:r w:rsidR="009D583D"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Analysis, Macroeconomic</w:t>
            </w:r>
            <w:r w:rsidR="009D583D"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and</w:t>
            </w:r>
            <w:r w:rsidR="009D583D"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Fiscal</w:t>
            </w:r>
            <w:r w:rsidR="009D583D"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Framework</w:t>
            </w:r>
          </w:p>
        </w:tc>
      </w:tr>
      <w:tr w:rsidR="00485BAA" w:rsidRPr="00D30847" w14:paraId="0221F7E4" w14:textId="77777777" w:rsidTr="00FD4DDE">
        <w:trPr>
          <w:gridBefore w:val="3"/>
          <w:gridAfter w:val="1"/>
          <w:wBefore w:w="37" w:type="dxa"/>
          <w:wAfter w:w="52" w:type="dxa"/>
          <w:trHeight w:val="286"/>
          <w:jc w:val="center"/>
        </w:trPr>
        <w:tc>
          <w:tcPr>
            <w:tcW w:w="13501" w:type="dxa"/>
            <w:gridSpan w:val="28"/>
            <w:shd w:val="clear" w:color="000000" w:fill="1F3864"/>
            <w:vAlign w:val="center"/>
            <w:hideMark/>
          </w:tcPr>
          <w:p w14:paraId="7945B447" w14:textId="5B8C47AE"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PRIORITY 3</w:t>
            </w:r>
            <w:r w:rsidR="001A1627" w:rsidRPr="00D30847">
              <w:rPr>
                <w:rFonts w:ascii="Arial" w:eastAsia="Times New Roman" w:hAnsi="Arial" w:cs="Arial"/>
                <w:b/>
                <w:bCs/>
                <w:color w:val="FFFFFF"/>
                <w:sz w:val="12"/>
                <w:szCs w:val="12"/>
                <w:lang w:val="en-GB" w:eastAsia="mk-MK"/>
              </w:rPr>
              <w:t>.</w:t>
            </w:r>
            <w:r w:rsidRPr="00D30847">
              <w:rPr>
                <w:rFonts w:ascii="Arial" w:eastAsia="Times New Roman" w:hAnsi="Arial" w:cs="Arial"/>
                <w:b/>
                <w:bCs/>
                <w:color w:val="FFFFFF"/>
                <w:sz w:val="12"/>
                <w:szCs w:val="12"/>
                <w:lang w:val="en-GB" w:eastAsia="mk-MK"/>
              </w:rPr>
              <w:t xml:space="preserve"> Strengthening</w:t>
            </w:r>
            <w:r w:rsidR="009D583D"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Debt</w:t>
            </w:r>
            <w:r w:rsidR="009D583D"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management</w:t>
            </w:r>
          </w:p>
        </w:tc>
      </w:tr>
      <w:tr w:rsidR="00485BAA" w:rsidRPr="00D30847" w14:paraId="4B7B1C32" w14:textId="77777777" w:rsidTr="00FD4DDE">
        <w:trPr>
          <w:gridBefore w:val="3"/>
          <w:gridAfter w:val="1"/>
          <w:wBefore w:w="37" w:type="dxa"/>
          <w:wAfter w:w="52" w:type="dxa"/>
          <w:trHeight w:val="315"/>
          <w:jc w:val="center"/>
        </w:trPr>
        <w:tc>
          <w:tcPr>
            <w:tcW w:w="2303" w:type="dxa"/>
            <w:gridSpan w:val="3"/>
            <w:shd w:val="clear" w:color="000000" w:fill="9BD2ED"/>
            <w:vAlign w:val="center"/>
            <w:hideMark/>
          </w:tcPr>
          <w:p w14:paraId="6C2F8F1C"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Outcome(s)</w:t>
            </w:r>
          </w:p>
        </w:tc>
        <w:tc>
          <w:tcPr>
            <w:tcW w:w="1836" w:type="dxa"/>
            <w:gridSpan w:val="5"/>
            <w:shd w:val="clear" w:color="000000" w:fill="9BD2ED"/>
            <w:vAlign w:val="center"/>
            <w:hideMark/>
          </w:tcPr>
          <w:p w14:paraId="77922898" w14:textId="2F09F5D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9D583D"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3D2C5710" w14:textId="2C28CC4A"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9D583D"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6914E6CA" w14:textId="198BA3EE"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F44A9F"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61E6B563" w14:textId="1D1CA47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F44A9F"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6AC98748" w14:textId="6EDD921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F44A9F"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5057B9B6" w14:textId="453A4CAE"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F44A9F"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507C4BF7" w14:textId="689C7E4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F44A9F" w:rsidRPr="00D30847">
              <w:rPr>
                <w:rFonts w:ascii="Arial" w:eastAsia="Times New Roman" w:hAnsi="Arial" w:cs="Arial"/>
                <w:b/>
                <w:bCs/>
                <w:sz w:val="12"/>
                <w:szCs w:val="12"/>
                <w:lang w:val="en-GB" w:eastAsia="mk-MK"/>
              </w:rPr>
              <w:t>8</w:t>
            </w:r>
          </w:p>
        </w:tc>
      </w:tr>
      <w:tr w:rsidR="007E06BA" w:rsidRPr="00D30847" w14:paraId="0CEA1210" w14:textId="77777777" w:rsidTr="00FD4DDE">
        <w:trPr>
          <w:gridBefore w:val="3"/>
          <w:gridAfter w:val="1"/>
          <w:wBefore w:w="37" w:type="dxa"/>
          <w:wAfter w:w="52" w:type="dxa"/>
          <w:trHeight w:val="880"/>
          <w:jc w:val="center"/>
        </w:trPr>
        <w:tc>
          <w:tcPr>
            <w:tcW w:w="2303" w:type="dxa"/>
            <w:gridSpan w:val="3"/>
            <w:shd w:val="clear" w:color="000000" w:fill="FFFF99"/>
            <w:vAlign w:val="center"/>
            <w:hideMark/>
          </w:tcPr>
          <w:p w14:paraId="4CF57F5B" w14:textId="5142CF61" w:rsidR="007E06BA" w:rsidRPr="00D30847" w:rsidRDefault="009D583D"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Strengthened public debt management.</w:t>
            </w:r>
          </w:p>
        </w:tc>
        <w:tc>
          <w:tcPr>
            <w:tcW w:w="1836" w:type="dxa"/>
            <w:gridSpan w:val="5"/>
            <w:shd w:val="clear" w:color="000000" w:fill="FFFF99"/>
            <w:vAlign w:val="center"/>
            <w:hideMark/>
          </w:tcPr>
          <w:p w14:paraId="65B5BEF9" w14:textId="77777777" w:rsidR="009D583D" w:rsidRPr="00D30847" w:rsidRDefault="009D583D" w:rsidP="009D583D">
            <w:pPr>
              <w:spacing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Increased grade for the indicator 6.4.1 - Quality of public debt management in SIGMA report.</w:t>
            </w:r>
          </w:p>
          <w:p w14:paraId="51BF4970" w14:textId="77777777" w:rsidR="007E06BA" w:rsidRPr="00D30847" w:rsidRDefault="007E06BA" w:rsidP="00485BAA">
            <w:pPr>
              <w:spacing w:after="0" w:line="240" w:lineRule="auto"/>
              <w:rPr>
                <w:rFonts w:ascii="Arial" w:eastAsia="Times New Roman" w:hAnsi="Arial" w:cs="Arial"/>
                <w:sz w:val="12"/>
                <w:szCs w:val="12"/>
                <w:lang w:val="en-GB" w:eastAsia="mk-MK"/>
              </w:rPr>
            </w:pPr>
          </w:p>
        </w:tc>
        <w:tc>
          <w:tcPr>
            <w:tcW w:w="1194" w:type="dxa"/>
            <w:gridSpan w:val="2"/>
            <w:shd w:val="clear" w:color="000000" w:fill="FFFF99"/>
            <w:vAlign w:val="center"/>
            <w:hideMark/>
          </w:tcPr>
          <w:p w14:paraId="32712B0D" w14:textId="77777777" w:rsidR="007E06BA" w:rsidRPr="00D30847" w:rsidRDefault="007E06B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SIGMA report</w:t>
            </w:r>
          </w:p>
        </w:tc>
        <w:tc>
          <w:tcPr>
            <w:tcW w:w="1418" w:type="dxa"/>
            <w:gridSpan w:val="3"/>
            <w:shd w:val="clear" w:color="000000" w:fill="FFFF99"/>
            <w:vAlign w:val="center"/>
            <w:hideMark/>
          </w:tcPr>
          <w:p w14:paraId="3A8D5D1A" w14:textId="4917A975" w:rsidR="007E06BA" w:rsidRPr="00D30847" w:rsidRDefault="009D583D"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SIGMA grade for quality of public debt management is 3</w:t>
            </w:r>
          </w:p>
        </w:tc>
        <w:tc>
          <w:tcPr>
            <w:tcW w:w="1644" w:type="dxa"/>
            <w:gridSpan w:val="3"/>
            <w:shd w:val="clear" w:color="000000" w:fill="FFFF99"/>
            <w:vAlign w:val="center"/>
            <w:hideMark/>
          </w:tcPr>
          <w:p w14:paraId="5C397DF1" w14:textId="73D7A857" w:rsidR="007E06BA" w:rsidRPr="00D30847" w:rsidRDefault="007E06BA" w:rsidP="00407B01">
            <w:pPr>
              <w:spacing w:after="0" w:line="240" w:lineRule="auto"/>
              <w:jc w:val="center"/>
              <w:rPr>
                <w:rFonts w:ascii="Arial" w:eastAsia="Times New Roman" w:hAnsi="Arial" w:cs="Arial"/>
                <w:sz w:val="12"/>
                <w:szCs w:val="12"/>
                <w:lang w:val="en-GB" w:eastAsia="mk-MK"/>
              </w:rPr>
            </w:pPr>
          </w:p>
          <w:p w14:paraId="24A17C0A" w14:textId="33620406" w:rsidR="007E06BA"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shd w:val="clear" w:color="000000" w:fill="FFFF99"/>
            <w:vAlign w:val="center"/>
            <w:hideMark/>
          </w:tcPr>
          <w:p w14:paraId="62205E47" w14:textId="52411BBE" w:rsidR="007E06BA" w:rsidRPr="00D30847" w:rsidRDefault="007E06BA" w:rsidP="00407B01">
            <w:pPr>
              <w:spacing w:after="0" w:line="240" w:lineRule="auto"/>
              <w:jc w:val="center"/>
              <w:rPr>
                <w:rFonts w:ascii="Arial" w:eastAsia="Times New Roman" w:hAnsi="Arial" w:cs="Arial"/>
                <w:sz w:val="12"/>
                <w:szCs w:val="12"/>
                <w:lang w:val="en-GB" w:eastAsia="mk-MK"/>
              </w:rPr>
            </w:pPr>
          </w:p>
          <w:p w14:paraId="0ECDB10C" w14:textId="26D21F64" w:rsidR="007E06BA"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hideMark/>
          </w:tcPr>
          <w:p w14:paraId="040DD861" w14:textId="660B1139" w:rsidR="007E06BA"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hideMark/>
          </w:tcPr>
          <w:p w14:paraId="2232AB80" w14:textId="664D14FB" w:rsidR="007E06BA" w:rsidRPr="00D30847" w:rsidRDefault="009D583D"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Improvement of the indicator in the SIGMA report for risk mitigation in the stock of public debt</w:t>
            </w:r>
          </w:p>
        </w:tc>
      </w:tr>
      <w:tr w:rsidR="00485BAA" w:rsidRPr="00D30847" w14:paraId="0F84323D" w14:textId="77777777" w:rsidTr="00FD4DDE">
        <w:trPr>
          <w:gridBefore w:val="3"/>
          <w:gridAfter w:val="1"/>
          <w:wBefore w:w="37" w:type="dxa"/>
          <w:wAfter w:w="52" w:type="dxa"/>
          <w:trHeight w:val="223"/>
          <w:jc w:val="center"/>
        </w:trPr>
        <w:tc>
          <w:tcPr>
            <w:tcW w:w="13501" w:type="dxa"/>
            <w:gridSpan w:val="28"/>
            <w:shd w:val="clear" w:color="000000" w:fill="9BD2ED"/>
            <w:vAlign w:val="center"/>
            <w:hideMark/>
          </w:tcPr>
          <w:p w14:paraId="0AC3AB02" w14:textId="6994B4CD"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w:t>
            </w:r>
            <w:r w:rsidR="00577A56"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1</w:t>
            </w:r>
            <w:r w:rsidR="002D2080" w:rsidRPr="00D30847">
              <w:rPr>
                <w:rFonts w:ascii="Arial" w:eastAsia="Times New Roman" w:hAnsi="Arial" w:cs="Arial"/>
                <w:b/>
                <w:bCs/>
                <w:sz w:val="12"/>
                <w:szCs w:val="12"/>
                <w:lang w:val="en-GB" w:eastAsia="mk-MK"/>
              </w:rPr>
              <w:t>.</w:t>
            </w:r>
            <w:r w:rsidRPr="00D30847">
              <w:rPr>
                <w:rFonts w:ascii="Arial" w:eastAsia="Times New Roman" w:hAnsi="Arial" w:cs="Arial"/>
                <w:b/>
                <w:bCs/>
                <w:sz w:val="12"/>
                <w:szCs w:val="12"/>
                <w:lang w:val="en-GB" w:eastAsia="mk-MK"/>
              </w:rPr>
              <w:t xml:space="preserve"> Reducing</w:t>
            </w:r>
            <w:r w:rsidR="009D583D"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operational</w:t>
            </w:r>
            <w:r w:rsidR="009D583D"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risks</w:t>
            </w:r>
            <w:r w:rsidR="009D583D"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at</w:t>
            </w:r>
            <w:r w:rsidR="009D583D"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public</w:t>
            </w:r>
            <w:r w:rsidR="009D583D"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debt</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management</w:t>
            </w:r>
          </w:p>
        </w:tc>
      </w:tr>
      <w:tr w:rsidR="00485BAA" w:rsidRPr="00D30847" w14:paraId="70142DBB" w14:textId="77777777" w:rsidTr="00FD4DDE">
        <w:trPr>
          <w:gridBefore w:val="3"/>
          <w:gridAfter w:val="1"/>
          <w:wBefore w:w="37" w:type="dxa"/>
          <w:wAfter w:w="52" w:type="dxa"/>
          <w:trHeight w:val="229"/>
          <w:jc w:val="center"/>
        </w:trPr>
        <w:tc>
          <w:tcPr>
            <w:tcW w:w="1288" w:type="dxa"/>
            <w:tcBorders>
              <w:top w:val="nil"/>
              <w:left w:val="nil"/>
              <w:bottom w:val="nil"/>
              <w:right w:val="nil"/>
            </w:tcBorders>
            <w:shd w:val="clear" w:color="000000" w:fill="FFFFFF"/>
            <w:vAlign w:val="center"/>
            <w:hideMark/>
          </w:tcPr>
          <w:p w14:paraId="5D87FEB6"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015" w:type="dxa"/>
            <w:gridSpan w:val="2"/>
            <w:tcBorders>
              <w:top w:val="nil"/>
              <w:left w:val="nil"/>
              <w:bottom w:val="nil"/>
              <w:right w:val="single" w:sz="8" w:space="0" w:color="000000"/>
            </w:tcBorders>
            <w:shd w:val="clear" w:color="auto" w:fill="auto"/>
            <w:vAlign w:val="center"/>
            <w:hideMark/>
          </w:tcPr>
          <w:p w14:paraId="454380EE"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49B60B1E" w14:textId="26F4953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67D563E0" w14:textId="100DBD25"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00656A63" w14:textId="56A49C04"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F44A9F"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4DAEFB8E" w14:textId="040230D4"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F44A9F"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4CF55B24" w14:textId="6317F3A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F44A9F"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7BB65329" w14:textId="28EB482D"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F44A9F"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1CA138FE" w14:textId="653CBF8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F44A9F" w:rsidRPr="00D30847">
              <w:rPr>
                <w:rFonts w:ascii="Arial" w:eastAsia="Times New Roman" w:hAnsi="Arial" w:cs="Arial"/>
                <w:b/>
                <w:bCs/>
                <w:sz w:val="12"/>
                <w:szCs w:val="12"/>
                <w:lang w:val="en-GB" w:eastAsia="mk-MK"/>
              </w:rPr>
              <w:t>8</w:t>
            </w:r>
          </w:p>
        </w:tc>
      </w:tr>
      <w:tr w:rsidR="00485BAA" w:rsidRPr="00D30847" w14:paraId="161729A9" w14:textId="77777777" w:rsidTr="00FD4DDE">
        <w:trPr>
          <w:gridBefore w:val="3"/>
          <w:gridAfter w:val="1"/>
          <w:wBefore w:w="37" w:type="dxa"/>
          <w:wAfter w:w="52" w:type="dxa"/>
          <w:trHeight w:val="443"/>
          <w:jc w:val="center"/>
        </w:trPr>
        <w:tc>
          <w:tcPr>
            <w:tcW w:w="1288" w:type="dxa"/>
            <w:tcBorders>
              <w:top w:val="nil"/>
              <w:left w:val="nil"/>
              <w:bottom w:val="nil"/>
              <w:right w:val="nil"/>
            </w:tcBorders>
            <w:shd w:val="clear" w:color="000000" w:fill="FFFFFF"/>
            <w:vAlign w:val="center"/>
            <w:hideMark/>
          </w:tcPr>
          <w:p w14:paraId="512B4762"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015" w:type="dxa"/>
            <w:gridSpan w:val="2"/>
            <w:tcBorders>
              <w:top w:val="nil"/>
              <w:left w:val="nil"/>
              <w:bottom w:val="nil"/>
              <w:right w:val="single" w:sz="8" w:space="0" w:color="000000"/>
            </w:tcBorders>
            <w:shd w:val="clear" w:color="auto" w:fill="auto"/>
            <w:vAlign w:val="center"/>
            <w:hideMark/>
          </w:tcPr>
          <w:p w14:paraId="045E5C89"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3310B6C2" w14:textId="79CCC5BB" w:rsidR="00485BAA" w:rsidRPr="00D30847" w:rsidRDefault="00B25CB1" w:rsidP="00482A8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external debt orders paid electronically</w:t>
            </w:r>
          </w:p>
        </w:tc>
        <w:tc>
          <w:tcPr>
            <w:tcW w:w="1194" w:type="dxa"/>
            <w:gridSpan w:val="2"/>
            <w:shd w:val="clear" w:color="000000" w:fill="FFFF99"/>
            <w:vAlign w:val="center"/>
            <w:hideMark/>
          </w:tcPr>
          <w:p w14:paraId="233FF2CA"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418" w:type="dxa"/>
            <w:gridSpan w:val="3"/>
            <w:shd w:val="clear" w:color="000000" w:fill="FFFF99"/>
            <w:vAlign w:val="center"/>
            <w:hideMark/>
          </w:tcPr>
          <w:p w14:paraId="6751FFB4" w14:textId="19BBDD85" w:rsidR="00485BAA" w:rsidRPr="00D30847" w:rsidRDefault="00B25CB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70% of external debt orders to be realized electronically</w:t>
            </w:r>
          </w:p>
        </w:tc>
        <w:tc>
          <w:tcPr>
            <w:tcW w:w="1644" w:type="dxa"/>
            <w:gridSpan w:val="3"/>
            <w:shd w:val="clear" w:color="000000" w:fill="FFFF99"/>
            <w:vAlign w:val="center"/>
            <w:hideMark/>
          </w:tcPr>
          <w:p w14:paraId="4FCB91CD" w14:textId="6B6E5896" w:rsidR="00485BAA" w:rsidRPr="00D30847" w:rsidRDefault="00B25CB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80% of external debt orders to be realized electronically</w:t>
            </w:r>
          </w:p>
        </w:tc>
        <w:tc>
          <w:tcPr>
            <w:tcW w:w="1758" w:type="dxa"/>
            <w:gridSpan w:val="4"/>
            <w:shd w:val="clear" w:color="000000" w:fill="FFFF99"/>
            <w:vAlign w:val="center"/>
            <w:hideMark/>
          </w:tcPr>
          <w:p w14:paraId="4FA55783" w14:textId="7107854B" w:rsidR="00485BAA" w:rsidRPr="00D30847" w:rsidRDefault="00B25CB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10% of external debt orders to be realized electronically</w:t>
            </w:r>
          </w:p>
        </w:tc>
        <w:tc>
          <w:tcPr>
            <w:tcW w:w="1842" w:type="dxa"/>
            <w:gridSpan w:val="4"/>
            <w:shd w:val="clear" w:color="000000" w:fill="FFFF99"/>
            <w:vAlign w:val="center"/>
            <w:hideMark/>
          </w:tcPr>
          <w:p w14:paraId="151B27F7" w14:textId="51A0A600" w:rsidR="00485BAA"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hideMark/>
          </w:tcPr>
          <w:p w14:paraId="4DD8ED5F" w14:textId="1B0D363A" w:rsidR="00485BAA"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r>
      <w:tr w:rsidR="00485BAA" w:rsidRPr="00D30847" w14:paraId="3E49B849" w14:textId="77777777" w:rsidTr="00FD4DDE">
        <w:trPr>
          <w:gridBefore w:val="3"/>
          <w:gridAfter w:val="1"/>
          <w:wBefore w:w="37" w:type="dxa"/>
          <w:wAfter w:w="52" w:type="dxa"/>
          <w:trHeight w:val="407"/>
          <w:jc w:val="center"/>
        </w:trPr>
        <w:tc>
          <w:tcPr>
            <w:tcW w:w="1288" w:type="dxa"/>
            <w:tcBorders>
              <w:top w:val="nil"/>
              <w:left w:val="nil"/>
              <w:bottom w:val="nil"/>
              <w:right w:val="nil"/>
            </w:tcBorders>
            <w:shd w:val="clear" w:color="000000" w:fill="FFFFFF"/>
            <w:vAlign w:val="center"/>
            <w:hideMark/>
          </w:tcPr>
          <w:p w14:paraId="11A5EB33"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015" w:type="dxa"/>
            <w:gridSpan w:val="2"/>
            <w:tcBorders>
              <w:top w:val="nil"/>
              <w:left w:val="nil"/>
              <w:bottom w:val="nil"/>
              <w:right w:val="single" w:sz="8" w:space="0" w:color="000000"/>
            </w:tcBorders>
            <w:shd w:val="clear" w:color="auto" w:fill="auto"/>
            <w:vAlign w:val="center"/>
            <w:hideMark/>
          </w:tcPr>
          <w:p w14:paraId="253CBCD9"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2625A8F3" w14:textId="2798AD68" w:rsidR="00485BAA" w:rsidRPr="00D30847" w:rsidRDefault="00B25CB1" w:rsidP="00482A8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Increased number of employees responsible for public debt management</w:t>
            </w:r>
          </w:p>
        </w:tc>
        <w:tc>
          <w:tcPr>
            <w:tcW w:w="1194" w:type="dxa"/>
            <w:gridSpan w:val="2"/>
            <w:shd w:val="clear" w:color="000000" w:fill="FFFF99"/>
            <w:vAlign w:val="center"/>
            <w:hideMark/>
          </w:tcPr>
          <w:p w14:paraId="0DCF3D22"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418" w:type="dxa"/>
            <w:gridSpan w:val="3"/>
            <w:shd w:val="clear" w:color="000000" w:fill="FFFF99"/>
            <w:vAlign w:val="center"/>
            <w:hideMark/>
          </w:tcPr>
          <w:p w14:paraId="6269066F" w14:textId="2E7CFDE8" w:rsidR="00485BAA" w:rsidRPr="00D30847" w:rsidRDefault="00B25CB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14permanent employees for public debt management</w:t>
            </w:r>
          </w:p>
        </w:tc>
        <w:tc>
          <w:tcPr>
            <w:tcW w:w="1644" w:type="dxa"/>
            <w:gridSpan w:val="3"/>
            <w:shd w:val="clear" w:color="000000" w:fill="FFFF99"/>
            <w:vAlign w:val="center"/>
            <w:hideMark/>
          </w:tcPr>
          <w:p w14:paraId="7228BC4B" w14:textId="668BE445" w:rsidR="00485BAA" w:rsidRPr="00D30847" w:rsidRDefault="00B25CB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r w:rsidR="00F44A9F" w:rsidRPr="00D30847">
              <w:rPr>
                <w:rFonts w:ascii="Arial" w:eastAsia="Times New Roman" w:hAnsi="Arial" w:cs="Arial"/>
                <w:sz w:val="12"/>
                <w:szCs w:val="12"/>
                <w:lang w:val="en-GB" w:eastAsia="mk-MK"/>
              </w:rPr>
              <w:t>3</w:t>
            </w:r>
            <w:r w:rsidRPr="00D30847">
              <w:rPr>
                <w:rFonts w:ascii="Arial" w:eastAsia="Times New Roman" w:hAnsi="Arial" w:cs="Arial"/>
                <w:sz w:val="12"/>
                <w:szCs w:val="12"/>
                <w:lang w:val="en-GB" w:eastAsia="mk-MK"/>
              </w:rPr>
              <w:t xml:space="preserve"> employees for public debt management</w:t>
            </w:r>
          </w:p>
        </w:tc>
        <w:tc>
          <w:tcPr>
            <w:tcW w:w="1758" w:type="dxa"/>
            <w:gridSpan w:val="4"/>
            <w:shd w:val="clear" w:color="000000" w:fill="FFFF99"/>
            <w:vAlign w:val="center"/>
            <w:hideMark/>
          </w:tcPr>
          <w:p w14:paraId="1FCC7FA3" w14:textId="1FC1298C" w:rsidR="00485BAA" w:rsidRPr="00D30847" w:rsidRDefault="00B25CB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r w:rsidR="00F44A9F" w:rsidRPr="00D30847">
              <w:rPr>
                <w:rFonts w:ascii="Arial" w:eastAsia="Times New Roman" w:hAnsi="Arial" w:cs="Arial"/>
                <w:sz w:val="12"/>
                <w:szCs w:val="12"/>
                <w:lang w:val="en-GB" w:eastAsia="mk-MK"/>
              </w:rPr>
              <w:t>5</w:t>
            </w:r>
            <w:r w:rsidRPr="00D30847">
              <w:rPr>
                <w:rFonts w:ascii="Arial" w:eastAsia="Times New Roman" w:hAnsi="Arial" w:cs="Arial"/>
                <w:sz w:val="12"/>
                <w:szCs w:val="12"/>
                <w:lang w:val="en-GB" w:eastAsia="mk-MK"/>
              </w:rPr>
              <w:t xml:space="preserve"> employees for public debt management</w:t>
            </w:r>
          </w:p>
        </w:tc>
        <w:tc>
          <w:tcPr>
            <w:tcW w:w="1842" w:type="dxa"/>
            <w:gridSpan w:val="4"/>
            <w:shd w:val="clear" w:color="000000" w:fill="FFFF99"/>
            <w:vAlign w:val="center"/>
            <w:hideMark/>
          </w:tcPr>
          <w:p w14:paraId="03494365" w14:textId="5063AAB6" w:rsidR="00485BAA" w:rsidRPr="00D30847" w:rsidRDefault="00B25CB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r w:rsidR="00F44A9F" w:rsidRPr="00D30847">
              <w:rPr>
                <w:rFonts w:ascii="Arial" w:eastAsia="Times New Roman" w:hAnsi="Arial" w:cs="Arial"/>
                <w:sz w:val="12"/>
                <w:szCs w:val="12"/>
                <w:lang w:val="en-GB" w:eastAsia="mk-MK"/>
              </w:rPr>
              <w:t>7</w:t>
            </w:r>
            <w:r w:rsidRPr="00D30847">
              <w:rPr>
                <w:rFonts w:ascii="Arial" w:eastAsia="Times New Roman" w:hAnsi="Arial" w:cs="Arial"/>
                <w:sz w:val="12"/>
                <w:szCs w:val="12"/>
                <w:lang w:val="en-GB" w:eastAsia="mk-MK"/>
              </w:rPr>
              <w:t xml:space="preserve"> employees for public debt management</w:t>
            </w:r>
          </w:p>
        </w:tc>
        <w:tc>
          <w:tcPr>
            <w:tcW w:w="1506" w:type="dxa"/>
            <w:gridSpan w:val="4"/>
            <w:shd w:val="clear" w:color="000000" w:fill="FFFF99"/>
            <w:vAlign w:val="center"/>
            <w:hideMark/>
          </w:tcPr>
          <w:p w14:paraId="2CAB2F7E" w14:textId="686D0ECC" w:rsidR="00485BAA" w:rsidRPr="00D30847" w:rsidRDefault="00B25CB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19 employees for public debt management</w:t>
            </w:r>
          </w:p>
        </w:tc>
      </w:tr>
      <w:tr w:rsidR="00485BAA" w:rsidRPr="00D30847" w14:paraId="3F10AA5A" w14:textId="77777777" w:rsidTr="00FD4DDE">
        <w:trPr>
          <w:gridBefore w:val="3"/>
          <w:gridAfter w:val="1"/>
          <w:wBefore w:w="37" w:type="dxa"/>
          <w:wAfter w:w="52" w:type="dxa"/>
          <w:trHeight w:val="540"/>
          <w:jc w:val="center"/>
        </w:trPr>
        <w:tc>
          <w:tcPr>
            <w:tcW w:w="1288" w:type="dxa"/>
            <w:tcBorders>
              <w:top w:val="nil"/>
              <w:left w:val="nil"/>
              <w:bottom w:val="nil"/>
              <w:right w:val="nil"/>
            </w:tcBorders>
            <w:shd w:val="clear" w:color="000000" w:fill="FFFFFF"/>
            <w:vAlign w:val="center"/>
            <w:hideMark/>
          </w:tcPr>
          <w:p w14:paraId="2D2FAC40"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lastRenderedPageBreak/>
              <w:t> </w:t>
            </w:r>
          </w:p>
        </w:tc>
        <w:tc>
          <w:tcPr>
            <w:tcW w:w="1015" w:type="dxa"/>
            <w:gridSpan w:val="2"/>
            <w:tcBorders>
              <w:top w:val="nil"/>
              <w:left w:val="nil"/>
              <w:bottom w:val="nil"/>
              <w:right w:val="single" w:sz="8" w:space="0" w:color="000000"/>
            </w:tcBorders>
            <w:shd w:val="clear" w:color="auto" w:fill="auto"/>
            <w:vAlign w:val="center"/>
            <w:hideMark/>
          </w:tcPr>
          <w:p w14:paraId="18EFE407"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460B8CAD" w14:textId="29120B39" w:rsidR="00485BAA" w:rsidRPr="00D30847" w:rsidRDefault="00B25CB1" w:rsidP="00482A8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Procedure for Quarterly debt reconciliation with foreign creditors</w:t>
            </w:r>
          </w:p>
        </w:tc>
        <w:tc>
          <w:tcPr>
            <w:tcW w:w="1194" w:type="dxa"/>
            <w:gridSpan w:val="2"/>
            <w:shd w:val="clear" w:color="000000" w:fill="FFFF99"/>
            <w:vAlign w:val="center"/>
            <w:hideMark/>
          </w:tcPr>
          <w:p w14:paraId="4420A22A"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418" w:type="dxa"/>
            <w:gridSpan w:val="3"/>
            <w:shd w:val="clear" w:color="000000" w:fill="FFFF99"/>
            <w:vAlign w:val="center"/>
            <w:hideMark/>
          </w:tcPr>
          <w:p w14:paraId="32F9EC84" w14:textId="4CDBD8CF" w:rsidR="00485BAA" w:rsidRPr="00D30847" w:rsidRDefault="00B25CB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There is no procedure for Quarterly debt reconciliation with foreign creditors</w:t>
            </w:r>
          </w:p>
        </w:tc>
        <w:tc>
          <w:tcPr>
            <w:tcW w:w="1644" w:type="dxa"/>
            <w:gridSpan w:val="3"/>
            <w:shd w:val="clear" w:color="000000" w:fill="FFFF99"/>
            <w:vAlign w:val="center"/>
            <w:hideMark/>
          </w:tcPr>
          <w:p w14:paraId="38F353D4" w14:textId="3D976A75" w:rsidR="00485BAA" w:rsidRPr="00D30847" w:rsidRDefault="00485BAA"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r w:rsidR="00B25CB1" w:rsidRPr="00D30847">
              <w:rPr>
                <w:rFonts w:ascii="Arial" w:eastAsia="Times New Roman" w:hAnsi="Arial" w:cs="Arial"/>
                <w:sz w:val="12"/>
                <w:szCs w:val="12"/>
                <w:lang w:val="en-GB" w:eastAsia="mk-MK"/>
              </w:rPr>
              <w:t>Adopted procedure for Quarterly debt reconciliation with foreign creditors</w:t>
            </w:r>
          </w:p>
        </w:tc>
        <w:tc>
          <w:tcPr>
            <w:tcW w:w="1758" w:type="dxa"/>
            <w:gridSpan w:val="4"/>
            <w:shd w:val="clear" w:color="000000" w:fill="FFFF99"/>
            <w:vAlign w:val="center"/>
            <w:hideMark/>
          </w:tcPr>
          <w:p w14:paraId="69E3B79E" w14:textId="080021BC" w:rsidR="00485BAA"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hideMark/>
          </w:tcPr>
          <w:p w14:paraId="60080CCD" w14:textId="3D493005" w:rsidR="00485BAA" w:rsidRPr="00D30847" w:rsidRDefault="00B25CB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Adopted procedure for Quarterly debt reconciliation with foreign creditors</w:t>
            </w:r>
          </w:p>
        </w:tc>
        <w:tc>
          <w:tcPr>
            <w:tcW w:w="1506" w:type="dxa"/>
            <w:gridSpan w:val="4"/>
            <w:shd w:val="clear" w:color="000000" w:fill="FFFF99"/>
            <w:vAlign w:val="center"/>
            <w:hideMark/>
          </w:tcPr>
          <w:p w14:paraId="2FDFFD99" w14:textId="081ADD13" w:rsidR="00485BAA"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r>
      <w:tr w:rsidR="00485BAA" w:rsidRPr="00D30847" w14:paraId="1ED8C161" w14:textId="77777777" w:rsidTr="00FD4DDE">
        <w:trPr>
          <w:gridBefore w:val="3"/>
          <w:gridAfter w:val="1"/>
          <w:wBefore w:w="37" w:type="dxa"/>
          <w:wAfter w:w="52" w:type="dxa"/>
          <w:trHeight w:val="263"/>
          <w:jc w:val="center"/>
        </w:trPr>
        <w:tc>
          <w:tcPr>
            <w:tcW w:w="1288" w:type="dxa"/>
            <w:tcBorders>
              <w:top w:val="nil"/>
              <w:left w:val="nil"/>
              <w:bottom w:val="nil"/>
              <w:right w:val="nil"/>
            </w:tcBorders>
            <w:shd w:val="clear" w:color="000000" w:fill="FFFFFF"/>
            <w:vAlign w:val="center"/>
            <w:hideMark/>
          </w:tcPr>
          <w:p w14:paraId="7D641B61"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015" w:type="dxa"/>
            <w:gridSpan w:val="2"/>
            <w:tcBorders>
              <w:top w:val="nil"/>
              <w:left w:val="nil"/>
              <w:bottom w:val="nil"/>
              <w:right w:val="single" w:sz="8" w:space="0" w:color="000000"/>
            </w:tcBorders>
            <w:shd w:val="clear" w:color="auto" w:fill="auto"/>
            <w:vAlign w:val="center"/>
            <w:hideMark/>
          </w:tcPr>
          <w:p w14:paraId="047B4C88"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0933AD4A"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1E8BA5FC" w14:textId="4027DD0C"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6E6B6D91" w14:textId="147AA565"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2A573648" w14:textId="316BED48"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6ECA437E"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608C22B8" w14:textId="6A5747D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7B1CE70C"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485BAA" w:rsidRPr="00D30847" w14:paraId="02A82D65" w14:textId="77777777" w:rsidTr="00FD4DDE">
        <w:trPr>
          <w:gridBefore w:val="3"/>
          <w:gridAfter w:val="1"/>
          <w:wBefore w:w="37" w:type="dxa"/>
          <w:wAfter w:w="52" w:type="dxa"/>
          <w:trHeight w:val="384"/>
          <w:jc w:val="center"/>
        </w:trPr>
        <w:tc>
          <w:tcPr>
            <w:tcW w:w="1288" w:type="dxa"/>
            <w:tcBorders>
              <w:top w:val="nil"/>
              <w:left w:val="nil"/>
              <w:bottom w:val="nil"/>
              <w:right w:val="nil"/>
            </w:tcBorders>
            <w:shd w:val="clear" w:color="000000" w:fill="FFFFFF"/>
            <w:vAlign w:val="center"/>
            <w:hideMark/>
          </w:tcPr>
          <w:p w14:paraId="7C7F7030"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015" w:type="dxa"/>
            <w:gridSpan w:val="2"/>
            <w:tcBorders>
              <w:top w:val="nil"/>
              <w:left w:val="nil"/>
              <w:bottom w:val="nil"/>
              <w:right w:val="single" w:sz="8" w:space="0" w:color="000000"/>
            </w:tcBorders>
            <w:shd w:val="clear" w:color="auto" w:fill="auto"/>
            <w:vAlign w:val="center"/>
            <w:hideMark/>
          </w:tcPr>
          <w:p w14:paraId="3FFFEC5B"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581B2FE8" w14:textId="1445DD8E" w:rsidR="00485BAA" w:rsidRPr="00D30847" w:rsidRDefault="00B25CB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Introducing e-banking with NBRNM for external debt repayment</w:t>
            </w:r>
          </w:p>
        </w:tc>
        <w:tc>
          <w:tcPr>
            <w:tcW w:w="1194" w:type="dxa"/>
            <w:gridSpan w:val="2"/>
            <w:shd w:val="clear" w:color="000000" w:fill="FFFF99"/>
            <w:vAlign w:val="center"/>
            <w:hideMark/>
          </w:tcPr>
          <w:p w14:paraId="2609B0BF" w14:textId="1A98F391"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0E1208" w:rsidRPr="00D30847">
              <w:rPr>
                <w:rFonts w:ascii="Arial" w:eastAsia="Times New Roman" w:hAnsi="Arial" w:cs="Arial"/>
                <w:sz w:val="12"/>
                <w:szCs w:val="12"/>
                <w:lang w:val="en-GB" w:eastAsia="mk-MK"/>
              </w:rPr>
              <w:t>4</w:t>
            </w:r>
            <w:r w:rsidRPr="00D30847">
              <w:rPr>
                <w:rFonts w:ascii="Arial" w:eastAsia="Times New Roman" w:hAnsi="Arial" w:cs="Arial"/>
                <w:sz w:val="12"/>
                <w:szCs w:val="12"/>
                <w:lang w:val="en-GB" w:eastAsia="mk-MK"/>
              </w:rPr>
              <w:t>-202</w:t>
            </w:r>
            <w:r w:rsidR="00F44A9F" w:rsidRPr="00D30847">
              <w:rPr>
                <w:rFonts w:ascii="Arial" w:eastAsia="Times New Roman" w:hAnsi="Arial" w:cs="Arial"/>
                <w:sz w:val="12"/>
                <w:szCs w:val="12"/>
                <w:lang w:val="en-GB" w:eastAsia="mk-MK"/>
              </w:rPr>
              <w:t>8</w:t>
            </w:r>
          </w:p>
        </w:tc>
        <w:tc>
          <w:tcPr>
            <w:tcW w:w="1418" w:type="dxa"/>
            <w:gridSpan w:val="3"/>
            <w:shd w:val="clear" w:color="000000" w:fill="FFFF99"/>
            <w:vAlign w:val="center"/>
            <w:hideMark/>
          </w:tcPr>
          <w:p w14:paraId="5CCE6494" w14:textId="3975785A"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r w:rsidR="00431364" w:rsidRPr="00D30847">
              <w:rPr>
                <w:rFonts w:ascii="Arial" w:eastAsia="Times New Roman" w:hAnsi="Arial" w:cs="Arial"/>
                <w:sz w:val="12"/>
                <w:szCs w:val="12"/>
                <w:lang w:val="en-GB" w:eastAsia="mk-MK"/>
              </w:rPr>
              <w:t xml:space="preserve"> – Public Debt </w:t>
            </w:r>
            <w:r w:rsidR="00F368A1" w:rsidRPr="00D30847">
              <w:rPr>
                <w:rFonts w:ascii="Arial" w:eastAsia="Times New Roman" w:hAnsi="Arial" w:cs="Arial"/>
                <w:sz w:val="12"/>
                <w:szCs w:val="12"/>
                <w:lang w:val="en-GB" w:eastAsia="mk-MK"/>
              </w:rPr>
              <w:t>Management</w:t>
            </w:r>
            <w:r w:rsidR="00431364" w:rsidRPr="00D30847">
              <w:rPr>
                <w:rFonts w:ascii="Arial" w:eastAsia="Times New Roman" w:hAnsi="Arial" w:cs="Arial"/>
                <w:sz w:val="12"/>
                <w:szCs w:val="12"/>
                <w:lang w:val="en-GB" w:eastAsia="mk-MK"/>
              </w:rPr>
              <w:t xml:space="preserve"> Department</w:t>
            </w:r>
          </w:p>
        </w:tc>
        <w:tc>
          <w:tcPr>
            <w:tcW w:w="1644" w:type="dxa"/>
            <w:gridSpan w:val="3"/>
            <w:shd w:val="clear" w:color="000000" w:fill="FFFF99"/>
            <w:vAlign w:val="center"/>
            <w:hideMark/>
          </w:tcPr>
          <w:p w14:paraId="74F56FC2"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NBRNM</w:t>
            </w:r>
          </w:p>
        </w:tc>
        <w:tc>
          <w:tcPr>
            <w:tcW w:w="1758" w:type="dxa"/>
            <w:gridSpan w:val="4"/>
            <w:shd w:val="clear" w:color="000000" w:fill="FFFF99"/>
            <w:vAlign w:val="center"/>
            <w:hideMark/>
          </w:tcPr>
          <w:p w14:paraId="06CD5832" w14:textId="31047833" w:rsidR="00485BAA" w:rsidRPr="00D30847" w:rsidRDefault="00AE7926"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hideMark/>
          </w:tcPr>
          <w:p w14:paraId="0EBD2D3D" w14:textId="099FE916" w:rsidR="00485BAA"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hideMark/>
          </w:tcPr>
          <w:p w14:paraId="0A7D440C" w14:textId="4B064D87" w:rsidR="00485BAA" w:rsidRPr="00D30847" w:rsidRDefault="00485BAA" w:rsidP="00407B01">
            <w:pPr>
              <w:spacing w:after="0" w:line="240" w:lineRule="auto"/>
              <w:jc w:val="center"/>
              <w:rPr>
                <w:rFonts w:ascii="Arial" w:eastAsia="Times New Roman" w:hAnsi="Arial" w:cs="Arial"/>
                <w:sz w:val="12"/>
                <w:szCs w:val="12"/>
                <w:lang w:val="en-GB" w:eastAsia="mk-MK"/>
              </w:rPr>
            </w:pPr>
          </w:p>
        </w:tc>
      </w:tr>
      <w:tr w:rsidR="00485BAA" w:rsidRPr="00D30847" w14:paraId="4EE76ACD" w14:textId="77777777" w:rsidTr="00FD4DDE">
        <w:trPr>
          <w:gridBefore w:val="3"/>
          <w:gridAfter w:val="1"/>
          <w:wBefore w:w="37" w:type="dxa"/>
          <w:wAfter w:w="52" w:type="dxa"/>
          <w:trHeight w:val="407"/>
          <w:jc w:val="center"/>
        </w:trPr>
        <w:tc>
          <w:tcPr>
            <w:tcW w:w="1288" w:type="dxa"/>
            <w:tcBorders>
              <w:top w:val="nil"/>
              <w:left w:val="nil"/>
              <w:bottom w:val="nil"/>
              <w:right w:val="nil"/>
            </w:tcBorders>
            <w:shd w:val="clear" w:color="000000" w:fill="FFFFFF"/>
            <w:vAlign w:val="center"/>
            <w:hideMark/>
          </w:tcPr>
          <w:p w14:paraId="08E2358A"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015" w:type="dxa"/>
            <w:gridSpan w:val="2"/>
            <w:tcBorders>
              <w:top w:val="nil"/>
              <w:left w:val="nil"/>
              <w:bottom w:val="nil"/>
              <w:right w:val="single" w:sz="8" w:space="0" w:color="000000"/>
            </w:tcBorders>
            <w:shd w:val="clear" w:color="auto" w:fill="auto"/>
            <w:vAlign w:val="center"/>
            <w:hideMark/>
          </w:tcPr>
          <w:p w14:paraId="692CAB4D"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71B49455" w14:textId="14046B70" w:rsidR="00485BAA" w:rsidRPr="00D30847" w:rsidRDefault="00B25CB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Strengthening public debt management capacities</w:t>
            </w:r>
          </w:p>
        </w:tc>
        <w:tc>
          <w:tcPr>
            <w:tcW w:w="1194" w:type="dxa"/>
            <w:gridSpan w:val="2"/>
            <w:shd w:val="clear" w:color="000000" w:fill="FFFF99"/>
            <w:vAlign w:val="center"/>
            <w:hideMark/>
          </w:tcPr>
          <w:p w14:paraId="37AB7CF6" w14:textId="301E0B8B"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F44A9F" w:rsidRPr="00D30847">
              <w:rPr>
                <w:rFonts w:ascii="Arial" w:eastAsia="Times New Roman" w:hAnsi="Arial" w:cs="Arial"/>
                <w:sz w:val="12"/>
                <w:szCs w:val="12"/>
                <w:lang w:val="en-GB" w:eastAsia="mk-MK"/>
              </w:rPr>
              <w:t>5</w:t>
            </w:r>
            <w:r w:rsidRPr="00D30847">
              <w:rPr>
                <w:rFonts w:ascii="Arial" w:eastAsia="Times New Roman" w:hAnsi="Arial" w:cs="Arial"/>
                <w:sz w:val="12"/>
                <w:szCs w:val="12"/>
                <w:lang w:val="en-GB" w:eastAsia="mk-MK"/>
              </w:rPr>
              <w:t>-202</w:t>
            </w:r>
            <w:r w:rsidR="00F44A9F" w:rsidRPr="00D30847">
              <w:rPr>
                <w:rFonts w:ascii="Arial" w:eastAsia="Times New Roman" w:hAnsi="Arial" w:cs="Arial"/>
                <w:sz w:val="12"/>
                <w:szCs w:val="12"/>
                <w:lang w:val="en-GB" w:eastAsia="mk-MK"/>
              </w:rPr>
              <w:t>8</w:t>
            </w:r>
          </w:p>
        </w:tc>
        <w:tc>
          <w:tcPr>
            <w:tcW w:w="1418" w:type="dxa"/>
            <w:gridSpan w:val="3"/>
            <w:shd w:val="clear" w:color="000000" w:fill="FFFF99"/>
            <w:vAlign w:val="center"/>
            <w:hideMark/>
          </w:tcPr>
          <w:p w14:paraId="48E5BB6A" w14:textId="709944E0" w:rsidR="00485BAA" w:rsidRPr="00D30847" w:rsidRDefault="0043136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 Public Debt </w:t>
            </w:r>
            <w:r w:rsidR="00F368A1" w:rsidRPr="00D30847">
              <w:rPr>
                <w:rFonts w:ascii="Arial" w:eastAsia="Times New Roman" w:hAnsi="Arial" w:cs="Arial"/>
                <w:sz w:val="12"/>
                <w:szCs w:val="12"/>
                <w:lang w:val="en-GB" w:eastAsia="mk-MK"/>
              </w:rPr>
              <w:t>Management</w:t>
            </w:r>
            <w:r w:rsidRPr="00D30847">
              <w:rPr>
                <w:rFonts w:ascii="Arial" w:eastAsia="Times New Roman" w:hAnsi="Arial" w:cs="Arial"/>
                <w:sz w:val="12"/>
                <w:szCs w:val="12"/>
                <w:lang w:val="en-GB" w:eastAsia="mk-MK"/>
              </w:rPr>
              <w:t xml:space="preserve"> Department</w:t>
            </w:r>
          </w:p>
        </w:tc>
        <w:tc>
          <w:tcPr>
            <w:tcW w:w="1644" w:type="dxa"/>
            <w:gridSpan w:val="3"/>
            <w:shd w:val="clear" w:color="000000" w:fill="FFFF99"/>
            <w:vAlign w:val="center"/>
            <w:hideMark/>
          </w:tcPr>
          <w:p w14:paraId="3053A760" w14:textId="3C94A761"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Agency</w:t>
            </w:r>
            <w:r w:rsidR="00B25CB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for</w:t>
            </w:r>
            <w:r w:rsidR="00B25CB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administration</w:t>
            </w:r>
          </w:p>
        </w:tc>
        <w:tc>
          <w:tcPr>
            <w:tcW w:w="1758" w:type="dxa"/>
            <w:gridSpan w:val="4"/>
            <w:shd w:val="clear" w:color="000000" w:fill="FFFF99"/>
            <w:vAlign w:val="center"/>
            <w:hideMark/>
          </w:tcPr>
          <w:p w14:paraId="1448EDDC" w14:textId="0BADAD0A" w:rsidR="00485BAA" w:rsidRPr="00D30847" w:rsidRDefault="00F44A9F"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227</w:t>
            </w:r>
            <w:r w:rsidR="00485BAA" w:rsidRPr="00D30847">
              <w:rPr>
                <w:rFonts w:ascii="Arial" w:eastAsia="Times New Roman" w:hAnsi="Arial" w:cs="Arial"/>
                <w:sz w:val="12"/>
                <w:szCs w:val="12"/>
                <w:lang w:val="en-GB" w:eastAsia="mk-MK"/>
              </w:rPr>
              <w:t>,000</w:t>
            </w:r>
          </w:p>
        </w:tc>
        <w:tc>
          <w:tcPr>
            <w:tcW w:w="1842" w:type="dxa"/>
            <w:gridSpan w:val="4"/>
            <w:shd w:val="clear" w:color="000000" w:fill="FFFF99"/>
            <w:vAlign w:val="center"/>
            <w:hideMark/>
          </w:tcPr>
          <w:p w14:paraId="4CD9DE8C" w14:textId="03706ED0" w:rsidR="00485BAA" w:rsidRPr="00D30847" w:rsidRDefault="00404D96"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National</w:t>
            </w:r>
            <w:r w:rsidR="00AE7926" w:rsidRPr="00D30847">
              <w:rPr>
                <w:rFonts w:ascii="Arial" w:eastAsia="Times New Roman" w:hAnsi="Arial" w:cs="Arial"/>
                <w:sz w:val="12"/>
                <w:szCs w:val="12"/>
                <w:lang w:val="en-GB" w:eastAsia="mk-MK"/>
              </w:rPr>
              <w:t xml:space="preserve"> budget</w:t>
            </w:r>
          </w:p>
        </w:tc>
        <w:tc>
          <w:tcPr>
            <w:tcW w:w="1506" w:type="dxa"/>
            <w:gridSpan w:val="4"/>
            <w:shd w:val="clear" w:color="000000" w:fill="FFFF99"/>
            <w:vAlign w:val="center"/>
            <w:hideMark/>
          </w:tcPr>
          <w:p w14:paraId="5D3B8197" w14:textId="66CC69DE" w:rsidR="00485BAA" w:rsidRPr="00D30847" w:rsidRDefault="00485BAA" w:rsidP="00407B01">
            <w:pPr>
              <w:spacing w:after="0" w:line="240" w:lineRule="auto"/>
              <w:jc w:val="center"/>
              <w:rPr>
                <w:rFonts w:ascii="Arial" w:eastAsia="Times New Roman" w:hAnsi="Arial" w:cs="Arial"/>
                <w:sz w:val="12"/>
                <w:szCs w:val="12"/>
                <w:lang w:val="en-GB" w:eastAsia="mk-MK"/>
              </w:rPr>
            </w:pPr>
          </w:p>
        </w:tc>
      </w:tr>
      <w:tr w:rsidR="00485BAA" w:rsidRPr="00D30847" w14:paraId="2D99E169" w14:textId="77777777" w:rsidTr="00FD4DDE">
        <w:trPr>
          <w:gridBefore w:val="3"/>
          <w:gridAfter w:val="1"/>
          <w:wBefore w:w="37" w:type="dxa"/>
          <w:wAfter w:w="52" w:type="dxa"/>
          <w:trHeight w:val="399"/>
          <w:jc w:val="center"/>
        </w:trPr>
        <w:tc>
          <w:tcPr>
            <w:tcW w:w="1288" w:type="dxa"/>
            <w:tcBorders>
              <w:top w:val="nil"/>
              <w:left w:val="nil"/>
              <w:bottom w:val="nil"/>
              <w:right w:val="nil"/>
            </w:tcBorders>
            <w:shd w:val="clear" w:color="000000" w:fill="FFFFFF"/>
            <w:vAlign w:val="center"/>
            <w:hideMark/>
          </w:tcPr>
          <w:p w14:paraId="1EF9185C"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015" w:type="dxa"/>
            <w:gridSpan w:val="2"/>
            <w:tcBorders>
              <w:top w:val="nil"/>
              <w:left w:val="nil"/>
              <w:bottom w:val="nil"/>
              <w:right w:val="single" w:sz="8" w:space="0" w:color="000000"/>
            </w:tcBorders>
            <w:shd w:val="clear" w:color="auto" w:fill="auto"/>
            <w:vAlign w:val="center"/>
            <w:hideMark/>
          </w:tcPr>
          <w:p w14:paraId="55284BC0"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05EEE5C9" w14:textId="15B8C9B1" w:rsidR="00485BAA" w:rsidRPr="00D30847" w:rsidRDefault="00B25CB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 Reconciling the debt stock with the creditors</w:t>
            </w:r>
          </w:p>
        </w:tc>
        <w:tc>
          <w:tcPr>
            <w:tcW w:w="1194" w:type="dxa"/>
            <w:gridSpan w:val="2"/>
            <w:shd w:val="clear" w:color="000000" w:fill="FFFF99"/>
            <w:vAlign w:val="center"/>
            <w:hideMark/>
          </w:tcPr>
          <w:p w14:paraId="38F20C1D" w14:textId="20D40E6F"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F44A9F" w:rsidRPr="00D30847">
              <w:rPr>
                <w:rFonts w:ascii="Arial" w:eastAsia="Times New Roman" w:hAnsi="Arial" w:cs="Arial"/>
                <w:sz w:val="12"/>
                <w:szCs w:val="12"/>
                <w:lang w:val="en-GB" w:eastAsia="mk-MK"/>
              </w:rPr>
              <w:t>5</w:t>
            </w:r>
          </w:p>
        </w:tc>
        <w:tc>
          <w:tcPr>
            <w:tcW w:w="1418" w:type="dxa"/>
            <w:gridSpan w:val="3"/>
            <w:shd w:val="clear" w:color="000000" w:fill="FFFF99"/>
            <w:vAlign w:val="center"/>
            <w:hideMark/>
          </w:tcPr>
          <w:p w14:paraId="38C781F0" w14:textId="2A6D1207" w:rsidR="00485BAA" w:rsidRPr="00D30847" w:rsidRDefault="0043136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 Public Debt </w:t>
            </w:r>
            <w:r w:rsidR="00F368A1" w:rsidRPr="00D30847">
              <w:rPr>
                <w:rFonts w:ascii="Arial" w:eastAsia="Times New Roman" w:hAnsi="Arial" w:cs="Arial"/>
                <w:sz w:val="12"/>
                <w:szCs w:val="12"/>
                <w:lang w:val="en-GB" w:eastAsia="mk-MK"/>
              </w:rPr>
              <w:t>Management</w:t>
            </w:r>
            <w:r w:rsidRPr="00D30847">
              <w:rPr>
                <w:rFonts w:ascii="Arial" w:eastAsia="Times New Roman" w:hAnsi="Arial" w:cs="Arial"/>
                <w:sz w:val="12"/>
                <w:szCs w:val="12"/>
                <w:lang w:val="en-GB" w:eastAsia="mk-MK"/>
              </w:rPr>
              <w:t xml:space="preserve"> Department</w:t>
            </w:r>
          </w:p>
        </w:tc>
        <w:tc>
          <w:tcPr>
            <w:tcW w:w="1644" w:type="dxa"/>
            <w:gridSpan w:val="3"/>
            <w:shd w:val="clear" w:color="000000" w:fill="FFFF99"/>
            <w:vAlign w:val="center"/>
            <w:hideMark/>
          </w:tcPr>
          <w:p w14:paraId="58D0A004" w14:textId="02FAEFB7" w:rsidR="00485BAA" w:rsidRPr="00D30847" w:rsidRDefault="00404D96" w:rsidP="00485BA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Multilateral, bilateral</w:t>
            </w:r>
            <w:r w:rsidR="00B25CB1" w:rsidRPr="00D30847">
              <w:rPr>
                <w:rFonts w:ascii="Arial" w:eastAsia="Times New Roman" w:hAnsi="Arial" w:cs="Arial"/>
                <w:sz w:val="12"/>
                <w:szCs w:val="12"/>
                <w:lang w:val="en-GB" w:eastAsia="mk-MK"/>
              </w:rPr>
              <w:t xml:space="preserve"> </w:t>
            </w:r>
            <w:r w:rsidR="00485BAA" w:rsidRPr="00D30847">
              <w:rPr>
                <w:rFonts w:ascii="Arial" w:eastAsia="Times New Roman" w:hAnsi="Arial" w:cs="Arial"/>
                <w:sz w:val="12"/>
                <w:szCs w:val="12"/>
                <w:lang w:val="en-GB" w:eastAsia="mk-MK"/>
              </w:rPr>
              <w:t>and</w:t>
            </w:r>
            <w:r w:rsidR="00B25CB1" w:rsidRPr="00D30847">
              <w:rPr>
                <w:rFonts w:ascii="Arial" w:eastAsia="Times New Roman" w:hAnsi="Arial" w:cs="Arial"/>
                <w:sz w:val="12"/>
                <w:szCs w:val="12"/>
                <w:lang w:val="en-GB" w:eastAsia="mk-MK"/>
              </w:rPr>
              <w:t xml:space="preserve"> </w:t>
            </w:r>
            <w:r w:rsidR="00485BAA" w:rsidRPr="00D30847">
              <w:rPr>
                <w:rFonts w:ascii="Arial" w:eastAsia="Times New Roman" w:hAnsi="Arial" w:cs="Arial"/>
                <w:sz w:val="12"/>
                <w:szCs w:val="12"/>
                <w:lang w:val="en-GB" w:eastAsia="mk-MK"/>
              </w:rPr>
              <w:t>private</w:t>
            </w:r>
            <w:r w:rsidR="00B25CB1" w:rsidRPr="00D30847">
              <w:rPr>
                <w:rFonts w:ascii="Arial" w:eastAsia="Times New Roman" w:hAnsi="Arial" w:cs="Arial"/>
                <w:sz w:val="12"/>
                <w:szCs w:val="12"/>
                <w:lang w:val="en-GB" w:eastAsia="mk-MK"/>
              </w:rPr>
              <w:t xml:space="preserve"> </w:t>
            </w:r>
            <w:r w:rsidR="00485BAA" w:rsidRPr="00D30847">
              <w:rPr>
                <w:rFonts w:ascii="Arial" w:eastAsia="Times New Roman" w:hAnsi="Arial" w:cs="Arial"/>
                <w:sz w:val="12"/>
                <w:szCs w:val="12"/>
                <w:lang w:val="en-GB" w:eastAsia="mk-MK"/>
              </w:rPr>
              <w:t>creditors</w:t>
            </w:r>
          </w:p>
        </w:tc>
        <w:tc>
          <w:tcPr>
            <w:tcW w:w="1758" w:type="dxa"/>
            <w:gridSpan w:val="4"/>
            <w:shd w:val="clear" w:color="000000" w:fill="FFFF99"/>
            <w:vAlign w:val="center"/>
            <w:hideMark/>
          </w:tcPr>
          <w:p w14:paraId="56978C66" w14:textId="4CC2E342" w:rsidR="00485BAA" w:rsidRPr="00D30847" w:rsidRDefault="00AE7926"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hideMark/>
          </w:tcPr>
          <w:p w14:paraId="0EF201D2" w14:textId="0E88CBF0" w:rsidR="00485BAA"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hideMark/>
          </w:tcPr>
          <w:p w14:paraId="753C83D1" w14:textId="7677A39B" w:rsidR="00485BAA" w:rsidRPr="00D30847" w:rsidRDefault="00485BAA" w:rsidP="00407B01">
            <w:pPr>
              <w:spacing w:after="0" w:line="240" w:lineRule="auto"/>
              <w:jc w:val="center"/>
              <w:rPr>
                <w:rFonts w:ascii="Arial" w:eastAsia="Times New Roman" w:hAnsi="Arial" w:cs="Arial"/>
                <w:sz w:val="12"/>
                <w:szCs w:val="12"/>
                <w:lang w:val="en-GB" w:eastAsia="mk-MK"/>
              </w:rPr>
            </w:pPr>
          </w:p>
        </w:tc>
      </w:tr>
      <w:tr w:rsidR="00485BAA" w:rsidRPr="00D30847" w14:paraId="7B145A0B" w14:textId="77777777" w:rsidTr="00FD4DDE">
        <w:trPr>
          <w:gridBefore w:val="3"/>
          <w:gridAfter w:val="1"/>
          <w:wBefore w:w="37" w:type="dxa"/>
          <w:wAfter w:w="52" w:type="dxa"/>
          <w:trHeight w:val="295"/>
          <w:jc w:val="center"/>
        </w:trPr>
        <w:tc>
          <w:tcPr>
            <w:tcW w:w="13501" w:type="dxa"/>
            <w:gridSpan w:val="28"/>
            <w:shd w:val="clear" w:color="000000" w:fill="9BD2ED"/>
            <w:vAlign w:val="center"/>
            <w:hideMark/>
          </w:tcPr>
          <w:p w14:paraId="036955FC" w14:textId="34148627"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w:t>
            </w:r>
            <w:r w:rsidR="00577A56"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2</w:t>
            </w:r>
            <w:r w:rsidR="00637A09" w:rsidRPr="00D30847">
              <w:rPr>
                <w:rFonts w:ascii="Arial" w:eastAsia="Times New Roman" w:hAnsi="Arial" w:cs="Arial"/>
                <w:b/>
                <w:bCs/>
                <w:sz w:val="12"/>
                <w:szCs w:val="12"/>
                <w:lang w:val="en-GB" w:eastAsia="mk-MK"/>
              </w:rPr>
              <w:t>.</w:t>
            </w:r>
            <w:r w:rsidRPr="00D30847">
              <w:rPr>
                <w:rFonts w:ascii="Arial" w:eastAsia="Times New Roman" w:hAnsi="Arial" w:cs="Arial"/>
                <w:b/>
                <w:bCs/>
                <w:sz w:val="12"/>
                <w:szCs w:val="12"/>
                <w:lang w:val="en-GB" w:eastAsia="mk-MK"/>
              </w:rPr>
              <w:t xml:space="preserve"> Increasing</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public</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debt</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transparency</w:t>
            </w:r>
          </w:p>
        </w:tc>
      </w:tr>
      <w:tr w:rsidR="00485BAA" w:rsidRPr="00D30847" w14:paraId="691C8731" w14:textId="77777777" w:rsidTr="00FD4DDE">
        <w:trPr>
          <w:gridBefore w:val="3"/>
          <w:gridAfter w:val="1"/>
          <w:wBefore w:w="37" w:type="dxa"/>
          <w:wAfter w:w="52" w:type="dxa"/>
          <w:trHeight w:val="219"/>
          <w:jc w:val="center"/>
        </w:trPr>
        <w:tc>
          <w:tcPr>
            <w:tcW w:w="1288" w:type="dxa"/>
            <w:tcBorders>
              <w:top w:val="nil"/>
              <w:left w:val="nil"/>
              <w:bottom w:val="nil"/>
              <w:right w:val="nil"/>
            </w:tcBorders>
            <w:shd w:val="clear" w:color="000000" w:fill="FFFFFF"/>
            <w:vAlign w:val="center"/>
            <w:hideMark/>
          </w:tcPr>
          <w:p w14:paraId="56CF4C5C"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015" w:type="dxa"/>
            <w:gridSpan w:val="2"/>
            <w:tcBorders>
              <w:top w:val="nil"/>
              <w:left w:val="nil"/>
              <w:bottom w:val="nil"/>
              <w:right w:val="single" w:sz="8" w:space="0" w:color="000000"/>
            </w:tcBorders>
            <w:shd w:val="clear" w:color="auto" w:fill="auto"/>
            <w:vAlign w:val="center"/>
            <w:hideMark/>
          </w:tcPr>
          <w:p w14:paraId="69B142B5"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5058F910" w14:textId="0244FEBE"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0057B674" w14:textId="2BED5F78"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3FFF393C" w14:textId="023A7BD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F44A9F"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3D439C5F" w14:textId="18AD8D7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F44A9F"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65D2CE1D" w14:textId="55190E6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F44A9F"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633A1410" w14:textId="3D4BA100"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F44A9F"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4620885F" w14:textId="196C4D5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F44A9F" w:rsidRPr="00D30847">
              <w:rPr>
                <w:rFonts w:ascii="Arial" w:eastAsia="Times New Roman" w:hAnsi="Arial" w:cs="Arial"/>
                <w:b/>
                <w:bCs/>
                <w:sz w:val="12"/>
                <w:szCs w:val="12"/>
                <w:lang w:val="en-GB" w:eastAsia="mk-MK"/>
              </w:rPr>
              <w:t>8</w:t>
            </w:r>
          </w:p>
        </w:tc>
      </w:tr>
      <w:tr w:rsidR="00485BAA" w:rsidRPr="00D30847" w14:paraId="72607258" w14:textId="77777777" w:rsidTr="00FD4DDE">
        <w:trPr>
          <w:gridBefore w:val="3"/>
          <w:gridAfter w:val="1"/>
          <w:wBefore w:w="37" w:type="dxa"/>
          <w:wAfter w:w="52" w:type="dxa"/>
          <w:trHeight w:val="727"/>
          <w:jc w:val="center"/>
        </w:trPr>
        <w:tc>
          <w:tcPr>
            <w:tcW w:w="1288" w:type="dxa"/>
            <w:tcBorders>
              <w:top w:val="nil"/>
              <w:left w:val="nil"/>
              <w:bottom w:val="nil"/>
              <w:right w:val="nil"/>
            </w:tcBorders>
            <w:shd w:val="clear" w:color="000000" w:fill="FFFFFF"/>
            <w:vAlign w:val="center"/>
            <w:hideMark/>
          </w:tcPr>
          <w:p w14:paraId="067B451C"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015" w:type="dxa"/>
            <w:gridSpan w:val="2"/>
            <w:tcBorders>
              <w:top w:val="nil"/>
              <w:left w:val="nil"/>
              <w:bottom w:val="nil"/>
              <w:right w:val="single" w:sz="8" w:space="0" w:color="000000"/>
            </w:tcBorders>
            <w:shd w:val="clear" w:color="auto" w:fill="auto"/>
            <w:vAlign w:val="center"/>
            <w:hideMark/>
          </w:tcPr>
          <w:p w14:paraId="421702A3"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07CCFB4A" w14:textId="411B95E8" w:rsidR="00485BAA" w:rsidRPr="00D30847" w:rsidRDefault="00B25CB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Calculation of general government debt in accordance with the statistical standard SDDS plus</w:t>
            </w:r>
          </w:p>
        </w:tc>
        <w:tc>
          <w:tcPr>
            <w:tcW w:w="1194" w:type="dxa"/>
            <w:gridSpan w:val="2"/>
            <w:shd w:val="clear" w:color="000000" w:fill="FFFF99"/>
            <w:vAlign w:val="center"/>
            <w:hideMark/>
          </w:tcPr>
          <w:p w14:paraId="5DD0F1B7" w14:textId="132C05B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Website</w:t>
            </w:r>
            <w:r w:rsidR="00B25CB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w:t>
            </w:r>
            <w:r w:rsidR="00B25CB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MoF</w:t>
            </w:r>
          </w:p>
        </w:tc>
        <w:tc>
          <w:tcPr>
            <w:tcW w:w="1418" w:type="dxa"/>
            <w:gridSpan w:val="3"/>
            <w:shd w:val="clear" w:color="000000" w:fill="FFFF99"/>
            <w:vAlign w:val="center"/>
            <w:hideMark/>
          </w:tcPr>
          <w:p w14:paraId="33D5DD49" w14:textId="5EEDF9FB" w:rsidR="00485BAA" w:rsidRPr="00D30847" w:rsidRDefault="00B25CB1"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Government debt is displayed according to SDDS standard</w:t>
            </w:r>
          </w:p>
        </w:tc>
        <w:tc>
          <w:tcPr>
            <w:tcW w:w="1644" w:type="dxa"/>
            <w:gridSpan w:val="3"/>
            <w:shd w:val="clear" w:color="000000" w:fill="FFFF99"/>
            <w:vAlign w:val="center"/>
            <w:hideMark/>
          </w:tcPr>
          <w:p w14:paraId="2E971143" w14:textId="36773679" w:rsidR="00485BAA" w:rsidRPr="00D30847" w:rsidRDefault="00B25CB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Government debt is displayed according to SDDS plus standard</w:t>
            </w:r>
          </w:p>
        </w:tc>
        <w:tc>
          <w:tcPr>
            <w:tcW w:w="1758" w:type="dxa"/>
            <w:gridSpan w:val="4"/>
            <w:shd w:val="clear" w:color="000000" w:fill="FFFF99"/>
            <w:vAlign w:val="center"/>
            <w:hideMark/>
          </w:tcPr>
          <w:p w14:paraId="747E05B6" w14:textId="16718A10" w:rsidR="00485BAA"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hideMark/>
          </w:tcPr>
          <w:p w14:paraId="21AE172C" w14:textId="2E2717D0" w:rsidR="00485BAA"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hideMark/>
          </w:tcPr>
          <w:p w14:paraId="2EBBB6CC" w14:textId="1CCA53F1" w:rsidR="00485BAA" w:rsidRPr="00D30847" w:rsidRDefault="00407B01" w:rsidP="00407B01">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w:t>
            </w:r>
          </w:p>
        </w:tc>
      </w:tr>
      <w:tr w:rsidR="00485BAA" w:rsidRPr="00D30847" w14:paraId="2DB3965E" w14:textId="77777777" w:rsidTr="00FD4DDE">
        <w:trPr>
          <w:gridBefore w:val="3"/>
          <w:gridAfter w:val="1"/>
          <w:wBefore w:w="37" w:type="dxa"/>
          <w:wAfter w:w="52" w:type="dxa"/>
          <w:trHeight w:val="658"/>
          <w:jc w:val="center"/>
        </w:trPr>
        <w:tc>
          <w:tcPr>
            <w:tcW w:w="1288" w:type="dxa"/>
            <w:tcBorders>
              <w:top w:val="nil"/>
              <w:left w:val="nil"/>
              <w:bottom w:val="nil"/>
              <w:right w:val="nil"/>
            </w:tcBorders>
            <w:shd w:val="clear" w:color="000000" w:fill="FFFFFF"/>
            <w:vAlign w:val="center"/>
            <w:hideMark/>
          </w:tcPr>
          <w:p w14:paraId="790F89AF"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015" w:type="dxa"/>
            <w:gridSpan w:val="2"/>
            <w:tcBorders>
              <w:top w:val="nil"/>
              <w:left w:val="nil"/>
              <w:bottom w:val="nil"/>
              <w:right w:val="single" w:sz="8" w:space="0" w:color="000000"/>
            </w:tcBorders>
            <w:shd w:val="clear" w:color="auto" w:fill="auto"/>
            <w:vAlign w:val="center"/>
            <w:hideMark/>
          </w:tcPr>
          <w:p w14:paraId="6421F82E"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063AF56D" w14:textId="233235B2" w:rsidR="00485BAA" w:rsidRPr="00D30847" w:rsidRDefault="00B25CB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Publication of general government debt in accordance with the Maastricht criterion</w:t>
            </w:r>
          </w:p>
        </w:tc>
        <w:tc>
          <w:tcPr>
            <w:tcW w:w="1194" w:type="dxa"/>
            <w:gridSpan w:val="2"/>
            <w:shd w:val="clear" w:color="000000" w:fill="FFFF99"/>
            <w:vAlign w:val="center"/>
            <w:hideMark/>
          </w:tcPr>
          <w:p w14:paraId="1EE5FB9D" w14:textId="342A097D"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Website</w:t>
            </w:r>
            <w:r w:rsidR="00B25CB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w:t>
            </w:r>
            <w:r w:rsidR="00B25CB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MoF</w:t>
            </w:r>
          </w:p>
        </w:tc>
        <w:tc>
          <w:tcPr>
            <w:tcW w:w="1418" w:type="dxa"/>
            <w:gridSpan w:val="3"/>
            <w:shd w:val="clear" w:color="000000" w:fill="FFFF99"/>
            <w:vAlign w:val="center"/>
            <w:hideMark/>
          </w:tcPr>
          <w:p w14:paraId="77F28588" w14:textId="10259E94" w:rsidR="00485BAA" w:rsidRPr="00D30847" w:rsidRDefault="00B25CB1"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The general government debt it is not harmonized with the Maastricht criterion</w:t>
            </w:r>
          </w:p>
        </w:tc>
        <w:tc>
          <w:tcPr>
            <w:tcW w:w="1644" w:type="dxa"/>
            <w:gridSpan w:val="3"/>
            <w:shd w:val="clear" w:color="000000" w:fill="FFFF99"/>
            <w:vAlign w:val="center"/>
            <w:hideMark/>
          </w:tcPr>
          <w:p w14:paraId="2DF9A7E5" w14:textId="19030D02" w:rsidR="00485BAA"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shd w:val="clear" w:color="000000" w:fill="FFFF99"/>
            <w:vAlign w:val="center"/>
            <w:hideMark/>
          </w:tcPr>
          <w:p w14:paraId="5DAACED6" w14:textId="274DDAC0" w:rsidR="00485BAA" w:rsidRPr="00D30847" w:rsidRDefault="00B25CB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The general government debt is harmonized with the Maastricht criterion</w:t>
            </w:r>
          </w:p>
        </w:tc>
        <w:tc>
          <w:tcPr>
            <w:tcW w:w="1842" w:type="dxa"/>
            <w:gridSpan w:val="4"/>
            <w:shd w:val="clear" w:color="000000" w:fill="FFFF99"/>
            <w:vAlign w:val="center"/>
            <w:hideMark/>
          </w:tcPr>
          <w:p w14:paraId="7CCDCEFD" w14:textId="4378CD1E" w:rsidR="00485BAA"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hideMark/>
          </w:tcPr>
          <w:p w14:paraId="7E8ACBA6" w14:textId="2516D201" w:rsidR="00485BAA" w:rsidRPr="00D30847" w:rsidRDefault="00407B01" w:rsidP="00407B01">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w:t>
            </w:r>
          </w:p>
        </w:tc>
      </w:tr>
      <w:tr w:rsidR="00485BAA" w:rsidRPr="00D30847" w14:paraId="4BB8DC11" w14:textId="77777777" w:rsidTr="00FD4DDE">
        <w:trPr>
          <w:gridBefore w:val="3"/>
          <w:gridAfter w:val="1"/>
          <w:wBefore w:w="37" w:type="dxa"/>
          <w:wAfter w:w="52" w:type="dxa"/>
          <w:trHeight w:val="267"/>
          <w:jc w:val="center"/>
        </w:trPr>
        <w:tc>
          <w:tcPr>
            <w:tcW w:w="1288" w:type="dxa"/>
            <w:tcBorders>
              <w:top w:val="nil"/>
              <w:left w:val="nil"/>
              <w:bottom w:val="nil"/>
              <w:right w:val="nil"/>
            </w:tcBorders>
            <w:shd w:val="clear" w:color="000000" w:fill="FFFFFF"/>
            <w:vAlign w:val="center"/>
            <w:hideMark/>
          </w:tcPr>
          <w:p w14:paraId="5D9C5FC0"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015" w:type="dxa"/>
            <w:gridSpan w:val="2"/>
            <w:tcBorders>
              <w:top w:val="nil"/>
              <w:left w:val="nil"/>
              <w:bottom w:val="nil"/>
              <w:right w:val="single" w:sz="8" w:space="0" w:color="000000"/>
            </w:tcBorders>
            <w:shd w:val="clear" w:color="auto" w:fill="auto"/>
            <w:vAlign w:val="center"/>
            <w:hideMark/>
          </w:tcPr>
          <w:p w14:paraId="53122D27"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7B5B1A4A" w14:textId="071EA50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710C8303" w14:textId="6D74DDDE"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080B0D4B" w14:textId="207CC3E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2B09ABD2" w14:textId="70CDB73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2D116C42"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1072F912" w14:textId="0D01FE1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25C9D9E5"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485BAA" w:rsidRPr="00D30847" w14:paraId="43050352" w14:textId="77777777" w:rsidTr="00FD4DDE">
        <w:trPr>
          <w:gridBefore w:val="3"/>
          <w:gridAfter w:val="1"/>
          <w:wBefore w:w="37" w:type="dxa"/>
          <w:wAfter w:w="52" w:type="dxa"/>
          <w:trHeight w:val="678"/>
          <w:jc w:val="center"/>
        </w:trPr>
        <w:tc>
          <w:tcPr>
            <w:tcW w:w="1288" w:type="dxa"/>
            <w:tcBorders>
              <w:top w:val="nil"/>
              <w:left w:val="nil"/>
              <w:bottom w:val="nil"/>
              <w:right w:val="nil"/>
            </w:tcBorders>
            <w:shd w:val="clear" w:color="000000" w:fill="FFFFFF"/>
            <w:vAlign w:val="center"/>
            <w:hideMark/>
          </w:tcPr>
          <w:p w14:paraId="0DDF42A8"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015" w:type="dxa"/>
            <w:gridSpan w:val="2"/>
            <w:tcBorders>
              <w:top w:val="nil"/>
              <w:left w:val="nil"/>
              <w:bottom w:val="nil"/>
              <w:right w:val="single" w:sz="8" w:space="0" w:color="000000"/>
            </w:tcBorders>
            <w:shd w:val="clear" w:color="auto" w:fill="auto"/>
            <w:vAlign w:val="center"/>
            <w:hideMark/>
          </w:tcPr>
          <w:p w14:paraId="490CEFA3"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10521A6F" w14:textId="6ADF3833" w:rsidR="00485BAA" w:rsidRPr="00D30847" w:rsidRDefault="00B25CB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1. </w:t>
            </w:r>
            <w:r w:rsidR="00F53052" w:rsidRPr="00D30847">
              <w:rPr>
                <w:rFonts w:ascii="Arial" w:eastAsia="Times New Roman" w:hAnsi="Arial" w:cs="Arial"/>
                <w:sz w:val="12"/>
                <w:szCs w:val="12"/>
                <w:lang w:val="en-GB" w:eastAsia="mk-MK"/>
              </w:rPr>
              <w:t xml:space="preserve">Modifications and amendments to Public Debt Law to the end of aligning the debt definition with the Organic Budget Law </w:t>
            </w:r>
          </w:p>
        </w:tc>
        <w:tc>
          <w:tcPr>
            <w:tcW w:w="1194" w:type="dxa"/>
            <w:gridSpan w:val="2"/>
            <w:shd w:val="clear" w:color="000000" w:fill="FFFF99"/>
            <w:vAlign w:val="center"/>
            <w:hideMark/>
          </w:tcPr>
          <w:p w14:paraId="38CCBC1D" w14:textId="7D7C1C32"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F44A9F" w:rsidRPr="00D30847">
              <w:rPr>
                <w:rFonts w:ascii="Arial" w:eastAsia="Times New Roman" w:hAnsi="Arial" w:cs="Arial"/>
                <w:sz w:val="12"/>
                <w:szCs w:val="12"/>
                <w:lang w:val="en-GB" w:eastAsia="mk-MK"/>
              </w:rPr>
              <w:t>5</w:t>
            </w:r>
            <w:r w:rsidRPr="00D30847">
              <w:rPr>
                <w:rFonts w:ascii="Arial" w:eastAsia="Times New Roman" w:hAnsi="Arial" w:cs="Arial"/>
                <w:sz w:val="12"/>
                <w:szCs w:val="12"/>
                <w:lang w:val="en-GB" w:eastAsia="mk-MK"/>
              </w:rPr>
              <w:t>-202</w:t>
            </w:r>
            <w:r w:rsidR="00F44A9F" w:rsidRPr="00D30847">
              <w:rPr>
                <w:rFonts w:ascii="Arial" w:eastAsia="Times New Roman" w:hAnsi="Arial" w:cs="Arial"/>
                <w:sz w:val="12"/>
                <w:szCs w:val="12"/>
                <w:lang w:val="en-GB" w:eastAsia="mk-MK"/>
              </w:rPr>
              <w:t>6</w:t>
            </w:r>
          </w:p>
        </w:tc>
        <w:tc>
          <w:tcPr>
            <w:tcW w:w="1418" w:type="dxa"/>
            <w:gridSpan w:val="3"/>
            <w:shd w:val="clear" w:color="000000" w:fill="FFFF99"/>
            <w:vAlign w:val="center"/>
            <w:hideMark/>
          </w:tcPr>
          <w:p w14:paraId="21596952" w14:textId="327737FC" w:rsidR="00485BAA" w:rsidRPr="00D30847" w:rsidRDefault="00270F3C" w:rsidP="00404D9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 Public Debt </w:t>
            </w:r>
            <w:r w:rsidR="00F368A1" w:rsidRPr="00D30847">
              <w:rPr>
                <w:rFonts w:ascii="Arial" w:eastAsia="Times New Roman" w:hAnsi="Arial" w:cs="Arial"/>
                <w:sz w:val="12"/>
                <w:szCs w:val="12"/>
                <w:lang w:val="en-GB" w:eastAsia="mk-MK"/>
              </w:rPr>
              <w:t>Management</w:t>
            </w:r>
            <w:r w:rsidRPr="00D30847">
              <w:rPr>
                <w:rFonts w:ascii="Arial" w:eastAsia="Times New Roman" w:hAnsi="Arial" w:cs="Arial"/>
                <w:sz w:val="12"/>
                <w:szCs w:val="12"/>
                <w:lang w:val="en-GB" w:eastAsia="mk-MK"/>
              </w:rPr>
              <w:t xml:space="preserve"> Department</w:t>
            </w:r>
          </w:p>
        </w:tc>
        <w:tc>
          <w:tcPr>
            <w:tcW w:w="1644" w:type="dxa"/>
            <w:gridSpan w:val="3"/>
            <w:shd w:val="clear" w:color="000000" w:fill="FFFF99"/>
            <w:vAlign w:val="center"/>
            <w:hideMark/>
          </w:tcPr>
          <w:p w14:paraId="7E2A3EE2" w14:textId="727C9F1B" w:rsidR="00485BAA" w:rsidRPr="00D30847" w:rsidRDefault="00485BAA" w:rsidP="00485BA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EU, </w:t>
            </w:r>
            <w:r w:rsidR="00404D96" w:rsidRPr="00D30847">
              <w:rPr>
                <w:rFonts w:ascii="Arial" w:eastAsia="Times New Roman" w:hAnsi="Arial" w:cs="Arial"/>
                <w:sz w:val="12"/>
                <w:szCs w:val="12"/>
                <w:lang w:val="en-GB" w:eastAsia="mk-MK"/>
              </w:rPr>
              <w:t>World bank</w:t>
            </w:r>
          </w:p>
        </w:tc>
        <w:tc>
          <w:tcPr>
            <w:tcW w:w="1758" w:type="dxa"/>
            <w:gridSpan w:val="4"/>
            <w:shd w:val="clear" w:color="000000" w:fill="FFFF99"/>
            <w:vAlign w:val="center"/>
            <w:hideMark/>
          </w:tcPr>
          <w:p w14:paraId="35BB6AF9" w14:textId="77777777" w:rsidR="003C20E4" w:rsidRPr="00D30847" w:rsidRDefault="00AE7926"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hideMark/>
          </w:tcPr>
          <w:p w14:paraId="7203AA7F" w14:textId="778346C1" w:rsidR="00485BAA"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hideMark/>
          </w:tcPr>
          <w:p w14:paraId="11B0B463" w14:textId="58ACC112" w:rsidR="00485BAA" w:rsidRPr="00D30847" w:rsidRDefault="00485BAA" w:rsidP="00407B01">
            <w:pPr>
              <w:spacing w:after="0" w:line="240" w:lineRule="auto"/>
              <w:jc w:val="center"/>
              <w:rPr>
                <w:rFonts w:ascii="Arial" w:eastAsia="Times New Roman" w:hAnsi="Arial" w:cs="Arial"/>
                <w:sz w:val="12"/>
                <w:szCs w:val="12"/>
                <w:lang w:val="en-GB" w:eastAsia="mk-MK"/>
              </w:rPr>
            </w:pPr>
          </w:p>
        </w:tc>
      </w:tr>
      <w:tr w:rsidR="00485BAA" w:rsidRPr="00D30847" w14:paraId="7FB476F9" w14:textId="77777777" w:rsidTr="00FD4DDE">
        <w:trPr>
          <w:gridBefore w:val="3"/>
          <w:gridAfter w:val="1"/>
          <w:wBefore w:w="37" w:type="dxa"/>
          <w:wAfter w:w="52" w:type="dxa"/>
          <w:trHeight w:val="356"/>
          <w:jc w:val="center"/>
        </w:trPr>
        <w:tc>
          <w:tcPr>
            <w:tcW w:w="1288" w:type="dxa"/>
            <w:tcBorders>
              <w:top w:val="nil"/>
              <w:left w:val="nil"/>
              <w:bottom w:val="nil"/>
              <w:right w:val="nil"/>
            </w:tcBorders>
            <w:shd w:val="clear" w:color="000000" w:fill="FFFFFF"/>
            <w:vAlign w:val="center"/>
            <w:hideMark/>
          </w:tcPr>
          <w:p w14:paraId="325D33F6"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015" w:type="dxa"/>
            <w:gridSpan w:val="2"/>
            <w:tcBorders>
              <w:top w:val="nil"/>
              <w:left w:val="nil"/>
              <w:bottom w:val="nil"/>
              <w:right w:val="single" w:sz="8" w:space="0" w:color="000000"/>
            </w:tcBorders>
            <w:shd w:val="clear" w:color="auto" w:fill="auto"/>
            <w:vAlign w:val="center"/>
            <w:hideMark/>
          </w:tcPr>
          <w:p w14:paraId="3C9F2FAC"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41F4A204" w14:textId="1BBE7D3A" w:rsidR="00485BAA" w:rsidRPr="00D30847" w:rsidRDefault="00B25CB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Incorporating debt data in the Budget document</w:t>
            </w:r>
          </w:p>
        </w:tc>
        <w:tc>
          <w:tcPr>
            <w:tcW w:w="1194" w:type="dxa"/>
            <w:gridSpan w:val="2"/>
            <w:shd w:val="clear" w:color="000000" w:fill="FFFF99"/>
            <w:vAlign w:val="center"/>
            <w:hideMark/>
          </w:tcPr>
          <w:p w14:paraId="60F846B2"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0E1208" w:rsidRPr="00D30847">
              <w:rPr>
                <w:rFonts w:ascii="Arial" w:eastAsia="Times New Roman" w:hAnsi="Arial" w:cs="Arial"/>
                <w:sz w:val="12"/>
                <w:szCs w:val="12"/>
                <w:lang w:val="en-GB" w:eastAsia="mk-MK"/>
              </w:rPr>
              <w:t>4</w:t>
            </w:r>
            <w:r w:rsidRPr="00D30847">
              <w:rPr>
                <w:rFonts w:ascii="Arial" w:eastAsia="Times New Roman" w:hAnsi="Arial" w:cs="Arial"/>
                <w:sz w:val="12"/>
                <w:szCs w:val="12"/>
                <w:lang w:val="en-GB" w:eastAsia="mk-MK"/>
              </w:rPr>
              <w:t>-202</w:t>
            </w:r>
            <w:r w:rsidR="000E1208" w:rsidRPr="00D30847">
              <w:rPr>
                <w:rFonts w:ascii="Arial" w:eastAsia="Times New Roman" w:hAnsi="Arial" w:cs="Arial"/>
                <w:sz w:val="12"/>
                <w:szCs w:val="12"/>
                <w:lang w:val="en-GB" w:eastAsia="mk-MK"/>
              </w:rPr>
              <w:t>7</w:t>
            </w:r>
          </w:p>
        </w:tc>
        <w:tc>
          <w:tcPr>
            <w:tcW w:w="1418" w:type="dxa"/>
            <w:gridSpan w:val="3"/>
            <w:shd w:val="clear" w:color="000000" w:fill="FFFF99"/>
            <w:vAlign w:val="center"/>
            <w:hideMark/>
          </w:tcPr>
          <w:p w14:paraId="2FBD134D" w14:textId="6DB5E3A5" w:rsidR="00485BAA" w:rsidRPr="00D30847" w:rsidRDefault="00270F3C" w:rsidP="00404D9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 Public Debt </w:t>
            </w:r>
            <w:r w:rsidR="00F368A1" w:rsidRPr="00D30847">
              <w:rPr>
                <w:rFonts w:ascii="Arial" w:eastAsia="Times New Roman" w:hAnsi="Arial" w:cs="Arial"/>
                <w:sz w:val="12"/>
                <w:szCs w:val="12"/>
                <w:lang w:val="en-GB" w:eastAsia="mk-MK"/>
              </w:rPr>
              <w:t>Management</w:t>
            </w:r>
            <w:r w:rsidRPr="00D30847">
              <w:rPr>
                <w:rFonts w:ascii="Arial" w:eastAsia="Times New Roman" w:hAnsi="Arial" w:cs="Arial"/>
                <w:sz w:val="12"/>
                <w:szCs w:val="12"/>
                <w:lang w:val="en-GB" w:eastAsia="mk-MK"/>
              </w:rPr>
              <w:t xml:space="preserve"> Department</w:t>
            </w:r>
          </w:p>
        </w:tc>
        <w:tc>
          <w:tcPr>
            <w:tcW w:w="1644" w:type="dxa"/>
            <w:gridSpan w:val="3"/>
            <w:shd w:val="clear" w:color="000000" w:fill="FFFF99"/>
            <w:vAlign w:val="center"/>
            <w:hideMark/>
          </w:tcPr>
          <w:p w14:paraId="039A3563" w14:textId="77777777" w:rsidR="00485BAA" w:rsidRPr="00D30847" w:rsidRDefault="00485BAA" w:rsidP="00485BA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758" w:type="dxa"/>
            <w:gridSpan w:val="4"/>
            <w:shd w:val="clear" w:color="000000" w:fill="FFFF99"/>
            <w:vAlign w:val="center"/>
            <w:hideMark/>
          </w:tcPr>
          <w:p w14:paraId="4DFEC439" w14:textId="77777777" w:rsidR="003C20E4" w:rsidRPr="00D30847" w:rsidRDefault="00AE7926"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hideMark/>
          </w:tcPr>
          <w:p w14:paraId="41BA8D75" w14:textId="023E4484" w:rsidR="00485BAA"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hideMark/>
          </w:tcPr>
          <w:p w14:paraId="2CD197AC" w14:textId="1A7369C1" w:rsidR="00485BAA" w:rsidRPr="00D30847" w:rsidRDefault="00485BAA" w:rsidP="00407B01">
            <w:pPr>
              <w:spacing w:after="0" w:line="240" w:lineRule="auto"/>
              <w:jc w:val="center"/>
              <w:rPr>
                <w:rFonts w:ascii="Arial" w:eastAsia="Times New Roman" w:hAnsi="Arial" w:cs="Arial"/>
                <w:sz w:val="12"/>
                <w:szCs w:val="12"/>
                <w:lang w:val="en-GB" w:eastAsia="mk-MK"/>
              </w:rPr>
            </w:pPr>
          </w:p>
        </w:tc>
      </w:tr>
      <w:tr w:rsidR="000E1208" w:rsidRPr="00D30847" w14:paraId="318BDEC7" w14:textId="77777777" w:rsidTr="00FD4DDE">
        <w:trPr>
          <w:gridBefore w:val="3"/>
          <w:gridAfter w:val="1"/>
          <w:wBefore w:w="37" w:type="dxa"/>
          <w:wAfter w:w="52" w:type="dxa"/>
          <w:trHeight w:val="356"/>
          <w:jc w:val="center"/>
        </w:trPr>
        <w:tc>
          <w:tcPr>
            <w:tcW w:w="1288" w:type="dxa"/>
            <w:tcBorders>
              <w:top w:val="nil"/>
              <w:left w:val="nil"/>
              <w:bottom w:val="nil"/>
              <w:right w:val="nil"/>
            </w:tcBorders>
            <w:shd w:val="clear" w:color="000000" w:fill="FFFFFF"/>
            <w:vAlign w:val="center"/>
          </w:tcPr>
          <w:p w14:paraId="49453853" w14:textId="77777777" w:rsidR="000E1208" w:rsidRPr="00D30847" w:rsidRDefault="000E1208" w:rsidP="00485BAA">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vAlign w:val="center"/>
          </w:tcPr>
          <w:p w14:paraId="7F8EAA61" w14:textId="77777777" w:rsidR="000E1208" w:rsidRPr="00D30847" w:rsidRDefault="000E1208"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tcPr>
          <w:p w14:paraId="1F2B5077" w14:textId="0561E0DD" w:rsidR="000E1208" w:rsidRPr="00D30847" w:rsidRDefault="00B25CB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3. </w:t>
            </w:r>
            <w:r w:rsidR="00F53052" w:rsidRPr="00D30847">
              <w:rPr>
                <w:rFonts w:ascii="Arial" w:eastAsia="Times New Roman" w:hAnsi="Arial" w:cs="Arial"/>
                <w:sz w:val="12"/>
                <w:szCs w:val="12"/>
                <w:lang w:val="en-GB" w:eastAsia="mk-MK"/>
              </w:rPr>
              <w:t>Preparation</w:t>
            </w:r>
            <w:r w:rsidRPr="00D30847">
              <w:rPr>
                <w:rFonts w:ascii="Arial" w:eastAsia="Times New Roman" w:hAnsi="Arial" w:cs="Arial"/>
                <w:sz w:val="12"/>
                <w:szCs w:val="12"/>
                <w:lang w:val="en-GB" w:eastAsia="mk-MK"/>
              </w:rPr>
              <w:t xml:space="preserve"> Annual Borrowing Plan</w:t>
            </w:r>
          </w:p>
        </w:tc>
        <w:tc>
          <w:tcPr>
            <w:tcW w:w="1194" w:type="dxa"/>
            <w:gridSpan w:val="2"/>
            <w:shd w:val="clear" w:color="000000" w:fill="FFFF99"/>
            <w:vAlign w:val="center"/>
          </w:tcPr>
          <w:p w14:paraId="5BBA9735" w14:textId="77777777" w:rsidR="000E1208" w:rsidRPr="00D30847" w:rsidRDefault="000E1208"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2026-2027</w:t>
            </w:r>
          </w:p>
        </w:tc>
        <w:tc>
          <w:tcPr>
            <w:tcW w:w="1418" w:type="dxa"/>
            <w:gridSpan w:val="3"/>
            <w:shd w:val="clear" w:color="000000" w:fill="FFFF99"/>
            <w:vAlign w:val="center"/>
          </w:tcPr>
          <w:p w14:paraId="2047AC04" w14:textId="375408D0" w:rsidR="000E1208" w:rsidRPr="00D30847" w:rsidRDefault="00270F3C" w:rsidP="00404D9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 Public Debt </w:t>
            </w:r>
            <w:r w:rsidR="00F368A1" w:rsidRPr="00D30847">
              <w:rPr>
                <w:rFonts w:ascii="Arial" w:eastAsia="Times New Roman" w:hAnsi="Arial" w:cs="Arial"/>
                <w:sz w:val="12"/>
                <w:szCs w:val="12"/>
                <w:lang w:val="en-GB" w:eastAsia="mk-MK"/>
              </w:rPr>
              <w:t>Management</w:t>
            </w:r>
            <w:r w:rsidRPr="00D30847">
              <w:rPr>
                <w:rFonts w:ascii="Arial" w:eastAsia="Times New Roman" w:hAnsi="Arial" w:cs="Arial"/>
                <w:sz w:val="12"/>
                <w:szCs w:val="12"/>
                <w:lang w:val="en-GB" w:eastAsia="mk-MK"/>
              </w:rPr>
              <w:t xml:space="preserve"> Department</w:t>
            </w:r>
          </w:p>
        </w:tc>
        <w:tc>
          <w:tcPr>
            <w:tcW w:w="1644" w:type="dxa"/>
            <w:gridSpan w:val="3"/>
            <w:shd w:val="clear" w:color="000000" w:fill="FFFF99"/>
            <w:vAlign w:val="center"/>
          </w:tcPr>
          <w:p w14:paraId="789ECE2C" w14:textId="77777777" w:rsidR="000E1208" w:rsidRPr="00D30847" w:rsidRDefault="000E1208" w:rsidP="00485BA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EU, World bank</w:t>
            </w:r>
          </w:p>
        </w:tc>
        <w:tc>
          <w:tcPr>
            <w:tcW w:w="1758" w:type="dxa"/>
            <w:gridSpan w:val="4"/>
            <w:shd w:val="clear" w:color="000000" w:fill="FFFF99"/>
            <w:vAlign w:val="center"/>
          </w:tcPr>
          <w:p w14:paraId="7F585B14" w14:textId="77777777" w:rsidR="003C20E4" w:rsidRPr="00D30847" w:rsidRDefault="00AE7926"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tcPr>
          <w:p w14:paraId="7BAAFA16" w14:textId="21A9FCA8" w:rsidR="000E1208"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tcPr>
          <w:p w14:paraId="69490684" w14:textId="025538DF" w:rsidR="000E1208" w:rsidRPr="00D30847" w:rsidRDefault="000E1208" w:rsidP="00407B01">
            <w:pPr>
              <w:spacing w:after="0" w:line="240" w:lineRule="auto"/>
              <w:jc w:val="center"/>
              <w:rPr>
                <w:rFonts w:ascii="Arial" w:eastAsia="Times New Roman" w:hAnsi="Arial" w:cs="Arial"/>
                <w:sz w:val="12"/>
                <w:szCs w:val="12"/>
                <w:lang w:val="en-GB" w:eastAsia="mk-MK"/>
              </w:rPr>
            </w:pPr>
          </w:p>
        </w:tc>
      </w:tr>
      <w:tr w:rsidR="000E1208" w:rsidRPr="00D30847" w14:paraId="02DEBF55" w14:textId="77777777" w:rsidTr="00FD4DDE">
        <w:trPr>
          <w:gridBefore w:val="3"/>
          <w:gridAfter w:val="1"/>
          <w:wBefore w:w="37" w:type="dxa"/>
          <w:wAfter w:w="52" w:type="dxa"/>
          <w:trHeight w:val="356"/>
          <w:jc w:val="center"/>
        </w:trPr>
        <w:tc>
          <w:tcPr>
            <w:tcW w:w="1288" w:type="dxa"/>
            <w:tcBorders>
              <w:top w:val="nil"/>
              <w:left w:val="nil"/>
              <w:bottom w:val="nil"/>
              <w:right w:val="nil"/>
            </w:tcBorders>
            <w:shd w:val="clear" w:color="000000" w:fill="FFFFFF"/>
            <w:vAlign w:val="center"/>
          </w:tcPr>
          <w:p w14:paraId="5DEE568D" w14:textId="77777777" w:rsidR="000E1208" w:rsidRPr="00D30847" w:rsidRDefault="000E1208" w:rsidP="00485BAA">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vAlign w:val="center"/>
          </w:tcPr>
          <w:p w14:paraId="1B7B4C65" w14:textId="77777777" w:rsidR="000E1208" w:rsidRPr="00D30847" w:rsidRDefault="000E1208"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tcPr>
          <w:p w14:paraId="642E8B1E" w14:textId="77777777" w:rsidR="000E1208" w:rsidRPr="00D30847" w:rsidRDefault="000E1208"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4. Improving Debt Reporting</w:t>
            </w:r>
          </w:p>
        </w:tc>
        <w:tc>
          <w:tcPr>
            <w:tcW w:w="1194" w:type="dxa"/>
            <w:gridSpan w:val="2"/>
            <w:shd w:val="clear" w:color="000000" w:fill="FFFF99"/>
            <w:vAlign w:val="center"/>
          </w:tcPr>
          <w:p w14:paraId="689BE23A" w14:textId="77777777" w:rsidR="000E1208" w:rsidRPr="00D30847" w:rsidRDefault="000E1208"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2026-2027</w:t>
            </w:r>
          </w:p>
        </w:tc>
        <w:tc>
          <w:tcPr>
            <w:tcW w:w="1418" w:type="dxa"/>
            <w:gridSpan w:val="3"/>
            <w:shd w:val="clear" w:color="000000" w:fill="FFFF99"/>
            <w:vAlign w:val="center"/>
          </w:tcPr>
          <w:p w14:paraId="3F42AD3A" w14:textId="6122E6A3" w:rsidR="000E1208" w:rsidRPr="00D30847" w:rsidRDefault="00270F3C" w:rsidP="008208F0">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 Public Debt </w:t>
            </w:r>
            <w:r w:rsidR="00F368A1" w:rsidRPr="00D30847">
              <w:rPr>
                <w:rFonts w:ascii="Arial" w:eastAsia="Times New Roman" w:hAnsi="Arial" w:cs="Arial"/>
                <w:sz w:val="12"/>
                <w:szCs w:val="12"/>
                <w:lang w:val="en-GB" w:eastAsia="mk-MK"/>
              </w:rPr>
              <w:t>Management</w:t>
            </w:r>
            <w:r w:rsidRPr="00D30847">
              <w:rPr>
                <w:rFonts w:ascii="Arial" w:eastAsia="Times New Roman" w:hAnsi="Arial" w:cs="Arial"/>
                <w:sz w:val="12"/>
                <w:szCs w:val="12"/>
                <w:lang w:val="en-GB" w:eastAsia="mk-MK"/>
              </w:rPr>
              <w:t xml:space="preserve"> Department</w:t>
            </w:r>
          </w:p>
        </w:tc>
        <w:tc>
          <w:tcPr>
            <w:tcW w:w="1644" w:type="dxa"/>
            <w:gridSpan w:val="3"/>
            <w:shd w:val="clear" w:color="000000" w:fill="FFFF99"/>
            <w:vAlign w:val="center"/>
          </w:tcPr>
          <w:p w14:paraId="7BFC61F5" w14:textId="77777777" w:rsidR="000E1208" w:rsidRPr="00D30847" w:rsidRDefault="000E1208" w:rsidP="00485BA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EU, World bank</w:t>
            </w:r>
          </w:p>
        </w:tc>
        <w:tc>
          <w:tcPr>
            <w:tcW w:w="1758" w:type="dxa"/>
            <w:gridSpan w:val="4"/>
            <w:shd w:val="clear" w:color="000000" w:fill="FFFF99"/>
            <w:vAlign w:val="center"/>
          </w:tcPr>
          <w:p w14:paraId="1C46F6AE" w14:textId="77777777" w:rsidR="003C20E4" w:rsidRPr="00D30847" w:rsidRDefault="00AE7926"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tcPr>
          <w:p w14:paraId="697242A8" w14:textId="114E6B76" w:rsidR="000E1208"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tcPr>
          <w:p w14:paraId="5F7411E1" w14:textId="3B7493C1" w:rsidR="000E1208" w:rsidRPr="00D30847" w:rsidRDefault="000E1208" w:rsidP="00FC63A0">
            <w:pPr>
              <w:spacing w:after="0" w:line="240" w:lineRule="auto"/>
              <w:rPr>
                <w:rFonts w:ascii="Arial" w:eastAsia="Times New Roman" w:hAnsi="Arial" w:cs="Arial"/>
                <w:sz w:val="12"/>
                <w:szCs w:val="12"/>
                <w:lang w:val="en-GB" w:eastAsia="mk-MK"/>
              </w:rPr>
            </w:pPr>
          </w:p>
        </w:tc>
      </w:tr>
      <w:tr w:rsidR="00485BAA" w:rsidRPr="00D30847" w14:paraId="6C9795FC" w14:textId="77777777" w:rsidTr="00FD4DDE">
        <w:trPr>
          <w:gridBefore w:val="3"/>
          <w:gridAfter w:val="1"/>
          <w:wBefore w:w="37" w:type="dxa"/>
          <w:wAfter w:w="52" w:type="dxa"/>
          <w:trHeight w:val="232"/>
          <w:jc w:val="center"/>
        </w:trPr>
        <w:tc>
          <w:tcPr>
            <w:tcW w:w="13501" w:type="dxa"/>
            <w:gridSpan w:val="28"/>
            <w:shd w:val="clear" w:color="000000" w:fill="9BD2ED"/>
            <w:vAlign w:val="center"/>
            <w:hideMark/>
          </w:tcPr>
          <w:p w14:paraId="365EC425" w14:textId="126B5BD0"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w:t>
            </w:r>
            <w:r w:rsidR="00577A56"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3 Introduction</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new</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debt</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instruments</w:t>
            </w:r>
          </w:p>
        </w:tc>
      </w:tr>
      <w:tr w:rsidR="00485BAA" w:rsidRPr="00D30847" w14:paraId="24305100" w14:textId="77777777" w:rsidTr="00FD4DDE">
        <w:trPr>
          <w:gridBefore w:val="3"/>
          <w:gridAfter w:val="1"/>
          <w:wBefore w:w="37" w:type="dxa"/>
          <w:wAfter w:w="52" w:type="dxa"/>
          <w:trHeight w:val="315"/>
          <w:jc w:val="center"/>
        </w:trPr>
        <w:tc>
          <w:tcPr>
            <w:tcW w:w="1288" w:type="dxa"/>
            <w:tcBorders>
              <w:top w:val="nil"/>
              <w:left w:val="nil"/>
              <w:bottom w:val="nil"/>
              <w:right w:val="nil"/>
            </w:tcBorders>
            <w:shd w:val="clear" w:color="000000" w:fill="FFFFFF"/>
            <w:vAlign w:val="center"/>
            <w:hideMark/>
          </w:tcPr>
          <w:p w14:paraId="0E61CD86"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015" w:type="dxa"/>
            <w:gridSpan w:val="2"/>
            <w:tcBorders>
              <w:top w:val="nil"/>
              <w:left w:val="nil"/>
              <w:bottom w:val="nil"/>
              <w:right w:val="single" w:sz="8" w:space="0" w:color="000000"/>
            </w:tcBorders>
            <w:shd w:val="clear" w:color="auto" w:fill="auto"/>
            <w:vAlign w:val="center"/>
            <w:hideMark/>
          </w:tcPr>
          <w:p w14:paraId="59165396"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48918D64" w14:textId="42D243C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12E9FE63" w14:textId="177E438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35D0D343"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0E1208" w:rsidRPr="00D30847">
              <w:rPr>
                <w:rFonts w:ascii="Arial" w:eastAsia="Times New Roman" w:hAnsi="Arial" w:cs="Arial"/>
                <w:b/>
                <w:bCs/>
                <w:sz w:val="12"/>
                <w:szCs w:val="12"/>
                <w:lang w:val="en-GB" w:eastAsia="mk-MK"/>
              </w:rPr>
              <w:t>2</w:t>
            </w:r>
          </w:p>
        </w:tc>
        <w:tc>
          <w:tcPr>
            <w:tcW w:w="1644" w:type="dxa"/>
            <w:gridSpan w:val="3"/>
            <w:shd w:val="clear" w:color="000000" w:fill="9BD2ED"/>
            <w:vAlign w:val="center"/>
            <w:hideMark/>
          </w:tcPr>
          <w:p w14:paraId="27458D21"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0E1208" w:rsidRPr="00D30847">
              <w:rPr>
                <w:rFonts w:ascii="Arial" w:eastAsia="Times New Roman" w:hAnsi="Arial" w:cs="Arial"/>
                <w:b/>
                <w:bCs/>
                <w:sz w:val="12"/>
                <w:szCs w:val="12"/>
                <w:lang w:val="en-GB" w:eastAsia="mk-MK"/>
              </w:rPr>
              <w:t>4</w:t>
            </w:r>
          </w:p>
        </w:tc>
        <w:tc>
          <w:tcPr>
            <w:tcW w:w="1758" w:type="dxa"/>
            <w:gridSpan w:val="4"/>
            <w:shd w:val="clear" w:color="000000" w:fill="9BD2ED"/>
            <w:vAlign w:val="center"/>
            <w:hideMark/>
          </w:tcPr>
          <w:p w14:paraId="3243F205"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0E1208" w:rsidRPr="00D30847">
              <w:rPr>
                <w:rFonts w:ascii="Arial" w:eastAsia="Times New Roman" w:hAnsi="Arial" w:cs="Arial"/>
                <w:b/>
                <w:bCs/>
                <w:sz w:val="12"/>
                <w:szCs w:val="12"/>
                <w:lang w:val="en-GB" w:eastAsia="mk-MK"/>
              </w:rPr>
              <w:t>5</w:t>
            </w:r>
          </w:p>
        </w:tc>
        <w:tc>
          <w:tcPr>
            <w:tcW w:w="1842" w:type="dxa"/>
            <w:gridSpan w:val="4"/>
            <w:shd w:val="clear" w:color="000000" w:fill="9BD2ED"/>
            <w:vAlign w:val="center"/>
            <w:hideMark/>
          </w:tcPr>
          <w:p w14:paraId="73A88B25"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0E1208" w:rsidRPr="00D30847">
              <w:rPr>
                <w:rFonts w:ascii="Arial" w:eastAsia="Times New Roman" w:hAnsi="Arial" w:cs="Arial"/>
                <w:b/>
                <w:bCs/>
                <w:sz w:val="12"/>
                <w:szCs w:val="12"/>
                <w:lang w:val="en-GB" w:eastAsia="mk-MK"/>
              </w:rPr>
              <w:t>6</w:t>
            </w:r>
          </w:p>
        </w:tc>
        <w:tc>
          <w:tcPr>
            <w:tcW w:w="1506" w:type="dxa"/>
            <w:gridSpan w:val="4"/>
            <w:shd w:val="clear" w:color="000000" w:fill="9BD2ED"/>
            <w:vAlign w:val="center"/>
            <w:hideMark/>
          </w:tcPr>
          <w:p w14:paraId="23EF08C6"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0E1208" w:rsidRPr="00D30847">
              <w:rPr>
                <w:rFonts w:ascii="Arial" w:eastAsia="Times New Roman" w:hAnsi="Arial" w:cs="Arial"/>
                <w:b/>
                <w:bCs/>
                <w:sz w:val="12"/>
                <w:szCs w:val="12"/>
                <w:lang w:val="en-GB" w:eastAsia="mk-MK"/>
              </w:rPr>
              <w:t>6</w:t>
            </w:r>
          </w:p>
        </w:tc>
      </w:tr>
      <w:tr w:rsidR="00485BAA" w:rsidRPr="00D30847" w14:paraId="52C35FDB" w14:textId="77777777" w:rsidTr="00FD4DDE">
        <w:trPr>
          <w:gridBefore w:val="3"/>
          <w:gridAfter w:val="1"/>
          <w:wBefore w:w="37" w:type="dxa"/>
          <w:wAfter w:w="52" w:type="dxa"/>
          <w:trHeight w:val="547"/>
          <w:jc w:val="center"/>
        </w:trPr>
        <w:tc>
          <w:tcPr>
            <w:tcW w:w="1288" w:type="dxa"/>
            <w:tcBorders>
              <w:top w:val="nil"/>
              <w:left w:val="nil"/>
              <w:bottom w:val="nil"/>
              <w:right w:val="nil"/>
            </w:tcBorders>
            <w:shd w:val="clear" w:color="000000" w:fill="FFFFFF"/>
            <w:vAlign w:val="center"/>
            <w:hideMark/>
          </w:tcPr>
          <w:p w14:paraId="6CA021E6"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015" w:type="dxa"/>
            <w:gridSpan w:val="2"/>
            <w:tcBorders>
              <w:top w:val="nil"/>
              <w:left w:val="nil"/>
              <w:bottom w:val="nil"/>
              <w:right w:val="single" w:sz="8" w:space="0" w:color="000000"/>
            </w:tcBorders>
            <w:shd w:val="clear" w:color="auto" w:fill="auto"/>
            <w:vAlign w:val="center"/>
            <w:hideMark/>
          </w:tcPr>
          <w:p w14:paraId="56415789"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23C7FAAA" w14:textId="5A0160EF" w:rsidR="00485BAA" w:rsidRPr="00D30847" w:rsidRDefault="00B25CB1"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Diversification of debt instruments</w:t>
            </w:r>
          </w:p>
        </w:tc>
        <w:tc>
          <w:tcPr>
            <w:tcW w:w="1194" w:type="dxa"/>
            <w:gridSpan w:val="2"/>
            <w:shd w:val="clear" w:color="000000" w:fill="FFFF99"/>
            <w:vAlign w:val="center"/>
            <w:hideMark/>
          </w:tcPr>
          <w:p w14:paraId="49E801B5"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418" w:type="dxa"/>
            <w:gridSpan w:val="3"/>
            <w:shd w:val="clear" w:color="000000" w:fill="FFFF99"/>
            <w:vAlign w:val="center"/>
            <w:hideMark/>
          </w:tcPr>
          <w:p w14:paraId="28A1D3B0" w14:textId="77777777" w:rsidR="00A01770" w:rsidRPr="00D30847" w:rsidRDefault="000E1208" w:rsidP="00A01770">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Structural bond for financing the municipalities is issued</w:t>
            </w:r>
          </w:p>
          <w:p w14:paraId="7542E55F" w14:textId="1EFB4564" w:rsidR="000E1208" w:rsidRPr="00D30847" w:rsidRDefault="000E1208" w:rsidP="00A01770">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Development Bond for citizens is issued</w:t>
            </w:r>
          </w:p>
          <w:p w14:paraId="22666E77" w14:textId="77777777" w:rsidR="00485BAA" w:rsidRPr="00D30847" w:rsidRDefault="000E1208" w:rsidP="00A01770">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Green Bond is issued</w:t>
            </w:r>
          </w:p>
        </w:tc>
        <w:tc>
          <w:tcPr>
            <w:tcW w:w="1644" w:type="dxa"/>
            <w:gridSpan w:val="3"/>
            <w:shd w:val="clear" w:color="000000" w:fill="FFFF99"/>
            <w:vAlign w:val="center"/>
            <w:hideMark/>
          </w:tcPr>
          <w:p w14:paraId="4EA895EF" w14:textId="4FDE0B82" w:rsidR="00485BAA" w:rsidRPr="00D30847" w:rsidRDefault="00912BB3" w:rsidP="00A01770">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Issuances of the Development Bond for citizens and the Green Bond will be defined during the monitoring process</w:t>
            </w:r>
          </w:p>
        </w:tc>
        <w:tc>
          <w:tcPr>
            <w:tcW w:w="1758" w:type="dxa"/>
            <w:gridSpan w:val="4"/>
            <w:shd w:val="clear" w:color="000000" w:fill="FFFF99"/>
            <w:vAlign w:val="center"/>
            <w:hideMark/>
          </w:tcPr>
          <w:p w14:paraId="348CCF56" w14:textId="146C654D" w:rsidR="00485BAA" w:rsidRPr="00D30847" w:rsidRDefault="00912BB3" w:rsidP="00A01770">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Issuances of the Development Bond for citizens and the Green Bond will be defined during the monitoring process </w:t>
            </w:r>
            <w:r w:rsidR="000E1208" w:rsidRPr="00D30847">
              <w:rPr>
                <w:rFonts w:ascii="Arial" w:eastAsia="Times New Roman" w:hAnsi="Arial" w:cs="Arial"/>
                <w:sz w:val="12"/>
                <w:szCs w:val="12"/>
                <w:lang w:val="en-GB" w:eastAsia="mk-MK"/>
              </w:rPr>
              <w:t>monitoring process</w:t>
            </w:r>
          </w:p>
        </w:tc>
        <w:tc>
          <w:tcPr>
            <w:tcW w:w="1842" w:type="dxa"/>
            <w:gridSpan w:val="4"/>
            <w:shd w:val="clear" w:color="000000" w:fill="FFFF99"/>
            <w:vAlign w:val="center"/>
            <w:hideMark/>
          </w:tcPr>
          <w:p w14:paraId="18FAE418" w14:textId="77777777" w:rsidR="00485BAA" w:rsidRPr="00D30847" w:rsidRDefault="000E1208" w:rsidP="00485BA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Issuances of the Development Bond for citizens and the Green Bond will be defined during the monitoring process</w:t>
            </w:r>
          </w:p>
        </w:tc>
        <w:tc>
          <w:tcPr>
            <w:tcW w:w="1506" w:type="dxa"/>
            <w:gridSpan w:val="4"/>
            <w:shd w:val="clear" w:color="000000" w:fill="FFFF99"/>
            <w:vAlign w:val="center"/>
            <w:hideMark/>
          </w:tcPr>
          <w:p w14:paraId="6C0D3BFE" w14:textId="77777777" w:rsidR="00485BAA" w:rsidRPr="00D30847" w:rsidRDefault="000E1208" w:rsidP="00A01770">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Issuances of the Development Bond for citizens and the Green Bond will be defined during the monitoring process</w:t>
            </w:r>
          </w:p>
        </w:tc>
      </w:tr>
      <w:tr w:rsidR="00485BAA" w:rsidRPr="00D30847" w14:paraId="4B8D6576" w14:textId="77777777" w:rsidTr="00FD4DDE">
        <w:trPr>
          <w:gridBefore w:val="3"/>
          <w:gridAfter w:val="1"/>
          <w:wBefore w:w="37" w:type="dxa"/>
          <w:wAfter w:w="52" w:type="dxa"/>
          <w:trHeight w:val="261"/>
          <w:jc w:val="center"/>
        </w:trPr>
        <w:tc>
          <w:tcPr>
            <w:tcW w:w="1288" w:type="dxa"/>
            <w:tcBorders>
              <w:top w:val="nil"/>
              <w:left w:val="nil"/>
              <w:bottom w:val="nil"/>
              <w:right w:val="nil"/>
            </w:tcBorders>
            <w:shd w:val="clear" w:color="000000" w:fill="FFFFFF"/>
            <w:vAlign w:val="center"/>
            <w:hideMark/>
          </w:tcPr>
          <w:p w14:paraId="2C4133A5"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015" w:type="dxa"/>
            <w:gridSpan w:val="2"/>
            <w:tcBorders>
              <w:top w:val="nil"/>
              <w:left w:val="nil"/>
              <w:bottom w:val="nil"/>
              <w:right w:val="single" w:sz="8" w:space="0" w:color="000000"/>
            </w:tcBorders>
            <w:shd w:val="clear" w:color="auto" w:fill="auto"/>
            <w:vAlign w:val="center"/>
            <w:hideMark/>
          </w:tcPr>
          <w:p w14:paraId="5C6707AC"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779E3D4E" w14:textId="3DACEE8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0CA2C1CA" w14:textId="77FDCCE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5AF11DF3" w14:textId="3C7F3AC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6F16DCA0" w14:textId="01F08BB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5B1ACECC"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2E7C5EDF" w14:textId="40C0B8D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74506707"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485BAA" w:rsidRPr="00D30847" w14:paraId="0BA6AC28" w14:textId="77777777" w:rsidTr="00FD4DDE">
        <w:trPr>
          <w:gridBefore w:val="3"/>
          <w:gridAfter w:val="1"/>
          <w:wBefore w:w="37" w:type="dxa"/>
          <w:wAfter w:w="52" w:type="dxa"/>
          <w:trHeight w:val="492"/>
          <w:jc w:val="center"/>
        </w:trPr>
        <w:tc>
          <w:tcPr>
            <w:tcW w:w="1288" w:type="dxa"/>
            <w:tcBorders>
              <w:top w:val="nil"/>
              <w:left w:val="nil"/>
              <w:bottom w:val="nil"/>
              <w:right w:val="nil"/>
            </w:tcBorders>
            <w:shd w:val="clear" w:color="000000" w:fill="FFFFFF"/>
            <w:vAlign w:val="center"/>
            <w:hideMark/>
          </w:tcPr>
          <w:p w14:paraId="0A7A4BB1"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015" w:type="dxa"/>
            <w:gridSpan w:val="2"/>
            <w:tcBorders>
              <w:top w:val="nil"/>
              <w:left w:val="nil"/>
              <w:bottom w:val="nil"/>
              <w:right w:val="single" w:sz="8" w:space="0" w:color="000000"/>
            </w:tcBorders>
            <w:shd w:val="clear" w:color="auto" w:fill="auto"/>
            <w:vAlign w:val="center"/>
            <w:hideMark/>
          </w:tcPr>
          <w:p w14:paraId="10B68764"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4574C2BF" w14:textId="5CF3B131" w:rsidR="00485BAA" w:rsidRPr="00D30847" w:rsidRDefault="003D28D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1. </w:t>
            </w:r>
            <w:r w:rsidR="001733BE" w:rsidRPr="00D30847">
              <w:rPr>
                <w:rFonts w:ascii="Arial" w:eastAsia="Times New Roman" w:hAnsi="Arial" w:cs="Arial"/>
                <w:sz w:val="12"/>
                <w:szCs w:val="12"/>
                <w:lang w:val="en-GB" w:eastAsia="mk-MK"/>
              </w:rPr>
              <w:t xml:space="preserve">Issuing of Development bond for citizens </w:t>
            </w:r>
          </w:p>
        </w:tc>
        <w:tc>
          <w:tcPr>
            <w:tcW w:w="1194" w:type="dxa"/>
            <w:gridSpan w:val="2"/>
            <w:shd w:val="clear" w:color="000000" w:fill="FFFF99"/>
            <w:vAlign w:val="center"/>
            <w:hideMark/>
          </w:tcPr>
          <w:p w14:paraId="2B5FF4CD" w14:textId="77777777" w:rsidR="00485BAA" w:rsidRPr="00D30847" w:rsidRDefault="003D28D1"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2024-2027</w:t>
            </w:r>
          </w:p>
        </w:tc>
        <w:tc>
          <w:tcPr>
            <w:tcW w:w="1418" w:type="dxa"/>
            <w:gridSpan w:val="3"/>
            <w:shd w:val="clear" w:color="000000" w:fill="FFFF99"/>
            <w:vAlign w:val="center"/>
            <w:hideMark/>
          </w:tcPr>
          <w:p w14:paraId="1B3F2707" w14:textId="1AD4C984" w:rsidR="00485BAA" w:rsidRPr="00D30847" w:rsidRDefault="00270F3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 Public Debt </w:t>
            </w:r>
            <w:r w:rsidR="00F368A1" w:rsidRPr="00D30847">
              <w:rPr>
                <w:rFonts w:ascii="Arial" w:eastAsia="Times New Roman" w:hAnsi="Arial" w:cs="Arial"/>
                <w:sz w:val="12"/>
                <w:szCs w:val="12"/>
                <w:lang w:val="en-GB" w:eastAsia="mk-MK"/>
              </w:rPr>
              <w:t>Management</w:t>
            </w:r>
            <w:r w:rsidRPr="00D30847">
              <w:rPr>
                <w:rFonts w:ascii="Arial" w:eastAsia="Times New Roman" w:hAnsi="Arial" w:cs="Arial"/>
                <w:sz w:val="12"/>
                <w:szCs w:val="12"/>
                <w:lang w:val="en-GB" w:eastAsia="mk-MK"/>
              </w:rPr>
              <w:t xml:space="preserve"> Department</w:t>
            </w:r>
          </w:p>
        </w:tc>
        <w:tc>
          <w:tcPr>
            <w:tcW w:w="1644" w:type="dxa"/>
            <w:gridSpan w:val="3"/>
            <w:shd w:val="clear" w:color="000000" w:fill="FFFF99"/>
            <w:vAlign w:val="center"/>
            <w:hideMark/>
          </w:tcPr>
          <w:p w14:paraId="60C9071D" w14:textId="77777777" w:rsidR="00485BAA" w:rsidRPr="00D30847" w:rsidRDefault="003D28D1"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Citizens</w:t>
            </w:r>
          </w:p>
        </w:tc>
        <w:tc>
          <w:tcPr>
            <w:tcW w:w="1758" w:type="dxa"/>
            <w:gridSpan w:val="4"/>
            <w:shd w:val="clear" w:color="000000" w:fill="FFFF99"/>
            <w:vAlign w:val="center"/>
            <w:hideMark/>
          </w:tcPr>
          <w:p w14:paraId="1B22DFFE"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r w:rsidR="00F01E25" w:rsidRPr="00D30847">
              <w:rPr>
                <w:rFonts w:ascii="Arial" w:eastAsia="Times New Roman" w:hAnsi="Arial" w:cs="Arial"/>
                <w:sz w:val="12"/>
                <w:szCs w:val="12"/>
                <w:lang w:val="en-GB" w:eastAsia="mk-MK"/>
              </w:rPr>
              <w:t>/</w:t>
            </w:r>
          </w:p>
        </w:tc>
        <w:tc>
          <w:tcPr>
            <w:tcW w:w="1842" w:type="dxa"/>
            <w:gridSpan w:val="4"/>
            <w:shd w:val="clear" w:color="000000" w:fill="FFFF99"/>
            <w:vAlign w:val="center"/>
            <w:hideMark/>
          </w:tcPr>
          <w:p w14:paraId="23F7E1CD" w14:textId="4A74874D" w:rsidR="00485BAA" w:rsidRPr="00D30847" w:rsidRDefault="00407B01"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hideMark/>
          </w:tcPr>
          <w:p w14:paraId="779E36BB" w14:textId="23562921" w:rsidR="00485BAA" w:rsidRPr="00D30847" w:rsidRDefault="00485BAA" w:rsidP="00485BAA">
            <w:pPr>
              <w:spacing w:after="0" w:line="240" w:lineRule="auto"/>
              <w:jc w:val="center"/>
              <w:rPr>
                <w:rFonts w:ascii="Arial" w:eastAsia="Times New Roman" w:hAnsi="Arial" w:cs="Arial"/>
                <w:sz w:val="12"/>
                <w:szCs w:val="12"/>
                <w:lang w:val="en-GB" w:eastAsia="mk-MK"/>
              </w:rPr>
            </w:pPr>
          </w:p>
        </w:tc>
      </w:tr>
      <w:tr w:rsidR="00485BAA" w:rsidRPr="00D30847" w14:paraId="2AC1A248" w14:textId="77777777" w:rsidTr="00FD4DDE">
        <w:trPr>
          <w:gridBefore w:val="3"/>
          <w:gridAfter w:val="1"/>
          <w:wBefore w:w="37" w:type="dxa"/>
          <w:wAfter w:w="52" w:type="dxa"/>
          <w:trHeight w:val="241"/>
          <w:jc w:val="center"/>
        </w:trPr>
        <w:tc>
          <w:tcPr>
            <w:tcW w:w="13501" w:type="dxa"/>
            <w:gridSpan w:val="28"/>
            <w:shd w:val="clear" w:color="000000" w:fill="1F3864"/>
            <w:vAlign w:val="center"/>
            <w:hideMark/>
          </w:tcPr>
          <w:p w14:paraId="53D84450" w14:textId="0A5FF6DB"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lastRenderedPageBreak/>
              <w:t>PILLAR II: Revenue</w:t>
            </w:r>
            <w:r w:rsidR="00B25CB1"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mobilization</w:t>
            </w:r>
          </w:p>
        </w:tc>
      </w:tr>
      <w:tr w:rsidR="00485BAA" w:rsidRPr="00D30847" w14:paraId="56813521" w14:textId="77777777" w:rsidTr="00FD4DDE">
        <w:trPr>
          <w:gridBefore w:val="3"/>
          <w:gridAfter w:val="1"/>
          <w:wBefore w:w="37" w:type="dxa"/>
          <w:wAfter w:w="52" w:type="dxa"/>
          <w:trHeight w:val="241"/>
          <w:jc w:val="center"/>
        </w:trPr>
        <w:tc>
          <w:tcPr>
            <w:tcW w:w="13501" w:type="dxa"/>
            <w:gridSpan w:val="28"/>
            <w:shd w:val="clear" w:color="000000" w:fill="1F3864"/>
            <w:vAlign w:val="center"/>
            <w:hideMark/>
          </w:tcPr>
          <w:p w14:paraId="617B693D" w14:textId="29F8D67C"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PRIORITY 1. Tax</w:t>
            </w:r>
            <w:r w:rsidR="00B25CB1"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and</w:t>
            </w:r>
            <w:r w:rsidR="00B25CB1"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customs</w:t>
            </w:r>
            <w:r w:rsidR="00B25CB1"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policy</w:t>
            </w:r>
          </w:p>
        </w:tc>
      </w:tr>
      <w:tr w:rsidR="00485BAA" w:rsidRPr="00D30847" w14:paraId="52FD94B4" w14:textId="77777777" w:rsidTr="00FD4DDE">
        <w:trPr>
          <w:gridBefore w:val="3"/>
          <w:gridAfter w:val="1"/>
          <w:wBefore w:w="37" w:type="dxa"/>
          <w:wAfter w:w="52" w:type="dxa"/>
          <w:trHeight w:val="238"/>
          <w:jc w:val="center"/>
        </w:trPr>
        <w:tc>
          <w:tcPr>
            <w:tcW w:w="2303" w:type="dxa"/>
            <w:gridSpan w:val="3"/>
            <w:shd w:val="clear" w:color="000000" w:fill="9BD2ED"/>
            <w:vAlign w:val="center"/>
            <w:hideMark/>
          </w:tcPr>
          <w:p w14:paraId="35E02960"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Outcome(s)</w:t>
            </w:r>
          </w:p>
        </w:tc>
        <w:tc>
          <w:tcPr>
            <w:tcW w:w="1836" w:type="dxa"/>
            <w:gridSpan w:val="5"/>
            <w:shd w:val="clear" w:color="000000" w:fill="9BD2ED"/>
            <w:vAlign w:val="center"/>
            <w:hideMark/>
          </w:tcPr>
          <w:p w14:paraId="73A02169" w14:textId="4A491EB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612EBBAB" w14:textId="722C8A94"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B25CB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58E27925"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7069F5" w:rsidRPr="00D30847">
              <w:rPr>
                <w:rFonts w:ascii="Arial" w:eastAsia="Times New Roman" w:hAnsi="Arial" w:cs="Arial"/>
                <w:b/>
                <w:bCs/>
                <w:sz w:val="12"/>
                <w:szCs w:val="12"/>
                <w:lang w:val="en-GB" w:eastAsia="mk-MK"/>
              </w:rPr>
              <w:t>2</w:t>
            </w:r>
          </w:p>
        </w:tc>
        <w:tc>
          <w:tcPr>
            <w:tcW w:w="1644" w:type="dxa"/>
            <w:gridSpan w:val="3"/>
            <w:shd w:val="clear" w:color="000000" w:fill="9BD2ED"/>
            <w:vAlign w:val="center"/>
            <w:hideMark/>
          </w:tcPr>
          <w:p w14:paraId="034E5B1C" w14:textId="16FC3FC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41873"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7009EC67" w14:textId="66275F5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41873"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47BF2434" w14:textId="0F80EF8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41873"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0ADCC851" w14:textId="6072225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41873" w:rsidRPr="00D30847">
              <w:rPr>
                <w:rFonts w:ascii="Arial" w:eastAsia="Times New Roman" w:hAnsi="Arial" w:cs="Arial"/>
                <w:b/>
                <w:bCs/>
                <w:sz w:val="12"/>
                <w:szCs w:val="12"/>
                <w:lang w:val="en-GB" w:eastAsia="mk-MK"/>
              </w:rPr>
              <w:t>8</w:t>
            </w:r>
          </w:p>
        </w:tc>
      </w:tr>
      <w:tr w:rsidR="00485BAA" w:rsidRPr="00D30847" w14:paraId="0A44E1D1" w14:textId="77777777" w:rsidTr="00FD4DDE">
        <w:trPr>
          <w:gridBefore w:val="3"/>
          <w:gridAfter w:val="1"/>
          <w:wBefore w:w="37" w:type="dxa"/>
          <w:wAfter w:w="52" w:type="dxa"/>
          <w:trHeight w:val="1139"/>
          <w:jc w:val="center"/>
        </w:trPr>
        <w:tc>
          <w:tcPr>
            <w:tcW w:w="2303" w:type="dxa"/>
            <w:gridSpan w:val="3"/>
            <w:shd w:val="clear" w:color="000000" w:fill="FFFF99"/>
            <w:vAlign w:val="center"/>
            <w:hideMark/>
          </w:tcPr>
          <w:p w14:paraId="653EAFF4" w14:textId="11DBD1D8" w:rsidR="00485BAA" w:rsidRPr="00D30847" w:rsidRDefault="00B25CB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Legislation in the area of taxation and customs harmonized with the Union acquis, standards and best practices</w:t>
            </w:r>
          </w:p>
        </w:tc>
        <w:tc>
          <w:tcPr>
            <w:tcW w:w="1836" w:type="dxa"/>
            <w:gridSpan w:val="5"/>
            <w:shd w:val="clear" w:color="000000" w:fill="FFFF99"/>
            <w:vAlign w:val="center"/>
            <w:hideMark/>
          </w:tcPr>
          <w:p w14:paraId="30F1196E" w14:textId="2EAB6020" w:rsidR="00485BAA" w:rsidRPr="00D30847" w:rsidRDefault="0043103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Progress made toward </w:t>
            </w:r>
            <w:r w:rsidR="00F368A1" w:rsidRPr="00D30847">
              <w:rPr>
                <w:rFonts w:ascii="Arial" w:eastAsia="Times New Roman" w:hAnsi="Arial" w:cs="Arial"/>
                <w:sz w:val="12"/>
                <w:szCs w:val="12"/>
                <w:lang w:val="en-GB" w:eastAsia="mk-MK"/>
              </w:rPr>
              <w:t>fulfilment</w:t>
            </w:r>
            <w:r w:rsidRPr="00D30847">
              <w:rPr>
                <w:rFonts w:ascii="Arial" w:eastAsia="Times New Roman" w:hAnsi="Arial" w:cs="Arial"/>
                <w:sz w:val="12"/>
                <w:szCs w:val="12"/>
                <w:lang w:val="en-GB" w:eastAsia="mk-MK"/>
              </w:rPr>
              <w:t xml:space="preserve"> of EU accession criteria (steady progress in related Chapters 16 and 29)</w:t>
            </w:r>
          </w:p>
        </w:tc>
        <w:tc>
          <w:tcPr>
            <w:tcW w:w="1194" w:type="dxa"/>
            <w:gridSpan w:val="2"/>
            <w:shd w:val="clear" w:color="000000" w:fill="FFFF99"/>
            <w:vAlign w:val="center"/>
            <w:hideMark/>
          </w:tcPr>
          <w:p w14:paraId="2C69591E" w14:textId="3DF5655F"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EC progress</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report</w:t>
            </w:r>
          </w:p>
        </w:tc>
        <w:tc>
          <w:tcPr>
            <w:tcW w:w="1418" w:type="dxa"/>
            <w:gridSpan w:val="3"/>
            <w:shd w:val="clear" w:color="000000" w:fill="FFFF99"/>
            <w:vAlign w:val="center"/>
            <w:hideMark/>
          </w:tcPr>
          <w:p w14:paraId="608CAAAA" w14:textId="12CB1637" w:rsidR="00485BAA" w:rsidRPr="00D30847" w:rsidRDefault="00485BAA" w:rsidP="00482A8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Ch.29:</w:t>
            </w:r>
            <w:r w:rsidRPr="00D30847">
              <w:rPr>
                <w:rFonts w:ascii="Arial" w:eastAsia="Times New Roman" w:hAnsi="Arial" w:cs="Arial"/>
                <w:sz w:val="12"/>
                <w:szCs w:val="12"/>
                <w:lang w:val="en-GB" w:eastAsia="mk-MK"/>
              </w:rPr>
              <w:br/>
              <w:t>Good</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level</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preparation</w:t>
            </w:r>
            <w:r w:rsidRPr="00D30847">
              <w:rPr>
                <w:rFonts w:ascii="Arial" w:eastAsia="Times New Roman" w:hAnsi="Arial" w:cs="Arial"/>
                <w:sz w:val="12"/>
                <w:szCs w:val="12"/>
                <w:lang w:val="en-GB" w:eastAsia="mk-MK"/>
              </w:rPr>
              <w:br/>
              <w:t>Good</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progress</w:t>
            </w:r>
            <w:r w:rsidRPr="00D30847">
              <w:rPr>
                <w:rFonts w:ascii="Arial" w:eastAsia="Times New Roman" w:hAnsi="Arial" w:cs="Arial"/>
                <w:sz w:val="12"/>
                <w:szCs w:val="12"/>
                <w:lang w:val="en-GB" w:eastAsia="mk-MK"/>
              </w:rPr>
              <w:br/>
              <w:t>Ch.16:</w:t>
            </w:r>
            <w:r w:rsidRPr="00D30847">
              <w:rPr>
                <w:rFonts w:ascii="Arial" w:eastAsia="Times New Roman" w:hAnsi="Arial" w:cs="Arial"/>
                <w:sz w:val="12"/>
                <w:szCs w:val="12"/>
                <w:lang w:val="en-GB" w:eastAsia="mk-MK"/>
              </w:rPr>
              <w:br/>
              <w:t>Moderately</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prepared</w:t>
            </w:r>
            <w:r w:rsidRPr="00D30847">
              <w:rPr>
                <w:rFonts w:ascii="Arial" w:eastAsia="Times New Roman" w:hAnsi="Arial" w:cs="Arial"/>
                <w:sz w:val="12"/>
                <w:szCs w:val="12"/>
                <w:lang w:val="en-GB" w:eastAsia="mk-MK"/>
              </w:rPr>
              <w:br/>
              <w:t>Limited</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progress</w:t>
            </w:r>
          </w:p>
        </w:tc>
        <w:tc>
          <w:tcPr>
            <w:tcW w:w="1644" w:type="dxa"/>
            <w:gridSpan w:val="3"/>
            <w:shd w:val="clear" w:color="000000" w:fill="FFFF99"/>
            <w:vAlign w:val="center"/>
            <w:hideMark/>
          </w:tcPr>
          <w:p w14:paraId="0F7C22A3" w14:textId="159BB5E7" w:rsidR="00485BAA" w:rsidRPr="00D30847" w:rsidRDefault="00485BAA" w:rsidP="00482A8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Ch.29:</w:t>
            </w:r>
            <w:r w:rsidRPr="00D30847">
              <w:rPr>
                <w:rFonts w:ascii="Arial" w:eastAsia="Times New Roman" w:hAnsi="Arial" w:cs="Arial"/>
                <w:sz w:val="12"/>
                <w:szCs w:val="12"/>
                <w:lang w:val="en-GB" w:eastAsia="mk-MK"/>
              </w:rPr>
              <w:br/>
              <w:t>Good</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level</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preparation</w:t>
            </w:r>
            <w:r w:rsidRPr="00D30847">
              <w:rPr>
                <w:rFonts w:ascii="Arial" w:eastAsia="Times New Roman" w:hAnsi="Arial" w:cs="Arial"/>
                <w:sz w:val="12"/>
                <w:szCs w:val="12"/>
                <w:lang w:val="en-GB" w:eastAsia="mk-MK"/>
              </w:rPr>
              <w:br/>
              <w:t>Good</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progress</w:t>
            </w:r>
            <w:r w:rsidRPr="00D30847">
              <w:rPr>
                <w:rFonts w:ascii="Arial" w:eastAsia="Times New Roman" w:hAnsi="Arial" w:cs="Arial"/>
                <w:sz w:val="12"/>
                <w:szCs w:val="12"/>
                <w:lang w:val="en-GB" w:eastAsia="mk-MK"/>
              </w:rPr>
              <w:br/>
              <w:t>Ch.16:</w:t>
            </w:r>
            <w:r w:rsidRPr="00D30847">
              <w:rPr>
                <w:rFonts w:ascii="Arial" w:eastAsia="Times New Roman" w:hAnsi="Arial" w:cs="Arial"/>
                <w:sz w:val="12"/>
                <w:szCs w:val="12"/>
                <w:lang w:val="en-GB" w:eastAsia="mk-MK"/>
              </w:rPr>
              <w:br/>
              <w:t>Moderately</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prepared</w:t>
            </w:r>
            <w:r w:rsidRPr="00D30847">
              <w:rPr>
                <w:rFonts w:ascii="Arial" w:eastAsia="Times New Roman" w:hAnsi="Arial" w:cs="Arial"/>
                <w:sz w:val="12"/>
                <w:szCs w:val="12"/>
                <w:lang w:val="en-GB" w:eastAsia="mk-MK"/>
              </w:rPr>
              <w:br/>
            </w:r>
            <w:r w:rsidR="00841873" w:rsidRPr="00D30847">
              <w:rPr>
                <w:rFonts w:ascii="Arial" w:eastAsia="Times New Roman" w:hAnsi="Arial" w:cs="Arial"/>
                <w:sz w:val="12"/>
                <w:szCs w:val="12"/>
                <w:lang w:val="en-GB" w:eastAsia="mk-MK"/>
              </w:rPr>
              <w:t>Limited</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progress</w:t>
            </w:r>
          </w:p>
        </w:tc>
        <w:tc>
          <w:tcPr>
            <w:tcW w:w="1758" w:type="dxa"/>
            <w:gridSpan w:val="4"/>
            <w:shd w:val="clear" w:color="000000" w:fill="FFFF99"/>
            <w:vAlign w:val="center"/>
            <w:hideMark/>
          </w:tcPr>
          <w:p w14:paraId="284989C1" w14:textId="119E1A0A" w:rsidR="00485BAA" w:rsidRPr="00D30847" w:rsidRDefault="00CE7B39" w:rsidP="00482A8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Ch.29:</w:t>
            </w:r>
            <w:r w:rsidRPr="00D30847">
              <w:rPr>
                <w:rFonts w:ascii="Arial" w:eastAsia="Times New Roman" w:hAnsi="Arial" w:cs="Arial"/>
                <w:sz w:val="12"/>
                <w:szCs w:val="12"/>
                <w:lang w:val="en-GB" w:eastAsia="mk-MK"/>
              </w:rPr>
              <w:br/>
              <w:t>Good</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level</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preparation</w:t>
            </w:r>
            <w:r w:rsidRPr="00D30847">
              <w:rPr>
                <w:rFonts w:ascii="Arial" w:eastAsia="Times New Roman" w:hAnsi="Arial" w:cs="Arial"/>
                <w:sz w:val="12"/>
                <w:szCs w:val="12"/>
                <w:lang w:val="en-GB" w:eastAsia="mk-MK"/>
              </w:rPr>
              <w:br/>
              <w:t>Good</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progress</w:t>
            </w:r>
            <w:r w:rsidRPr="00D30847">
              <w:rPr>
                <w:rFonts w:ascii="Arial" w:eastAsia="Times New Roman" w:hAnsi="Arial" w:cs="Arial"/>
                <w:sz w:val="12"/>
                <w:szCs w:val="12"/>
                <w:lang w:val="en-GB" w:eastAsia="mk-MK"/>
              </w:rPr>
              <w:br/>
              <w:t>Ch.16:</w:t>
            </w:r>
            <w:r w:rsidRPr="00D30847">
              <w:rPr>
                <w:rFonts w:ascii="Arial" w:eastAsia="Times New Roman" w:hAnsi="Arial" w:cs="Arial"/>
                <w:sz w:val="12"/>
                <w:szCs w:val="12"/>
                <w:lang w:val="en-GB" w:eastAsia="mk-MK"/>
              </w:rPr>
              <w:br/>
              <w:t>Moderately</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prepared</w:t>
            </w:r>
            <w:r w:rsidRPr="00D30847">
              <w:rPr>
                <w:rFonts w:ascii="Arial" w:eastAsia="Times New Roman" w:hAnsi="Arial" w:cs="Arial"/>
                <w:sz w:val="12"/>
                <w:szCs w:val="12"/>
                <w:lang w:val="en-GB" w:eastAsia="mk-MK"/>
              </w:rPr>
              <w:br/>
            </w:r>
            <w:r w:rsidR="00841873" w:rsidRPr="00D30847">
              <w:rPr>
                <w:rFonts w:ascii="Arial" w:eastAsia="Times New Roman" w:hAnsi="Arial" w:cs="Arial"/>
                <w:sz w:val="12"/>
                <w:szCs w:val="12"/>
                <w:lang w:val="en-GB" w:eastAsia="mk-MK"/>
              </w:rPr>
              <w:t>Some</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progress</w:t>
            </w:r>
          </w:p>
        </w:tc>
        <w:tc>
          <w:tcPr>
            <w:tcW w:w="1842" w:type="dxa"/>
            <w:gridSpan w:val="4"/>
            <w:shd w:val="clear" w:color="000000" w:fill="FFFF99"/>
            <w:vAlign w:val="center"/>
            <w:hideMark/>
          </w:tcPr>
          <w:p w14:paraId="28366FFB" w14:textId="37A9C829" w:rsidR="00485BAA" w:rsidRPr="00D30847" w:rsidRDefault="00CE7B39" w:rsidP="00482A8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Ch.29:</w:t>
            </w:r>
            <w:r w:rsidRPr="00D30847">
              <w:rPr>
                <w:rFonts w:ascii="Arial" w:eastAsia="Times New Roman" w:hAnsi="Arial" w:cs="Arial"/>
                <w:sz w:val="12"/>
                <w:szCs w:val="12"/>
                <w:lang w:val="en-GB" w:eastAsia="mk-MK"/>
              </w:rPr>
              <w:br/>
              <w:t>Good</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level</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preparation</w:t>
            </w:r>
            <w:r w:rsidRPr="00D30847">
              <w:rPr>
                <w:rFonts w:ascii="Arial" w:eastAsia="Times New Roman" w:hAnsi="Arial" w:cs="Arial"/>
                <w:sz w:val="12"/>
                <w:szCs w:val="12"/>
                <w:lang w:val="en-GB" w:eastAsia="mk-MK"/>
              </w:rPr>
              <w:br/>
              <w:t>Very</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Good</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progress</w:t>
            </w:r>
            <w:r w:rsidRPr="00D30847">
              <w:rPr>
                <w:rFonts w:ascii="Arial" w:eastAsia="Times New Roman" w:hAnsi="Arial" w:cs="Arial"/>
                <w:sz w:val="12"/>
                <w:szCs w:val="12"/>
                <w:lang w:val="en-GB" w:eastAsia="mk-MK"/>
              </w:rPr>
              <w:br/>
              <w:t>Ch.16:</w:t>
            </w:r>
            <w:r w:rsidRPr="00D30847">
              <w:rPr>
                <w:rFonts w:ascii="Arial" w:eastAsia="Times New Roman" w:hAnsi="Arial" w:cs="Arial"/>
                <w:sz w:val="12"/>
                <w:szCs w:val="12"/>
                <w:lang w:val="en-GB" w:eastAsia="mk-MK"/>
              </w:rPr>
              <w:br/>
              <w:t>Good level of preparation</w:t>
            </w:r>
            <w:r w:rsidRPr="00D30847">
              <w:rPr>
                <w:rFonts w:ascii="Arial" w:eastAsia="Times New Roman" w:hAnsi="Arial" w:cs="Arial"/>
                <w:sz w:val="12"/>
                <w:szCs w:val="12"/>
                <w:lang w:val="en-GB" w:eastAsia="mk-MK"/>
              </w:rPr>
              <w:br/>
              <w:t>Good</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progress</w:t>
            </w:r>
          </w:p>
        </w:tc>
        <w:tc>
          <w:tcPr>
            <w:tcW w:w="1506" w:type="dxa"/>
            <w:gridSpan w:val="4"/>
            <w:shd w:val="clear" w:color="000000" w:fill="FFFF99"/>
            <w:vAlign w:val="center"/>
            <w:hideMark/>
          </w:tcPr>
          <w:p w14:paraId="4B72B2DF" w14:textId="2C42A5A3" w:rsidR="00485BAA" w:rsidRPr="00D30847" w:rsidRDefault="00485BAA" w:rsidP="00482A8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Ch.29:</w:t>
            </w:r>
            <w:r w:rsidRPr="00D30847">
              <w:rPr>
                <w:rFonts w:ascii="Arial" w:eastAsia="Times New Roman" w:hAnsi="Arial" w:cs="Arial"/>
                <w:sz w:val="12"/>
                <w:szCs w:val="12"/>
                <w:lang w:val="en-GB" w:eastAsia="mk-MK"/>
              </w:rPr>
              <w:br/>
              <w:t>Good</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level</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preparation</w:t>
            </w:r>
            <w:r w:rsidRPr="00D30847">
              <w:rPr>
                <w:rFonts w:ascii="Arial" w:eastAsia="Times New Roman" w:hAnsi="Arial" w:cs="Arial"/>
                <w:sz w:val="12"/>
                <w:szCs w:val="12"/>
                <w:lang w:val="en-GB" w:eastAsia="mk-MK"/>
              </w:rPr>
              <w:br/>
              <w:t>Very</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Good</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progress</w:t>
            </w:r>
            <w:r w:rsidRPr="00D30847">
              <w:rPr>
                <w:rFonts w:ascii="Arial" w:eastAsia="Times New Roman" w:hAnsi="Arial" w:cs="Arial"/>
                <w:sz w:val="12"/>
                <w:szCs w:val="12"/>
                <w:lang w:val="en-GB" w:eastAsia="mk-MK"/>
              </w:rPr>
              <w:br/>
              <w:t>Ch.16:</w:t>
            </w:r>
            <w:r w:rsidRPr="00D30847">
              <w:rPr>
                <w:rFonts w:ascii="Arial" w:eastAsia="Times New Roman" w:hAnsi="Arial" w:cs="Arial"/>
                <w:sz w:val="12"/>
                <w:szCs w:val="12"/>
                <w:lang w:val="en-GB" w:eastAsia="mk-MK"/>
              </w:rPr>
              <w:br/>
              <w:t>Good</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level</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preparation</w:t>
            </w:r>
            <w:r w:rsidRPr="00D30847">
              <w:rPr>
                <w:rFonts w:ascii="Arial" w:eastAsia="Times New Roman" w:hAnsi="Arial" w:cs="Arial"/>
                <w:sz w:val="12"/>
                <w:szCs w:val="12"/>
                <w:lang w:val="en-GB" w:eastAsia="mk-MK"/>
              </w:rPr>
              <w:br/>
              <w:t>Good</w:t>
            </w:r>
            <w:r w:rsidR="00D652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progress</w:t>
            </w:r>
          </w:p>
        </w:tc>
      </w:tr>
      <w:tr w:rsidR="00485BAA" w:rsidRPr="00D30847" w14:paraId="4D150F10" w14:textId="77777777" w:rsidTr="00FD4DDE">
        <w:trPr>
          <w:gridBefore w:val="3"/>
          <w:gridAfter w:val="1"/>
          <w:wBefore w:w="37" w:type="dxa"/>
          <w:wAfter w:w="52" w:type="dxa"/>
          <w:trHeight w:val="268"/>
          <w:jc w:val="center"/>
        </w:trPr>
        <w:tc>
          <w:tcPr>
            <w:tcW w:w="13501" w:type="dxa"/>
            <w:gridSpan w:val="28"/>
            <w:shd w:val="clear" w:color="000000" w:fill="9BD2ED"/>
            <w:vAlign w:val="center"/>
            <w:hideMark/>
          </w:tcPr>
          <w:p w14:paraId="0F97C960" w14:textId="5A14544F"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w:t>
            </w:r>
            <w:r w:rsidR="00577A56"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1</w:t>
            </w:r>
            <w:r w:rsidR="00577A56" w:rsidRPr="00D30847">
              <w:rPr>
                <w:rFonts w:ascii="Arial" w:eastAsia="Times New Roman" w:hAnsi="Arial" w:cs="Arial"/>
                <w:b/>
                <w:bCs/>
                <w:sz w:val="12"/>
                <w:szCs w:val="12"/>
                <w:lang w:val="en-GB" w:eastAsia="mk-MK"/>
              </w:rPr>
              <w:t>.</w:t>
            </w:r>
            <w:r w:rsidRPr="00D30847">
              <w:rPr>
                <w:rFonts w:ascii="Arial" w:eastAsia="Times New Roman" w:hAnsi="Arial" w:cs="Arial"/>
                <w:b/>
                <w:bCs/>
                <w:sz w:val="12"/>
                <w:szCs w:val="12"/>
                <w:lang w:val="en-GB" w:eastAsia="mk-MK"/>
              </w:rPr>
              <w:t xml:space="preserve"> Improved</w:t>
            </w:r>
            <w:r w:rsidR="00D652D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revenue</w:t>
            </w:r>
            <w:r w:rsidR="00D652D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legislation</w:t>
            </w:r>
            <w:r w:rsidR="00D652D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framework, harmonized</w:t>
            </w:r>
            <w:r w:rsidR="00D652D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with</w:t>
            </w:r>
            <w:r w:rsidR="00D652D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the EU acquis</w:t>
            </w:r>
            <w:r w:rsidR="00A051FF" w:rsidRPr="00D30847">
              <w:rPr>
                <w:rFonts w:ascii="Arial" w:eastAsia="Times New Roman" w:hAnsi="Arial" w:cs="Arial"/>
                <w:b/>
                <w:bCs/>
                <w:sz w:val="12"/>
                <w:szCs w:val="12"/>
                <w:lang w:val="en-GB" w:eastAsia="mk-MK"/>
              </w:rPr>
              <w:t xml:space="preserve"> and best practices</w:t>
            </w:r>
          </w:p>
        </w:tc>
      </w:tr>
      <w:tr w:rsidR="00485BAA" w:rsidRPr="00D30847" w14:paraId="21DCD8E5" w14:textId="77777777" w:rsidTr="00FD4DDE">
        <w:trPr>
          <w:gridBefore w:val="3"/>
          <w:gridAfter w:val="1"/>
          <w:wBefore w:w="37" w:type="dxa"/>
          <w:wAfter w:w="52" w:type="dxa"/>
          <w:trHeight w:val="217"/>
          <w:jc w:val="center"/>
        </w:trPr>
        <w:tc>
          <w:tcPr>
            <w:tcW w:w="2303" w:type="dxa"/>
            <w:gridSpan w:val="3"/>
            <w:vMerge w:val="restart"/>
            <w:tcBorders>
              <w:top w:val="nil"/>
              <w:left w:val="nil"/>
              <w:bottom w:val="nil"/>
              <w:right w:val="single" w:sz="8" w:space="0" w:color="000000"/>
            </w:tcBorders>
            <w:shd w:val="clear" w:color="auto" w:fill="auto"/>
            <w:vAlign w:val="center"/>
            <w:hideMark/>
          </w:tcPr>
          <w:p w14:paraId="3BEFB294"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75A2A277" w14:textId="084E974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D652D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7B3FB31A" w14:textId="4A0F6A3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D652D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55C6E0A8"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7069F5" w:rsidRPr="00D30847">
              <w:rPr>
                <w:rFonts w:ascii="Arial" w:eastAsia="Times New Roman" w:hAnsi="Arial" w:cs="Arial"/>
                <w:b/>
                <w:bCs/>
                <w:sz w:val="12"/>
                <w:szCs w:val="12"/>
                <w:lang w:val="en-GB" w:eastAsia="mk-MK"/>
              </w:rPr>
              <w:t>2</w:t>
            </w:r>
          </w:p>
        </w:tc>
        <w:tc>
          <w:tcPr>
            <w:tcW w:w="1644" w:type="dxa"/>
            <w:gridSpan w:val="3"/>
            <w:shd w:val="clear" w:color="000000" w:fill="9BD2ED"/>
            <w:vAlign w:val="center"/>
            <w:hideMark/>
          </w:tcPr>
          <w:p w14:paraId="49A582BE" w14:textId="7959B12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41873"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6D959A92" w14:textId="00EEC00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41873"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1F57D44B" w14:textId="62497454"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41873"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07780177" w14:textId="3700A5AA"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41873" w:rsidRPr="00D30847">
              <w:rPr>
                <w:rFonts w:ascii="Arial" w:eastAsia="Times New Roman" w:hAnsi="Arial" w:cs="Arial"/>
                <w:b/>
                <w:bCs/>
                <w:sz w:val="12"/>
                <w:szCs w:val="12"/>
                <w:lang w:val="en-GB" w:eastAsia="mk-MK"/>
              </w:rPr>
              <w:t>8</w:t>
            </w:r>
          </w:p>
        </w:tc>
      </w:tr>
      <w:tr w:rsidR="00485BAA" w:rsidRPr="00D30847" w14:paraId="5F1360C2" w14:textId="77777777" w:rsidTr="00FD4DDE">
        <w:trPr>
          <w:gridBefore w:val="3"/>
          <w:gridAfter w:val="1"/>
          <w:wBefore w:w="37" w:type="dxa"/>
          <w:wAfter w:w="52" w:type="dxa"/>
          <w:trHeight w:val="1255"/>
          <w:jc w:val="center"/>
        </w:trPr>
        <w:tc>
          <w:tcPr>
            <w:tcW w:w="2303" w:type="dxa"/>
            <w:gridSpan w:val="3"/>
            <w:vMerge/>
            <w:tcBorders>
              <w:top w:val="nil"/>
              <w:left w:val="nil"/>
              <w:bottom w:val="nil"/>
              <w:right w:val="single" w:sz="8" w:space="0" w:color="000000"/>
            </w:tcBorders>
            <w:vAlign w:val="center"/>
            <w:hideMark/>
          </w:tcPr>
          <w:p w14:paraId="3079988B"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43DDCDAF" w14:textId="78D36128" w:rsidR="00485BAA" w:rsidRPr="00D30847" w:rsidRDefault="00D652D0"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legislative acts (regarding Ch.16 And Ch.29)</w:t>
            </w:r>
          </w:p>
        </w:tc>
        <w:tc>
          <w:tcPr>
            <w:tcW w:w="1194" w:type="dxa"/>
            <w:gridSpan w:val="2"/>
            <w:shd w:val="clear" w:color="000000" w:fill="FFFF99"/>
            <w:vAlign w:val="center"/>
            <w:hideMark/>
          </w:tcPr>
          <w:p w14:paraId="2F288D77" w14:textId="6D52EC11" w:rsidR="00485BAA" w:rsidRPr="00D30847" w:rsidRDefault="00D652D0"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Public Revenues and Tax and customs policy department</w:t>
            </w:r>
            <w:r w:rsidR="00485BAA" w:rsidRPr="00D30847">
              <w:rPr>
                <w:rFonts w:ascii="Arial" w:eastAsia="Times New Roman" w:hAnsi="Arial" w:cs="Arial"/>
                <w:sz w:val="12"/>
                <w:szCs w:val="12"/>
                <w:lang w:val="en-GB" w:eastAsia="mk-MK"/>
              </w:rPr>
              <w:br/>
            </w:r>
          </w:p>
        </w:tc>
        <w:tc>
          <w:tcPr>
            <w:tcW w:w="1418" w:type="dxa"/>
            <w:gridSpan w:val="3"/>
            <w:shd w:val="clear" w:color="000000" w:fill="FFFF99"/>
            <w:vAlign w:val="center"/>
            <w:hideMark/>
          </w:tcPr>
          <w:p w14:paraId="41C7CE5F" w14:textId="1F9E6F74" w:rsidR="00485BAA" w:rsidRPr="00D30847" w:rsidRDefault="00D652D0"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Prepared 22 gap analysis, 9 written recommendations and new legal acts and/or amendments to the existing national tax and customs legislation</w:t>
            </w:r>
          </w:p>
        </w:tc>
        <w:tc>
          <w:tcPr>
            <w:tcW w:w="1644" w:type="dxa"/>
            <w:gridSpan w:val="3"/>
            <w:shd w:val="clear" w:color="000000" w:fill="FFFF99"/>
            <w:vAlign w:val="center"/>
            <w:hideMark/>
          </w:tcPr>
          <w:p w14:paraId="2944D892" w14:textId="2EE04652" w:rsidR="00485BAA" w:rsidRPr="00D30847" w:rsidRDefault="00404D9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Not less tha</w:t>
            </w:r>
            <w:r w:rsidR="00D652D0" w:rsidRPr="00D30847">
              <w:rPr>
                <w:rFonts w:ascii="Arial" w:eastAsia="Times New Roman" w:hAnsi="Arial" w:cs="Arial"/>
                <w:sz w:val="12"/>
                <w:szCs w:val="12"/>
                <w:lang w:val="en-GB" w:eastAsia="mk-MK"/>
              </w:rPr>
              <w:t xml:space="preserve">n </w:t>
            </w:r>
            <w:r w:rsidR="00841873" w:rsidRPr="00D30847">
              <w:rPr>
                <w:rFonts w:ascii="Arial" w:eastAsia="Times New Roman" w:hAnsi="Arial" w:cs="Arial"/>
                <w:sz w:val="12"/>
                <w:szCs w:val="12"/>
                <w:lang w:val="en-GB" w:eastAsia="mk-MK"/>
              </w:rPr>
              <w:t>1</w:t>
            </w:r>
            <w:r w:rsidR="00D652D0" w:rsidRPr="00D30847">
              <w:rPr>
                <w:rFonts w:ascii="Arial" w:eastAsia="Times New Roman" w:hAnsi="Arial" w:cs="Arial"/>
                <w:sz w:val="12"/>
                <w:szCs w:val="12"/>
                <w:lang w:val="en-GB" w:eastAsia="mk-MK"/>
              </w:rPr>
              <w:t xml:space="preserve"> legislative acts</w:t>
            </w:r>
          </w:p>
        </w:tc>
        <w:tc>
          <w:tcPr>
            <w:tcW w:w="1758" w:type="dxa"/>
            <w:gridSpan w:val="4"/>
            <w:shd w:val="clear" w:color="000000" w:fill="FFFF99"/>
            <w:vAlign w:val="center"/>
            <w:hideMark/>
          </w:tcPr>
          <w:p w14:paraId="51352C82" w14:textId="6CF69047" w:rsidR="00485BAA" w:rsidRPr="00D30847" w:rsidRDefault="00D652D0"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Not less </w:t>
            </w:r>
            <w:r w:rsidR="00404D96" w:rsidRPr="00D30847">
              <w:rPr>
                <w:rFonts w:ascii="Arial" w:eastAsia="Times New Roman" w:hAnsi="Arial" w:cs="Arial"/>
                <w:sz w:val="12"/>
                <w:szCs w:val="12"/>
                <w:lang w:val="en-GB" w:eastAsia="mk-MK"/>
              </w:rPr>
              <w:t>than</w:t>
            </w:r>
            <w:r w:rsidRPr="00D30847">
              <w:rPr>
                <w:rFonts w:ascii="Arial" w:eastAsia="Times New Roman" w:hAnsi="Arial" w:cs="Arial"/>
                <w:sz w:val="12"/>
                <w:szCs w:val="12"/>
                <w:lang w:val="en-GB" w:eastAsia="mk-MK"/>
              </w:rPr>
              <w:t xml:space="preserve"> </w:t>
            </w:r>
            <w:r w:rsidR="00841873" w:rsidRPr="00D30847">
              <w:rPr>
                <w:rFonts w:ascii="Arial" w:eastAsia="Times New Roman" w:hAnsi="Arial" w:cs="Arial"/>
                <w:sz w:val="12"/>
                <w:szCs w:val="12"/>
                <w:lang w:val="en-GB" w:eastAsia="mk-MK"/>
              </w:rPr>
              <w:t>1</w:t>
            </w:r>
            <w:r w:rsidRPr="00D30847">
              <w:rPr>
                <w:rFonts w:ascii="Arial" w:eastAsia="Times New Roman" w:hAnsi="Arial" w:cs="Arial"/>
                <w:sz w:val="12"/>
                <w:szCs w:val="12"/>
                <w:lang w:val="en-GB" w:eastAsia="mk-MK"/>
              </w:rPr>
              <w:t xml:space="preserve"> legislative acts</w:t>
            </w:r>
          </w:p>
        </w:tc>
        <w:tc>
          <w:tcPr>
            <w:tcW w:w="1842" w:type="dxa"/>
            <w:gridSpan w:val="4"/>
            <w:shd w:val="clear" w:color="000000" w:fill="FFFF99"/>
            <w:vAlign w:val="center"/>
            <w:hideMark/>
          </w:tcPr>
          <w:p w14:paraId="7FF95E66" w14:textId="4A09E17D" w:rsidR="00485BAA" w:rsidRPr="00D30847" w:rsidRDefault="00D652D0"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Not less </w:t>
            </w:r>
            <w:r w:rsidR="00404D96" w:rsidRPr="00D30847">
              <w:rPr>
                <w:rFonts w:ascii="Arial" w:eastAsia="Times New Roman" w:hAnsi="Arial" w:cs="Arial"/>
                <w:sz w:val="12"/>
                <w:szCs w:val="12"/>
                <w:lang w:val="en-GB" w:eastAsia="mk-MK"/>
              </w:rPr>
              <w:t>than</w:t>
            </w:r>
            <w:r w:rsidRPr="00D30847">
              <w:rPr>
                <w:rFonts w:ascii="Arial" w:eastAsia="Times New Roman" w:hAnsi="Arial" w:cs="Arial"/>
                <w:sz w:val="12"/>
                <w:szCs w:val="12"/>
                <w:lang w:val="en-GB" w:eastAsia="mk-MK"/>
              </w:rPr>
              <w:t xml:space="preserve"> </w:t>
            </w:r>
            <w:r w:rsidR="00841873" w:rsidRPr="00D30847">
              <w:rPr>
                <w:rFonts w:ascii="Arial" w:eastAsia="Times New Roman" w:hAnsi="Arial" w:cs="Arial"/>
                <w:sz w:val="12"/>
                <w:szCs w:val="12"/>
                <w:lang w:val="en-GB" w:eastAsia="mk-MK"/>
              </w:rPr>
              <w:t>2</w:t>
            </w:r>
            <w:r w:rsidRPr="00D30847">
              <w:rPr>
                <w:rFonts w:ascii="Arial" w:eastAsia="Times New Roman" w:hAnsi="Arial" w:cs="Arial"/>
                <w:sz w:val="12"/>
                <w:szCs w:val="12"/>
                <w:lang w:val="en-GB" w:eastAsia="mk-MK"/>
              </w:rPr>
              <w:t xml:space="preserve"> legislative acts</w:t>
            </w:r>
          </w:p>
        </w:tc>
        <w:tc>
          <w:tcPr>
            <w:tcW w:w="1506" w:type="dxa"/>
            <w:gridSpan w:val="4"/>
            <w:shd w:val="clear" w:color="000000" w:fill="FFFF99"/>
            <w:vAlign w:val="center"/>
            <w:hideMark/>
          </w:tcPr>
          <w:p w14:paraId="1CA773D5" w14:textId="781C4F40" w:rsidR="00485BAA" w:rsidRPr="00D30847" w:rsidRDefault="00D652D0"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Not less </w:t>
            </w:r>
            <w:r w:rsidR="00404D96" w:rsidRPr="00D30847">
              <w:rPr>
                <w:rFonts w:ascii="Arial" w:eastAsia="Times New Roman" w:hAnsi="Arial" w:cs="Arial"/>
                <w:sz w:val="12"/>
                <w:szCs w:val="12"/>
                <w:lang w:val="en-GB" w:eastAsia="mk-MK"/>
              </w:rPr>
              <w:t>than</w:t>
            </w:r>
            <w:r w:rsidRPr="00D30847">
              <w:rPr>
                <w:rFonts w:ascii="Arial" w:eastAsia="Times New Roman" w:hAnsi="Arial" w:cs="Arial"/>
                <w:sz w:val="12"/>
                <w:szCs w:val="12"/>
                <w:lang w:val="en-GB" w:eastAsia="mk-MK"/>
              </w:rPr>
              <w:t xml:space="preserve"> </w:t>
            </w:r>
            <w:r w:rsidR="00841873" w:rsidRPr="00D30847">
              <w:rPr>
                <w:rFonts w:ascii="Arial" w:eastAsia="Times New Roman" w:hAnsi="Arial" w:cs="Arial"/>
                <w:sz w:val="12"/>
                <w:szCs w:val="12"/>
                <w:lang w:val="en-GB" w:eastAsia="mk-MK"/>
              </w:rPr>
              <w:t>3</w:t>
            </w:r>
            <w:r w:rsidRPr="00D30847">
              <w:rPr>
                <w:rFonts w:ascii="Arial" w:eastAsia="Times New Roman" w:hAnsi="Arial" w:cs="Arial"/>
                <w:sz w:val="12"/>
                <w:szCs w:val="12"/>
                <w:lang w:val="en-GB" w:eastAsia="mk-MK"/>
              </w:rPr>
              <w:t xml:space="preserve"> legislative acts</w:t>
            </w:r>
          </w:p>
        </w:tc>
      </w:tr>
      <w:tr w:rsidR="00485BAA" w:rsidRPr="00D30847" w14:paraId="26F6286E" w14:textId="77777777" w:rsidTr="00FD4DDE">
        <w:trPr>
          <w:gridBefore w:val="3"/>
          <w:gridAfter w:val="1"/>
          <w:wBefore w:w="37" w:type="dxa"/>
          <w:wAfter w:w="52" w:type="dxa"/>
          <w:trHeight w:val="267"/>
          <w:jc w:val="center"/>
        </w:trPr>
        <w:tc>
          <w:tcPr>
            <w:tcW w:w="2303" w:type="dxa"/>
            <w:gridSpan w:val="3"/>
            <w:vMerge/>
            <w:tcBorders>
              <w:top w:val="nil"/>
              <w:left w:val="nil"/>
              <w:bottom w:val="nil"/>
              <w:right w:val="single" w:sz="8" w:space="0" w:color="000000"/>
            </w:tcBorders>
            <w:vAlign w:val="center"/>
            <w:hideMark/>
          </w:tcPr>
          <w:p w14:paraId="0573DD07"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48F31442" w14:textId="08C48D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305D0317" w14:textId="6F1C7885"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EF36B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7B4C5E65" w14:textId="34BDC43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EF36B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3BCE4F1D" w14:textId="0DDEBB2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EF36B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74BDE047"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3351EE58" w14:textId="4BB9AEB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B3526A"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B3526A"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693164D5"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23109C" w:rsidRPr="00D30847" w14:paraId="70A1B653" w14:textId="77777777" w:rsidTr="00FD4DDE">
        <w:trPr>
          <w:gridBefore w:val="3"/>
          <w:gridAfter w:val="1"/>
          <w:wBefore w:w="37" w:type="dxa"/>
          <w:wAfter w:w="52" w:type="dxa"/>
          <w:trHeight w:val="968"/>
          <w:jc w:val="center"/>
        </w:trPr>
        <w:tc>
          <w:tcPr>
            <w:tcW w:w="2303" w:type="dxa"/>
            <w:gridSpan w:val="3"/>
            <w:vMerge/>
            <w:tcBorders>
              <w:top w:val="nil"/>
              <w:left w:val="nil"/>
              <w:bottom w:val="nil"/>
              <w:right w:val="single" w:sz="8" w:space="0" w:color="000000"/>
            </w:tcBorders>
            <w:vAlign w:val="center"/>
            <w:hideMark/>
          </w:tcPr>
          <w:p w14:paraId="4C79D0C3" w14:textId="77777777" w:rsidR="0023109C" w:rsidRPr="00D30847" w:rsidRDefault="0023109C"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784AA9A5" w14:textId="71193818" w:rsidR="0023109C" w:rsidRPr="00D30847" w:rsidRDefault="0023109C"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bCs/>
                <w:sz w:val="12"/>
                <w:szCs w:val="12"/>
                <w:lang w:val="en-GB" w:eastAsia="mk-MK"/>
              </w:rPr>
              <w:t>1. Gap analysis of the national tax  legislation (laws and by-laws) compared to the  EU legislation and best practices.</w:t>
            </w:r>
          </w:p>
        </w:tc>
        <w:tc>
          <w:tcPr>
            <w:tcW w:w="1194" w:type="dxa"/>
            <w:gridSpan w:val="2"/>
            <w:shd w:val="clear" w:color="000000" w:fill="FFFF99"/>
            <w:vAlign w:val="center"/>
            <w:hideMark/>
          </w:tcPr>
          <w:p w14:paraId="635B12DB" w14:textId="15D60E8F" w:rsidR="0023109C" w:rsidRPr="00D30847" w:rsidRDefault="0023109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18" w:type="dxa"/>
            <w:gridSpan w:val="3"/>
            <w:shd w:val="clear" w:color="000000" w:fill="FFFF99"/>
            <w:vAlign w:val="center"/>
            <w:hideMark/>
          </w:tcPr>
          <w:p w14:paraId="37EF3566" w14:textId="2543F981" w:rsidR="0023109C" w:rsidRPr="00D30847" w:rsidRDefault="0023109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Public revenues and Tax and Customs Policy Department</w:t>
            </w:r>
          </w:p>
        </w:tc>
        <w:tc>
          <w:tcPr>
            <w:tcW w:w="1644" w:type="dxa"/>
            <w:gridSpan w:val="3"/>
            <w:shd w:val="clear" w:color="000000" w:fill="FFFF99"/>
            <w:vAlign w:val="center"/>
            <w:hideMark/>
          </w:tcPr>
          <w:p w14:paraId="6EE05BB9" w14:textId="77777777" w:rsidR="0023109C" w:rsidRPr="00D30847" w:rsidRDefault="0023109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CA and PRO</w:t>
            </w:r>
          </w:p>
        </w:tc>
        <w:tc>
          <w:tcPr>
            <w:tcW w:w="1758" w:type="dxa"/>
            <w:gridSpan w:val="4"/>
            <w:vMerge w:val="restart"/>
            <w:shd w:val="clear" w:color="000000" w:fill="FFFF99"/>
            <w:vAlign w:val="center"/>
            <w:hideMark/>
          </w:tcPr>
          <w:p w14:paraId="302BC7F6" w14:textId="3A47548A" w:rsidR="0023109C" w:rsidRPr="00D30847" w:rsidRDefault="0023109C" w:rsidP="00CE2DF4">
            <w:pPr>
              <w:spacing w:after="0" w:line="240" w:lineRule="auto"/>
              <w:rPr>
                <w:rFonts w:ascii="Arial" w:eastAsia="Times New Roman" w:hAnsi="Arial" w:cs="Arial"/>
                <w:sz w:val="12"/>
                <w:szCs w:val="12"/>
                <w:lang w:val="en-GB" w:eastAsia="mk-MK"/>
              </w:rPr>
            </w:pPr>
            <w:r w:rsidRPr="00D30847">
              <w:rPr>
                <w:rFonts w:ascii="Arial" w:eastAsia="Times New Roman" w:hAnsi="Arial" w:cs="Arial"/>
                <w:bCs/>
                <w:sz w:val="12"/>
                <w:szCs w:val="12"/>
                <w:lang w:val="en-GB" w:eastAsia="mk-MK"/>
              </w:rPr>
              <w:t>EUR 250.000</w:t>
            </w:r>
          </w:p>
        </w:tc>
        <w:tc>
          <w:tcPr>
            <w:tcW w:w="1842" w:type="dxa"/>
            <w:gridSpan w:val="4"/>
            <w:vMerge w:val="restart"/>
            <w:shd w:val="clear" w:color="000000" w:fill="FFFF99"/>
            <w:vAlign w:val="center"/>
            <w:hideMark/>
          </w:tcPr>
          <w:p w14:paraId="589C72AC" w14:textId="77777777" w:rsidR="0023109C" w:rsidRPr="00D30847" w:rsidRDefault="0023109C"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Twinning Light Project Further harmonization of the tax legislation with the EU Acquis</w:t>
            </w:r>
          </w:p>
          <w:p w14:paraId="1AA2F6AB" w14:textId="4FF941EA" w:rsidR="0023109C" w:rsidRPr="00D30847" w:rsidRDefault="0023109C" w:rsidP="00485BAA">
            <w:pPr>
              <w:spacing w:after="0" w:line="240" w:lineRule="auto"/>
              <w:rPr>
                <w:rFonts w:ascii="Arial" w:eastAsia="Times New Roman" w:hAnsi="Arial" w:cs="Arial"/>
                <w:sz w:val="12"/>
                <w:szCs w:val="12"/>
                <w:lang w:val="en-GB" w:eastAsia="mk-MK"/>
              </w:rPr>
            </w:pPr>
          </w:p>
        </w:tc>
        <w:tc>
          <w:tcPr>
            <w:tcW w:w="1506" w:type="dxa"/>
            <w:gridSpan w:val="4"/>
            <w:shd w:val="clear" w:color="000000" w:fill="FFFF99"/>
            <w:vAlign w:val="center"/>
            <w:hideMark/>
          </w:tcPr>
          <w:p w14:paraId="78DDD0D7" w14:textId="10DEE03C" w:rsidR="0023109C" w:rsidRPr="00D30847" w:rsidRDefault="0023109C" w:rsidP="00FC63A0">
            <w:pPr>
              <w:spacing w:after="0" w:line="240" w:lineRule="auto"/>
              <w:rPr>
                <w:rFonts w:ascii="Arial" w:eastAsia="Times New Roman" w:hAnsi="Arial" w:cs="Arial"/>
                <w:sz w:val="12"/>
                <w:szCs w:val="12"/>
                <w:lang w:val="en-GB" w:eastAsia="mk-MK"/>
              </w:rPr>
            </w:pPr>
          </w:p>
        </w:tc>
      </w:tr>
      <w:tr w:rsidR="0023109C" w:rsidRPr="00D30847" w14:paraId="23DD56E2" w14:textId="77777777" w:rsidTr="00FD4DDE">
        <w:trPr>
          <w:gridBefore w:val="3"/>
          <w:gridAfter w:val="1"/>
          <w:wBefore w:w="37" w:type="dxa"/>
          <w:wAfter w:w="52" w:type="dxa"/>
          <w:trHeight w:val="968"/>
          <w:jc w:val="center"/>
        </w:trPr>
        <w:tc>
          <w:tcPr>
            <w:tcW w:w="2303" w:type="dxa"/>
            <w:gridSpan w:val="3"/>
            <w:tcBorders>
              <w:top w:val="nil"/>
              <w:left w:val="nil"/>
              <w:bottom w:val="nil"/>
              <w:right w:val="single" w:sz="8" w:space="0" w:color="000000"/>
            </w:tcBorders>
            <w:vAlign w:val="center"/>
          </w:tcPr>
          <w:p w14:paraId="06DC6F7D" w14:textId="77777777" w:rsidR="0023109C" w:rsidRPr="00D30847" w:rsidRDefault="0023109C"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tcPr>
          <w:p w14:paraId="51ADC016" w14:textId="0CC91A5C" w:rsidR="0023109C" w:rsidRPr="00D30847" w:rsidRDefault="0023109C"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New legal acts and/or amendments to the existing national tax and customs legislation (laws and by-laws) drafted in line with the EU legislation and best practices.</w:t>
            </w:r>
          </w:p>
        </w:tc>
        <w:tc>
          <w:tcPr>
            <w:tcW w:w="1194" w:type="dxa"/>
            <w:gridSpan w:val="2"/>
            <w:shd w:val="clear" w:color="000000" w:fill="FFFF99"/>
            <w:vAlign w:val="center"/>
          </w:tcPr>
          <w:p w14:paraId="11AEF63E" w14:textId="68417326" w:rsidR="0023109C" w:rsidRPr="00D30847" w:rsidRDefault="0023109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18" w:type="dxa"/>
            <w:gridSpan w:val="3"/>
            <w:shd w:val="clear" w:color="000000" w:fill="FFFF99"/>
            <w:vAlign w:val="center"/>
          </w:tcPr>
          <w:p w14:paraId="002971BC" w14:textId="3BC79B50" w:rsidR="0023109C" w:rsidRPr="00D30847" w:rsidRDefault="0023109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Public revenues and Tax and Customs Policy Department</w:t>
            </w:r>
          </w:p>
        </w:tc>
        <w:tc>
          <w:tcPr>
            <w:tcW w:w="1644" w:type="dxa"/>
            <w:gridSpan w:val="3"/>
            <w:shd w:val="clear" w:color="000000" w:fill="FFFF99"/>
            <w:vAlign w:val="center"/>
          </w:tcPr>
          <w:p w14:paraId="50FCD82B" w14:textId="77777777" w:rsidR="0023109C" w:rsidRPr="00D30847" w:rsidRDefault="0023109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CA and PRO</w:t>
            </w:r>
          </w:p>
        </w:tc>
        <w:tc>
          <w:tcPr>
            <w:tcW w:w="1758" w:type="dxa"/>
            <w:gridSpan w:val="4"/>
            <w:vMerge/>
            <w:shd w:val="clear" w:color="000000" w:fill="FFFF99"/>
            <w:vAlign w:val="center"/>
          </w:tcPr>
          <w:p w14:paraId="0EFDBD2C" w14:textId="77777777" w:rsidR="0023109C" w:rsidRPr="00D30847" w:rsidRDefault="0023109C" w:rsidP="00485BAA">
            <w:pPr>
              <w:spacing w:after="0" w:line="240" w:lineRule="auto"/>
              <w:jc w:val="center"/>
              <w:rPr>
                <w:rFonts w:ascii="Arial" w:eastAsia="Times New Roman" w:hAnsi="Arial" w:cs="Arial"/>
                <w:sz w:val="12"/>
                <w:szCs w:val="12"/>
                <w:lang w:val="en-GB" w:eastAsia="mk-MK"/>
              </w:rPr>
            </w:pPr>
          </w:p>
        </w:tc>
        <w:tc>
          <w:tcPr>
            <w:tcW w:w="1842" w:type="dxa"/>
            <w:gridSpan w:val="4"/>
            <w:vMerge/>
            <w:shd w:val="clear" w:color="000000" w:fill="FFFF99"/>
            <w:vAlign w:val="center"/>
          </w:tcPr>
          <w:p w14:paraId="374EF0CA" w14:textId="40AD6F87" w:rsidR="0023109C" w:rsidRPr="00D30847" w:rsidRDefault="0023109C" w:rsidP="00485BAA">
            <w:pPr>
              <w:spacing w:after="0" w:line="240" w:lineRule="auto"/>
              <w:rPr>
                <w:rFonts w:ascii="Arial" w:eastAsia="Times New Roman" w:hAnsi="Arial" w:cs="Arial"/>
                <w:sz w:val="12"/>
                <w:szCs w:val="12"/>
                <w:lang w:val="en-GB" w:eastAsia="mk-MK"/>
              </w:rPr>
            </w:pPr>
          </w:p>
        </w:tc>
        <w:tc>
          <w:tcPr>
            <w:tcW w:w="1506" w:type="dxa"/>
            <w:gridSpan w:val="4"/>
            <w:shd w:val="clear" w:color="000000" w:fill="FFFF99"/>
            <w:vAlign w:val="center"/>
          </w:tcPr>
          <w:p w14:paraId="6A784AE0" w14:textId="1CDACC5D" w:rsidR="0023109C" w:rsidRPr="00D30847" w:rsidRDefault="0023109C" w:rsidP="00FC63A0">
            <w:pPr>
              <w:spacing w:after="0" w:line="240" w:lineRule="auto"/>
              <w:rPr>
                <w:rFonts w:ascii="Arial" w:eastAsia="Times New Roman" w:hAnsi="Arial" w:cs="Arial"/>
                <w:sz w:val="12"/>
                <w:szCs w:val="12"/>
                <w:lang w:val="en-GB" w:eastAsia="mk-MK"/>
              </w:rPr>
            </w:pPr>
          </w:p>
        </w:tc>
      </w:tr>
      <w:tr w:rsidR="0023109C" w:rsidRPr="00D30847" w14:paraId="202F8EFE" w14:textId="77777777" w:rsidTr="00FD4DDE">
        <w:trPr>
          <w:gridBefore w:val="3"/>
          <w:gridAfter w:val="1"/>
          <w:wBefore w:w="37" w:type="dxa"/>
          <w:wAfter w:w="52" w:type="dxa"/>
          <w:trHeight w:val="968"/>
          <w:jc w:val="center"/>
        </w:trPr>
        <w:tc>
          <w:tcPr>
            <w:tcW w:w="2303" w:type="dxa"/>
            <w:gridSpan w:val="3"/>
            <w:tcBorders>
              <w:top w:val="nil"/>
              <w:left w:val="nil"/>
              <w:bottom w:val="nil"/>
              <w:right w:val="single" w:sz="8" w:space="0" w:color="000000"/>
            </w:tcBorders>
            <w:vAlign w:val="center"/>
          </w:tcPr>
          <w:p w14:paraId="328CE549" w14:textId="77777777" w:rsidR="0023109C" w:rsidRPr="00D30847" w:rsidRDefault="0023109C"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tcPr>
          <w:p w14:paraId="6244F044" w14:textId="5CDD9CB3" w:rsidR="0023109C" w:rsidRPr="00D30847" w:rsidRDefault="0023109C"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bCs/>
                <w:sz w:val="12"/>
                <w:szCs w:val="12"/>
                <w:lang w:val="en-GB" w:eastAsia="mk-MK"/>
              </w:rPr>
              <w:t>3. Gap analysis of the national customs legislation (laws and by-laws) compared to the  EU legislation and best practices.</w:t>
            </w:r>
          </w:p>
        </w:tc>
        <w:tc>
          <w:tcPr>
            <w:tcW w:w="1194" w:type="dxa"/>
            <w:gridSpan w:val="2"/>
            <w:shd w:val="clear" w:color="000000" w:fill="FFFF99"/>
            <w:vAlign w:val="center"/>
          </w:tcPr>
          <w:p w14:paraId="09C25D3D" w14:textId="63AD439B" w:rsidR="0023109C" w:rsidRPr="00D30847" w:rsidRDefault="0023109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18" w:type="dxa"/>
            <w:gridSpan w:val="3"/>
            <w:shd w:val="clear" w:color="000000" w:fill="FFFF99"/>
            <w:vAlign w:val="center"/>
          </w:tcPr>
          <w:p w14:paraId="007F9C4B" w14:textId="4CD30AC8" w:rsidR="0023109C" w:rsidRPr="00D30847" w:rsidRDefault="0023109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Public revenues and Tax and Customs Policy Department</w:t>
            </w:r>
          </w:p>
        </w:tc>
        <w:tc>
          <w:tcPr>
            <w:tcW w:w="1644" w:type="dxa"/>
            <w:gridSpan w:val="3"/>
            <w:shd w:val="clear" w:color="000000" w:fill="FFFF99"/>
            <w:vAlign w:val="center"/>
          </w:tcPr>
          <w:p w14:paraId="3A9BA663" w14:textId="0F180FBF" w:rsidR="0023109C" w:rsidRPr="00D30847" w:rsidRDefault="0023109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CA</w:t>
            </w:r>
          </w:p>
        </w:tc>
        <w:tc>
          <w:tcPr>
            <w:tcW w:w="1758" w:type="dxa"/>
            <w:gridSpan w:val="4"/>
            <w:vMerge w:val="restart"/>
            <w:shd w:val="clear" w:color="000000" w:fill="FFFF99"/>
            <w:vAlign w:val="center"/>
          </w:tcPr>
          <w:p w14:paraId="004B0634" w14:textId="76FE40D2" w:rsidR="0023109C" w:rsidRPr="00D30847" w:rsidRDefault="0023109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EUR 250.000</w:t>
            </w:r>
          </w:p>
        </w:tc>
        <w:tc>
          <w:tcPr>
            <w:tcW w:w="1842" w:type="dxa"/>
            <w:gridSpan w:val="4"/>
            <w:vMerge w:val="restart"/>
            <w:shd w:val="clear" w:color="000000" w:fill="FFFF99"/>
            <w:vAlign w:val="center"/>
          </w:tcPr>
          <w:p w14:paraId="5939967C" w14:textId="2553A7B8" w:rsidR="0023109C" w:rsidRPr="00D30847" w:rsidRDefault="0023109C"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No source of financing is provided, i.e., there is a financial GAP.</w:t>
            </w:r>
          </w:p>
        </w:tc>
        <w:tc>
          <w:tcPr>
            <w:tcW w:w="1506" w:type="dxa"/>
            <w:gridSpan w:val="4"/>
            <w:shd w:val="clear" w:color="000000" w:fill="FFFF99"/>
            <w:vAlign w:val="center"/>
          </w:tcPr>
          <w:p w14:paraId="114F0997" w14:textId="77777777" w:rsidR="0023109C" w:rsidRPr="00D30847" w:rsidRDefault="0023109C" w:rsidP="00FC63A0">
            <w:pPr>
              <w:spacing w:after="0" w:line="240" w:lineRule="auto"/>
              <w:rPr>
                <w:rFonts w:ascii="Arial" w:eastAsia="Times New Roman" w:hAnsi="Arial" w:cs="Arial"/>
                <w:sz w:val="12"/>
                <w:szCs w:val="12"/>
                <w:lang w:val="en-GB" w:eastAsia="mk-MK"/>
              </w:rPr>
            </w:pPr>
          </w:p>
        </w:tc>
      </w:tr>
      <w:tr w:rsidR="0023109C" w:rsidRPr="00D30847" w14:paraId="19341BD6" w14:textId="77777777" w:rsidTr="00FD4DDE">
        <w:trPr>
          <w:gridBefore w:val="3"/>
          <w:gridAfter w:val="1"/>
          <w:wBefore w:w="37" w:type="dxa"/>
          <w:wAfter w:w="52" w:type="dxa"/>
          <w:trHeight w:val="968"/>
          <w:jc w:val="center"/>
        </w:trPr>
        <w:tc>
          <w:tcPr>
            <w:tcW w:w="2303" w:type="dxa"/>
            <w:gridSpan w:val="3"/>
            <w:tcBorders>
              <w:top w:val="nil"/>
              <w:left w:val="nil"/>
              <w:bottom w:val="nil"/>
              <w:right w:val="single" w:sz="8" w:space="0" w:color="000000"/>
            </w:tcBorders>
            <w:vAlign w:val="center"/>
          </w:tcPr>
          <w:p w14:paraId="0052179F" w14:textId="77777777" w:rsidR="0023109C" w:rsidRPr="00D30847" w:rsidRDefault="0023109C"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tcPr>
          <w:p w14:paraId="6860DEF0" w14:textId="33762423" w:rsidR="0023109C" w:rsidRPr="00D30847" w:rsidRDefault="0023109C"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4. New legal acts and/or amendments to the existing national customs legislation (laws and by-laws) drafted in line with the EU legislation and best practices.</w:t>
            </w:r>
          </w:p>
        </w:tc>
        <w:tc>
          <w:tcPr>
            <w:tcW w:w="1194" w:type="dxa"/>
            <w:gridSpan w:val="2"/>
            <w:shd w:val="clear" w:color="000000" w:fill="FFFF99"/>
            <w:vAlign w:val="center"/>
          </w:tcPr>
          <w:p w14:paraId="67559586" w14:textId="55ED13FA" w:rsidR="0023109C" w:rsidRPr="00D30847" w:rsidRDefault="0023109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18" w:type="dxa"/>
            <w:gridSpan w:val="3"/>
            <w:shd w:val="clear" w:color="000000" w:fill="FFFF99"/>
            <w:vAlign w:val="center"/>
          </w:tcPr>
          <w:p w14:paraId="595612F7" w14:textId="640894A7" w:rsidR="0023109C" w:rsidRPr="00D30847" w:rsidRDefault="0023109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Public revenues and Tax and Customs Policy Department</w:t>
            </w:r>
          </w:p>
        </w:tc>
        <w:tc>
          <w:tcPr>
            <w:tcW w:w="1644" w:type="dxa"/>
            <w:gridSpan w:val="3"/>
            <w:shd w:val="clear" w:color="000000" w:fill="FFFF99"/>
            <w:vAlign w:val="center"/>
          </w:tcPr>
          <w:p w14:paraId="56226D0A" w14:textId="482DCBB6" w:rsidR="0023109C" w:rsidRPr="00D30847" w:rsidRDefault="0023109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CA</w:t>
            </w:r>
          </w:p>
        </w:tc>
        <w:tc>
          <w:tcPr>
            <w:tcW w:w="1758" w:type="dxa"/>
            <w:gridSpan w:val="4"/>
            <w:vMerge/>
            <w:shd w:val="clear" w:color="000000" w:fill="FFFF99"/>
            <w:vAlign w:val="center"/>
          </w:tcPr>
          <w:p w14:paraId="01BDF446" w14:textId="77777777" w:rsidR="0023109C" w:rsidRPr="00D30847" w:rsidRDefault="0023109C" w:rsidP="00485BAA">
            <w:pPr>
              <w:spacing w:after="0" w:line="240" w:lineRule="auto"/>
              <w:jc w:val="center"/>
              <w:rPr>
                <w:rFonts w:ascii="Arial" w:eastAsia="Times New Roman" w:hAnsi="Arial" w:cs="Arial"/>
                <w:sz w:val="12"/>
                <w:szCs w:val="12"/>
                <w:lang w:val="en-GB" w:eastAsia="mk-MK"/>
              </w:rPr>
            </w:pPr>
          </w:p>
        </w:tc>
        <w:tc>
          <w:tcPr>
            <w:tcW w:w="1842" w:type="dxa"/>
            <w:gridSpan w:val="4"/>
            <w:vMerge/>
            <w:shd w:val="clear" w:color="000000" w:fill="FFFF99"/>
            <w:vAlign w:val="center"/>
          </w:tcPr>
          <w:p w14:paraId="6F50DA86" w14:textId="77777777" w:rsidR="0023109C" w:rsidRPr="00D30847" w:rsidRDefault="0023109C" w:rsidP="00485BAA">
            <w:pPr>
              <w:spacing w:after="0" w:line="240" w:lineRule="auto"/>
              <w:rPr>
                <w:rFonts w:ascii="Arial" w:eastAsia="Times New Roman" w:hAnsi="Arial" w:cs="Arial"/>
                <w:sz w:val="12"/>
                <w:szCs w:val="12"/>
                <w:lang w:val="en-GB" w:eastAsia="mk-MK"/>
              </w:rPr>
            </w:pPr>
          </w:p>
        </w:tc>
        <w:tc>
          <w:tcPr>
            <w:tcW w:w="1506" w:type="dxa"/>
            <w:gridSpan w:val="4"/>
            <w:shd w:val="clear" w:color="000000" w:fill="FFFF99"/>
            <w:vAlign w:val="center"/>
          </w:tcPr>
          <w:p w14:paraId="0BDC3042" w14:textId="77777777" w:rsidR="0023109C" w:rsidRPr="00D30847" w:rsidRDefault="0023109C" w:rsidP="00FC63A0">
            <w:pPr>
              <w:spacing w:after="0" w:line="240" w:lineRule="auto"/>
              <w:rPr>
                <w:rFonts w:ascii="Arial" w:eastAsia="Times New Roman" w:hAnsi="Arial" w:cs="Arial"/>
                <w:sz w:val="12"/>
                <w:szCs w:val="12"/>
                <w:lang w:val="en-GB" w:eastAsia="mk-MK"/>
              </w:rPr>
            </w:pPr>
          </w:p>
        </w:tc>
      </w:tr>
      <w:tr w:rsidR="00485BAA" w:rsidRPr="00D30847" w14:paraId="211C23F5" w14:textId="77777777" w:rsidTr="00FD4DDE">
        <w:trPr>
          <w:gridBefore w:val="3"/>
          <w:gridAfter w:val="1"/>
          <w:wBefore w:w="37" w:type="dxa"/>
          <w:wAfter w:w="52" w:type="dxa"/>
          <w:trHeight w:val="250"/>
          <w:jc w:val="center"/>
        </w:trPr>
        <w:tc>
          <w:tcPr>
            <w:tcW w:w="13501" w:type="dxa"/>
            <w:gridSpan w:val="28"/>
            <w:shd w:val="clear" w:color="000000" w:fill="1F3864"/>
            <w:vAlign w:val="center"/>
            <w:hideMark/>
          </w:tcPr>
          <w:p w14:paraId="7D5AD7F7" w14:textId="3366FBF2"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PILLAR II: Revenue</w:t>
            </w:r>
            <w:r w:rsidR="00EF36B9"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mobilization</w:t>
            </w:r>
          </w:p>
        </w:tc>
      </w:tr>
      <w:tr w:rsidR="00485BAA" w:rsidRPr="00D30847" w14:paraId="3383BFF1" w14:textId="77777777" w:rsidTr="00FD4DDE">
        <w:trPr>
          <w:gridBefore w:val="3"/>
          <w:gridAfter w:val="1"/>
          <w:wBefore w:w="37" w:type="dxa"/>
          <w:wAfter w:w="52" w:type="dxa"/>
          <w:trHeight w:val="268"/>
          <w:jc w:val="center"/>
        </w:trPr>
        <w:tc>
          <w:tcPr>
            <w:tcW w:w="13501" w:type="dxa"/>
            <w:gridSpan w:val="28"/>
            <w:shd w:val="clear" w:color="000000" w:fill="1F3864"/>
            <w:vAlign w:val="center"/>
            <w:hideMark/>
          </w:tcPr>
          <w:p w14:paraId="4F9C1FFB" w14:textId="0AF2E78B"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bookmarkStart w:id="79" w:name="RANGE!A88"/>
            <w:r w:rsidRPr="00D30847">
              <w:rPr>
                <w:rFonts w:ascii="Arial" w:eastAsia="Times New Roman" w:hAnsi="Arial" w:cs="Arial"/>
                <w:b/>
                <w:bCs/>
                <w:color w:val="FFFFFF"/>
                <w:sz w:val="12"/>
                <w:szCs w:val="12"/>
                <w:lang w:val="en-GB" w:eastAsia="mk-MK"/>
              </w:rPr>
              <w:t>PRIORITY 2. Tax</w:t>
            </w:r>
            <w:r w:rsidR="00EF36B9"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Administration</w:t>
            </w:r>
            <w:bookmarkEnd w:id="79"/>
          </w:p>
        </w:tc>
      </w:tr>
      <w:tr w:rsidR="00485BAA" w:rsidRPr="00D30847" w14:paraId="3DE01612" w14:textId="77777777" w:rsidTr="00FD4DDE">
        <w:trPr>
          <w:gridBefore w:val="3"/>
          <w:gridAfter w:val="1"/>
          <w:wBefore w:w="37" w:type="dxa"/>
          <w:wAfter w:w="52" w:type="dxa"/>
          <w:trHeight w:val="251"/>
          <w:jc w:val="center"/>
        </w:trPr>
        <w:tc>
          <w:tcPr>
            <w:tcW w:w="2303" w:type="dxa"/>
            <w:gridSpan w:val="3"/>
            <w:shd w:val="clear" w:color="000000" w:fill="9BD2ED"/>
            <w:vAlign w:val="center"/>
            <w:hideMark/>
          </w:tcPr>
          <w:p w14:paraId="60675FA2"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Outcome(s)</w:t>
            </w:r>
          </w:p>
        </w:tc>
        <w:tc>
          <w:tcPr>
            <w:tcW w:w="1836" w:type="dxa"/>
            <w:gridSpan w:val="5"/>
            <w:shd w:val="clear" w:color="000000" w:fill="9BD2ED"/>
            <w:vAlign w:val="center"/>
            <w:hideMark/>
          </w:tcPr>
          <w:p w14:paraId="78CCB6F2" w14:textId="6DE6C06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EF36B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60934DBC" w14:textId="486F34FC"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EF36B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0E1A0DD3" w14:textId="31EB551E"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211ACD"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18911A0B" w14:textId="2C2D315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211ACD"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11A0C8ED" w14:textId="5CCAE7D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211ACD"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6048F706" w14:textId="6F2C178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211ACD"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6A399398" w14:textId="098EED9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211ACD" w:rsidRPr="00D30847">
              <w:rPr>
                <w:rFonts w:ascii="Arial" w:eastAsia="Times New Roman" w:hAnsi="Arial" w:cs="Arial"/>
                <w:b/>
                <w:bCs/>
                <w:sz w:val="12"/>
                <w:szCs w:val="12"/>
                <w:lang w:val="en-GB" w:eastAsia="mk-MK"/>
              </w:rPr>
              <w:t>8</w:t>
            </w:r>
          </w:p>
        </w:tc>
      </w:tr>
      <w:tr w:rsidR="00485BAA" w:rsidRPr="00D30847" w14:paraId="55BE88E7" w14:textId="77777777" w:rsidTr="00FD4DDE">
        <w:trPr>
          <w:gridBefore w:val="3"/>
          <w:gridAfter w:val="1"/>
          <w:wBefore w:w="37" w:type="dxa"/>
          <w:wAfter w:w="52" w:type="dxa"/>
          <w:trHeight w:val="327"/>
          <w:jc w:val="center"/>
        </w:trPr>
        <w:tc>
          <w:tcPr>
            <w:tcW w:w="2303" w:type="dxa"/>
            <w:gridSpan w:val="3"/>
            <w:shd w:val="clear" w:color="000000" w:fill="FFFF99"/>
            <w:vAlign w:val="center"/>
            <w:hideMark/>
          </w:tcPr>
          <w:p w14:paraId="58BB80F0" w14:textId="7D746F5C" w:rsidR="00485BAA" w:rsidRPr="00D30847" w:rsidRDefault="00EF36B9"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lastRenderedPageBreak/>
              <w:t>Improved stability, efficiency and quality of the revenue collection system  (IT system)</w:t>
            </w:r>
          </w:p>
        </w:tc>
        <w:tc>
          <w:tcPr>
            <w:tcW w:w="1836" w:type="dxa"/>
            <w:gridSpan w:val="5"/>
            <w:shd w:val="clear" w:color="000000" w:fill="FFFF99"/>
            <w:vAlign w:val="center"/>
            <w:hideMark/>
          </w:tcPr>
          <w:p w14:paraId="2C4E4D35" w14:textId="336C671B" w:rsidR="00485BAA" w:rsidRPr="00D30847" w:rsidRDefault="00EF36B9"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percentage of digitized tax services</w:t>
            </w:r>
          </w:p>
        </w:tc>
        <w:tc>
          <w:tcPr>
            <w:tcW w:w="1194" w:type="dxa"/>
            <w:gridSpan w:val="2"/>
            <w:shd w:val="clear" w:color="000000" w:fill="FFFF99"/>
            <w:vAlign w:val="center"/>
            <w:hideMark/>
          </w:tcPr>
          <w:p w14:paraId="52F4B1CF"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w:t>
            </w:r>
          </w:p>
        </w:tc>
        <w:tc>
          <w:tcPr>
            <w:tcW w:w="1418" w:type="dxa"/>
            <w:gridSpan w:val="3"/>
            <w:shd w:val="clear" w:color="000000" w:fill="FFFF99"/>
            <w:vAlign w:val="center"/>
            <w:hideMark/>
          </w:tcPr>
          <w:p w14:paraId="10563DF3"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83%</w:t>
            </w:r>
          </w:p>
        </w:tc>
        <w:tc>
          <w:tcPr>
            <w:tcW w:w="1644" w:type="dxa"/>
            <w:gridSpan w:val="3"/>
            <w:shd w:val="clear" w:color="000000" w:fill="FFFF99"/>
            <w:vAlign w:val="center"/>
            <w:hideMark/>
          </w:tcPr>
          <w:p w14:paraId="57934E65" w14:textId="77777777" w:rsidR="00485BAA" w:rsidRPr="00D30847" w:rsidRDefault="00C742B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90</w:t>
            </w:r>
            <w:r w:rsidR="00485BAA" w:rsidRPr="00D30847">
              <w:rPr>
                <w:rFonts w:ascii="Arial" w:eastAsia="Times New Roman" w:hAnsi="Arial" w:cs="Arial"/>
                <w:sz w:val="12"/>
                <w:szCs w:val="12"/>
                <w:lang w:val="en-GB" w:eastAsia="mk-MK"/>
              </w:rPr>
              <w:t>%</w:t>
            </w:r>
          </w:p>
        </w:tc>
        <w:tc>
          <w:tcPr>
            <w:tcW w:w="1758" w:type="dxa"/>
            <w:gridSpan w:val="4"/>
            <w:shd w:val="clear" w:color="000000" w:fill="FFFF99"/>
            <w:vAlign w:val="center"/>
            <w:hideMark/>
          </w:tcPr>
          <w:p w14:paraId="49335E98" w14:textId="77777777" w:rsidR="00485BAA" w:rsidRPr="00D30847" w:rsidRDefault="00C742B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92</w:t>
            </w:r>
            <w:r w:rsidR="00485BAA" w:rsidRPr="00D30847">
              <w:rPr>
                <w:rFonts w:ascii="Arial" w:eastAsia="Times New Roman" w:hAnsi="Arial" w:cs="Arial"/>
                <w:sz w:val="12"/>
                <w:szCs w:val="12"/>
                <w:lang w:val="en-GB" w:eastAsia="mk-MK"/>
              </w:rPr>
              <w:t>%</w:t>
            </w:r>
          </w:p>
        </w:tc>
        <w:tc>
          <w:tcPr>
            <w:tcW w:w="1842" w:type="dxa"/>
            <w:gridSpan w:val="4"/>
            <w:shd w:val="clear" w:color="000000" w:fill="FFFF99"/>
            <w:vAlign w:val="center"/>
            <w:hideMark/>
          </w:tcPr>
          <w:p w14:paraId="52C0C841"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9</w:t>
            </w:r>
            <w:r w:rsidR="00C742B4" w:rsidRPr="00D30847">
              <w:rPr>
                <w:rFonts w:ascii="Arial" w:eastAsia="Times New Roman" w:hAnsi="Arial" w:cs="Arial"/>
                <w:sz w:val="12"/>
                <w:szCs w:val="12"/>
                <w:lang w:val="en-GB" w:eastAsia="mk-MK"/>
              </w:rPr>
              <w:t>5</w:t>
            </w:r>
            <w:r w:rsidRPr="00D30847">
              <w:rPr>
                <w:rFonts w:ascii="Arial" w:eastAsia="Times New Roman" w:hAnsi="Arial" w:cs="Arial"/>
                <w:sz w:val="12"/>
                <w:szCs w:val="12"/>
                <w:lang w:val="en-GB" w:eastAsia="mk-MK"/>
              </w:rPr>
              <w:t>%</w:t>
            </w:r>
          </w:p>
        </w:tc>
        <w:tc>
          <w:tcPr>
            <w:tcW w:w="1506" w:type="dxa"/>
            <w:gridSpan w:val="4"/>
            <w:shd w:val="clear" w:color="000000" w:fill="FFFF99"/>
            <w:vAlign w:val="center"/>
            <w:hideMark/>
          </w:tcPr>
          <w:p w14:paraId="48CF5A0D"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100%</w:t>
            </w:r>
          </w:p>
        </w:tc>
      </w:tr>
      <w:tr w:rsidR="00485BAA" w:rsidRPr="00D30847" w14:paraId="7F5900D0" w14:textId="77777777" w:rsidTr="00FD4DDE">
        <w:trPr>
          <w:gridBefore w:val="3"/>
          <w:gridAfter w:val="1"/>
          <w:wBefore w:w="37" w:type="dxa"/>
          <w:wAfter w:w="52" w:type="dxa"/>
          <w:trHeight w:val="973"/>
          <w:jc w:val="center"/>
        </w:trPr>
        <w:tc>
          <w:tcPr>
            <w:tcW w:w="2303" w:type="dxa"/>
            <w:gridSpan w:val="3"/>
            <w:vMerge w:val="restart"/>
            <w:shd w:val="clear" w:color="000000" w:fill="FFFF99"/>
            <w:vAlign w:val="center"/>
            <w:hideMark/>
          </w:tcPr>
          <w:p w14:paraId="0996DA24" w14:textId="4D228846" w:rsidR="00485BAA" w:rsidRPr="00D30847" w:rsidRDefault="00EF36B9"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More effective and efficient management of the overdue tax debt</w:t>
            </w:r>
          </w:p>
        </w:tc>
        <w:tc>
          <w:tcPr>
            <w:tcW w:w="1836" w:type="dxa"/>
            <w:gridSpan w:val="5"/>
            <w:vMerge w:val="restart"/>
            <w:shd w:val="clear" w:color="000000" w:fill="FFFF99"/>
            <w:vAlign w:val="center"/>
            <w:hideMark/>
          </w:tcPr>
          <w:p w14:paraId="7B3B50D8" w14:textId="5FAE60A9" w:rsidR="00485BAA" w:rsidRPr="00D30847" w:rsidRDefault="0041055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improved rate of tax payment on time (VAT)</w:t>
            </w:r>
          </w:p>
        </w:tc>
        <w:tc>
          <w:tcPr>
            <w:tcW w:w="1194" w:type="dxa"/>
            <w:gridSpan w:val="2"/>
            <w:vMerge w:val="restart"/>
            <w:shd w:val="clear" w:color="000000" w:fill="FFFF99"/>
            <w:vAlign w:val="center"/>
            <w:hideMark/>
          </w:tcPr>
          <w:p w14:paraId="2D997065"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w:t>
            </w:r>
          </w:p>
        </w:tc>
        <w:tc>
          <w:tcPr>
            <w:tcW w:w="1418" w:type="dxa"/>
            <w:gridSpan w:val="3"/>
            <w:vMerge w:val="restart"/>
            <w:shd w:val="clear" w:color="000000" w:fill="FFFF99"/>
            <w:vAlign w:val="center"/>
            <w:hideMark/>
          </w:tcPr>
          <w:p w14:paraId="7279AB54" w14:textId="467E16E4" w:rsidR="00485BAA" w:rsidRPr="00D30847" w:rsidRDefault="0041055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Rate on number of timely payments - 60%</w:t>
            </w:r>
            <w:r w:rsidRPr="00D30847">
              <w:rPr>
                <w:rFonts w:ascii="Arial" w:eastAsia="Times New Roman" w:hAnsi="Arial" w:cs="Arial"/>
                <w:sz w:val="12"/>
                <w:szCs w:val="12"/>
                <w:lang w:val="en-GB" w:eastAsia="mk-MK"/>
              </w:rPr>
              <w:br/>
              <w:t>Rate on amount of timely payments - 70%</w:t>
            </w:r>
          </w:p>
        </w:tc>
        <w:tc>
          <w:tcPr>
            <w:tcW w:w="1644" w:type="dxa"/>
            <w:gridSpan w:val="3"/>
            <w:vMerge w:val="restart"/>
            <w:shd w:val="clear" w:color="000000" w:fill="FFFF99"/>
            <w:vAlign w:val="center"/>
            <w:hideMark/>
          </w:tcPr>
          <w:p w14:paraId="40AEB126" w14:textId="38416FB5" w:rsidR="00485BAA" w:rsidRPr="00D30847" w:rsidRDefault="0041055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Rate on number of timely payments – 65%</w:t>
            </w:r>
            <w:r w:rsidRPr="00D30847">
              <w:rPr>
                <w:rFonts w:ascii="Arial" w:eastAsia="Times New Roman" w:hAnsi="Arial" w:cs="Arial"/>
                <w:sz w:val="12"/>
                <w:szCs w:val="12"/>
                <w:lang w:val="en-GB" w:eastAsia="mk-MK"/>
              </w:rPr>
              <w:br/>
              <w:t>Rate on amount of timely payments - 75%</w:t>
            </w:r>
          </w:p>
        </w:tc>
        <w:tc>
          <w:tcPr>
            <w:tcW w:w="1758" w:type="dxa"/>
            <w:gridSpan w:val="4"/>
            <w:vMerge w:val="restart"/>
            <w:shd w:val="clear" w:color="000000" w:fill="FFFF99"/>
            <w:vAlign w:val="center"/>
            <w:hideMark/>
          </w:tcPr>
          <w:p w14:paraId="08CECD8F" w14:textId="69510FA8" w:rsidR="00485BAA" w:rsidRPr="00D30847" w:rsidRDefault="0041055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Rate on number of timely payments – 70%</w:t>
            </w:r>
            <w:r w:rsidRPr="00D30847">
              <w:rPr>
                <w:rFonts w:ascii="Arial" w:eastAsia="Times New Roman" w:hAnsi="Arial" w:cs="Arial"/>
                <w:sz w:val="12"/>
                <w:szCs w:val="12"/>
                <w:lang w:val="en-GB" w:eastAsia="mk-MK"/>
              </w:rPr>
              <w:br/>
              <w:t>Rate on amount of timely payments - - 80%</w:t>
            </w:r>
          </w:p>
        </w:tc>
        <w:tc>
          <w:tcPr>
            <w:tcW w:w="1842" w:type="dxa"/>
            <w:gridSpan w:val="4"/>
            <w:vMerge w:val="restart"/>
            <w:shd w:val="clear" w:color="000000" w:fill="FFFF99"/>
            <w:vAlign w:val="center"/>
            <w:hideMark/>
          </w:tcPr>
          <w:p w14:paraId="00B096C2" w14:textId="3A6A9DE1" w:rsidR="00485BAA" w:rsidRPr="00D30847" w:rsidRDefault="0041055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Rate on number of timely payments – 80%</w:t>
            </w:r>
            <w:r w:rsidRPr="00D30847">
              <w:rPr>
                <w:rFonts w:ascii="Arial" w:eastAsia="Times New Roman" w:hAnsi="Arial" w:cs="Arial"/>
                <w:sz w:val="12"/>
                <w:szCs w:val="12"/>
                <w:lang w:val="en-GB" w:eastAsia="mk-MK"/>
              </w:rPr>
              <w:br/>
              <w:t>Rate on amount of timely payments - 85%</w:t>
            </w:r>
          </w:p>
        </w:tc>
        <w:tc>
          <w:tcPr>
            <w:tcW w:w="1506" w:type="dxa"/>
            <w:gridSpan w:val="4"/>
            <w:vMerge w:val="restart"/>
            <w:shd w:val="clear" w:color="000000" w:fill="FFFF99"/>
            <w:vAlign w:val="center"/>
            <w:hideMark/>
          </w:tcPr>
          <w:p w14:paraId="11943F9C" w14:textId="3501B651" w:rsidR="00485BAA" w:rsidRPr="00D30847" w:rsidRDefault="0041055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Rate on number of timely payments –  90%</w:t>
            </w:r>
            <w:r w:rsidRPr="00D30847">
              <w:rPr>
                <w:rFonts w:ascii="Arial" w:eastAsia="Times New Roman" w:hAnsi="Arial" w:cs="Arial"/>
                <w:sz w:val="12"/>
                <w:szCs w:val="12"/>
                <w:lang w:val="en-GB" w:eastAsia="mk-MK"/>
              </w:rPr>
              <w:br/>
              <w:t>Rate on amount of timely payments - - 90%</w:t>
            </w:r>
          </w:p>
        </w:tc>
      </w:tr>
      <w:tr w:rsidR="00031ACD" w:rsidRPr="00D30847" w14:paraId="6CC352F3" w14:textId="77777777" w:rsidTr="00FD4DDE">
        <w:trPr>
          <w:gridBefore w:val="3"/>
          <w:gridAfter w:val="1"/>
          <w:wBefore w:w="37" w:type="dxa"/>
          <w:wAfter w:w="52" w:type="dxa"/>
          <w:trHeight w:val="269"/>
          <w:jc w:val="center"/>
        </w:trPr>
        <w:tc>
          <w:tcPr>
            <w:tcW w:w="2303" w:type="dxa"/>
            <w:gridSpan w:val="3"/>
            <w:vMerge/>
            <w:vAlign w:val="center"/>
            <w:hideMark/>
          </w:tcPr>
          <w:p w14:paraId="1481194C"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vMerge/>
            <w:vAlign w:val="center"/>
            <w:hideMark/>
          </w:tcPr>
          <w:p w14:paraId="37B43FDE"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194" w:type="dxa"/>
            <w:gridSpan w:val="2"/>
            <w:vMerge/>
            <w:vAlign w:val="center"/>
            <w:hideMark/>
          </w:tcPr>
          <w:p w14:paraId="1902F786"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418" w:type="dxa"/>
            <w:gridSpan w:val="3"/>
            <w:vMerge/>
            <w:vAlign w:val="center"/>
            <w:hideMark/>
          </w:tcPr>
          <w:p w14:paraId="21DE9B49"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644" w:type="dxa"/>
            <w:gridSpan w:val="3"/>
            <w:vMerge/>
            <w:vAlign w:val="center"/>
            <w:hideMark/>
          </w:tcPr>
          <w:p w14:paraId="73F7FD8F"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758" w:type="dxa"/>
            <w:gridSpan w:val="4"/>
            <w:vMerge/>
            <w:vAlign w:val="center"/>
            <w:hideMark/>
          </w:tcPr>
          <w:p w14:paraId="0BC74014"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42" w:type="dxa"/>
            <w:gridSpan w:val="4"/>
            <w:vMerge/>
            <w:vAlign w:val="center"/>
            <w:hideMark/>
          </w:tcPr>
          <w:p w14:paraId="75F1ECBE"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506" w:type="dxa"/>
            <w:gridSpan w:val="4"/>
            <w:vMerge/>
            <w:vAlign w:val="center"/>
            <w:hideMark/>
          </w:tcPr>
          <w:p w14:paraId="5D143F0A" w14:textId="77777777" w:rsidR="00485BAA" w:rsidRPr="00D30847" w:rsidRDefault="00485BAA" w:rsidP="00485BAA">
            <w:pPr>
              <w:spacing w:after="0" w:line="240" w:lineRule="auto"/>
              <w:rPr>
                <w:rFonts w:ascii="Arial" w:eastAsia="Times New Roman" w:hAnsi="Arial" w:cs="Arial"/>
                <w:sz w:val="12"/>
                <w:szCs w:val="12"/>
                <w:lang w:val="en-GB" w:eastAsia="mk-MK"/>
              </w:rPr>
            </w:pPr>
          </w:p>
        </w:tc>
      </w:tr>
      <w:tr w:rsidR="00485BAA" w:rsidRPr="00D30847" w14:paraId="3600AC3A" w14:textId="77777777" w:rsidTr="00FD4DDE">
        <w:trPr>
          <w:gridBefore w:val="3"/>
          <w:gridAfter w:val="1"/>
          <w:wBefore w:w="37" w:type="dxa"/>
          <w:wAfter w:w="52" w:type="dxa"/>
          <w:trHeight w:val="961"/>
          <w:jc w:val="center"/>
        </w:trPr>
        <w:tc>
          <w:tcPr>
            <w:tcW w:w="2303" w:type="dxa"/>
            <w:gridSpan w:val="3"/>
            <w:vMerge/>
            <w:vAlign w:val="center"/>
            <w:hideMark/>
          </w:tcPr>
          <w:p w14:paraId="1C5218D5"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shd w:val="clear" w:color="000000" w:fill="FFFF99"/>
            <w:vAlign w:val="center"/>
            <w:hideMark/>
          </w:tcPr>
          <w:p w14:paraId="148F743B" w14:textId="4C4FEEAE" w:rsidR="00485BAA" w:rsidRPr="00D30847" w:rsidRDefault="0041055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Improved age structure of the tax debt (VAT) - reduced share of the debt older than 12 months in the total tax debt</w:t>
            </w:r>
          </w:p>
        </w:tc>
        <w:tc>
          <w:tcPr>
            <w:tcW w:w="1194" w:type="dxa"/>
            <w:gridSpan w:val="2"/>
            <w:shd w:val="clear" w:color="000000" w:fill="FFFF99"/>
            <w:vAlign w:val="center"/>
            <w:hideMark/>
          </w:tcPr>
          <w:p w14:paraId="5E6AAE88"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w:t>
            </w:r>
          </w:p>
        </w:tc>
        <w:tc>
          <w:tcPr>
            <w:tcW w:w="1418" w:type="dxa"/>
            <w:gridSpan w:val="3"/>
            <w:shd w:val="clear" w:color="000000" w:fill="FFFF99"/>
            <w:vAlign w:val="center"/>
            <w:hideMark/>
          </w:tcPr>
          <w:p w14:paraId="3DB692F7" w14:textId="354CA471" w:rsidR="00485BAA" w:rsidRPr="00D30847" w:rsidRDefault="00410554" w:rsidP="00485BA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Share of VAT debt (principal debt) over 12 months old in the total VAT debt at the end of FP - 77%</w:t>
            </w:r>
          </w:p>
        </w:tc>
        <w:tc>
          <w:tcPr>
            <w:tcW w:w="1644" w:type="dxa"/>
            <w:gridSpan w:val="3"/>
            <w:shd w:val="clear" w:color="000000" w:fill="FFFF99"/>
            <w:vAlign w:val="center"/>
            <w:hideMark/>
          </w:tcPr>
          <w:p w14:paraId="2030D55D" w14:textId="100DED9E"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Share of VAT debt (principal debt) over 12 months old in the total VAT debt at the end of FP - 70%</w:t>
            </w:r>
          </w:p>
        </w:tc>
        <w:tc>
          <w:tcPr>
            <w:tcW w:w="1758" w:type="dxa"/>
            <w:gridSpan w:val="4"/>
            <w:shd w:val="clear" w:color="000000" w:fill="FFFF99"/>
            <w:vAlign w:val="center"/>
            <w:hideMark/>
          </w:tcPr>
          <w:p w14:paraId="0C761D24" w14:textId="16DAEA1F" w:rsidR="00485BAA" w:rsidRPr="00D30847" w:rsidRDefault="00410554" w:rsidP="00485BA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Share of VAT debt (principal debt) over 12 months old in the total VAT debt at the end of FP - 63%</w:t>
            </w:r>
          </w:p>
        </w:tc>
        <w:tc>
          <w:tcPr>
            <w:tcW w:w="1842" w:type="dxa"/>
            <w:gridSpan w:val="4"/>
            <w:shd w:val="clear" w:color="000000" w:fill="FFFF99"/>
            <w:vAlign w:val="center"/>
            <w:hideMark/>
          </w:tcPr>
          <w:p w14:paraId="2A48A514" w14:textId="6AE71448"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Share of VAT debt (principal debt) over 12 months old in the total VAT debt at the end of FP - 56%</w:t>
            </w:r>
          </w:p>
        </w:tc>
        <w:tc>
          <w:tcPr>
            <w:tcW w:w="1506" w:type="dxa"/>
            <w:gridSpan w:val="4"/>
            <w:shd w:val="clear" w:color="000000" w:fill="FFFF99"/>
            <w:vAlign w:val="center"/>
            <w:hideMark/>
          </w:tcPr>
          <w:p w14:paraId="3FF1B02E" w14:textId="3B77078B"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Share of VAT debt (principal debt) over 12 months old in the total VAT debt at the end of FP - 50%</w:t>
            </w:r>
          </w:p>
        </w:tc>
      </w:tr>
      <w:tr w:rsidR="00C742B4" w:rsidRPr="00D30847" w14:paraId="6A7D1436" w14:textId="77777777" w:rsidTr="00FD4DDE">
        <w:trPr>
          <w:gridBefore w:val="3"/>
          <w:gridAfter w:val="1"/>
          <w:wBefore w:w="37" w:type="dxa"/>
          <w:wAfter w:w="52" w:type="dxa"/>
          <w:trHeight w:val="961"/>
          <w:jc w:val="center"/>
        </w:trPr>
        <w:tc>
          <w:tcPr>
            <w:tcW w:w="2303" w:type="dxa"/>
            <w:gridSpan w:val="3"/>
            <w:shd w:val="clear" w:color="auto" w:fill="FFFF99"/>
            <w:vAlign w:val="center"/>
          </w:tcPr>
          <w:p w14:paraId="52DC0CE7" w14:textId="4C4CB9EC" w:rsidR="00C742B4" w:rsidRPr="00D30847" w:rsidRDefault="00EF36B9" w:rsidP="00C742B4">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fully established systematic process for managing tax compliance risks</w:t>
            </w:r>
          </w:p>
        </w:tc>
        <w:tc>
          <w:tcPr>
            <w:tcW w:w="1836" w:type="dxa"/>
            <w:gridSpan w:val="5"/>
            <w:shd w:val="clear" w:color="000000" w:fill="FFFF99"/>
            <w:vAlign w:val="center"/>
          </w:tcPr>
          <w:p w14:paraId="5EE7DFF8" w14:textId="63F540F3" w:rsidR="00C742B4" w:rsidRPr="00D30847" w:rsidRDefault="0041055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Increased number of taxpayers who voluntarily comply</w:t>
            </w:r>
          </w:p>
        </w:tc>
        <w:tc>
          <w:tcPr>
            <w:tcW w:w="1194" w:type="dxa"/>
            <w:gridSpan w:val="2"/>
            <w:shd w:val="clear" w:color="000000" w:fill="FFFF99"/>
            <w:vAlign w:val="center"/>
          </w:tcPr>
          <w:p w14:paraId="00881613" w14:textId="77777777" w:rsidR="00C742B4" w:rsidRPr="00D30847" w:rsidRDefault="00C742B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w:t>
            </w:r>
          </w:p>
        </w:tc>
        <w:tc>
          <w:tcPr>
            <w:tcW w:w="1418" w:type="dxa"/>
            <w:gridSpan w:val="3"/>
            <w:shd w:val="clear" w:color="000000" w:fill="FFFF99"/>
            <w:vAlign w:val="center"/>
          </w:tcPr>
          <w:p w14:paraId="7FC3765E" w14:textId="2BDD8D14" w:rsidR="00C742B4" w:rsidRPr="00D30847" w:rsidRDefault="00410554" w:rsidP="00485BA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timely submitted tax returns and tax payments</w:t>
            </w:r>
          </w:p>
        </w:tc>
        <w:tc>
          <w:tcPr>
            <w:tcW w:w="1644" w:type="dxa"/>
            <w:gridSpan w:val="3"/>
            <w:shd w:val="clear" w:color="000000" w:fill="FFFF99"/>
            <w:vAlign w:val="center"/>
          </w:tcPr>
          <w:p w14:paraId="08A0FF72" w14:textId="5E118628" w:rsidR="00C742B4"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timely submitted returns and taxes payment compared to the previous year</w:t>
            </w:r>
          </w:p>
        </w:tc>
        <w:tc>
          <w:tcPr>
            <w:tcW w:w="1758" w:type="dxa"/>
            <w:gridSpan w:val="4"/>
            <w:shd w:val="clear" w:color="000000" w:fill="FFFF99"/>
            <w:vAlign w:val="center"/>
          </w:tcPr>
          <w:p w14:paraId="23746AD8" w14:textId="441917C3" w:rsidR="00C742B4" w:rsidRPr="00D30847" w:rsidRDefault="00410554" w:rsidP="00485BA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timely submitted returns and taxes payment compared to the previous year</w:t>
            </w:r>
          </w:p>
        </w:tc>
        <w:tc>
          <w:tcPr>
            <w:tcW w:w="1842" w:type="dxa"/>
            <w:gridSpan w:val="4"/>
            <w:shd w:val="clear" w:color="000000" w:fill="FFFF99"/>
            <w:vAlign w:val="center"/>
          </w:tcPr>
          <w:p w14:paraId="44339D50" w14:textId="09E03253" w:rsidR="00C742B4"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timely submitted returns and taxes payment compared to the previous year</w:t>
            </w:r>
          </w:p>
        </w:tc>
        <w:tc>
          <w:tcPr>
            <w:tcW w:w="1506" w:type="dxa"/>
            <w:gridSpan w:val="4"/>
            <w:shd w:val="clear" w:color="000000" w:fill="FFFF99"/>
            <w:vAlign w:val="center"/>
          </w:tcPr>
          <w:p w14:paraId="0B26CC6C" w14:textId="5035D4C0" w:rsidR="00C742B4"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timely submitted returns and taxes payment compared to the previous year</w:t>
            </w:r>
          </w:p>
        </w:tc>
      </w:tr>
      <w:tr w:rsidR="00485BAA" w:rsidRPr="00D30847" w14:paraId="72BF9E64" w14:textId="77777777" w:rsidTr="00FD4DDE">
        <w:trPr>
          <w:gridBefore w:val="3"/>
          <w:gridAfter w:val="1"/>
          <w:wBefore w:w="37" w:type="dxa"/>
          <w:wAfter w:w="52" w:type="dxa"/>
          <w:trHeight w:val="250"/>
          <w:jc w:val="center"/>
        </w:trPr>
        <w:tc>
          <w:tcPr>
            <w:tcW w:w="13501" w:type="dxa"/>
            <w:gridSpan w:val="28"/>
            <w:shd w:val="clear" w:color="000000" w:fill="9BD2ED"/>
            <w:vAlign w:val="center"/>
            <w:hideMark/>
          </w:tcPr>
          <w:p w14:paraId="5B7D58AC" w14:textId="3BAE05A4"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Measure 1</w:t>
            </w:r>
            <w:r w:rsidR="00577A56" w:rsidRPr="00D30847">
              <w:rPr>
                <w:rFonts w:ascii="Arial" w:eastAsia="Times New Roman" w:hAnsi="Arial" w:cs="Arial"/>
                <w:b/>
                <w:bCs/>
                <w:sz w:val="12"/>
                <w:szCs w:val="12"/>
                <w:lang w:val="en-GB" w:eastAsia="mk-MK"/>
              </w:rPr>
              <w:t>.</w:t>
            </w:r>
            <w:r w:rsidRPr="00D30847">
              <w:rPr>
                <w:rFonts w:ascii="Arial" w:eastAsia="Times New Roman" w:hAnsi="Arial" w:cs="Arial"/>
                <w:b/>
                <w:bCs/>
                <w:sz w:val="12"/>
                <w:szCs w:val="12"/>
                <w:lang w:val="en-GB" w:eastAsia="mk-MK"/>
              </w:rPr>
              <w:t>Strengthen</w:t>
            </w:r>
            <w:r w:rsidR="0041055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administrative</w:t>
            </w:r>
            <w:r w:rsidR="0041055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capacity</w:t>
            </w:r>
            <w:r w:rsidR="0041055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for</w:t>
            </w:r>
            <w:r w:rsidR="0041055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better</w:t>
            </w:r>
            <w:r w:rsidR="0041055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revenue</w:t>
            </w:r>
            <w:r w:rsidR="0041055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collection</w:t>
            </w:r>
            <w:r w:rsidR="0041055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and</w:t>
            </w:r>
            <w:r w:rsidR="0041055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tax</w:t>
            </w:r>
            <w:r w:rsidR="0041055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compliance</w:t>
            </w:r>
          </w:p>
        </w:tc>
      </w:tr>
      <w:tr w:rsidR="00485BAA" w:rsidRPr="00D30847" w14:paraId="60895CA2" w14:textId="77777777" w:rsidTr="00FD4DDE">
        <w:trPr>
          <w:gridBefore w:val="3"/>
          <w:gridAfter w:val="1"/>
          <w:wBefore w:w="37" w:type="dxa"/>
          <w:wAfter w:w="52" w:type="dxa"/>
          <w:trHeight w:val="268"/>
          <w:jc w:val="center"/>
        </w:trPr>
        <w:tc>
          <w:tcPr>
            <w:tcW w:w="2303" w:type="dxa"/>
            <w:gridSpan w:val="3"/>
            <w:vMerge w:val="restart"/>
            <w:tcBorders>
              <w:top w:val="nil"/>
              <w:left w:val="nil"/>
              <w:bottom w:val="nil"/>
              <w:right w:val="single" w:sz="8" w:space="0" w:color="000000"/>
            </w:tcBorders>
            <w:shd w:val="clear" w:color="auto" w:fill="auto"/>
            <w:vAlign w:val="center"/>
            <w:hideMark/>
          </w:tcPr>
          <w:p w14:paraId="3C2C4F59"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0AECEE44" w14:textId="47AD85D8"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41055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3E7D4D84" w14:textId="66F48E5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41055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68139E3D" w14:textId="4B3D43AC"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211ACD"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53AA6978" w14:textId="0859EF7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211ACD"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4B9CFC3B" w14:textId="7D442A6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211ACD"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608542E4" w14:textId="3B1B958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211ACD"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73640E66" w14:textId="2C4402E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211ACD" w:rsidRPr="00D30847">
              <w:rPr>
                <w:rFonts w:ascii="Arial" w:eastAsia="Times New Roman" w:hAnsi="Arial" w:cs="Arial"/>
                <w:b/>
                <w:bCs/>
                <w:sz w:val="12"/>
                <w:szCs w:val="12"/>
                <w:lang w:val="en-GB" w:eastAsia="mk-MK"/>
              </w:rPr>
              <w:t>8</w:t>
            </w:r>
          </w:p>
        </w:tc>
      </w:tr>
      <w:tr w:rsidR="00485BAA" w:rsidRPr="00D30847" w14:paraId="360CF322" w14:textId="77777777" w:rsidTr="00FD4DDE">
        <w:trPr>
          <w:gridBefore w:val="3"/>
          <w:gridAfter w:val="1"/>
          <w:wBefore w:w="37" w:type="dxa"/>
          <w:wAfter w:w="52" w:type="dxa"/>
          <w:trHeight w:val="853"/>
          <w:jc w:val="center"/>
        </w:trPr>
        <w:tc>
          <w:tcPr>
            <w:tcW w:w="2303" w:type="dxa"/>
            <w:gridSpan w:val="3"/>
            <w:vMerge/>
            <w:tcBorders>
              <w:top w:val="nil"/>
              <w:left w:val="nil"/>
              <w:bottom w:val="nil"/>
              <w:right w:val="single" w:sz="8" w:space="0" w:color="000000"/>
            </w:tcBorders>
            <w:vAlign w:val="center"/>
            <w:hideMark/>
          </w:tcPr>
          <w:p w14:paraId="10B39D2E"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55A19785" w14:textId="69BDEB4F"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Increasing the amount of the established tax guarantee</w:t>
            </w:r>
          </w:p>
        </w:tc>
        <w:tc>
          <w:tcPr>
            <w:tcW w:w="1194" w:type="dxa"/>
            <w:gridSpan w:val="2"/>
            <w:shd w:val="clear" w:color="000000" w:fill="FFFF99"/>
            <w:vAlign w:val="center"/>
            <w:hideMark/>
          </w:tcPr>
          <w:p w14:paraId="333EB0CB"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w:t>
            </w:r>
          </w:p>
        </w:tc>
        <w:tc>
          <w:tcPr>
            <w:tcW w:w="1418" w:type="dxa"/>
            <w:gridSpan w:val="3"/>
            <w:shd w:val="clear" w:color="000000" w:fill="FFFF99"/>
            <w:vAlign w:val="center"/>
            <w:hideMark/>
          </w:tcPr>
          <w:p w14:paraId="07112FAB" w14:textId="779DE4A6"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The amount of established tax guarantee for 2022 is 463,310,827 denars.</w:t>
            </w:r>
          </w:p>
        </w:tc>
        <w:tc>
          <w:tcPr>
            <w:tcW w:w="1644" w:type="dxa"/>
            <w:gridSpan w:val="3"/>
            <w:shd w:val="clear" w:color="000000" w:fill="FFFF99"/>
            <w:vAlign w:val="center"/>
            <w:hideMark/>
          </w:tcPr>
          <w:p w14:paraId="395E7762" w14:textId="10B09231"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Increase the amount of the established tax guarantee by 10% compared to 2023.</w:t>
            </w:r>
          </w:p>
        </w:tc>
        <w:tc>
          <w:tcPr>
            <w:tcW w:w="1758" w:type="dxa"/>
            <w:gridSpan w:val="4"/>
            <w:shd w:val="clear" w:color="000000" w:fill="FFFF99"/>
            <w:vAlign w:val="center"/>
            <w:hideMark/>
          </w:tcPr>
          <w:p w14:paraId="7816B048" w14:textId="651F9AC7"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Increase the amount of the established tax guarantee by 10% compared to 2024.</w:t>
            </w:r>
          </w:p>
        </w:tc>
        <w:tc>
          <w:tcPr>
            <w:tcW w:w="1842" w:type="dxa"/>
            <w:gridSpan w:val="4"/>
            <w:shd w:val="clear" w:color="000000" w:fill="FFFF99"/>
            <w:vAlign w:val="center"/>
            <w:hideMark/>
          </w:tcPr>
          <w:p w14:paraId="1975B784" w14:textId="2A1660CB"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Increase the amount of the established tax guarantee by 5% compared to 2025.</w:t>
            </w:r>
          </w:p>
        </w:tc>
        <w:tc>
          <w:tcPr>
            <w:tcW w:w="1506" w:type="dxa"/>
            <w:gridSpan w:val="4"/>
            <w:shd w:val="clear" w:color="000000" w:fill="FFFF99"/>
            <w:vAlign w:val="center"/>
            <w:hideMark/>
          </w:tcPr>
          <w:p w14:paraId="540DF215" w14:textId="64DB87E1"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Increase the amount of the established tax guarantee by 5% compared to 2026.</w:t>
            </w:r>
          </w:p>
        </w:tc>
      </w:tr>
      <w:tr w:rsidR="00485BAA" w:rsidRPr="00D30847" w14:paraId="2C41EDCD" w14:textId="77777777" w:rsidTr="00FD4DDE">
        <w:trPr>
          <w:gridBefore w:val="3"/>
          <w:gridAfter w:val="1"/>
          <w:wBefore w:w="37" w:type="dxa"/>
          <w:wAfter w:w="52" w:type="dxa"/>
          <w:trHeight w:val="880"/>
          <w:jc w:val="center"/>
        </w:trPr>
        <w:tc>
          <w:tcPr>
            <w:tcW w:w="2303" w:type="dxa"/>
            <w:gridSpan w:val="3"/>
            <w:vMerge/>
            <w:tcBorders>
              <w:top w:val="nil"/>
              <w:left w:val="nil"/>
              <w:bottom w:val="nil"/>
              <w:right w:val="single" w:sz="8" w:space="0" w:color="000000"/>
            </w:tcBorders>
            <w:vAlign w:val="center"/>
            <w:hideMark/>
          </w:tcPr>
          <w:p w14:paraId="29D84196"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6858CFFC" w14:textId="11A4CFC9"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Increasing the collection of tax debt based on an established tax guarantee</w:t>
            </w:r>
          </w:p>
        </w:tc>
        <w:tc>
          <w:tcPr>
            <w:tcW w:w="1194" w:type="dxa"/>
            <w:gridSpan w:val="2"/>
            <w:shd w:val="clear" w:color="000000" w:fill="FFFF99"/>
            <w:vAlign w:val="center"/>
            <w:hideMark/>
          </w:tcPr>
          <w:p w14:paraId="322FF51A"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w:t>
            </w:r>
          </w:p>
        </w:tc>
        <w:tc>
          <w:tcPr>
            <w:tcW w:w="1418" w:type="dxa"/>
            <w:gridSpan w:val="3"/>
            <w:shd w:val="clear" w:color="000000" w:fill="FFFF99"/>
            <w:vAlign w:val="center"/>
            <w:hideMark/>
          </w:tcPr>
          <w:p w14:paraId="74DAB844" w14:textId="65DBE14C" w:rsidR="00485BAA" w:rsidRPr="00D30847" w:rsidRDefault="0041055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The amount of debt collected based on the established tax guarantee is 40,077,892 denars</w:t>
            </w:r>
          </w:p>
        </w:tc>
        <w:tc>
          <w:tcPr>
            <w:tcW w:w="1644" w:type="dxa"/>
            <w:gridSpan w:val="3"/>
            <w:shd w:val="clear" w:color="000000" w:fill="FFFF99"/>
            <w:vAlign w:val="center"/>
            <w:hideMark/>
          </w:tcPr>
          <w:p w14:paraId="05DBF008" w14:textId="083DD6A7"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Increase in the amount of debt collected based on the established tax guarantee by 5% compared to 2023.</w:t>
            </w:r>
          </w:p>
        </w:tc>
        <w:tc>
          <w:tcPr>
            <w:tcW w:w="1758" w:type="dxa"/>
            <w:gridSpan w:val="4"/>
            <w:shd w:val="clear" w:color="000000" w:fill="FFFF99"/>
            <w:vAlign w:val="center"/>
            <w:hideMark/>
          </w:tcPr>
          <w:p w14:paraId="619428F6" w14:textId="3648CF48"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Increase in the amount of debt collected based on the established tax guarantee by 10% compared to 2024.</w:t>
            </w:r>
          </w:p>
        </w:tc>
        <w:tc>
          <w:tcPr>
            <w:tcW w:w="1842" w:type="dxa"/>
            <w:gridSpan w:val="4"/>
            <w:shd w:val="clear" w:color="000000" w:fill="FFFF99"/>
            <w:vAlign w:val="center"/>
            <w:hideMark/>
          </w:tcPr>
          <w:p w14:paraId="0BF45F34" w14:textId="14857056"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Increase in the amount of debt collected based on the established tax guarantee by 10% compared to 2025.</w:t>
            </w:r>
          </w:p>
        </w:tc>
        <w:tc>
          <w:tcPr>
            <w:tcW w:w="1506" w:type="dxa"/>
            <w:gridSpan w:val="4"/>
            <w:shd w:val="clear" w:color="000000" w:fill="FFFF99"/>
            <w:vAlign w:val="center"/>
            <w:hideMark/>
          </w:tcPr>
          <w:p w14:paraId="38F50EB4" w14:textId="7B354A8E"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Increase in the amount of debt collected based on the established tax guarantee by 5% compared to 2025.</w:t>
            </w:r>
          </w:p>
        </w:tc>
      </w:tr>
      <w:tr w:rsidR="00485BAA" w:rsidRPr="00D30847" w14:paraId="105C2689" w14:textId="77777777" w:rsidTr="00FD4DDE">
        <w:trPr>
          <w:gridBefore w:val="3"/>
          <w:gridAfter w:val="1"/>
          <w:wBefore w:w="37" w:type="dxa"/>
          <w:wAfter w:w="52" w:type="dxa"/>
          <w:trHeight w:val="696"/>
          <w:jc w:val="center"/>
        </w:trPr>
        <w:tc>
          <w:tcPr>
            <w:tcW w:w="2303" w:type="dxa"/>
            <w:gridSpan w:val="3"/>
            <w:vMerge/>
            <w:tcBorders>
              <w:top w:val="nil"/>
              <w:left w:val="nil"/>
              <w:bottom w:val="nil"/>
              <w:right w:val="single" w:sz="8" w:space="0" w:color="000000"/>
            </w:tcBorders>
            <w:vAlign w:val="center"/>
            <w:hideMark/>
          </w:tcPr>
          <w:p w14:paraId="784CA637"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2F917688" w14:textId="52177E58"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Value of collectible core tax arrears in FY end in percent of total core tax revenue collection for FY</w:t>
            </w:r>
          </w:p>
        </w:tc>
        <w:tc>
          <w:tcPr>
            <w:tcW w:w="1194" w:type="dxa"/>
            <w:gridSpan w:val="2"/>
            <w:shd w:val="clear" w:color="000000" w:fill="FFFF99"/>
            <w:vAlign w:val="center"/>
            <w:hideMark/>
          </w:tcPr>
          <w:p w14:paraId="7A7CFE45"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w:t>
            </w:r>
          </w:p>
        </w:tc>
        <w:tc>
          <w:tcPr>
            <w:tcW w:w="1418" w:type="dxa"/>
            <w:gridSpan w:val="3"/>
            <w:shd w:val="clear" w:color="000000" w:fill="FFFF99"/>
            <w:vAlign w:val="center"/>
            <w:hideMark/>
          </w:tcPr>
          <w:p w14:paraId="2833861E" w14:textId="60B50350" w:rsidR="00485BAA" w:rsidRPr="00D30847" w:rsidRDefault="0041055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VAT debt / VAT income ratio 18%%</w:t>
            </w:r>
          </w:p>
        </w:tc>
        <w:tc>
          <w:tcPr>
            <w:tcW w:w="1644" w:type="dxa"/>
            <w:gridSpan w:val="3"/>
            <w:shd w:val="clear" w:color="000000" w:fill="FFFF99"/>
            <w:vAlign w:val="center"/>
            <w:hideMark/>
          </w:tcPr>
          <w:p w14:paraId="5BACF9D9" w14:textId="47607585"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VAT debt / VAT income</w:t>
            </w:r>
            <w:r w:rsidR="00410554"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ratio 16%</w:t>
            </w:r>
          </w:p>
        </w:tc>
        <w:tc>
          <w:tcPr>
            <w:tcW w:w="1758" w:type="dxa"/>
            <w:gridSpan w:val="4"/>
            <w:shd w:val="clear" w:color="000000" w:fill="FFFF99"/>
            <w:vAlign w:val="center"/>
            <w:hideMark/>
          </w:tcPr>
          <w:p w14:paraId="15F9E894" w14:textId="5A8959A3"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VAT debt / VAT income</w:t>
            </w:r>
            <w:r w:rsidR="00410554"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ratio 14%</w:t>
            </w:r>
          </w:p>
        </w:tc>
        <w:tc>
          <w:tcPr>
            <w:tcW w:w="1842" w:type="dxa"/>
            <w:gridSpan w:val="4"/>
            <w:shd w:val="clear" w:color="000000" w:fill="FFFF99"/>
            <w:vAlign w:val="center"/>
            <w:hideMark/>
          </w:tcPr>
          <w:p w14:paraId="2F5C3B13" w14:textId="6240B8C0"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VAT debt / VAT income</w:t>
            </w:r>
            <w:r w:rsidR="00410554"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ratio 12%</w:t>
            </w:r>
          </w:p>
        </w:tc>
        <w:tc>
          <w:tcPr>
            <w:tcW w:w="1506" w:type="dxa"/>
            <w:gridSpan w:val="4"/>
            <w:shd w:val="clear" w:color="000000" w:fill="FFFF99"/>
            <w:vAlign w:val="center"/>
            <w:hideMark/>
          </w:tcPr>
          <w:p w14:paraId="0053226C" w14:textId="67FC8539"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VAT debt / VAT income</w:t>
            </w:r>
            <w:r w:rsidR="00410554"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ratio 10%</w:t>
            </w:r>
          </w:p>
        </w:tc>
      </w:tr>
      <w:tr w:rsidR="00485BAA" w:rsidRPr="00D30847" w14:paraId="77B166A5" w14:textId="77777777" w:rsidTr="00FD4DDE">
        <w:trPr>
          <w:gridBefore w:val="3"/>
          <w:gridAfter w:val="1"/>
          <w:wBefore w:w="37" w:type="dxa"/>
          <w:wAfter w:w="52" w:type="dxa"/>
          <w:trHeight w:val="961"/>
          <w:jc w:val="center"/>
        </w:trPr>
        <w:tc>
          <w:tcPr>
            <w:tcW w:w="2303" w:type="dxa"/>
            <w:gridSpan w:val="3"/>
            <w:vMerge/>
            <w:tcBorders>
              <w:top w:val="nil"/>
              <w:left w:val="nil"/>
              <w:bottom w:val="nil"/>
              <w:right w:val="single" w:sz="8" w:space="0" w:color="000000"/>
            </w:tcBorders>
            <w:vAlign w:val="center"/>
            <w:hideMark/>
          </w:tcPr>
          <w:p w14:paraId="3A3F0A12"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1F723481" w14:textId="676E0DF5"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Improving compliance with the personal services activity through a better ratio Number of performed controls per year / total registered taxpayers</w:t>
            </w:r>
          </w:p>
        </w:tc>
        <w:tc>
          <w:tcPr>
            <w:tcW w:w="1194" w:type="dxa"/>
            <w:gridSpan w:val="2"/>
            <w:shd w:val="clear" w:color="000000" w:fill="FFFF99"/>
            <w:vAlign w:val="center"/>
            <w:hideMark/>
          </w:tcPr>
          <w:p w14:paraId="7B550E5A"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w:t>
            </w:r>
          </w:p>
        </w:tc>
        <w:tc>
          <w:tcPr>
            <w:tcW w:w="1418" w:type="dxa"/>
            <w:gridSpan w:val="3"/>
            <w:shd w:val="clear" w:color="000000" w:fill="FFFF99"/>
            <w:vAlign w:val="center"/>
            <w:hideMark/>
          </w:tcPr>
          <w:p w14:paraId="09149C91" w14:textId="0371343C"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Additional tax assessed per audit program increased per 3% compared to the results from the previous year</w:t>
            </w:r>
          </w:p>
        </w:tc>
        <w:tc>
          <w:tcPr>
            <w:tcW w:w="1644" w:type="dxa"/>
            <w:gridSpan w:val="3"/>
            <w:shd w:val="clear" w:color="000000" w:fill="FFFF99"/>
            <w:vAlign w:val="center"/>
            <w:hideMark/>
          </w:tcPr>
          <w:p w14:paraId="76C7228A" w14:textId="47B8CE48"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Additional tax assessed per audit program increased per 3% compared to the results from the previous year</w:t>
            </w:r>
          </w:p>
        </w:tc>
        <w:tc>
          <w:tcPr>
            <w:tcW w:w="1758" w:type="dxa"/>
            <w:gridSpan w:val="4"/>
            <w:shd w:val="clear" w:color="000000" w:fill="FFFF99"/>
            <w:vAlign w:val="center"/>
            <w:hideMark/>
          </w:tcPr>
          <w:p w14:paraId="50850D5B" w14:textId="71915320"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Additional tax assessed per audit program increased per 3% compared to the results from the previous year</w:t>
            </w:r>
          </w:p>
        </w:tc>
        <w:tc>
          <w:tcPr>
            <w:tcW w:w="1842" w:type="dxa"/>
            <w:gridSpan w:val="4"/>
            <w:shd w:val="clear" w:color="000000" w:fill="FFFF99"/>
            <w:vAlign w:val="center"/>
            <w:hideMark/>
          </w:tcPr>
          <w:p w14:paraId="1B5E3467" w14:textId="2D764845"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Additional tax assessed per audit program increased per 3% compared to the results from the previous year</w:t>
            </w:r>
          </w:p>
        </w:tc>
        <w:tc>
          <w:tcPr>
            <w:tcW w:w="1506" w:type="dxa"/>
            <w:gridSpan w:val="4"/>
            <w:shd w:val="clear" w:color="000000" w:fill="FFFF99"/>
            <w:vAlign w:val="center"/>
            <w:hideMark/>
          </w:tcPr>
          <w:p w14:paraId="080D0CD1" w14:textId="1552E49D" w:rsidR="00485BAA" w:rsidRPr="00D30847" w:rsidRDefault="0041055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Additional tax assessed per audit program increased per 3% compared to the results from the previous year</w:t>
            </w:r>
          </w:p>
        </w:tc>
      </w:tr>
      <w:tr w:rsidR="00485BAA" w:rsidRPr="00D30847" w14:paraId="666BB566" w14:textId="77777777" w:rsidTr="00FD4DDE">
        <w:trPr>
          <w:gridBefore w:val="3"/>
          <w:gridAfter w:val="1"/>
          <w:wBefore w:w="37" w:type="dxa"/>
          <w:wAfter w:w="52" w:type="dxa"/>
          <w:trHeight w:val="267"/>
          <w:jc w:val="center"/>
        </w:trPr>
        <w:tc>
          <w:tcPr>
            <w:tcW w:w="2303" w:type="dxa"/>
            <w:gridSpan w:val="3"/>
            <w:vMerge/>
            <w:tcBorders>
              <w:top w:val="nil"/>
              <w:left w:val="nil"/>
              <w:bottom w:val="nil"/>
              <w:right w:val="single" w:sz="8" w:space="0" w:color="000000"/>
            </w:tcBorders>
            <w:vAlign w:val="center"/>
            <w:hideMark/>
          </w:tcPr>
          <w:p w14:paraId="6BBBB509"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1B1D0618"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437F88E1" w14:textId="09BBF3B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8F22FA"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0EB3087E" w14:textId="3990F96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8F22FA"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05597AB5" w14:textId="62462F4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8F22FA"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54C51651"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27F613D8" w14:textId="6CCBD20D"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8F22FA"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8F22FA"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266406F5"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F01E25" w:rsidRPr="00D30847" w14:paraId="1D6C6AAC" w14:textId="77777777" w:rsidTr="00FD4DDE">
        <w:trPr>
          <w:gridBefore w:val="3"/>
          <w:gridAfter w:val="1"/>
          <w:wBefore w:w="37" w:type="dxa"/>
          <w:wAfter w:w="52" w:type="dxa"/>
          <w:trHeight w:val="592"/>
          <w:jc w:val="center"/>
        </w:trPr>
        <w:tc>
          <w:tcPr>
            <w:tcW w:w="2303" w:type="dxa"/>
            <w:gridSpan w:val="3"/>
            <w:vMerge/>
            <w:tcBorders>
              <w:top w:val="nil"/>
              <w:left w:val="nil"/>
              <w:bottom w:val="nil"/>
              <w:right w:val="single" w:sz="8" w:space="0" w:color="000000"/>
            </w:tcBorders>
            <w:vAlign w:val="center"/>
            <w:hideMark/>
          </w:tcPr>
          <w:p w14:paraId="4D1B066F" w14:textId="77777777" w:rsidR="00F01E25" w:rsidRPr="00D30847" w:rsidRDefault="00F01E25"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20D2BE3F" w14:textId="17E69FBE" w:rsidR="00F01E25" w:rsidRPr="00D30847" w:rsidRDefault="00F01E25"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1. </w:t>
            </w:r>
            <w:r w:rsidR="006A55CA" w:rsidRPr="00D30847">
              <w:rPr>
                <w:rFonts w:ascii="Arial" w:eastAsia="Times New Roman" w:hAnsi="Arial" w:cs="Arial"/>
                <w:sz w:val="12"/>
                <w:szCs w:val="12"/>
                <w:lang w:val="en-GB" w:eastAsia="mk-MK"/>
              </w:rPr>
              <w:t>More</w:t>
            </w:r>
            <w:r w:rsidR="002320F5" w:rsidRPr="00D30847">
              <w:rPr>
                <w:rFonts w:ascii="Arial" w:eastAsia="Times New Roman" w:hAnsi="Arial" w:cs="Arial"/>
                <w:sz w:val="12"/>
                <w:szCs w:val="12"/>
                <w:lang w:val="en-GB" w:eastAsia="mk-MK"/>
              </w:rPr>
              <w:t xml:space="preserve"> </w:t>
            </w:r>
            <w:r w:rsidR="006A55CA" w:rsidRPr="00D30847">
              <w:rPr>
                <w:rFonts w:ascii="Arial" w:eastAsia="Times New Roman" w:hAnsi="Arial" w:cs="Arial"/>
                <w:sz w:val="12"/>
                <w:szCs w:val="12"/>
                <w:lang w:val="en-GB" w:eastAsia="mk-MK"/>
              </w:rPr>
              <w:t>effective</w:t>
            </w:r>
            <w:r w:rsidR="002320F5" w:rsidRPr="00D30847">
              <w:rPr>
                <w:rFonts w:ascii="Arial" w:eastAsia="Times New Roman" w:hAnsi="Arial" w:cs="Arial"/>
                <w:sz w:val="12"/>
                <w:szCs w:val="12"/>
                <w:lang w:val="en-GB" w:eastAsia="mk-MK"/>
              </w:rPr>
              <w:t xml:space="preserve"> </w:t>
            </w:r>
            <w:r w:rsidR="006A55CA" w:rsidRPr="00D30847">
              <w:rPr>
                <w:rFonts w:ascii="Arial" w:eastAsia="Times New Roman" w:hAnsi="Arial" w:cs="Arial"/>
                <w:sz w:val="12"/>
                <w:szCs w:val="12"/>
                <w:lang w:val="en-GB" w:eastAsia="mk-MK"/>
              </w:rPr>
              <w:t>and</w:t>
            </w:r>
            <w:r w:rsidR="002320F5" w:rsidRPr="00D30847">
              <w:rPr>
                <w:rFonts w:ascii="Arial" w:eastAsia="Times New Roman" w:hAnsi="Arial" w:cs="Arial"/>
                <w:sz w:val="12"/>
                <w:szCs w:val="12"/>
                <w:lang w:val="en-GB" w:eastAsia="mk-MK"/>
              </w:rPr>
              <w:t xml:space="preserve"> </w:t>
            </w:r>
            <w:r w:rsidR="006A55CA" w:rsidRPr="00D30847">
              <w:rPr>
                <w:rFonts w:ascii="Arial" w:eastAsia="Times New Roman" w:hAnsi="Arial" w:cs="Arial"/>
                <w:sz w:val="12"/>
                <w:szCs w:val="12"/>
                <w:lang w:val="en-GB" w:eastAsia="mk-MK"/>
              </w:rPr>
              <w:t>efficient</w:t>
            </w:r>
            <w:r w:rsidR="002320F5" w:rsidRPr="00D30847">
              <w:rPr>
                <w:rFonts w:ascii="Arial" w:eastAsia="Times New Roman" w:hAnsi="Arial" w:cs="Arial"/>
                <w:sz w:val="12"/>
                <w:szCs w:val="12"/>
                <w:lang w:val="en-GB" w:eastAsia="mk-MK"/>
              </w:rPr>
              <w:t xml:space="preserve"> </w:t>
            </w:r>
            <w:r w:rsidR="006A55CA" w:rsidRPr="00D30847">
              <w:rPr>
                <w:rFonts w:ascii="Arial" w:eastAsia="Times New Roman" w:hAnsi="Arial" w:cs="Arial"/>
                <w:sz w:val="12"/>
                <w:szCs w:val="12"/>
                <w:lang w:val="en-GB" w:eastAsia="mk-MK"/>
              </w:rPr>
              <w:t>management</w:t>
            </w:r>
            <w:r w:rsidR="002320F5" w:rsidRPr="00D30847">
              <w:rPr>
                <w:rFonts w:ascii="Arial" w:eastAsia="Times New Roman" w:hAnsi="Arial" w:cs="Arial"/>
                <w:sz w:val="12"/>
                <w:szCs w:val="12"/>
                <w:lang w:val="en-GB" w:eastAsia="mk-MK"/>
              </w:rPr>
              <w:t xml:space="preserve"> </w:t>
            </w:r>
            <w:r w:rsidR="006A55CA" w:rsidRPr="00D30847">
              <w:rPr>
                <w:rFonts w:ascii="Arial" w:eastAsia="Times New Roman" w:hAnsi="Arial" w:cs="Arial"/>
                <w:sz w:val="12"/>
                <w:szCs w:val="12"/>
                <w:lang w:val="en-GB" w:eastAsia="mk-MK"/>
              </w:rPr>
              <w:t>of</w:t>
            </w:r>
            <w:r w:rsidR="002320F5" w:rsidRPr="00D30847">
              <w:rPr>
                <w:rFonts w:ascii="Arial" w:eastAsia="Times New Roman" w:hAnsi="Arial" w:cs="Arial"/>
                <w:sz w:val="12"/>
                <w:szCs w:val="12"/>
                <w:lang w:val="en-GB" w:eastAsia="mk-MK"/>
              </w:rPr>
              <w:t xml:space="preserve"> </w:t>
            </w:r>
            <w:r w:rsidR="006A55CA" w:rsidRPr="00D30847">
              <w:rPr>
                <w:rFonts w:ascii="Arial" w:eastAsia="Times New Roman" w:hAnsi="Arial" w:cs="Arial"/>
                <w:sz w:val="12"/>
                <w:szCs w:val="12"/>
                <w:lang w:val="en-GB" w:eastAsia="mk-MK"/>
              </w:rPr>
              <w:t>overdue</w:t>
            </w:r>
            <w:r w:rsidR="002320F5" w:rsidRPr="00D30847">
              <w:rPr>
                <w:rFonts w:ascii="Arial" w:eastAsia="Times New Roman" w:hAnsi="Arial" w:cs="Arial"/>
                <w:sz w:val="12"/>
                <w:szCs w:val="12"/>
                <w:lang w:val="en-GB" w:eastAsia="mk-MK"/>
              </w:rPr>
              <w:t xml:space="preserve"> </w:t>
            </w:r>
            <w:r w:rsidR="006A55CA" w:rsidRPr="00D30847">
              <w:rPr>
                <w:rFonts w:ascii="Arial" w:eastAsia="Times New Roman" w:hAnsi="Arial" w:cs="Arial"/>
                <w:sz w:val="12"/>
                <w:szCs w:val="12"/>
                <w:lang w:val="en-GB" w:eastAsia="mk-MK"/>
              </w:rPr>
              <w:t>tax</w:t>
            </w:r>
            <w:r w:rsidR="002320F5" w:rsidRPr="00D30847">
              <w:rPr>
                <w:rFonts w:ascii="Arial" w:eastAsia="Times New Roman" w:hAnsi="Arial" w:cs="Arial"/>
                <w:sz w:val="12"/>
                <w:szCs w:val="12"/>
                <w:lang w:val="en-GB" w:eastAsia="mk-MK"/>
              </w:rPr>
              <w:t xml:space="preserve"> </w:t>
            </w:r>
            <w:r w:rsidR="006A55CA" w:rsidRPr="00D30847">
              <w:rPr>
                <w:rFonts w:ascii="Arial" w:eastAsia="Times New Roman" w:hAnsi="Arial" w:cs="Arial"/>
                <w:sz w:val="12"/>
                <w:szCs w:val="12"/>
                <w:lang w:val="en-GB" w:eastAsia="mk-MK"/>
              </w:rPr>
              <w:t>debt</w:t>
            </w:r>
          </w:p>
        </w:tc>
        <w:tc>
          <w:tcPr>
            <w:tcW w:w="1194" w:type="dxa"/>
            <w:gridSpan w:val="2"/>
            <w:shd w:val="clear" w:color="000000" w:fill="FFFF99"/>
            <w:vAlign w:val="center"/>
            <w:hideMark/>
          </w:tcPr>
          <w:p w14:paraId="4FD93C45" w14:textId="77777777" w:rsidR="00F01E25" w:rsidRPr="00D30847" w:rsidRDefault="00F01E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2024-2027</w:t>
            </w:r>
          </w:p>
        </w:tc>
        <w:tc>
          <w:tcPr>
            <w:tcW w:w="1418" w:type="dxa"/>
            <w:gridSpan w:val="3"/>
            <w:shd w:val="clear" w:color="000000" w:fill="FFFF99"/>
            <w:vAlign w:val="center"/>
            <w:hideMark/>
          </w:tcPr>
          <w:p w14:paraId="5BEA048C" w14:textId="77777777" w:rsidR="00F01E25" w:rsidRPr="00D30847" w:rsidRDefault="00F01E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w:t>
            </w:r>
          </w:p>
        </w:tc>
        <w:tc>
          <w:tcPr>
            <w:tcW w:w="1644" w:type="dxa"/>
            <w:gridSpan w:val="3"/>
            <w:shd w:val="clear" w:color="000000" w:fill="FFFF99"/>
            <w:vAlign w:val="center"/>
            <w:hideMark/>
          </w:tcPr>
          <w:p w14:paraId="3BBD54C3" w14:textId="77777777" w:rsidR="00F01E25" w:rsidRPr="00D30847" w:rsidRDefault="00F01E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vMerge w:val="restart"/>
            <w:shd w:val="clear" w:color="000000" w:fill="FFFF99"/>
            <w:vAlign w:val="center"/>
            <w:hideMark/>
          </w:tcPr>
          <w:p w14:paraId="696997E0" w14:textId="483148B7" w:rsidR="00F01E25" w:rsidRPr="00D30847" w:rsidRDefault="0080652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106</w:t>
            </w:r>
            <w:r w:rsidR="00F01E25" w:rsidRPr="00D30847">
              <w:rPr>
                <w:rFonts w:ascii="Arial" w:eastAsia="Times New Roman" w:hAnsi="Arial" w:cs="Arial"/>
                <w:sz w:val="12"/>
                <w:szCs w:val="12"/>
                <w:lang w:val="en-GB" w:eastAsia="mk-MK"/>
              </w:rPr>
              <w:t>,000</w:t>
            </w:r>
          </w:p>
          <w:p w14:paraId="12F460D1" w14:textId="13317CF1" w:rsidR="00F01E25" w:rsidRPr="00D30847" w:rsidRDefault="00F01E25" w:rsidP="00485BAA">
            <w:pPr>
              <w:spacing w:after="0" w:line="240" w:lineRule="auto"/>
              <w:jc w:val="center"/>
              <w:rPr>
                <w:rFonts w:ascii="Arial" w:eastAsia="Times New Roman" w:hAnsi="Arial" w:cs="Arial"/>
                <w:sz w:val="12"/>
                <w:szCs w:val="12"/>
                <w:lang w:val="en-GB" w:eastAsia="mk-MK"/>
              </w:rPr>
            </w:pPr>
          </w:p>
        </w:tc>
        <w:tc>
          <w:tcPr>
            <w:tcW w:w="1842" w:type="dxa"/>
            <w:gridSpan w:val="4"/>
            <w:vMerge w:val="restart"/>
            <w:shd w:val="clear" w:color="000000" w:fill="FFFF99"/>
            <w:vAlign w:val="center"/>
            <w:hideMark/>
          </w:tcPr>
          <w:p w14:paraId="4432EFBE" w14:textId="36A6AFCF" w:rsidR="00F01E25" w:rsidRPr="00D30847" w:rsidRDefault="00404D9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National</w:t>
            </w:r>
            <w:r w:rsidR="002320F5"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budget</w:t>
            </w:r>
          </w:p>
          <w:p w14:paraId="7124203D" w14:textId="6C92F440" w:rsidR="00F01E25" w:rsidRPr="00D30847" w:rsidRDefault="00F01E25" w:rsidP="00485BAA">
            <w:pPr>
              <w:spacing w:after="0" w:line="240" w:lineRule="auto"/>
              <w:jc w:val="center"/>
              <w:rPr>
                <w:rFonts w:ascii="Arial" w:eastAsia="Times New Roman" w:hAnsi="Arial" w:cs="Arial"/>
                <w:sz w:val="12"/>
                <w:szCs w:val="12"/>
                <w:lang w:val="en-GB" w:eastAsia="mk-MK"/>
              </w:rPr>
            </w:pPr>
          </w:p>
        </w:tc>
        <w:tc>
          <w:tcPr>
            <w:tcW w:w="1506" w:type="dxa"/>
            <w:gridSpan w:val="4"/>
            <w:shd w:val="clear" w:color="000000" w:fill="FFFF99"/>
            <w:vAlign w:val="center"/>
            <w:hideMark/>
          </w:tcPr>
          <w:p w14:paraId="11F5CAA9" w14:textId="334C9AC8" w:rsidR="00F01E25" w:rsidRPr="00D30847" w:rsidRDefault="00F01E25" w:rsidP="00407B01">
            <w:pPr>
              <w:spacing w:after="0" w:line="240" w:lineRule="auto"/>
              <w:rPr>
                <w:rFonts w:ascii="Arial" w:eastAsia="Times New Roman" w:hAnsi="Arial" w:cs="Arial"/>
                <w:sz w:val="12"/>
                <w:szCs w:val="12"/>
                <w:lang w:val="en-GB" w:eastAsia="mk-MK"/>
              </w:rPr>
            </w:pPr>
          </w:p>
        </w:tc>
      </w:tr>
      <w:tr w:rsidR="00F01E25" w:rsidRPr="00D30847" w14:paraId="16C21CFA" w14:textId="77777777" w:rsidTr="00FD4DDE">
        <w:trPr>
          <w:gridBefore w:val="3"/>
          <w:gridAfter w:val="1"/>
          <w:wBefore w:w="37" w:type="dxa"/>
          <w:wAfter w:w="52" w:type="dxa"/>
          <w:trHeight w:val="520"/>
          <w:jc w:val="center"/>
        </w:trPr>
        <w:tc>
          <w:tcPr>
            <w:tcW w:w="2303" w:type="dxa"/>
            <w:gridSpan w:val="3"/>
            <w:tcBorders>
              <w:top w:val="nil"/>
              <w:left w:val="nil"/>
              <w:bottom w:val="nil"/>
              <w:right w:val="single" w:sz="8" w:space="0" w:color="000000"/>
            </w:tcBorders>
            <w:vAlign w:val="center"/>
            <w:hideMark/>
          </w:tcPr>
          <w:p w14:paraId="63450194" w14:textId="77777777" w:rsidR="00F01E25" w:rsidRPr="00D30847" w:rsidRDefault="00F01E25"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695A7456" w14:textId="4D5ACBB6" w:rsidR="00F01E25" w:rsidRPr="00D30847" w:rsidRDefault="00F01E25" w:rsidP="002445ED">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w:t>
            </w:r>
            <w:r w:rsidR="006A55CA" w:rsidRPr="00D30847">
              <w:rPr>
                <w:rFonts w:ascii="Arial" w:eastAsia="Times New Roman" w:hAnsi="Arial" w:cs="Arial"/>
                <w:sz w:val="12"/>
                <w:szCs w:val="12"/>
                <w:lang w:val="en-GB" w:eastAsia="mk-MK"/>
              </w:rPr>
              <w:t>Improving the</w:t>
            </w:r>
            <w:r w:rsidR="004F2EBE" w:rsidRPr="00D30847">
              <w:rPr>
                <w:rFonts w:ascii="Arial" w:eastAsia="Times New Roman" w:hAnsi="Arial" w:cs="Arial"/>
                <w:sz w:val="12"/>
                <w:szCs w:val="12"/>
                <w:lang w:val="en-GB" w:eastAsia="mk-MK"/>
              </w:rPr>
              <w:t xml:space="preserve"> </w:t>
            </w:r>
            <w:r w:rsidR="006A55CA" w:rsidRPr="00D30847">
              <w:rPr>
                <w:rFonts w:ascii="Arial" w:eastAsia="Times New Roman" w:hAnsi="Arial" w:cs="Arial"/>
                <w:sz w:val="12"/>
                <w:szCs w:val="12"/>
                <w:lang w:val="en-GB" w:eastAsia="mk-MK"/>
              </w:rPr>
              <w:t>Compliance</w:t>
            </w:r>
            <w:r w:rsidR="002320F5" w:rsidRPr="00D30847">
              <w:rPr>
                <w:rFonts w:ascii="Arial" w:eastAsia="Times New Roman" w:hAnsi="Arial" w:cs="Arial"/>
                <w:sz w:val="12"/>
                <w:szCs w:val="12"/>
                <w:lang w:val="en-GB" w:eastAsia="mk-MK"/>
              </w:rPr>
              <w:t xml:space="preserve"> </w:t>
            </w:r>
            <w:r w:rsidR="006A55CA" w:rsidRPr="00D30847">
              <w:rPr>
                <w:rFonts w:ascii="Arial" w:eastAsia="Times New Roman" w:hAnsi="Arial" w:cs="Arial"/>
                <w:sz w:val="12"/>
                <w:szCs w:val="12"/>
                <w:lang w:val="en-GB" w:eastAsia="mk-MK"/>
              </w:rPr>
              <w:t>risk</w:t>
            </w:r>
            <w:r w:rsidR="002320F5" w:rsidRPr="00D30847">
              <w:rPr>
                <w:rFonts w:ascii="Arial" w:eastAsia="Times New Roman" w:hAnsi="Arial" w:cs="Arial"/>
                <w:sz w:val="12"/>
                <w:szCs w:val="12"/>
                <w:lang w:val="en-GB" w:eastAsia="mk-MK"/>
              </w:rPr>
              <w:t xml:space="preserve"> </w:t>
            </w:r>
            <w:r w:rsidR="006A55CA" w:rsidRPr="00D30847">
              <w:rPr>
                <w:rFonts w:ascii="Arial" w:eastAsia="Times New Roman" w:hAnsi="Arial" w:cs="Arial"/>
                <w:sz w:val="12"/>
                <w:szCs w:val="12"/>
                <w:lang w:val="en-GB" w:eastAsia="mk-MK"/>
              </w:rPr>
              <w:t>management</w:t>
            </w:r>
          </w:p>
        </w:tc>
        <w:tc>
          <w:tcPr>
            <w:tcW w:w="1194" w:type="dxa"/>
            <w:gridSpan w:val="2"/>
            <w:shd w:val="clear" w:color="000000" w:fill="FFFF99"/>
            <w:vAlign w:val="center"/>
            <w:hideMark/>
          </w:tcPr>
          <w:p w14:paraId="4E2E04D2" w14:textId="77777777" w:rsidR="00F01E25" w:rsidRPr="00D30847" w:rsidRDefault="00F01E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2024-2027</w:t>
            </w:r>
          </w:p>
        </w:tc>
        <w:tc>
          <w:tcPr>
            <w:tcW w:w="1418" w:type="dxa"/>
            <w:gridSpan w:val="3"/>
            <w:shd w:val="clear" w:color="000000" w:fill="FFFF99"/>
            <w:vAlign w:val="center"/>
            <w:hideMark/>
          </w:tcPr>
          <w:p w14:paraId="567BD69C" w14:textId="77777777" w:rsidR="00F01E25" w:rsidRPr="00D30847" w:rsidRDefault="00F01E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w:t>
            </w:r>
          </w:p>
        </w:tc>
        <w:tc>
          <w:tcPr>
            <w:tcW w:w="1644" w:type="dxa"/>
            <w:gridSpan w:val="3"/>
            <w:shd w:val="clear" w:color="000000" w:fill="FFFF99"/>
            <w:vAlign w:val="center"/>
            <w:hideMark/>
          </w:tcPr>
          <w:p w14:paraId="67E51535" w14:textId="77777777" w:rsidR="00F01E25" w:rsidRPr="00D30847" w:rsidRDefault="00F01E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vMerge/>
            <w:shd w:val="clear" w:color="000000" w:fill="FFFF99"/>
            <w:vAlign w:val="center"/>
            <w:hideMark/>
          </w:tcPr>
          <w:p w14:paraId="5A6B79BB" w14:textId="77777777" w:rsidR="00F01E25" w:rsidRPr="00D30847" w:rsidRDefault="00F01E25" w:rsidP="00485BAA">
            <w:pPr>
              <w:spacing w:after="0" w:line="240" w:lineRule="auto"/>
              <w:jc w:val="center"/>
              <w:rPr>
                <w:rFonts w:ascii="Arial" w:eastAsia="Times New Roman" w:hAnsi="Arial" w:cs="Arial"/>
                <w:sz w:val="12"/>
                <w:szCs w:val="12"/>
                <w:lang w:val="en-GB" w:eastAsia="mk-MK"/>
              </w:rPr>
            </w:pPr>
          </w:p>
        </w:tc>
        <w:tc>
          <w:tcPr>
            <w:tcW w:w="1842" w:type="dxa"/>
            <w:gridSpan w:val="4"/>
            <w:vMerge/>
            <w:shd w:val="clear" w:color="000000" w:fill="FFFF99"/>
            <w:vAlign w:val="center"/>
            <w:hideMark/>
          </w:tcPr>
          <w:p w14:paraId="6829CEDA" w14:textId="77777777" w:rsidR="00F01E25" w:rsidRPr="00D30847" w:rsidRDefault="00F01E25" w:rsidP="00485BAA">
            <w:pPr>
              <w:spacing w:after="0" w:line="240" w:lineRule="auto"/>
              <w:jc w:val="center"/>
              <w:rPr>
                <w:rFonts w:ascii="Arial" w:eastAsia="Times New Roman" w:hAnsi="Arial" w:cs="Arial"/>
                <w:sz w:val="12"/>
                <w:szCs w:val="12"/>
                <w:lang w:val="en-GB" w:eastAsia="mk-MK"/>
              </w:rPr>
            </w:pPr>
          </w:p>
        </w:tc>
        <w:tc>
          <w:tcPr>
            <w:tcW w:w="1506" w:type="dxa"/>
            <w:gridSpan w:val="4"/>
            <w:shd w:val="clear" w:color="000000" w:fill="FFFF99"/>
            <w:vAlign w:val="center"/>
            <w:hideMark/>
          </w:tcPr>
          <w:p w14:paraId="26F16BD2" w14:textId="613C1EBD" w:rsidR="00F01E25" w:rsidRPr="00D30847" w:rsidRDefault="00F01E25" w:rsidP="00407B01">
            <w:pPr>
              <w:spacing w:after="0" w:line="240" w:lineRule="auto"/>
              <w:rPr>
                <w:rFonts w:ascii="Arial" w:eastAsia="Times New Roman" w:hAnsi="Arial" w:cs="Arial"/>
                <w:sz w:val="12"/>
                <w:szCs w:val="12"/>
                <w:lang w:val="en-GB" w:eastAsia="mk-MK"/>
              </w:rPr>
            </w:pPr>
          </w:p>
        </w:tc>
      </w:tr>
      <w:tr w:rsidR="00485BAA" w:rsidRPr="00D30847" w14:paraId="7F343831" w14:textId="77777777" w:rsidTr="00FD4DDE">
        <w:trPr>
          <w:gridBefore w:val="3"/>
          <w:gridAfter w:val="1"/>
          <w:wBefore w:w="37" w:type="dxa"/>
          <w:wAfter w:w="52" w:type="dxa"/>
          <w:trHeight w:val="241"/>
          <w:jc w:val="center"/>
        </w:trPr>
        <w:tc>
          <w:tcPr>
            <w:tcW w:w="13501" w:type="dxa"/>
            <w:gridSpan w:val="28"/>
            <w:shd w:val="clear" w:color="000000" w:fill="9BD2ED"/>
            <w:vAlign w:val="center"/>
            <w:hideMark/>
          </w:tcPr>
          <w:p w14:paraId="2FDE5373" w14:textId="5F47C252"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lastRenderedPageBreak/>
              <w:t>Measure 2. Digital</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transformation</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the PRO with</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the</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establishment</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an</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Integrated</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Tax</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Information</w:t>
            </w:r>
            <w:r w:rsidR="008072E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System (ITIS)</w:t>
            </w:r>
          </w:p>
        </w:tc>
      </w:tr>
      <w:tr w:rsidR="00485BAA" w:rsidRPr="00D30847" w14:paraId="1DF18F95" w14:textId="77777777" w:rsidTr="00FD4DDE">
        <w:trPr>
          <w:gridBefore w:val="3"/>
          <w:gridAfter w:val="1"/>
          <w:wBefore w:w="37" w:type="dxa"/>
          <w:wAfter w:w="52" w:type="dxa"/>
          <w:trHeight w:val="273"/>
          <w:jc w:val="center"/>
        </w:trPr>
        <w:tc>
          <w:tcPr>
            <w:tcW w:w="1288" w:type="dxa"/>
            <w:tcBorders>
              <w:top w:val="nil"/>
              <w:left w:val="nil"/>
              <w:bottom w:val="nil"/>
              <w:right w:val="nil"/>
            </w:tcBorders>
            <w:shd w:val="clear" w:color="auto" w:fill="auto"/>
            <w:vAlign w:val="center"/>
            <w:hideMark/>
          </w:tcPr>
          <w:p w14:paraId="115CB2B4" w14:textId="77777777" w:rsidR="00485BAA" w:rsidRPr="00D30847" w:rsidRDefault="00485BAA" w:rsidP="00485BAA">
            <w:pPr>
              <w:spacing w:after="0" w:line="240" w:lineRule="auto"/>
              <w:jc w:val="both"/>
              <w:rPr>
                <w:rFonts w:ascii="Arial" w:eastAsia="Times New Roman" w:hAnsi="Arial" w:cs="Arial"/>
                <w:b/>
                <w:bCs/>
                <w:sz w:val="12"/>
                <w:szCs w:val="12"/>
                <w:lang w:val="en-GB" w:eastAsia="mk-MK"/>
              </w:rPr>
            </w:pPr>
          </w:p>
        </w:tc>
        <w:tc>
          <w:tcPr>
            <w:tcW w:w="1015" w:type="dxa"/>
            <w:gridSpan w:val="2"/>
            <w:tcBorders>
              <w:top w:val="nil"/>
              <w:left w:val="nil"/>
              <w:bottom w:val="nil"/>
              <w:right w:val="single" w:sz="8" w:space="0" w:color="000000"/>
            </w:tcBorders>
            <w:shd w:val="clear" w:color="auto" w:fill="auto"/>
            <w:vAlign w:val="center"/>
            <w:hideMark/>
          </w:tcPr>
          <w:p w14:paraId="2C406375"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3D343E98" w14:textId="1AAAAE3D"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185224D0" w14:textId="7EFBBDB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225B0001" w14:textId="25BF6FAC"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C375F3"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181BE1EF" w14:textId="3C2BCF2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375F3"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00B750D0" w14:textId="77B6274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375F3"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13A3FDE1" w14:textId="220E16D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375F3"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154F4AB4" w14:textId="118F8270"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375F3" w:rsidRPr="00D30847">
              <w:rPr>
                <w:rFonts w:ascii="Arial" w:eastAsia="Times New Roman" w:hAnsi="Arial" w:cs="Arial"/>
                <w:b/>
                <w:bCs/>
                <w:sz w:val="12"/>
                <w:szCs w:val="12"/>
                <w:lang w:val="en-GB" w:eastAsia="mk-MK"/>
              </w:rPr>
              <w:t>8</w:t>
            </w:r>
          </w:p>
        </w:tc>
      </w:tr>
      <w:tr w:rsidR="00485BAA" w:rsidRPr="00D30847" w14:paraId="4F1341E9" w14:textId="77777777" w:rsidTr="00FD4DDE">
        <w:trPr>
          <w:gridBefore w:val="3"/>
          <w:gridAfter w:val="1"/>
          <w:wBefore w:w="37" w:type="dxa"/>
          <w:wAfter w:w="52" w:type="dxa"/>
          <w:trHeight w:val="682"/>
          <w:jc w:val="center"/>
        </w:trPr>
        <w:tc>
          <w:tcPr>
            <w:tcW w:w="1288" w:type="dxa"/>
            <w:tcBorders>
              <w:top w:val="nil"/>
              <w:left w:val="nil"/>
              <w:bottom w:val="nil"/>
              <w:right w:val="nil"/>
            </w:tcBorders>
            <w:shd w:val="clear" w:color="auto" w:fill="auto"/>
            <w:vAlign w:val="center"/>
            <w:hideMark/>
          </w:tcPr>
          <w:p w14:paraId="571DFB17"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p>
        </w:tc>
        <w:tc>
          <w:tcPr>
            <w:tcW w:w="1015" w:type="dxa"/>
            <w:gridSpan w:val="2"/>
            <w:tcBorders>
              <w:top w:val="nil"/>
              <w:left w:val="nil"/>
              <w:bottom w:val="nil"/>
              <w:right w:val="single" w:sz="8" w:space="0" w:color="000000"/>
            </w:tcBorders>
            <w:shd w:val="clear" w:color="auto" w:fill="auto"/>
            <w:vAlign w:val="center"/>
            <w:hideMark/>
          </w:tcPr>
          <w:p w14:paraId="34368D24"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FFFF99"/>
            <w:vAlign w:val="center"/>
            <w:hideMark/>
          </w:tcPr>
          <w:p w14:paraId="2BD16FE7" w14:textId="03C69720" w:rsidR="00485BAA" w:rsidRPr="00D30847" w:rsidRDefault="002320F5"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institutions with which the Integrated Tax Information System exchanges information</w:t>
            </w:r>
          </w:p>
        </w:tc>
        <w:tc>
          <w:tcPr>
            <w:tcW w:w="1194" w:type="dxa"/>
            <w:gridSpan w:val="2"/>
            <w:shd w:val="clear" w:color="000000" w:fill="FFFF99"/>
            <w:vAlign w:val="center"/>
            <w:hideMark/>
          </w:tcPr>
          <w:p w14:paraId="1CBEB1E2"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w:t>
            </w:r>
          </w:p>
        </w:tc>
        <w:tc>
          <w:tcPr>
            <w:tcW w:w="1418" w:type="dxa"/>
            <w:gridSpan w:val="3"/>
            <w:shd w:val="clear" w:color="000000" w:fill="FFFF99"/>
            <w:vAlign w:val="center"/>
            <w:hideMark/>
          </w:tcPr>
          <w:p w14:paraId="5ABAF115"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15</w:t>
            </w:r>
          </w:p>
        </w:tc>
        <w:tc>
          <w:tcPr>
            <w:tcW w:w="1644" w:type="dxa"/>
            <w:gridSpan w:val="3"/>
            <w:shd w:val="clear" w:color="000000" w:fill="FFFF99"/>
            <w:vAlign w:val="center"/>
            <w:hideMark/>
          </w:tcPr>
          <w:p w14:paraId="50BFA57E"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w:t>
            </w:r>
          </w:p>
        </w:tc>
        <w:tc>
          <w:tcPr>
            <w:tcW w:w="1758" w:type="dxa"/>
            <w:gridSpan w:val="4"/>
            <w:shd w:val="clear" w:color="000000" w:fill="FFFF99"/>
            <w:vAlign w:val="center"/>
            <w:hideMark/>
          </w:tcPr>
          <w:p w14:paraId="633CBE12"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25</w:t>
            </w:r>
          </w:p>
        </w:tc>
        <w:tc>
          <w:tcPr>
            <w:tcW w:w="1842" w:type="dxa"/>
            <w:gridSpan w:val="4"/>
            <w:shd w:val="clear" w:color="000000" w:fill="FFFF99"/>
            <w:vAlign w:val="center"/>
            <w:hideMark/>
          </w:tcPr>
          <w:p w14:paraId="2C549693"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28</w:t>
            </w:r>
          </w:p>
        </w:tc>
        <w:tc>
          <w:tcPr>
            <w:tcW w:w="1506" w:type="dxa"/>
            <w:gridSpan w:val="4"/>
            <w:shd w:val="clear" w:color="000000" w:fill="FFFF99"/>
            <w:vAlign w:val="center"/>
            <w:hideMark/>
          </w:tcPr>
          <w:p w14:paraId="44215DAB" w14:textId="4A67B772" w:rsidR="00485BAA" w:rsidRPr="00D30847" w:rsidRDefault="002320F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w:t>
            </w:r>
            <w:r w:rsidR="00485BAA" w:rsidRPr="00D30847">
              <w:rPr>
                <w:rFonts w:ascii="Arial" w:eastAsia="Times New Roman" w:hAnsi="Arial" w:cs="Arial"/>
                <w:sz w:val="12"/>
                <w:szCs w:val="12"/>
                <w:lang w:val="en-GB" w:eastAsia="mk-MK"/>
              </w:rPr>
              <w:t>t</w:t>
            </w:r>
            <w:r w:rsidRPr="00D30847">
              <w:rPr>
                <w:rFonts w:ascii="Arial" w:eastAsia="Times New Roman" w:hAnsi="Arial" w:cs="Arial"/>
                <w:sz w:val="12"/>
                <w:szCs w:val="12"/>
                <w:lang w:val="en-GB" w:eastAsia="mk-MK"/>
              </w:rPr>
              <w:t xml:space="preserve"> </w:t>
            </w:r>
            <w:r w:rsidR="00485BAA" w:rsidRPr="00D30847">
              <w:rPr>
                <w:rFonts w:ascii="Arial" w:eastAsia="Times New Roman" w:hAnsi="Arial" w:cs="Arial"/>
                <w:sz w:val="12"/>
                <w:szCs w:val="12"/>
                <w:lang w:val="en-GB" w:eastAsia="mk-MK"/>
              </w:rPr>
              <w:t>least 30</w:t>
            </w:r>
          </w:p>
        </w:tc>
      </w:tr>
      <w:tr w:rsidR="00485BAA" w:rsidRPr="00D30847" w14:paraId="5A645FCB" w14:textId="77777777" w:rsidTr="00FD4DDE">
        <w:trPr>
          <w:gridBefore w:val="3"/>
          <w:gridAfter w:val="1"/>
          <w:wBefore w:w="37" w:type="dxa"/>
          <w:wAfter w:w="52" w:type="dxa"/>
          <w:trHeight w:val="412"/>
          <w:jc w:val="center"/>
        </w:trPr>
        <w:tc>
          <w:tcPr>
            <w:tcW w:w="1288" w:type="dxa"/>
            <w:tcBorders>
              <w:top w:val="nil"/>
              <w:left w:val="nil"/>
              <w:bottom w:val="nil"/>
              <w:right w:val="nil"/>
            </w:tcBorders>
            <w:shd w:val="clear" w:color="auto" w:fill="auto"/>
            <w:vAlign w:val="center"/>
            <w:hideMark/>
          </w:tcPr>
          <w:p w14:paraId="30D46ADA"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vAlign w:val="center"/>
            <w:hideMark/>
          </w:tcPr>
          <w:p w14:paraId="6013F38D"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78735790" w14:textId="39AB2E1C"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r w:rsidR="00577A56" w:rsidRPr="00D30847">
              <w:rPr>
                <w:rFonts w:ascii="Arial" w:eastAsia="Times New Roman" w:hAnsi="Arial" w:cs="Arial"/>
                <w:b/>
                <w:bCs/>
                <w:sz w:val="12"/>
                <w:szCs w:val="12"/>
                <w:lang w:val="en-GB" w:eastAsia="mk-MK"/>
              </w:rPr>
              <w:t>.</w:t>
            </w:r>
          </w:p>
        </w:tc>
        <w:tc>
          <w:tcPr>
            <w:tcW w:w="1194" w:type="dxa"/>
            <w:gridSpan w:val="2"/>
            <w:shd w:val="clear" w:color="000000" w:fill="9BD2ED"/>
            <w:vAlign w:val="center"/>
            <w:hideMark/>
          </w:tcPr>
          <w:p w14:paraId="7BF32C5D" w14:textId="07F5805C"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3AF9F222" w14:textId="704A0B2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21CAD00E" w14:textId="6399FCA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7C9C6A6C"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17AB9A10" w14:textId="0168629F"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2D420FC9"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F01E25" w:rsidRPr="00D30847" w14:paraId="7CE19A10" w14:textId="77777777" w:rsidTr="00FD4DDE">
        <w:trPr>
          <w:gridBefore w:val="3"/>
          <w:gridAfter w:val="1"/>
          <w:wBefore w:w="37" w:type="dxa"/>
          <w:wAfter w:w="52" w:type="dxa"/>
          <w:trHeight w:val="727"/>
          <w:jc w:val="center"/>
        </w:trPr>
        <w:tc>
          <w:tcPr>
            <w:tcW w:w="1288" w:type="dxa"/>
            <w:tcBorders>
              <w:top w:val="nil"/>
              <w:left w:val="nil"/>
              <w:bottom w:val="nil"/>
              <w:right w:val="nil"/>
            </w:tcBorders>
            <w:shd w:val="clear" w:color="auto" w:fill="auto"/>
            <w:vAlign w:val="center"/>
            <w:hideMark/>
          </w:tcPr>
          <w:p w14:paraId="57BBDD6A" w14:textId="77777777" w:rsidR="00F01E25" w:rsidRPr="00D30847" w:rsidRDefault="00F01E25" w:rsidP="00485BAA">
            <w:pPr>
              <w:spacing w:after="0" w:line="240" w:lineRule="auto"/>
              <w:jc w:val="center"/>
              <w:rPr>
                <w:rFonts w:ascii="Arial" w:eastAsia="Times New Roman" w:hAnsi="Arial" w:cs="Arial"/>
                <w:b/>
                <w:bCs/>
                <w:sz w:val="12"/>
                <w:szCs w:val="12"/>
                <w:lang w:val="en-GB" w:eastAsia="mk-MK"/>
              </w:rPr>
            </w:pPr>
          </w:p>
        </w:tc>
        <w:tc>
          <w:tcPr>
            <w:tcW w:w="1015" w:type="dxa"/>
            <w:gridSpan w:val="2"/>
            <w:tcBorders>
              <w:top w:val="nil"/>
              <w:left w:val="nil"/>
              <w:bottom w:val="nil"/>
              <w:right w:val="single" w:sz="8" w:space="0" w:color="000000"/>
            </w:tcBorders>
            <w:shd w:val="clear" w:color="auto" w:fill="auto"/>
            <w:vAlign w:val="center"/>
            <w:hideMark/>
          </w:tcPr>
          <w:p w14:paraId="5D2A1036" w14:textId="77777777" w:rsidR="00F01E25" w:rsidRPr="00D30847" w:rsidRDefault="00F01E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FFFF99"/>
            <w:vAlign w:val="center"/>
            <w:hideMark/>
          </w:tcPr>
          <w:p w14:paraId="31BCC641" w14:textId="698BC6D2" w:rsidR="00F01E25" w:rsidRPr="00D30847" w:rsidRDefault="00F01E25"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r w:rsidR="002D005D" w:rsidRPr="00D30847">
              <w:rPr>
                <w:rFonts w:ascii="Arial" w:eastAsia="Times New Roman" w:hAnsi="Arial" w:cs="Arial"/>
                <w:sz w:val="12"/>
                <w:szCs w:val="12"/>
                <w:lang w:val="en-GB" w:eastAsia="mk-MK"/>
              </w:rPr>
              <w:t>Completion</w:t>
            </w:r>
            <w:r w:rsidR="002320F5" w:rsidRPr="00D30847">
              <w:rPr>
                <w:rFonts w:ascii="Arial" w:eastAsia="Times New Roman" w:hAnsi="Arial" w:cs="Arial"/>
                <w:sz w:val="12"/>
                <w:szCs w:val="12"/>
                <w:lang w:val="en-GB" w:eastAsia="mk-MK"/>
              </w:rPr>
              <w:t xml:space="preserve"> </w:t>
            </w:r>
            <w:r w:rsidR="002D005D" w:rsidRPr="00D30847">
              <w:rPr>
                <w:rFonts w:ascii="Arial" w:eastAsia="Times New Roman" w:hAnsi="Arial" w:cs="Arial"/>
                <w:sz w:val="12"/>
                <w:szCs w:val="12"/>
                <w:lang w:val="en-GB" w:eastAsia="mk-MK"/>
              </w:rPr>
              <w:t>of</w:t>
            </w:r>
            <w:r w:rsidR="002320F5" w:rsidRPr="00D30847">
              <w:rPr>
                <w:rFonts w:ascii="Arial" w:eastAsia="Times New Roman" w:hAnsi="Arial" w:cs="Arial"/>
                <w:sz w:val="12"/>
                <w:szCs w:val="12"/>
                <w:lang w:val="en-GB" w:eastAsia="mk-MK"/>
              </w:rPr>
              <w:t xml:space="preserve"> </w:t>
            </w:r>
            <w:r w:rsidR="002D005D" w:rsidRPr="00D30847">
              <w:rPr>
                <w:rFonts w:ascii="Arial" w:eastAsia="Times New Roman" w:hAnsi="Arial" w:cs="Arial"/>
                <w:sz w:val="12"/>
                <w:szCs w:val="12"/>
                <w:lang w:val="en-GB" w:eastAsia="mk-MK"/>
              </w:rPr>
              <w:t>the</w:t>
            </w:r>
            <w:r w:rsidR="002320F5" w:rsidRPr="00D30847">
              <w:rPr>
                <w:rFonts w:ascii="Arial" w:eastAsia="Times New Roman" w:hAnsi="Arial" w:cs="Arial"/>
                <w:sz w:val="12"/>
                <w:szCs w:val="12"/>
                <w:lang w:val="en-GB" w:eastAsia="mk-MK"/>
              </w:rPr>
              <w:t xml:space="preserve"> </w:t>
            </w:r>
            <w:r w:rsidR="002D005D" w:rsidRPr="00D30847">
              <w:rPr>
                <w:rFonts w:ascii="Arial" w:eastAsia="Times New Roman" w:hAnsi="Arial" w:cs="Arial"/>
                <w:sz w:val="12"/>
                <w:szCs w:val="12"/>
                <w:lang w:val="en-GB" w:eastAsia="mk-MK"/>
              </w:rPr>
              <w:t>remaining</w:t>
            </w:r>
            <w:r w:rsidR="002320F5" w:rsidRPr="00D30847">
              <w:rPr>
                <w:rFonts w:ascii="Arial" w:eastAsia="Times New Roman" w:hAnsi="Arial" w:cs="Arial"/>
                <w:sz w:val="12"/>
                <w:szCs w:val="12"/>
                <w:lang w:val="en-GB" w:eastAsia="mk-MK"/>
              </w:rPr>
              <w:t xml:space="preserve"> </w:t>
            </w:r>
            <w:r w:rsidR="002D005D" w:rsidRPr="00D30847">
              <w:rPr>
                <w:rFonts w:ascii="Arial" w:eastAsia="Times New Roman" w:hAnsi="Arial" w:cs="Arial"/>
                <w:sz w:val="12"/>
                <w:szCs w:val="12"/>
                <w:lang w:val="en-GB" w:eastAsia="mk-MK"/>
              </w:rPr>
              <w:t>modules</w:t>
            </w:r>
            <w:r w:rsidR="002320F5" w:rsidRPr="00D30847">
              <w:rPr>
                <w:rFonts w:ascii="Arial" w:eastAsia="Times New Roman" w:hAnsi="Arial" w:cs="Arial"/>
                <w:sz w:val="12"/>
                <w:szCs w:val="12"/>
                <w:lang w:val="en-GB" w:eastAsia="mk-MK"/>
              </w:rPr>
              <w:t xml:space="preserve"> </w:t>
            </w:r>
            <w:r w:rsidR="002D005D" w:rsidRPr="00D30847">
              <w:rPr>
                <w:rFonts w:ascii="Arial" w:eastAsia="Times New Roman" w:hAnsi="Arial" w:cs="Arial"/>
                <w:sz w:val="12"/>
                <w:szCs w:val="12"/>
                <w:lang w:val="en-GB" w:eastAsia="mk-MK"/>
              </w:rPr>
              <w:t>of</w:t>
            </w:r>
            <w:r w:rsidR="002320F5" w:rsidRPr="00D30847">
              <w:rPr>
                <w:rFonts w:ascii="Arial" w:eastAsia="Times New Roman" w:hAnsi="Arial" w:cs="Arial"/>
                <w:sz w:val="12"/>
                <w:szCs w:val="12"/>
                <w:lang w:val="en-GB" w:eastAsia="mk-MK"/>
              </w:rPr>
              <w:t xml:space="preserve"> </w:t>
            </w:r>
            <w:r w:rsidR="002D005D" w:rsidRPr="00D30847">
              <w:rPr>
                <w:rFonts w:ascii="Arial" w:eastAsia="Times New Roman" w:hAnsi="Arial" w:cs="Arial"/>
                <w:sz w:val="12"/>
                <w:szCs w:val="12"/>
                <w:lang w:val="en-GB" w:eastAsia="mk-MK"/>
              </w:rPr>
              <w:t>the</w:t>
            </w:r>
            <w:r w:rsidR="002320F5" w:rsidRPr="00D30847">
              <w:rPr>
                <w:rFonts w:ascii="Arial" w:eastAsia="Times New Roman" w:hAnsi="Arial" w:cs="Arial"/>
                <w:sz w:val="12"/>
                <w:szCs w:val="12"/>
                <w:lang w:val="en-GB" w:eastAsia="mk-MK"/>
              </w:rPr>
              <w:t xml:space="preserve"> </w:t>
            </w:r>
            <w:r w:rsidR="002D005D" w:rsidRPr="00D30847">
              <w:rPr>
                <w:rFonts w:ascii="Arial" w:eastAsia="Times New Roman" w:hAnsi="Arial" w:cs="Arial"/>
                <w:sz w:val="12"/>
                <w:szCs w:val="12"/>
                <w:lang w:val="en-GB" w:eastAsia="mk-MK"/>
              </w:rPr>
              <w:t>Integrated</w:t>
            </w:r>
            <w:r w:rsidR="002320F5" w:rsidRPr="00D30847">
              <w:rPr>
                <w:rFonts w:ascii="Arial" w:eastAsia="Times New Roman" w:hAnsi="Arial" w:cs="Arial"/>
                <w:sz w:val="12"/>
                <w:szCs w:val="12"/>
                <w:lang w:val="en-GB" w:eastAsia="mk-MK"/>
              </w:rPr>
              <w:t xml:space="preserve"> </w:t>
            </w:r>
            <w:r w:rsidR="002D005D" w:rsidRPr="00D30847">
              <w:rPr>
                <w:rFonts w:ascii="Arial" w:eastAsia="Times New Roman" w:hAnsi="Arial" w:cs="Arial"/>
                <w:sz w:val="12"/>
                <w:szCs w:val="12"/>
                <w:lang w:val="en-GB" w:eastAsia="mk-MK"/>
              </w:rPr>
              <w:t>Tax</w:t>
            </w:r>
            <w:r w:rsidR="002320F5" w:rsidRPr="00D30847">
              <w:rPr>
                <w:rFonts w:ascii="Arial" w:eastAsia="Times New Roman" w:hAnsi="Arial" w:cs="Arial"/>
                <w:sz w:val="12"/>
                <w:szCs w:val="12"/>
                <w:lang w:val="en-GB" w:eastAsia="mk-MK"/>
              </w:rPr>
              <w:t xml:space="preserve"> </w:t>
            </w:r>
            <w:r w:rsidR="002D005D" w:rsidRPr="00D30847">
              <w:rPr>
                <w:rFonts w:ascii="Arial" w:eastAsia="Times New Roman" w:hAnsi="Arial" w:cs="Arial"/>
                <w:sz w:val="12"/>
                <w:szCs w:val="12"/>
                <w:lang w:val="en-GB" w:eastAsia="mk-MK"/>
              </w:rPr>
              <w:t>Information</w:t>
            </w:r>
            <w:r w:rsidR="002320F5" w:rsidRPr="00D30847">
              <w:rPr>
                <w:rFonts w:ascii="Arial" w:eastAsia="Times New Roman" w:hAnsi="Arial" w:cs="Arial"/>
                <w:sz w:val="12"/>
                <w:szCs w:val="12"/>
                <w:lang w:val="en-GB" w:eastAsia="mk-MK"/>
              </w:rPr>
              <w:t xml:space="preserve"> </w:t>
            </w:r>
            <w:r w:rsidR="002D005D" w:rsidRPr="00D30847">
              <w:rPr>
                <w:rFonts w:ascii="Arial" w:eastAsia="Times New Roman" w:hAnsi="Arial" w:cs="Arial"/>
                <w:sz w:val="12"/>
                <w:szCs w:val="12"/>
                <w:lang w:val="en-GB" w:eastAsia="mk-MK"/>
              </w:rPr>
              <w:t>System</w:t>
            </w:r>
          </w:p>
        </w:tc>
        <w:tc>
          <w:tcPr>
            <w:tcW w:w="1194" w:type="dxa"/>
            <w:gridSpan w:val="2"/>
            <w:shd w:val="clear" w:color="000000" w:fill="FFFF99"/>
            <w:vAlign w:val="center"/>
            <w:hideMark/>
          </w:tcPr>
          <w:p w14:paraId="320E6EE6" w14:textId="77777777" w:rsidR="00F01E25" w:rsidRPr="00D30847" w:rsidRDefault="00F01E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2024-2027</w:t>
            </w:r>
          </w:p>
        </w:tc>
        <w:tc>
          <w:tcPr>
            <w:tcW w:w="1418" w:type="dxa"/>
            <w:gridSpan w:val="3"/>
            <w:shd w:val="clear" w:color="000000" w:fill="FFFF99"/>
            <w:vAlign w:val="center"/>
            <w:hideMark/>
          </w:tcPr>
          <w:p w14:paraId="6EC14BBD" w14:textId="77777777" w:rsidR="00F01E25" w:rsidRPr="00D30847" w:rsidRDefault="00F01E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w:t>
            </w:r>
          </w:p>
        </w:tc>
        <w:tc>
          <w:tcPr>
            <w:tcW w:w="1644" w:type="dxa"/>
            <w:gridSpan w:val="3"/>
            <w:shd w:val="clear" w:color="000000" w:fill="FFFF99"/>
            <w:vAlign w:val="center"/>
            <w:hideMark/>
          </w:tcPr>
          <w:p w14:paraId="088377DE" w14:textId="77777777" w:rsidR="00F01E25" w:rsidRPr="00D30847" w:rsidRDefault="00F01E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vMerge w:val="restart"/>
            <w:shd w:val="clear" w:color="000000" w:fill="FFFF99"/>
            <w:vAlign w:val="center"/>
            <w:hideMark/>
          </w:tcPr>
          <w:p w14:paraId="369A29D5" w14:textId="1E625128" w:rsidR="00F01E25" w:rsidRPr="00D30847" w:rsidRDefault="00F01E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r w:rsidR="00B52738" w:rsidRPr="00D30847">
              <w:rPr>
                <w:rFonts w:ascii="Arial" w:eastAsia="Times New Roman" w:hAnsi="Arial" w:cs="Arial"/>
                <w:sz w:val="12"/>
                <w:szCs w:val="12"/>
                <w:lang w:val="en-GB" w:eastAsia="mk-MK"/>
              </w:rPr>
              <w:t>6</w:t>
            </w:r>
            <w:r w:rsidRPr="00D30847">
              <w:rPr>
                <w:rFonts w:ascii="Arial" w:eastAsia="Times New Roman" w:hAnsi="Arial" w:cs="Arial"/>
                <w:sz w:val="12"/>
                <w:szCs w:val="12"/>
                <w:lang w:val="en-GB" w:eastAsia="mk-MK"/>
              </w:rPr>
              <w:t>,</w:t>
            </w:r>
            <w:r w:rsidR="002607BB" w:rsidRPr="00D30847">
              <w:rPr>
                <w:rFonts w:ascii="Arial" w:eastAsia="Times New Roman" w:hAnsi="Arial" w:cs="Arial"/>
                <w:sz w:val="12"/>
                <w:szCs w:val="12"/>
                <w:lang w:val="en-GB" w:eastAsia="mk-MK"/>
              </w:rPr>
              <w:t>879</w:t>
            </w:r>
            <w:r w:rsidRPr="00D30847">
              <w:rPr>
                <w:rFonts w:ascii="Arial" w:eastAsia="Times New Roman" w:hAnsi="Arial" w:cs="Arial"/>
                <w:sz w:val="12"/>
                <w:szCs w:val="12"/>
                <w:lang w:val="en-GB" w:eastAsia="mk-MK"/>
              </w:rPr>
              <w:t>,</w:t>
            </w:r>
            <w:r w:rsidR="002607BB" w:rsidRPr="00D30847">
              <w:rPr>
                <w:rFonts w:ascii="Arial" w:eastAsia="Times New Roman" w:hAnsi="Arial" w:cs="Arial"/>
                <w:sz w:val="12"/>
                <w:szCs w:val="12"/>
                <w:lang w:val="en-GB" w:eastAsia="mk-MK"/>
              </w:rPr>
              <w:t>876</w:t>
            </w:r>
          </w:p>
          <w:p w14:paraId="5343B455" w14:textId="2E4D5ECD" w:rsidR="00F01E25" w:rsidRPr="00D30847" w:rsidRDefault="00F01E25" w:rsidP="00485BAA">
            <w:pPr>
              <w:spacing w:after="0" w:line="240" w:lineRule="auto"/>
              <w:jc w:val="center"/>
              <w:rPr>
                <w:rFonts w:ascii="Arial" w:eastAsia="Times New Roman" w:hAnsi="Arial" w:cs="Arial"/>
                <w:sz w:val="12"/>
                <w:szCs w:val="12"/>
                <w:lang w:val="en-GB" w:eastAsia="mk-MK"/>
              </w:rPr>
            </w:pPr>
          </w:p>
        </w:tc>
        <w:tc>
          <w:tcPr>
            <w:tcW w:w="1842" w:type="dxa"/>
            <w:gridSpan w:val="4"/>
            <w:vMerge w:val="restart"/>
            <w:shd w:val="clear" w:color="000000" w:fill="FFFF99"/>
            <w:vAlign w:val="center"/>
            <w:hideMark/>
          </w:tcPr>
          <w:p w14:paraId="676A068E" w14:textId="32575EA0" w:rsidR="00F01E25" w:rsidRPr="00D30847" w:rsidRDefault="00F01E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National</w:t>
            </w:r>
            <w:r w:rsidR="002320F5"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Budget</w:t>
            </w:r>
          </w:p>
        </w:tc>
        <w:tc>
          <w:tcPr>
            <w:tcW w:w="1506" w:type="dxa"/>
            <w:gridSpan w:val="4"/>
            <w:shd w:val="clear" w:color="000000" w:fill="FFFF99"/>
            <w:vAlign w:val="center"/>
            <w:hideMark/>
          </w:tcPr>
          <w:p w14:paraId="698A6214" w14:textId="67271421" w:rsidR="00F01E25" w:rsidRPr="00D30847" w:rsidRDefault="00F01E25" w:rsidP="00407B01">
            <w:pPr>
              <w:spacing w:after="0" w:line="240" w:lineRule="auto"/>
              <w:jc w:val="center"/>
              <w:rPr>
                <w:rFonts w:ascii="Arial" w:eastAsia="Times New Roman" w:hAnsi="Arial" w:cs="Arial"/>
                <w:sz w:val="12"/>
                <w:szCs w:val="12"/>
                <w:lang w:val="en-GB" w:eastAsia="mk-MK"/>
              </w:rPr>
            </w:pPr>
          </w:p>
        </w:tc>
      </w:tr>
      <w:tr w:rsidR="00F01E25" w:rsidRPr="00D30847" w14:paraId="009FC330" w14:textId="77777777" w:rsidTr="00FD4DDE">
        <w:trPr>
          <w:gridBefore w:val="3"/>
          <w:gridAfter w:val="1"/>
          <w:wBefore w:w="37" w:type="dxa"/>
          <w:wAfter w:w="52" w:type="dxa"/>
          <w:trHeight w:val="781"/>
          <w:jc w:val="center"/>
        </w:trPr>
        <w:tc>
          <w:tcPr>
            <w:tcW w:w="1288" w:type="dxa"/>
            <w:tcBorders>
              <w:top w:val="nil"/>
              <w:left w:val="nil"/>
              <w:bottom w:val="nil"/>
              <w:right w:val="nil"/>
            </w:tcBorders>
            <w:shd w:val="clear" w:color="auto" w:fill="auto"/>
            <w:vAlign w:val="center"/>
            <w:hideMark/>
          </w:tcPr>
          <w:p w14:paraId="75E0613A" w14:textId="77777777" w:rsidR="00F01E25" w:rsidRPr="00D30847" w:rsidRDefault="00F01E25" w:rsidP="00485BAA">
            <w:pPr>
              <w:spacing w:after="0" w:line="240" w:lineRule="auto"/>
              <w:jc w:val="center"/>
              <w:rPr>
                <w:rFonts w:ascii="Arial" w:eastAsia="Times New Roman" w:hAnsi="Arial" w:cs="Arial"/>
                <w:b/>
                <w:bCs/>
                <w:sz w:val="12"/>
                <w:szCs w:val="12"/>
                <w:lang w:val="en-GB" w:eastAsia="mk-MK"/>
              </w:rPr>
            </w:pPr>
          </w:p>
        </w:tc>
        <w:tc>
          <w:tcPr>
            <w:tcW w:w="1015" w:type="dxa"/>
            <w:gridSpan w:val="2"/>
            <w:tcBorders>
              <w:top w:val="nil"/>
              <w:left w:val="nil"/>
              <w:bottom w:val="nil"/>
              <w:right w:val="single" w:sz="8" w:space="0" w:color="000000"/>
            </w:tcBorders>
            <w:shd w:val="clear" w:color="auto" w:fill="auto"/>
            <w:vAlign w:val="center"/>
            <w:hideMark/>
          </w:tcPr>
          <w:p w14:paraId="3BFEF35E" w14:textId="77777777" w:rsidR="00F01E25" w:rsidRPr="00D30847" w:rsidRDefault="00F01E25"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15D85046" w14:textId="1048B7AF" w:rsidR="00F01E25" w:rsidRPr="00D30847" w:rsidRDefault="00F01E25" w:rsidP="00407B01">
            <w:pPr>
              <w:spacing w:before="100" w:beforeAutospacing="1" w:after="100" w:afterAutospacing="1" w:line="60" w:lineRule="atLeast"/>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w:t>
            </w:r>
            <w:r w:rsidR="002D005D" w:rsidRPr="00D30847">
              <w:rPr>
                <w:rFonts w:ascii="Arial" w:eastAsia="Times New Roman" w:hAnsi="Arial" w:cs="Arial"/>
                <w:sz w:val="12"/>
                <w:szCs w:val="12"/>
                <w:lang w:val="en-GB" w:eastAsia="mk-MK"/>
              </w:rPr>
              <w:t>Ensuring IS security (Information</w:t>
            </w:r>
            <w:r w:rsidR="002320F5" w:rsidRPr="00D30847">
              <w:rPr>
                <w:rFonts w:ascii="Arial" w:eastAsia="Times New Roman" w:hAnsi="Arial" w:cs="Arial"/>
                <w:sz w:val="12"/>
                <w:szCs w:val="12"/>
                <w:lang w:val="en-GB" w:eastAsia="mk-MK"/>
              </w:rPr>
              <w:t xml:space="preserve"> </w:t>
            </w:r>
            <w:r w:rsidR="002D005D" w:rsidRPr="00D30847">
              <w:rPr>
                <w:rFonts w:ascii="Arial" w:eastAsia="Times New Roman" w:hAnsi="Arial" w:cs="Arial"/>
                <w:sz w:val="12"/>
                <w:szCs w:val="12"/>
                <w:lang w:val="en-GB" w:eastAsia="mk-MK"/>
              </w:rPr>
              <w:t>System) and</w:t>
            </w:r>
            <w:r w:rsidR="002320F5" w:rsidRPr="00D30847">
              <w:rPr>
                <w:rFonts w:ascii="Arial" w:eastAsia="Times New Roman" w:hAnsi="Arial" w:cs="Arial"/>
                <w:sz w:val="12"/>
                <w:szCs w:val="12"/>
                <w:lang w:val="en-GB" w:eastAsia="mk-MK"/>
              </w:rPr>
              <w:t xml:space="preserve"> </w:t>
            </w:r>
            <w:r w:rsidR="002D005D" w:rsidRPr="00D30847">
              <w:rPr>
                <w:rFonts w:ascii="Arial" w:eastAsia="Times New Roman" w:hAnsi="Arial" w:cs="Arial"/>
                <w:sz w:val="12"/>
                <w:szCs w:val="12"/>
                <w:lang w:val="en-GB" w:eastAsia="mk-MK"/>
              </w:rPr>
              <w:t>smooth</w:t>
            </w:r>
            <w:r w:rsidR="002320F5" w:rsidRPr="00D30847">
              <w:rPr>
                <w:rFonts w:ascii="Arial" w:eastAsia="Times New Roman" w:hAnsi="Arial" w:cs="Arial"/>
                <w:sz w:val="12"/>
                <w:szCs w:val="12"/>
                <w:lang w:val="en-GB" w:eastAsia="mk-MK"/>
              </w:rPr>
              <w:t xml:space="preserve"> </w:t>
            </w:r>
            <w:r w:rsidR="002D005D" w:rsidRPr="00D30847">
              <w:rPr>
                <w:rFonts w:ascii="Arial" w:eastAsia="Times New Roman" w:hAnsi="Arial" w:cs="Arial"/>
                <w:sz w:val="12"/>
                <w:szCs w:val="12"/>
                <w:lang w:val="en-GB" w:eastAsia="mk-MK"/>
              </w:rPr>
              <w:t>functioning</w:t>
            </w:r>
            <w:r w:rsidR="002320F5" w:rsidRPr="00D30847">
              <w:rPr>
                <w:rFonts w:ascii="Arial" w:eastAsia="Times New Roman" w:hAnsi="Arial" w:cs="Arial"/>
                <w:sz w:val="12"/>
                <w:szCs w:val="12"/>
                <w:lang w:val="en-GB" w:eastAsia="mk-MK"/>
              </w:rPr>
              <w:t xml:space="preserve"> </w:t>
            </w:r>
            <w:r w:rsidR="002D005D" w:rsidRPr="00D30847">
              <w:rPr>
                <w:rFonts w:ascii="Arial" w:eastAsia="Times New Roman" w:hAnsi="Arial" w:cs="Arial"/>
                <w:sz w:val="12"/>
                <w:szCs w:val="12"/>
                <w:lang w:val="en-GB" w:eastAsia="mk-MK"/>
              </w:rPr>
              <w:t>of</w:t>
            </w:r>
            <w:r w:rsidR="002320F5" w:rsidRPr="00D30847">
              <w:rPr>
                <w:rFonts w:ascii="Arial" w:eastAsia="Times New Roman" w:hAnsi="Arial" w:cs="Arial"/>
                <w:sz w:val="12"/>
                <w:szCs w:val="12"/>
                <w:lang w:val="en-GB" w:eastAsia="mk-MK"/>
              </w:rPr>
              <w:t xml:space="preserve"> </w:t>
            </w:r>
            <w:r w:rsidR="002D005D" w:rsidRPr="00D30847">
              <w:rPr>
                <w:rFonts w:ascii="Arial" w:eastAsia="Times New Roman" w:hAnsi="Arial" w:cs="Arial"/>
                <w:sz w:val="12"/>
                <w:szCs w:val="12"/>
                <w:lang w:val="en-GB" w:eastAsia="mk-MK"/>
              </w:rPr>
              <w:t>the</w:t>
            </w:r>
            <w:r w:rsidR="002320F5" w:rsidRPr="00D30847">
              <w:rPr>
                <w:rFonts w:ascii="Arial" w:eastAsia="Times New Roman" w:hAnsi="Arial" w:cs="Arial"/>
                <w:sz w:val="12"/>
                <w:szCs w:val="12"/>
                <w:lang w:val="en-GB" w:eastAsia="mk-MK"/>
              </w:rPr>
              <w:t xml:space="preserve"> </w:t>
            </w:r>
            <w:r w:rsidR="002D005D" w:rsidRPr="00D30847">
              <w:rPr>
                <w:rFonts w:ascii="Arial" w:eastAsia="Times New Roman" w:hAnsi="Arial" w:cs="Arial"/>
                <w:sz w:val="12"/>
                <w:szCs w:val="12"/>
                <w:lang w:val="en-GB" w:eastAsia="mk-MK"/>
              </w:rPr>
              <w:t>integrated</w:t>
            </w:r>
            <w:r w:rsidR="002320F5" w:rsidRPr="00D30847">
              <w:rPr>
                <w:rFonts w:ascii="Arial" w:eastAsia="Times New Roman" w:hAnsi="Arial" w:cs="Arial"/>
                <w:sz w:val="12"/>
                <w:szCs w:val="12"/>
                <w:lang w:val="en-GB" w:eastAsia="mk-MK"/>
              </w:rPr>
              <w:t xml:space="preserve"> </w:t>
            </w:r>
            <w:r w:rsidR="002D005D" w:rsidRPr="00D30847">
              <w:rPr>
                <w:rFonts w:ascii="Arial" w:eastAsia="Times New Roman" w:hAnsi="Arial" w:cs="Arial"/>
                <w:sz w:val="12"/>
                <w:szCs w:val="12"/>
                <w:lang w:val="en-GB" w:eastAsia="mk-MK"/>
              </w:rPr>
              <w:t>tax</w:t>
            </w:r>
            <w:r w:rsidR="002320F5" w:rsidRPr="00D30847">
              <w:rPr>
                <w:rFonts w:ascii="Arial" w:eastAsia="Times New Roman" w:hAnsi="Arial" w:cs="Arial"/>
                <w:sz w:val="12"/>
                <w:szCs w:val="12"/>
                <w:lang w:val="en-GB" w:eastAsia="mk-MK"/>
              </w:rPr>
              <w:t xml:space="preserve"> </w:t>
            </w:r>
            <w:r w:rsidR="002D005D" w:rsidRPr="00D30847">
              <w:rPr>
                <w:rFonts w:ascii="Arial" w:eastAsia="Times New Roman" w:hAnsi="Arial" w:cs="Arial"/>
                <w:sz w:val="12"/>
                <w:szCs w:val="12"/>
                <w:lang w:val="en-GB" w:eastAsia="mk-MK"/>
              </w:rPr>
              <w:t>information</w:t>
            </w:r>
            <w:r w:rsidR="002320F5" w:rsidRPr="00D30847">
              <w:rPr>
                <w:rFonts w:ascii="Arial" w:eastAsia="Times New Roman" w:hAnsi="Arial" w:cs="Arial"/>
                <w:sz w:val="12"/>
                <w:szCs w:val="12"/>
                <w:lang w:val="en-GB" w:eastAsia="mk-MK"/>
              </w:rPr>
              <w:t xml:space="preserve"> </w:t>
            </w:r>
            <w:r w:rsidR="002D005D" w:rsidRPr="00D30847">
              <w:rPr>
                <w:rFonts w:ascii="Arial" w:eastAsia="Times New Roman" w:hAnsi="Arial" w:cs="Arial"/>
                <w:sz w:val="12"/>
                <w:szCs w:val="12"/>
                <w:lang w:val="en-GB" w:eastAsia="mk-MK"/>
              </w:rPr>
              <w:t>system</w:t>
            </w:r>
          </w:p>
        </w:tc>
        <w:tc>
          <w:tcPr>
            <w:tcW w:w="1194" w:type="dxa"/>
            <w:gridSpan w:val="2"/>
            <w:shd w:val="clear" w:color="000000" w:fill="FFFF99"/>
            <w:vAlign w:val="center"/>
            <w:hideMark/>
          </w:tcPr>
          <w:p w14:paraId="268C4AA6" w14:textId="77777777" w:rsidR="00F01E25" w:rsidRPr="00D30847" w:rsidRDefault="00F01E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2024-2027</w:t>
            </w:r>
          </w:p>
        </w:tc>
        <w:tc>
          <w:tcPr>
            <w:tcW w:w="1418" w:type="dxa"/>
            <w:gridSpan w:val="3"/>
            <w:shd w:val="clear" w:color="000000" w:fill="FFFF99"/>
            <w:vAlign w:val="center"/>
            <w:hideMark/>
          </w:tcPr>
          <w:p w14:paraId="6F188523" w14:textId="77777777" w:rsidR="00F01E25" w:rsidRPr="00D30847" w:rsidRDefault="00F01E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w:t>
            </w:r>
          </w:p>
        </w:tc>
        <w:tc>
          <w:tcPr>
            <w:tcW w:w="1644" w:type="dxa"/>
            <w:gridSpan w:val="3"/>
            <w:shd w:val="clear" w:color="000000" w:fill="FFFF99"/>
            <w:vAlign w:val="center"/>
            <w:hideMark/>
          </w:tcPr>
          <w:p w14:paraId="1AB890D2" w14:textId="77777777" w:rsidR="00F01E25" w:rsidRPr="00D30847" w:rsidRDefault="00F01E2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vMerge/>
            <w:shd w:val="clear" w:color="000000" w:fill="FFFF99"/>
            <w:vAlign w:val="center"/>
            <w:hideMark/>
          </w:tcPr>
          <w:p w14:paraId="35987A91" w14:textId="77777777" w:rsidR="00F01E25" w:rsidRPr="00D30847" w:rsidRDefault="00F01E25" w:rsidP="00485BAA">
            <w:pPr>
              <w:spacing w:after="0" w:line="240" w:lineRule="auto"/>
              <w:jc w:val="center"/>
              <w:rPr>
                <w:rFonts w:ascii="Arial" w:eastAsia="Times New Roman" w:hAnsi="Arial" w:cs="Arial"/>
                <w:sz w:val="12"/>
                <w:szCs w:val="12"/>
                <w:lang w:val="en-GB" w:eastAsia="mk-MK"/>
              </w:rPr>
            </w:pPr>
          </w:p>
        </w:tc>
        <w:tc>
          <w:tcPr>
            <w:tcW w:w="1842" w:type="dxa"/>
            <w:gridSpan w:val="4"/>
            <w:vMerge/>
            <w:shd w:val="clear" w:color="000000" w:fill="FFFF99"/>
            <w:vAlign w:val="center"/>
            <w:hideMark/>
          </w:tcPr>
          <w:p w14:paraId="35A2E1F2" w14:textId="77777777" w:rsidR="00F01E25" w:rsidRPr="00D30847" w:rsidRDefault="00F01E25" w:rsidP="00485BAA">
            <w:pPr>
              <w:spacing w:after="0" w:line="240" w:lineRule="auto"/>
              <w:jc w:val="center"/>
              <w:rPr>
                <w:rFonts w:ascii="Arial" w:eastAsia="Times New Roman" w:hAnsi="Arial" w:cs="Arial"/>
                <w:sz w:val="12"/>
                <w:szCs w:val="12"/>
                <w:lang w:val="en-GB" w:eastAsia="mk-MK"/>
              </w:rPr>
            </w:pPr>
          </w:p>
        </w:tc>
        <w:tc>
          <w:tcPr>
            <w:tcW w:w="1506" w:type="dxa"/>
            <w:gridSpan w:val="4"/>
            <w:shd w:val="clear" w:color="000000" w:fill="FFFF99"/>
            <w:vAlign w:val="center"/>
            <w:hideMark/>
          </w:tcPr>
          <w:p w14:paraId="44C2CF84" w14:textId="00EB8A58" w:rsidR="00F01E25" w:rsidRPr="00D30847" w:rsidRDefault="00F01E25" w:rsidP="00407B01">
            <w:pPr>
              <w:spacing w:after="0" w:line="240" w:lineRule="auto"/>
              <w:jc w:val="center"/>
              <w:rPr>
                <w:rFonts w:ascii="Arial" w:eastAsia="Times New Roman" w:hAnsi="Arial" w:cs="Arial"/>
                <w:sz w:val="12"/>
                <w:szCs w:val="12"/>
                <w:lang w:val="en-GB" w:eastAsia="mk-MK"/>
              </w:rPr>
            </w:pPr>
          </w:p>
        </w:tc>
      </w:tr>
      <w:tr w:rsidR="00485BAA" w:rsidRPr="00D30847" w14:paraId="533E4AF4" w14:textId="77777777" w:rsidTr="00FD4DDE">
        <w:trPr>
          <w:gridBefore w:val="3"/>
          <w:gridAfter w:val="1"/>
          <w:wBefore w:w="37" w:type="dxa"/>
          <w:wAfter w:w="52" w:type="dxa"/>
          <w:trHeight w:val="223"/>
          <w:jc w:val="center"/>
        </w:trPr>
        <w:tc>
          <w:tcPr>
            <w:tcW w:w="13501" w:type="dxa"/>
            <w:gridSpan w:val="28"/>
            <w:shd w:val="clear" w:color="000000" w:fill="1F3864"/>
            <w:vAlign w:val="center"/>
            <w:hideMark/>
          </w:tcPr>
          <w:p w14:paraId="0C0FBFD0" w14:textId="7E96B3D4"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PILLAR II: Revenue</w:t>
            </w:r>
            <w:r w:rsidR="002320F5"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mobilization</w:t>
            </w:r>
          </w:p>
        </w:tc>
      </w:tr>
      <w:tr w:rsidR="00485BAA" w:rsidRPr="00D30847" w14:paraId="64623DE6" w14:textId="77777777" w:rsidTr="00FD4DDE">
        <w:trPr>
          <w:gridBefore w:val="3"/>
          <w:gridAfter w:val="1"/>
          <w:wBefore w:w="37" w:type="dxa"/>
          <w:wAfter w:w="52" w:type="dxa"/>
          <w:trHeight w:val="250"/>
          <w:jc w:val="center"/>
        </w:trPr>
        <w:tc>
          <w:tcPr>
            <w:tcW w:w="13501" w:type="dxa"/>
            <w:gridSpan w:val="28"/>
            <w:shd w:val="clear" w:color="000000" w:fill="1F3864"/>
            <w:vAlign w:val="center"/>
            <w:hideMark/>
          </w:tcPr>
          <w:p w14:paraId="17CE676B" w14:textId="77777777"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PRIORITY 3. Customs</w:t>
            </w:r>
          </w:p>
        </w:tc>
      </w:tr>
      <w:tr w:rsidR="00485BAA" w:rsidRPr="00D30847" w14:paraId="276ACE3C" w14:textId="77777777" w:rsidTr="00FD4DDE">
        <w:trPr>
          <w:gridBefore w:val="3"/>
          <w:gridAfter w:val="1"/>
          <w:wBefore w:w="37" w:type="dxa"/>
          <w:wAfter w:w="52" w:type="dxa"/>
          <w:trHeight w:val="253"/>
          <w:jc w:val="center"/>
        </w:trPr>
        <w:tc>
          <w:tcPr>
            <w:tcW w:w="2303" w:type="dxa"/>
            <w:gridSpan w:val="3"/>
            <w:shd w:val="clear" w:color="000000" w:fill="9BD2ED"/>
            <w:vAlign w:val="center"/>
            <w:hideMark/>
          </w:tcPr>
          <w:p w14:paraId="27ED8C14"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Outcome(s)</w:t>
            </w:r>
          </w:p>
        </w:tc>
        <w:tc>
          <w:tcPr>
            <w:tcW w:w="1836" w:type="dxa"/>
            <w:gridSpan w:val="5"/>
            <w:shd w:val="clear" w:color="000000" w:fill="9BD2ED"/>
            <w:vAlign w:val="center"/>
            <w:hideMark/>
          </w:tcPr>
          <w:p w14:paraId="5F23A7D7" w14:textId="7B9F000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75EAD55E" w14:textId="1DD228CD"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4D08776D" w14:textId="3CD02D18"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2C73A5"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58DA693D" w14:textId="195EC916" w:rsidR="00485BAA" w:rsidRPr="00D30847" w:rsidRDefault="00485BAA" w:rsidP="003339C4">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2C73A5"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4E041E6E" w14:textId="645522E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2C73A5"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0F103090" w14:textId="31284CC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2C73A5"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7B23CC8A" w14:textId="721596B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2C73A5" w:rsidRPr="00D30847">
              <w:rPr>
                <w:rFonts w:ascii="Arial" w:eastAsia="Times New Roman" w:hAnsi="Arial" w:cs="Arial"/>
                <w:b/>
                <w:bCs/>
                <w:sz w:val="12"/>
                <w:szCs w:val="12"/>
                <w:lang w:val="en-GB" w:eastAsia="mk-MK"/>
              </w:rPr>
              <w:t>8</w:t>
            </w:r>
          </w:p>
        </w:tc>
      </w:tr>
      <w:tr w:rsidR="00485BAA" w:rsidRPr="00D30847" w14:paraId="4E9A9F30" w14:textId="77777777" w:rsidTr="00FD4DDE">
        <w:trPr>
          <w:gridBefore w:val="3"/>
          <w:gridAfter w:val="1"/>
          <w:wBefore w:w="37" w:type="dxa"/>
          <w:wAfter w:w="52" w:type="dxa"/>
          <w:trHeight w:val="965"/>
          <w:jc w:val="center"/>
        </w:trPr>
        <w:tc>
          <w:tcPr>
            <w:tcW w:w="2303" w:type="dxa"/>
            <w:gridSpan w:val="3"/>
            <w:shd w:val="clear" w:color="000000" w:fill="FFFF99"/>
            <w:vAlign w:val="center"/>
            <w:hideMark/>
          </w:tcPr>
          <w:p w14:paraId="47769044" w14:textId="21EE7FE7" w:rsidR="00485BAA" w:rsidRPr="00D30847" w:rsidRDefault="002320F5"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Availability of innovative equipment and training of staff for detection and control for the purpose of: control without disturbance, detection of hidden objects on persons, radiation detection, sampling and analysis of samples, manual search;</w:t>
            </w:r>
          </w:p>
        </w:tc>
        <w:tc>
          <w:tcPr>
            <w:tcW w:w="1836" w:type="dxa"/>
            <w:gridSpan w:val="5"/>
            <w:shd w:val="clear" w:color="000000" w:fill="FFFF99"/>
            <w:vAlign w:val="center"/>
            <w:hideMark/>
          </w:tcPr>
          <w:p w14:paraId="2A894A96" w14:textId="41434444" w:rsidR="00485BAA" w:rsidRPr="00D30847" w:rsidRDefault="002C73A5"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staff employed in the corresponding units for customs control are trained to use the new equipment</w:t>
            </w:r>
          </w:p>
        </w:tc>
        <w:tc>
          <w:tcPr>
            <w:tcW w:w="1194" w:type="dxa"/>
            <w:gridSpan w:val="2"/>
            <w:shd w:val="clear" w:color="000000" w:fill="FFFF99"/>
            <w:vAlign w:val="center"/>
            <w:hideMark/>
          </w:tcPr>
          <w:p w14:paraId="6FFF13B6" w14:textId="127A12C5"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Customs</w:t>
            </w:r>
            <w:r w:rsidR="002320F5"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Administration</w:t>
            </w:r>
          </w:p>
        </w:tc>
        <w:tc>
          <w:tcPr>
            <w:tcW w:w="1418" w:type="dxa"/>
            <w:gridSpan w:val="3"/>
            <w:shd w:val="clear" w:color="000000" w:fill="FFFF99"/>
            <w:vAlign w:val="center"/>
            <w:hideMark/>
          </w:tcPr>
          <w:p w14:paraId="27A4284D"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644" w:type="dxa"/>
            <w:gridSpan w:val="3"/>
            <w:shd w:val="clear" w:color="000000" w:fill="FFFF99"/>
            <w:vAlign w:val="center"/>
            <w:hideMark/>
          </w:tcPr>
          <w:p w14:paraId="5FAADD20" w14:textId="59F5D1A9" w:rsidR="00485BAA" w:rsidRPr="00D30847" w:rsidRDefault="002C73A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30% of  staff employed in the corresponding units for customs control are trained to use the new </w:t>
            </w:r>
            <w:r w:rsidR="002F500A" w:rsidRPr="00D30847">
              <w:rPr>
                <w:rFonts w:ascii="Arial" w:eastAsia="Times New Roman" w:hAnsi="Arial" w:cs="Arial"/>
                <w:sz w:val="12"/>
                <w:szCs w:val="12"/>
                <w:lang w:val="en-GB" w:eastAsia="mk-MK"/>
              </w:rPr>
              <w:t>equipment of</w:t>
            </w:r>
          </w:p>
        </w:tc>
        <w:tc>
          <w:tcPr>
            <w:tcW w:w="1758" w:type="dxa"/>
            <w:gridSpan w:val="4"/>
            <w:shd w:val="clear" w:color="000000" w:fill="FFFF99"/>
            <w:vAlign w:val="center"/>
            <w:hideMark/>
          </w:tcPr>
          <w:p w14:paraId="38F1F595" w14:textId="144F869D" w:rsidR="00485BAA" w:rsidRPr="00D30847" w:rsidRDefault="002C73A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40% of  staff employed in the corresponding units for customs control are trained to use the new </w:t>
            </w:r>
            <w:r w:rsidR="002F500A" w:rsidRPr="00D30847">
              <w:rPr>
                <w:rFonts w:ascii="Arial" w:eastAsia="Times New Roman" w:hAnsi="Arial" w:cs="Arial"/>
                <w:sz w:val="12"/>
                <w:szCs w:val="12"/>
                <w:lang w:val="en-GB" w:eastAsia="mk-MK"/>
              </w:rPr>
              <w:t>equipment of</w:t>
            </w:r>
          </w:p>
        </w:tc>
        <w:tc>
          <w:tcPr>
            <w:tcW w:w="1842" w:type="dxa"/>
            <w:gridSpan w:val="4"/>
            <w:shd w:val="clear" w:color="000000" w:fill="FFFF99"/>
            <w:vAlign w:val="center"/>
            <w:hideMark/>
          </w:tcPr>
          <w:p w14:paraId="3567309E" w14:textId="14E618C4" w:rsidR="00485BAA" w:rsidRPr="00D30847" w:rsidRDefault="002C73A5"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70% of  staff employed in the corresponding units for customs control are trained to use the new </w:t>
            </w:r>
            <w:r w:rsidR="002F500A" w:rsidRPr="00D30847">
              <w:rPr>
                <w:rFonts w:ascii="Arial" w:eastAsia="Times New Roman" w:hAnsi="Arial" w:cs="Arial"/>
                <w:sz w:val="12"/>
                <w:szCs w:val="12"/>
                <w:lang w:val="en-GB" w:eastAsia="mk-MK"/>
              </w:rPr>
              <w:t>equipment of</w:t>
            </w:r>
          </w:p>
        </w:tc>
        <w:tc>
          <w:tcPr>
            <w:tcW w:w="1506" w:type="dxa"/>
            <w:gridSpan w:val="4"/>
            <w:shd w:val="clear" w:color="000000" w:fill="FFFF99"/>
            <w:vAlign w:val="center"/>
            <w:hideMark/>
          </w:tcPr>
          <w:p w14:paraId="52C0EEEB" w14:textId="6EE813BC" w:rsidR="00485BAA" w:rsidRPr="00D30847" w:rsidRDefault="002C73A5"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70% of  staff employed in the corresponding units for customs control are trained to use the new </w:t>
            </w:r>
            <w:r w:rsidR="002F500A" w:rsidRPr="00D30847">
              <w:rPr>
                <w:rFonts w:ascii="Arial" w:eastAsia="Times New Roman" w:hAnsi="Arial" w:cs="Arial"/>
                <w:sz w:val="12"/>
                <w:szCs w:val="12"/>
                <w:lang w:val="en-GB" w:eastAsia="mk-MK"/>
              </w:rPr>
              <w:t>equipment of</w:t>
            </w:r>
          </w:p>
        </w:tc>
      </w:tr>
      <w:tr w:rsidR="00485BAA" w:rsidRPr="00D30847" w14:paraId="606C022C" w14:textId="77777777" w:rsidTr="00FD4DDE">
        <w:trPr>
          <w:gridBefore w:val="3"/>
          <w:gridAfter w:val="1"/>
          <w:wBefore w:w="37" w:type="dxa"/>
          <w:wAfter w:w="52" w:type="dxa"/>
          <w:trHeight w:val="2129"/>
          <w:jc w:val="center"/>
        </w:trPr>
        <w:tc>
          <w:tcPr>
            <w:tcW w:w="2303" w:type="dxa"/>
            <w:gridSpan w:val="3"/>
            <w:shd w:val="clear" w:color="000000" w:fill="FFFF99"/>
            <w:vAlign w:val="center"/>
            <w:hideMark/>
          </w:tcPr>
          <w:p w14:paraId="1CD9CAE8" w14:textId="7E7A4608" w:rsidR="00485BAA" w:rsidRPr="00D30847" w:rsidRDefault="002320F5"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Introduction of a complete paperless environment in the customs procedure, through the implementation of electronic systems from the e-Customs program, i.e. the Multiannual Strategic Plan of the EU (MASP), compatible with the systems and procedures in the European Union; preparation for interconnection and interoperability with EU systems and implementation of systems compliant with EU systems (which may be established prior to EU accession) and staffing with appropriate hardware for those systems.</w:t>
            </w:r>
          </w:p>
        </w:tc>
        <w:tc>
          <w:tcPr>
            <w:tcW w:w="1836" w:type="dxa"/>
            <w:gridSpan w:val="5"/>
            <w:shd w:val="clear" w:color="000000" w:fill="FFFF99"/>
            <w:vAlign w:val="center"/>
            <w:hideMark/>
          </w:tcPr>
          <w:p w14:paraId="6A49F148" w14:textId="7B972F22" w:rsidR="00485BAA" w:rsidRPr="00D30847" w:rsidRDefault="002320F5"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Implemented at least two (2) new IT systems / modules from the EU Multiannual Strategic Plan (MASP) at national level on appropriate hardware (ICS2 and e-commerce)</w:t>
            </w:r>
          </w:p>
        </w:tc>
        <w:tc>
          <w:tcPr>
            <w:tcW w:w="1194" w:type="dxa"/>
            <w:gridSpan w:val="2"/>
            <w:shd w:val="clear" w:color="000000" w:fill="FFFF99"/>
            <w:vAlign w:val="center"/>
            <w:hideMark/>
          </w:tcPr>
          <w:p w14:paraId="31BA508B" w14:textId="702EC29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Customs</w:t>
            </w:r>
            <w:r w:rsidR="002320F5"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Administration</w:t>
            </w:r>
          </w:p>
        </w:tc>
        <w:tc>
          <w:tcPr>
            <w:tcW w:w="1418" w:type="dxa"/>
            <w:gridSpan w:val="3"/>
            <w:shd w:val="clear" w:color="000000" w:fill="FFFF99"/>
            <w:vAlign w:val="center"/>
            <w:hideMark/>
          </w:tcPr>
          <w:p w14:paraId="53B0A1DD"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0</w:t>
            </w:r>
          </w:p>
        </w:tc>
        <w:tc>
          <w:tcPr>
            <w:tcW w:w="1644" w:type="dxa"/>
            <w:gridSpan w:val="3"/>
            <w:shd w:val="clear" w:color="000000" w:fill="FFFF99"/>
            <w:vAlign w:val="center"/>
            <w:hideMark/>
          </w:tcPr>
          <w:p w14:paraId="3A3E6C0F"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shd w:val="clear" w:color="000000" w:fill="FFFF99"/>
            <w:vAlign w:val="center"/>
            <w:hideMark/>
          </w:tcPr>
          <w:p w14:paraId="07C44DF3"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hideMark/>
          </w:tcPr>
          <w:p w14:paraId="10EF163B"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hideMark/>
          </w:tcPr>
          <w:p w14:paraId="3F349CB1"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w:t>
            </w:r>
          </w:p>
        </w:tc>
      </w:tr>
      <w:tr w:rsidR="00485BAA" w:rsidRPr="00D30847" w14:paraId="47E7A5AE" w14:textId="77777777" w:rsidTr="00FD4DDE">
        <w:trPr>
          <w:gridBefore w:val="3"/>
          <w:gridAfter w:val="1"/>
          <w:wBefore w:w="37" w:type="dxa"/>
          <w:wAfter w:w="52" w:type="dxa"/>
          <w:trHeight w:val="349"/>
          <w:jc w:val="center"/>
        </w:trPr>
        <w:tc>
          <w:tcPr>
            <w:tcW w:w="13501" w:type="dxa"/>
            <w:gridSpan w:val="28"/>
            <w:shd w:val="clear" w:color="000000" w:fill="9BD2ED"/>
            <w:vAlign w:val="center"/>
            <w:hideMark/>
          </w:tcPr>
          <w:p w14:paraId="2A9C43F4" w14:textId="4BDE3759"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Measure 1. Strengthening</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joint</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control</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mechanisms</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and</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capacities</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order</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to</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combat</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illegal</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trade</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and</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organized</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crime</w:t>
            </w:r>
          </w:p>
        </w:tc>
      </w:tr>
      <w:tr w:rsidR="00485BAA" w:rsidRPr="00D30847" w14:paraId="2EBB3B9A" w14:textId="77777777" w:rsidTr="00FD4DDE">
        <w:trPr>
          <w:gridBefore w:val="3"/>
          <w:gridAfter w:val="1"/>
          <w:wBefore w:w="37" w:type="dxa"/>
          <w:wAfter w:w="52" w:type="dxa"/>
          <w:trHeight w:val="239"/>
          <w:jc w:val="center"/>
        </w:trPr>
        <w:tc>
          <w:tcPr>
            <w:tcW w:w="2303" w:type="dxa"/>
            <w:gridSpan w:val="3"/>
            <w:vMerge w:val="restart"/>
            <w:tcBorders>
              <w:top w:val="nil"/>
              <w:left w:val="nil"/>
              <w:bottom w:val="nil"/>
              <w:right w:val="single" w:sz="8" w:space="0" w:color="000000"/>
            </w:tcBorders>
            <w:shd w:val="clear" w:color="auto" w:fill="auto"/>
            <w:vAlign w:val="center"/>
            <w:hideMark/>
          </w:tcPr>
          <w:p w14:paraId="1CCBED56"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565CD003" w14:textId="26FE307E"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41A4DFC7" w14:textId="00971F7A"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6D29A337" w14:textId="3C49DF9A"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2C73A5"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71677195" w14:textId="7913EA1D"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2C73A5"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287D6408" w14:textId="0C094C34"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2C73A5"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6D7346F8" w14:textId="5BBD2F7F" w:rsidR="00485BAA" w:rsidRPr="00D30847" w:rsidRDefault="00485BAA" w:rsidP="003339C4">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2C73A5"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7A767D8B" w14:textId="03D3F55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2C73A5" w:rsidRPr="00D30847">
              <w:rPr>
                <w:rFonts w:ascii="Arial" w:eastAsia="Times New Roman" w:hAnsi="Arial" w:cs="Arial"/>
                <w:b/>
                <w:bCs/>
                <w:sz w:val="12"/>
                <w:szCs w:val="12"/>
                <w:lang w:val="en-GB" w:eastAsia="mk-MK"/>
              </w:rPr>
              <w:t>8</w:t>
            </w:r>
          </w:p>
        </w:tc>
      </w:tr>
      <w:tr w:rsidR="00485BAA" w:rsidRPr="00D30847" w14:paraId="20714591" w14:textId="77777777" w:rsidTr="00FD4DDE">
        <w:trPr>
          <w:gridBefore w:val="3"/>
          <w:gridAfter w:val="1"/>
          <w:wBefore w:w="37" w:type="dxa"/>
          <w:wAfter w:w="52" w:type="dxa"/>
          <w:trHeight w:val="694"/>
          <w:jc w:val="center"/>
        </w:trPr>
        <w:tc>
          <w:tcPr>
            <w:tcW w:w="2303" w:type="dxa"/>
            <w:gridSpan w:val="3"/>
            <w:vMerge/>
            <w:tcBorders>
              <w:top w:val="nil"/>
              <w:left w:val="nil"/>
              <w:bottom w:val="nil"/>
              <w:right w:val="single" w:sz="8" w:space="0" w:color="000000"/>
            </w:tcBorders>
            <w:vAlign w:val="center"/>
            <w:hideMark/>
          </w:tcPr>
          <w:p w14:paraId="5FEA5165"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3B417059" w14:textId="385A974F" w:rsidR="00485BAA" w:rsidRPr="00D30847" w:rsidRDefault="002320F5"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staff employed in the corresponding units for  customs control actively using the new equipment</w:t>
            </w:r>
          </w:p>
        </w:tc>
        <w:tc>
          <w:tcPr>
            <w:tcW w:w="1194" w:type="dxa"/>
            <w:gridSpan w:val="2"/>
            <w:shd w:val="clear" w:color="000000" w:fill="FFFF99"/>
            <w:vAlign w:val="center"/>
            <w:hideMark/>
          </w:tcPr>
          <w:p w14:paraId="587FEC4F" w14:textId="22A24B1A"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Customs</w:t>
            </w:r>
            <w:r w:rsidR="002320F5"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Administration</w:t>
            </w:r>
          </w:p>
        </w:tc>
        <w:tc>
          <w:tcPr>
            <w:tcW w:w="1418" w:type="dxa"/>
            <w:gridSpan w:val="3"/>
            <w:shd w:val="clear" w:color="000000" w:fill="FFFF99"/>
            <w:vAlign w:val="center"/>
            <w:hideMark/>
          </w:tcPr>
          <w:p w14:paraId="3E9974B5"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0</w:t>
            </w:r>
          </w:p>
        </w:tc>
        <w:tc>
          <w:tcPr>
            <w:tcW w:w="1644" w:type="dxa"/>
            <w:gridSpan w:val="3"/>
            <w:shd w:val="clear" w:color="000000" w:fill="FFFF99"/>
            <w:vAlign w:val="center"/>
            <w:hideMark/>
          </w:tcPr>
          <w:p w14:paraId="201F0DB6" w14:textId="77777777" w:rsidR="00485BAA" w:rsidRPr="00D30847" w:rsidRDefault="003339C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30%/</w:t>
            </w:r>
          </w:p>
        </w:tc>
        <w:tc>
          <w:tcPr>
            <w:tcW w:w="1758" w:type="dxa"/>
            <w:gridSpan w:val="4"/>
            <w:shd w:val="clear" w:color="000000" w:fill="FFFF99"/>
            <w:vAlign w:val="center"/>
            <w:hideMark/>
          </w:tcPr>
          <w:p w14:paraId="625DBD4E" w14:textId="75784BD8" w:rsidR="00485BAA" w:rsidRPr="00D30847" w:rsidRDefault="00E80D1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4</w:t>
            </w:r>
            <w:r w:rsidR="003339C4" w:rsidRPr="00D30847">
              <w:rPr>
                <w:rFonts w:ascii="Arial" w:eastAsia="Times New Roman" w:hAnsi="Arial" w:cs="Arial"/>
                <w:sz w:val="12"/>
                <w:szCs w:val="12"/>
                <w:lang w:val="en-GB" w:eastAsia="mk-MK"/>
              </w:rPr>
              <w:t>0%</w:t>
            </w:r>
          </w:p>
        </w:tc>
        <w:tc>
          <w:tcPr>
            <w:tcW w:w="1842" w:type="dxa"/>
            <w:gridSpan w:val="4"/>
            <w:shd w:val="clear" w:color="000000" w:fill="FFFF99"/>
            <w:vAlign w:val="center"/>
            <w:hideMark/>
          </w:tcPr>
          <w:p w14:paraId="41345066" w14:textId="77777777" w:rsidR="00485BAA" w:rsidRPr="00D30847" w:rsidRDefault="003339C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70%</w:t>
            </w:r>
          </w:p>
        </w:tc>
        <w:tc>
          <w:tcPr>
            <w:tcW w:w="1506" w:type="dxa"/>
            <w:gridSpan w:val="4"/>
            <w:shd w:val="clear" w:color="000000" w:fill="FFFF99"/>
            <w:vAlign w:val="center"/>
            <w:hideMark/>
          </w:tcPr>
          <w:p w14:paraId="0EFD2496"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70%</w:t>
            </w:r>
          </w:p>
        </w:tc>
      </w:tr>
      <w:tr w:rsidR="00485BAA" w:rsidRPr="00D30847" w14:paraId="73BB8B7A" w14:textId="77777777" w:rsidTr="00FD4DDE">
        <w:trPr>
          <w:gridBefore w:val="3"/>
          <w:gridAfter w:val="1"/>
          <w:wBefore w:w="37" w:type="dxa"/>
          <w:wAfter w:w="52" w:type="dxa"/>
          <w:trHeight w:val="1006"/>
          <w:jc w:val="center"/>
        </w:trPr>
        <w:tc>
          <w:tcPr>
            <w:tcW w:w="2303" w:type="dxa"/>
            <w:gridSpan w:val="3"/>
            <w:vMerge/>
            <w:tcBorders>
              <w:top w:val="nil"/>
              <w:left w:val="nil"/>
              <w:bottom w:val="nil"/>
              <w:right w:val="single" w:sz="8" w:space="0" w:color="000000"/>
            </w:tcBorders>
            <w:vAlign w:val="center"/>
            <w:hideMark/>
          </w:tcPr>
          <w:p w14:paraId="3486928F"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29B14B59" w14:textId="60D33B99" w:rsidR="00485BAA" w:rsidRPr="00D30847" w:rsidRDefault="002320F5"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Conducted appropriate professional trainings for the employees in the operational services for control and prosecution for fight against illicit trade and crime (number of events)</w:t>
            </w:r>
          </w:p>
        </w:tc>
        <w:tc>
          <w:tcPr>
            <w:tcW w:w="1194" w:type="dxa"/>
            <w:gridSpan w:val="2"/>
            <w:shd w:val="clear" w:color="000000" w:fill="FFFF99"/>
            <w:vAlign w:val="center"/>
            <w:hideMark/>
          </w:tcPr>
          <w:p w14:paraId="11A44F2E" w14:textId="4727FB36"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Customs</w:t>
            </w:r>
            <w:r w:rsidR="002320F5"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Administration</w:t>
            </w:r>
          </w:p>
        </w:tc>
        <w:tc>
          <w:tcPr>
            <w:tcW w:w="1418" w:type="dxa"/>
            <w:gridSpan w:val="3"/>
            <w:shd w:val="clear" w:color="000000" w:fill="FFFF99"/>
            <w:vAlign w:val="center"/>
            <w:hideMark/>
          </w:tcPr>
          <w:p w14:paraId="677E53E0" w14:textId="625D4392" w:rsidR="00485BAA" w:rsidRPr="00D30847" w:rsidRDefault="002320F5"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(part of equipment is in the process of procurement)</w:t>
            </w:r>
            <w:r w:rsidR="003339C4" w:rsidRPr="00D30847">
              <w:rPr>
                <w:rFonts w:ascii="Arial" w:eastAsia="Times New Roman" w:hAnsi="Arial" w:cs="Arial"/>
                <w:sz w:val="12"/>
                <w:szCs w:val="12"/>
                <w:lang w:val="en-GB" w:eastAsia="mk-MK"/>
              </w:rPr>
              <w:t>0</w:t>
            </w:r>
          </w:p>
        </w:tc>
        <w:tc>
          <w:tcPr>
            <w:tcW w:w="1644" w:type="dxa"/>
            <w:gridSpan w:val="3"/>
            <w:shd w:val="clear" w:color="000000" w:fill="FFFF99"/>
            <w:vAlign w:val="center"/>
            <w:hideMark/>
          </w:tcPr>
          <w:p w14:paraId="7464B31B" w14:textId="76552656" w:rsidR="00485BAA" w:rsidRPr="00D30847" w:rsidRDefault="003339C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002320F5" w:rsidRPr="00D30847">
              <w:rPr>
                <w:rFonts w:ascii="Arial" w:eastAsia="Times New Roman" w:hAnsi="Arial" w:cs="Arial"/>
                <w:sz w:val="12"/>
                <w:szCs w:val="12"/>
                <w:lang w:val="en-GB" w:eastAsia="mk-MK"/>
              </w:rPr>
              <w:t xml:space="preserve"> additional equipment will be procured</w:t>
            </w:r>
          </w:p>
        </w:tc>
        <w:tc>
          <w:tcPr>
            <w:tcW w:w="1758" w:type="dxa"/>
            <w:gridSpan w:val="4"/>
            <w:shd w:val="clear" w:color="000000" w:fill="FFFF99"/>
            <w:vAlign w:val="center"/>
            <w:hideMark/>
          </w:tcPr>
          <w:p w14:paraId="563800E1" w14:textId="77777777" w:rsidR="00485BAA" w:rsidRPr="00D30847" w:rsidRDefault="003339C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5</w:t>
            </w:r>
            <w:r w:rsidR="00485BAA" w:rsidRPr="00D30847">
              <w:rPr>
                <w:rFonts w:ascii="Arial" w:eastAsia="Times New Roman" w:hAnsi="Arial" w:cs="Arial"/>
                <w:sz w:val="12"/>
                <w:szCs w:val="12"/>
                <w:lang w:val="en-GB" w:eastAsia="mk-MK"/>
              </w:rPr>
              <w:br/>
            </w:r>
          </w:p>
        </w:tc>
        <w:tc>
          <w:tcPr>
            <w:tcW w:w="1842" w:type="dxa"/>
            <w:gridSpan w:val="4"/>
            <w:shd w:val="clear" w:color="000000" w:fill="FFFF99"/>
            <w:vAlign w:val="center"/>
            <w:hideMark/>
          </w:tcPr>
          <w:p w14:paraId="3D868B22" w14:textId="77777777" w:rsidR="00485BAA" w:rsidRPr="00D30847" w:rsidRDefault="003339C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5</w:t>
            </w:r>
          </w:p>
        </w:tc>
        <w:tc>
          <w:tcPr>
            <w:tcW w:w="1506" w:type="dxa"/>
            <w:gridSpan w:val="4"/>
            <w:shd w:val="clear" w:color="000000" w:fill="FFFF99"/>
            <w:vAlign w:val="center"/>
            <w:hideMark/>
          </w:tcPr>
          <w:p w14:paraId="6D94778F" w14:textId="77777777" w:rsidR="00485BAA" w:rsidRPr="00D30847" w:rsidRDefault="003339C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w:t>
            </w:r>
          </w:p>
        </w:tc>
      </w:tr>
      <w:tr w:rsidR="00485BAA" w:rsidRPr="00D30847" w14:paraId="549D1B55" w14:textId="77777777" w:rsidTr="00FD4DDE">
        <w:trPr>
          <w:gridBefore w:val="3"/>
          <w:gridAfter w:val="1"/>
          <w:wBefore w:w="37" w:type="dxa"/>
          <w:wAfter w:w="52" w:type="dxa"/>
          <w:trHeight w:val="285"/>
          <w:jc w:val="center"/>
        </w:trPr>
        <w:tc>
          <w:tcPr>
            <w:tcW w:w="2303" w:type="dxa"/>
            <w:gridSpan w:val="3"/>
            <w:vMerge/>
            <w:tcBorders>
              <w:top w:val="nil"/>
              <w:left w:val="nil"/>
              <w:bottom w:val="nil"/>
              <w:right w:val="single" w:sz="8" w:space="0" w:color="000000"/>
            </w:tcBorders>
            <w:vAlign w:val="center"/>
            <w:hideMark/>
          </w:tcPr>
          <w:p w14:paraId="7CE2C220"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223E3ABD"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48603AE7" w14:textId="3BACA934"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2EC08C61" w14:textId="69E4026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2BD644A0" w14:textId="6B3C694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56136A5E"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41E4737C" w14:textId="1525D076"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2320F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742F45FE"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485BAA" w:rsidRPr="00D30847" w14:paraId="29AD32CD" w14:textId="77777777" w:rsidTr="00FD4DDE">
        <w:trPr>
          <w:gridBefore w:val="3"/>
          <w:gridAfter w:val="1"/>
          <w:wBefore w:w="37" w:type="dxa"/>
          <w:wAfter w:w="52" w:type="dxa"/>
          <w:trHeight w:val="1682"/>
          <w:jc w:val="center"/>
        </w:trPr>
        <w:tc>
          <w:tcPr>
            <w:tcW w:w="2303" w:type="dxa"/>
            <w:gridSpan w:val="3"/>
            <w:vMerge/>
            <w:tcBorders>
              <w:top w:val="nil"/>
              <w:left w:val="nil"/>
              <w:bottom w:val="nil"/>
              <w:right w:val="single" w:sz="8" w:space="0" w:color="000000"/>
            </w:tcBorders>
            <w:vAlign w:val="center"/>
            <w:hideMark/>
          </w:tcPr>
          <w:p w14:paraId="2A2E61AC"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5065DC80" w14:textId="03C653A8" w:rsidR="00485BAA" w:rsidRPr="00D30847" w:rsidRDefault="002320F5"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Equipping with modern and reliable control equipment and appropriate training for employees, in order to protect financial and economic interests, guarantee the safety and security of citizens, environmental protection and protection from unfair and illicit trade</w:t>
            </w:r>
          </w:p>
        </w:tc>
        <w:tc>
          <w:tcPr>
            <w:tcW w:w="1194" w:type="dxa"/>
            <w:gridSpan w:val="2"/>
            <w:shd w:val="clear" w:color="000000" w:fill="FFFF99"/>
            <w:vAlign w:val="center"/>
            <w:hideMark/>
          </w:tcPr>
          <w:p w14:paraId="6EC8EC3F"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3339C4" w:rsidRPr="00D30847">
              <w:rPr>
                <w:rFonts w:ascii="Arial" w:eastAsia="Times New Roman" w:hAnsi="Arial" w:cs="Arial"/>
                <w:sz w:val="12"/>
                <w:szCs w:val="12"/>
                <w:lang w:val="en-GB" w:eastAsia="mk-MK"/>
              </w:rPr>
              <w:t>4</w:t>
            </w:r>
            <w:r w:rsidRPr="00D30847">
              <w:rPr>
                <w:rFonts w:ascii="Arial" w:eastAsia="Times New Roman" w:hAnsi="Arial" w:cs="Arial"/>
                <w:sz w:val="12"/>
                <w:szCs w:val="12"/>
                <w:lang w:val="en-GB" w:eastAsia="mk-MK"/>
              </w:rPr>
              <w:t>-202</w:t>
            </w:r>
            <w:r w:rsidR="003339C4" w:rsidRPr="00D30847">
              <w:rPr>
                <w:rFonts w:ascii="Arial" w:eastAsia="Times New Roman" w:hAnsi="Arial" w:cs="Arial"/>
                <w:sz w:val="12"/>
                <w:szCs w:val="12"/>
                <w:lang w:val="en-GB" w:eastAsia="mk-MK"/>
              </w:rPr>
              <w:t>7</w:t>
            </w:r>
          </w:p>
        </w:tc>
        <w:tc>
          <w:tcPr>
            <w:tcW w:w="1418" w:type="dxa"/>
            <w:gridSpan w:val="3"/>
            <w:shd w:val="clear" w:color="000000" w:fill="FFFF99"/>
            <w:vAlign w:val="center"/>
            <w:hideMark/>
          </w:tcPr>
          <w:p w14:paraId="2D1C0D3F" w14:textId="1D1E84EC"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Customs</w:t>
            </w:r>
            <w:r w:rsidR="00D847E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Administration</w:t>
            </w:r>
          </w:p>
        </w:tc>
        <w:tc>
          <w:tcPr>
            <w:tcW w:w="1644" w:type="dxa"/>
            <w:gridSpan w:val="3"/>
            <w:shd w:val="clear" w:color="000000" w:fill="FFFF99"/>
            <w:vAlign w:val="center"/>
            <w:hideMark/>
          </w:tcPr>
          <w:p w14:paraId="2834F424" w14:textId="29F3E47F" w:rsidR="00485BAA" w:rsidRPr="00D30847" w:rsidRDefault="00D847E0"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EU - and its institutions, UN, Bilateral Cooperation, relevant domestic institutions</w:t>
            </w:r>
          </w:p>
        </w:tc>
        <w:tc>
          <w:tcPr>
            <w:tcW w:w="1758" w:type="dxa"/>
            <w:gridSpan w:val="4"/>
            <w:shd w:val="clear" w:color="000000" w:fill="FFFF99"/>
            <w:vAlign w:val="center"/>
            <w:hideMark/>
          </w:tcPr>
          <w:p w14:paraId="1286E325" w14:textId="64517CB4"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w:t>
            </w:r>
            <w:r w:rsidR="00F50C2B" w:rsidRPr="00D30847">
              <w:rPr>
                <w:rFonts w:ascii="Arial" w:eastAsia="Times New Roman" w:hAnsi="Arial" w:cs="Arial"/>
                <w:sz w:val="12"/>
                <w:szCs w:val="12"/>
                <w:lang w:val="en-GB" w:eastAsia="mk-MK"/>
              </w:rPr>
              <w:t>2</w:t>
            </w:r>
            <w:r w:rsidRPr="00D30847">
              <w:rPr>
                <w:rFonts w:ascii="Arial" w:eastAsia="Times New Roman" w:hAnsi="Arial" w:cs="Arial"/>
                <w:sz w:val="12"/>
                <w:szCs w:val="12"/>
                <w:lang w:val="en-GB" w:eastAsia="mk-MK"/>
              </w:rPr>
              <w:t xml:space="preserve">,000,000 </w:t>
            </w:r>
          </w:p>
        </w:tc>
        <w:tc>
          <w:tcPr>
            <w:tcW w:w="1842" w:type="dxa"/>
            <w:gridSpan w:val="4"/>
            <w:shd w:val="clear" w:color="000000" w:fill="FFFF99"/>
            <w:vAlign w:val="center"/>
            <w:hideMark/>
          </w:tcPr>
          <w:p w14:paraId="5BC4C2A7" w14:textId="2302889E" w:rsidR="00485BAA" w:rsidRPr="00D30847" w:rsidRDefault="00250000"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(IPA3)</w:t>
            </w:r>
          </w:p>
        </w:tc>
        <w:tc>
          <w:tcPr>
            <w:tcW w:w="1506" w:type="dxa"/>
            <w:gridSpan w:val="4"/>
            <w:shd w:val="clear" w:color="000000" w:fill="FFFF99"/>
            <w:vAlign w:val="center"/>
            <w:hideMark/>
          </w:tcPr>
          <w:p w14:paraId="266C740F" w14:textId="7BA1955A"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485BAA" w:rsidRPr="00D30847" w14:paraId="52CD6548" w14:textId="77777777" w:rsidTr="00FD4DDE">
        <w:trPr>
          <w:gridBefore w:val="3"/>
          <w:gridAfter w:val="1"/>
          <w:wBefore w:w="37" w:type="dxa"/>
          <w:wAfter w:w="52" w:type="dxa"/>
          <w:trHeight w:val="295"/>
          <w:jc w:val="center"/>
        </w:trPr>
        <w:tc>
          <w:tcPr>
            <w:tcW w:w="13501" w:type="dxa"/>
            <w:gridSpan w:val="28"/>
            <w:shd w:val="clear" w:color="000000" w:fill="9BD2ED"/>
            <w:vAlign w:val="center"/>
            <w:hideMark/>
          </w:tcPr>
          <w:p w14:paraId="7482A3A8" w14:textId="59C53A4B" w:rsidR="00485BAA" w:rsidRPr="00D30847" w:rsidRDefault="005C29D1"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xml:space="preserve">Measure </w:t>
            </w:r>
            <w:r w:rsidR="00485BAA" w:rsidRPr="00D30847">
              <w:rPr>
                <w:rFonts w:ascii="Arial" w:eastAsia="Times New Roman" w:hAnsi="Arial" w:cs="Arial"/>
                <w:b/>
                <w:bCs/>
                <w:sz w:val="12"/>
                <w:szCs w:val="12"/>
                <w:lang w:val="en-GB" w:eastAsia="mk-MK"/>
              </w:rPr>
              <w:t>2. Modernization</w:t>
            </w:r>
            <w:r w:rsidR="00D847E0" w:rsidRPr="00D30847">
              <w:rPr>
                <w:rFonts w:ascii="Arial" w:eastAsia="Times New Roman" w:hAnsi="Arial" w:cs="Arial"/>
                <w:b/>
                <w:bCs/>
                <w:sz w:val="12"/>
                <w:szCs w:val="12"/>
                <w:lang w:val="en-GB" w:eastAsia="mk-MK"/>
              </w:rPr>
              <w:t xml:space="preserve"> </w:t>
            </w:r>
            <w:r w:rsidR="00485BAA" w:rsidRPr="00D30847">
              <w:rPr>
                <w:rFonts w:ascii="Arial" w:eastAsia="Times New Roman" w:hAnsi="Arial" w:cs="Arial"/>
                <w:b/>
                <w:bCs/>
                <w:sz w:val="12"/>
                <w:szCs w:val="12"/>
                <w:lang w:val="en-GB" w:eastAsia="mk-MK"/>
              </w:rPr>
              <w:t>of</w:t>
            </w:r>
            <w:r w:rsidR="00D847E0" w:rsidRPr="00D30847">
              <w:rPr>
                <w:rFonts w:ascii="Arial" w:eastAsia="Times New Roman" w:hAnsi="Arial" w:cs="Arial"/>
                <w:b/>
                <w:bCs/>
                <w:sz w:val="12"/>
                <w:szCs w:val="12"/>
                <w:lang w:val="en-GB" w:eastAsia="mk-MK"/>
              </w:rPr>
              <w:t xml:space="preserve"> </w:t>
            </w:r>
            <w:r w:rsidR="00485BAA" w:rsidRPr="00D30847">
              <w:rPr>
                <w:rFonts w:ascii="Arial" w:eastAsia="Times New Roman" w:hAnsi="Arial" w:cs="Arial"/>
                <w:b/>
                <w:bCs/>
                <w:sz w:val="12"/>
                <w:szCs w:val="12"/>
                <w:lang w:val="en-GB" w:eastAsia="mk-MK"/>
              </w:rPr>
              <w:t>customs</w:t>
            </w:r>
            <w:r w:rsidR="00D847E0" w:rsidRPr="00D30847">
              <w:rPr>
                <w:rFonts w:ascii="Arial" w:eastAsia="Times New Roman" w:hAnsi="Arial" w:cs="Arial"/>
                <w:b/>
                <w:bCs/>
                <w:sz w:val="12"/>
                <w:szCs w:val="12"/>
                <w:lang w:val="en-GB" w:eastAsia="mk-MK"/>
              </w:rPr>
              <w:t xml:space="preserve"> </w:t>
            </w:r>
            <w:r w:rsidR="00485BAA" w:rsidRPr="00D30847">
              <w:rPr>
                <w:rFonts w:ascii="Arial" w:eastAsia="Times New Roman" w:hAnsi="Arial" w:cs="Arial"/>
                <w:b/>
                <w:bCs/>
                <w:sz w:val="12"/>
                <w:szCs w:val="12"/>
                <w:lang w:val="en-GB" w:eastAsia="mk-MK"/>
              </w:rPr>
              <w:t>services</w:t>
            </w:r>
            <w:r w:rsidR="00D847E0" w:rsidRPr="00D30847">
              <w:rPr>
                <w:rFonts w:ascii="Arial" w:eastAsia="Times New Roman" w:hAnsi="Arial" w:cs="Arial"/>
                <w:b/>
                <w:bCs/>
                <w:sz w:val="12"/>
                <w:szCs w:val="12"/>
                <w:lang w:val="en-GB" w:eastAsia="mk-MK"/>
              </w:rPr>
              <w:t xml:space="preserve"> </w:t>
            </w:r>
            <w:r w:rsidR="00485BAA" w:rsidRPr="00D30847">
              <w:rPr>
                <w:rFonts w:ascii="Arial" w:eastAsia="Times New Roman" w:hAnsi="Arial" w:cs="Arial"/>
                <w:b/>
                <w:bCs/>
                <w:sz w:val="12"/>
                <w:szCs w:val="12"/>
                <w:lang w:val="en-GB" w:eastAsia="mk-MK"/>
              </w:rPr>
              <w:t>and</w:t>
            </w:r>
            <w:r w:rsidR="00D847E0" w:rsidRPr="00D30847">
              <w:rPr>
                <w:rFonts w:ascii="Arial" w:eastAsia="Times New Roman" w:hAnsi="Arial" w:cs="Arial"/>
                <w:b/>
                <w:bCs/>
                <w:sz w:val="12"/>
                <w:szCs w:val="12"/>
                <w:lang w:val="en-GB" w:eastAsia="mk-MK"/>
              </w:rPr>
              <w:t xml:space="preserve"> </w:t>
            </w:r>
            <w:r w:rsidR="00485BAA" w:rsidRPr="00D30847">
              <w:rPr>
                <w:rFonts w:ascii="Arial" w:eastAsia="Times New Roman" w:hAnsi="Arial" w:cs="Arial"/>
                <w:b/>
                <w:bCs/>
                <w:sz w:val="12"/>
                <w:szCs w:val="12"/>
                <w:lang w:val="en-GB" w:eastAsia="mk-MK"/>
              </w:rPr>
              <w:t>their</w:t>
            </w:r>
            <w:r w:rsidR="00D847E0" w:rsidRPr="00D30847">
              <w:rPr>
                <w:rFonts w:ascii="Arial" w:eastAsia="Times New Roman" w:hAnsi="Arial" w:cs="Arial"/>
                <w:b/>
                <w:bCs/>
                <w:sz w:val="12"/>
                <w:szCs w:val="12"/>
                <w:lang w:val="en-GB" w:eastAsia="mk-MK"/>
              </w:rPr>
              <w:t xml:space="preserve"> </w:t>
            </w:r>
            <w:r w:rsidR="00485BAA" w:rsidRPr="00D30847">
              <w:rPr>
                <w:rFonts w:ascii="Arial" w:eastAsia="Times New Roman" w:hAnsi="Arial" w:cs="Arial"/>
                <w:b/>
                <w:bCs/>
                <w:sz w:val="12"/>
                <w:szCs w:val="12"/>
                <w:lang w:val="en-GB" w:eastAsia="mk-MK"/>
              </w:rPr>
              <w:t>digitalization</w:t>
            </w:r>
          </w:p>
        </w:tc>
      </w:tr>
      <w:tr w:rsidR="00485BAA" w:rsidRPr="00D30847" w14:paraId="31503752" w14:textId="77777777" w:rsidTr="00FD4DDE">
        <w:trPr>
          <w:gridBefore w:val="3"/>
          <w:gridAfter w:val="1"/>
          <w:wBefore w:w="37" w:type="dxa"/>
          <w:wAfter w:w="52" w:type="dxa"/>
          <w:trHeight w:val="295"/>
          <w:jc w:val="center"/>
        </w:trPr>
        <w:tc>
          <w:tcPr>
            <w:tcW w:w="1288" w:type="dxa"/>
            <w:tcBorders>
              <w:top w:val="nil"/>
              <w:left w:val="nil"/>
              <w:bottom w:val="nil"/>
              <w:right w:val="nil"/>
            </w:tcBorders>
            <w:shd w:val="clear" w:color="auto" w:fill="auto"/>
            <w:vAlign w:val="center"/>
            <w:hideMark/>
          </w:tcPr>
          <w:p w14:paraId="2CB361BC" w14:textId="77777777" w:rsidR="00485BAA" w:rsidRPr="00D30847" w:rsidRDefault="00485BAA" w:rsidP="00485BAA">
            <w:pPr>
              <w:spacing w:after="0" w:line="240" w:lineRule="auto"/>
              <w:jc w:val="both"/>
              <w:rPr>
                <w:rFonts w:ascii="Arial" w:eastAsia="Times New Roman" w:hAnsi="Arial" w:cs="Arial"/>
                <w:b/>
                <w:bCs/>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78B93652" w14:textId="77777777" w:rsidR="00485BAA" w:rsidRPr="00D30847" w:rsidRDefault="00485BAA" w:rsidP="00485BAA">
            <w:pPr>
              <w:spacing w:after="0" w:line="240" w:lineRule="auto"/>
              <w:jc w:val="both"/>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7465DD80" w14:textId="700F4E58"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D847E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02EF5F21" w14:textId="163D7B9C"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D847E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3421308F" w14:textId="333FE5A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E80D15"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7850A0EF" w14:textId="3559D96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E80D15"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483AF080" w14:textId="52F57AC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E80D15"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18294C1F" w14:textId="2E7375D7" w:rsidR="00485BAA" w:rsidRPr="00D30847" w:rsidRDefault="00485BAA" w:rsidP="003339C4">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E80D15"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035A1124" w14:textId="1E7C7B45"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E80D15" w:rsidRPr="00D30847">
              <w:rPr>
                <w:rFonts w:ascii="Arial" w:eastAsia="Times New Roman" w:hAnsi="Arial" w:cs="Arial"/>
                <w:b/>
                <w:bCs/>
                <w:sz w:val="12"/>
                <w:szCs w:val="12"/>
                <w:lang w:val="en-GB" w:eastAsia="mk-MK"/>
              </w:rPr>
              <w:t>8</w:t>
            </w:r>
          </w:p>
        </w:tc>
      </w:tr>
      <w:tr w:rsidR="00485BAA" w:rsidRPr="00D30847" w14:paraId="49D9454C" w14:textId="77777777" w:rsidTr="00FD4DDE">
        <w:trPr>
          <w:gridBefore w:val="3"/>
          <w:gridAfter w:val="1"/>
          <w:wBefore w:w="37" w:type="dxa"/>
          <w:wAfter w:w="52" w:type="dxa"/>
          <w:trHeight w:val="798"/>
          <w:jc w:val="center"/>
        </w:trPr>
        <w:tc>
          <w:tcPr>
            <w:tcW w:w="1288" w:type="dxa"/>
            <w:tcBorders>
              <w:top w:val="nil"/>
              <w:left w:val="nil"/>
              <w:bottom w:val="nil"/>
              <w:right w:val="nil"/>
            </w:tcBorders>
            <w:shd w:val="clear" w:color="auto" w:fill="auto"/>
            <w:vAlign w:val="center"/>
            <w:hideMark/>
          </w:tcPr>
          <w:p w14:paraId="6D6702D4"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23E46824" w14:textId="77777777" w:rsidR="00485BAA" w:rsidRPr="00D30847" w:rsidRDefault="00485BAA" w:rsidP="00485BAA">
            <w:pPr>
              <w:spacing w:after="0" w:line="240" w:lineRule="auto"/>
              <w:jc w:val="both"/>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0C7C00ED" w14:textId="650C8E12" w:rsidR="00485BAA" w:rsidRPr="00D30847" w:rsidRDefault="00D847E0"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Average yearly technical availability of the new customs IT systems for interconnectivity with the EU systems</w:t>
            </w:r>
          </w:p>
        </w:tc>
        <w:tc>
          <w:tcPr>
            <w:tcW w:w="1194" w:type="dxa"/>
            <w:gridSpan w:val="2"/>
            <w:shd w:val="clear" w:color="000000" w:fill="FFFF99"/>
            <w:vAlign w:val="center"/>
            <w:hideMark/>
          </w:tcPr>
          <w:p w14:paraId="0C3C4164" w14:textId="2DB3308A"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Customs</w:t>
            </w:r>
            <w:r w:rsidR="00D847E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Administration</w:t>
            </w:r>
          </w:p>
        </w:tc>
        <w:tc>
          <w:tcPr>
            <w:tcW w:w="1418" w:type="dxa"/>
            <w:gridSpan w:val="3"/>
            <w:shd w:val="clear" w:color="000000" w:fill="FFFF99"/>
            <w:vAlign w:val="center"/>
            <w:hideMark/>
          </w:tcPr>
          <w:p w14:paraId="7EA56321" w14:textId="77777777" w:rsidR="00485BAA" w:rsidRPr="00D30847" w:rsidRDefault="003339C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95%</w:t>
            </w:r>
          </w:p>
        </w:tc>
        <w:tc>
          <w:tcPr>
            <w:tcW w:w="1644" w:type="dxa"/>
            <w:gridSpan w:val="3"/>
            <w:shd w:val="clear" w:color="000000" w:fill="FFFF99"/>
            <w:vAlign w:val="center"/>
            <w:hideMark/>
          </w:tcPr>
          <w:p w14:paraId="29D8E5F8" w14:textId="77777777" w:rsidR="00485BAA" w:rsidRPr="00D30847" w:rsidRDefault="003339C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95%</w:t>
            </w:r>
          </w:p>
        </w:tc>
        <w:tc>
          <w:tcPr>
            <w:tcW w:w="1758" w:type="dxa"/>
            <w:gridSpan w:val="4"/>
            <w:shd w:val="clear" w:color="000000" w:fill="FFFF99"/>
            <w:vAlign w:val="center"/>
            <w:hideMark/>
          </w:tcPr>
          <w:p w14:paraId="00FB340A" w14:textId="77777777" w:rsidR="00485BAA" w:rsidRPr="00D30847" w:rsidRDefault="003339C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95%</w:t>
            </w:r>
          </w:p>
        </w:tc>
        <w:tc>
          <w:tcPr>
            <w:tcW w:w="1842" w:type="dxa"/>
            <w:gridSpan w:val="4"/>
            <w:shd w:val="clear" w:color="000000" w:fill="FFFF99"/>
            <w:vAlign w:val="center"/>
            <w:hideMark/>
          </w:tcPr>
          <w:p w14:paraId="4008080C"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9</w:t>
            </w:r>
            <w:r w:rsidR="003339C4" w:rsidRPr="00D30847">
              <w:rPr>
                <w:rFonts w:ascii="Arial" w:eastAsia="Times New Roman" w:hAnsi="Arial" w:cs="Arial"/>
                <w:sz w:val="12"/>
                <w:szCs w:val="12"/>
                <w:lang w:val="en-GB" w:eastAsia="mk-MK"/>
              </w:rPr>
              <w:t>5</w:t>
            </w:r>
            <w:r w:rsidRPr="00D30847">
              <w:rPr>
                <w:rFonts w:ascii="Arial" w:eastAsia="Times New Roman" w:hAnsi="Arial" w:cs="Arial"/>
                <w:sz w:val="12"/>
                <w:szCs w:val="12"/>
                <w:lang w:val="en-GB" w:eastAsia="mk-MK"/>
              </w:rPr>
              <w:t>%</w:t>
            </w:r>
          </w:p>
        </w:tc>
        <w:tc>
          <w:tcPr>
            <w:tcW w:w="1506" w:type="dxa"/>
            <w:gridSpan w:val="4"/>
            <w:shd w:val="clear" w:color="000000" w:fill="FFFF99"/>
            <w:vAlign w:val="center"/>
            <w:hideMark/>
          </w:tcPr>
          <w:p w14:paraId="0F2998D8"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95%</w:t>
            </w:r>
          </w:p>
        </w:tc>
      </w:tr>
      <w:tr w:rsidR="00485BAA" w:rsidRPr="00D30847" w14:paraId="48A9973A" w14:textId="77777777" w:rsidTr="00FD4DDE">
        <w:trPr>
          <w:gridBefore w:val="3"/>
          <w:gridAfter w:val="1"/>
          <w:wBefore w:w="37" w:type="dxa"/>
          <w:wAfter w:w="52" w:type="dxa"/>
          <w:trHeight w:val="1107"/>
          <w:jc w:val="center"/>
        </w:trPr>
        <w:tc>
          <w:tcPr>
            <w:tcW w:w="1288" w:type="dxa"/>
            <w:tcBorders>
              <w:top w:val="nil"/>
              <w:left w:val="nil"/>
              <w:bottom w:val="nil"/>
              <w:right w:val="nil"/>
            </w:tcBorders>
            <w:shd w:val="clear" w:color="auto" w:fill="auto"/>
            <w:vAlign w:val="center"/>
            <w:hideMark/>
          </w:tcPr>
          <w:p w14:paraId="2F44629B"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6D87A0A8" w14:textId="77777777" w:rsidR="00485BAA" w:rsidRPr="00D30847" w:rsidRDefault="00485BAA" w:rsidP="00485BAA">
            <w:pPr>
              <w:spacing w:after="0" w:line="240" w:lineRule="auto"/>
              <w:jc w:val="both"/>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072B50C2" w14:textId="7BC767B3" w:rsidR="00485BAA" w:rsidRPr="00D30847" w:rsidRDefault="00D847E0"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Conducted appropriate professional trainings for the employees of the Customs Administration and the economic operators for implementation of systems (number of events)</w:t>
            </w:r>
          </w:p>
        </w:tc>
        <w:tc>
          <w:tcPr>
            <w:tcW w:w="1194" w:type="dxa"/>
            <w:gridSpan w:val="2"/>
            <w:shd w:val="clear" w:color="000000" w:fill="FFFF99"/>
            <w:vAlign w:val="center"/>
            <w:hideMark/>
          </w:tcPr>
          <w:p w14:paraId="23C5E28B" w14:textId="2BE24A12"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Customs</w:t>
            </w:r>
            <w:r w:rsidR="00D847E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Administration</w:t>
            </w:r>
          </w:p>
        </w:tc>
        <w:tc>
          <w:tcPr>
            <w:tcW w:w="1418" w:type="dxa"/>
            <w:gridSpan w:val="3"/>
            <w:shd w:val="clear" w:color="000000" w:fill="FFFF99"/>
            <w:vAlign w:val="center"/>
            <w:hideMark/>
          </w:tcPr>
          <w:p w14:paraId="7990AD95"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10</w:t>
            </w:r>
          </w:p>
        </w:tc>
        <w:tc>
          <w:tcPr>
            <w:tcW w:w="1644" w:type="dxa"/>
            <w:gridSpan w:val="3"/>
            <w:shd w:val="clear" w:color="000000" w:fill="FFFF99"/>
            <w:vAlign w:val="center"/>
            <w:hideMark/>
          </w:tcPr>
          <w:p w14:paraId="3E602B15" w14:textId="2891C874"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r w:rsidR="00E80D15" w:rsidRPr="00D30847">
              <w:rPr>
                <w:rFonts w:ascii="Arial" w:eastAsia="Times New Roman" w:hAnsi="Arial" w:cs="Arial"/>
                <w:sz w:val="12"/>
                <w:szCs w:val="12"/>
                <w:lang w:val="en-GB" w:eastAsia="mk-MK"/>
              </w:rPr>
              <w:t>2</w:t>
            </w:r>
          </w:p>
        </w:tc>
        <w:tc>
          <w:tcPr>
            <w:tcW w:w="1758" w:type="dxa"/>
            <w:gridSpan w:val="4"/>
            <w:shd w:val="clear" w:color="000000" w:fill="FFFF99"/>
            <w:vAlign w:val="center"/>
            <w:hideMark/>
          </w:tcPr>
          <w:p w14:paraId="0A61AB82" w14:textId="7BC3E16E"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r w:rsidR="00E80D15" w:rsidRPr="00D30847">
              <w:rPr>
                <w:rFonts w:ascii="Arial" w:eastAsia="Times New Roman" w:hAnsi="Arial" w:cs="Arial"/>
                <w:sz w:val="12"/>
                <w:szCs w:val="12"/>
                <w:lang w:val="en-GB" w:eastAsia="mk-MK"/>
              </w:rPr>
              <w:t>5</w:t>
            </w:r>
          </w:p>
        </w:tc>
        <w:tc>
          <w:tcPr>
            <w:tcW w:w="1842" w:type="dxa"/>
            <w:gridSpan w:val="4"/>
            <w:shd w:val="clear" w:color="000000" w:fill="FFFF99"/>
            <w:vAlign w:val="center"/>
            <w:hideMark/>
          </w:tcPr>
          <w:p w14:paraId="5FFD5CC3"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15</w:t>
            </w:r>
          </w:p>
        </w:tc>
        <w:tc>
          <w:tcPr>
            <w:tcW w:w="1506" w:type="dxa"/>
            <w:gridSpan w:val="4"/>
            <w:shd w:val="clear" w:color="000000" w:fill="FFFF99"/>
            <w:vAlign w:val="center"/>
            <w:hideMark/>
          </w:tcPr>
          <w:p w14:paraId="15DC8A12"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w:t>
            </w:r>
          </w:p>
        </w:tc>
      </w:tr>
      <w:tr w:rsidR="00485BAA" w:rsidRPr="00D30847" w14:paraId="08D07129" w14:textId="77777777" w:rsidTr="00FD4DDE">
        <w:trPr>
          <w:gridBefore w:val="3"/>
          <w:gridAfter w:val="1"/>
          <w:wBefore w:w="37" w:type="dxa"/>
          <w:wAfter w:w="52" w:type="dxa"/>
          <w:trHeight w:val="269"/>
          <w:jc w:val="center"/>
        </w:trPr>
        <w:tc>
          <w:tcPr>
            <w:tcW w:w="1288" w:type="dxa"/>
            <w:tcBorders>
              <w:top w:val="nil"/>
              <w:left w:val="nil"/>
              <w:bottom w:val="nil"/>
              <w:right w:val="nil"/>
            </w:tcBorders>
            <w:shd w:val="clear" w:color="auto" w:fill="auto"/>
            <w:vAlign w:val="center"/>
            <w:hideMark/>
          </w:tcPr>
          <w:p w14:paraId="2D1B58E0"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0D2D43D3" w14:textId="77777777" w:rsidR="00485BAA" w:rsidRPr="00D30847" w:rsidRDefault="00485BAA" w:rsidP="00485BAA">
            <w:pPr>
              <w:spacing w:after="0" w:line="240" w:lineRule="auto"/>
              <w:jc w:val="both"/>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1C8F9CD8" w14:textId="59FBEB6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4C80BDDE" w14:textId="757EDAE5" w:rsidR="00485BAA" w:rsidRPr="00D30847" w:rsidRDefault="00404D96"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 period</w:t>
            </w:r>
          </w:p>
        </w:tc>
        <w:tc>
          <w:tcPr>
            <w:tcW w:w="1418" w:type="dxa"/>
            <w:gridSpan w:val="3"/>
            <w:shd w:val="clear" w:color="000000" w:fill="9BD2ED"/>
            <w:vAlign w:val="center"/>
            <w:hideMark/>
          </w:tcPr>
          <w:p w14:paraId="0200DEB8" w14:textId="76E632CA"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D847E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766CEFFD" w14:textId="783774AD"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D847E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4C3FB120"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427AFEE7" w14:textId="205DE829"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D847E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D847E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0391BB70"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485BAA" w:rsidRPr="00D30847" w14:paraId="7B4D37CD" w14:textId="77777777" w:rsidTr="00FD4DDE">
        <w:trPr>
          <w:gridBefore w:val="3"/>
          <w:gridAfter w:val="1"/>
          <w:wBefore w:w="37" w:type="dxa"/>
          <w:wAfter w:w="52" w:type="dxa"/>
          <w:trHeight w:val="1253"/>
          <w:jc w:val="center"/>
        </w:trPr>
        <w:tc>
          <w:tcPr>
            <w:tcW w:w="1288" w:type="dxa"/>
            <w:tcBorders>
              <w:top w:val="nil"/>
              <w:left w:val="nil"/>
              <w:bottom w:val="nil"/>
              <w:right w:val="nil"/>
            </w:tcBorders>
            <w:shd w:val="clear" w:color="auto" w:fill="auto"/>
            <w:vAlign w:val="center"/>
            <w:hideMark/>
          </w:tcPr>
          <w:p w14:paraId="3F91F195"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5CEDCA1A" w14:textId="77777777" w:rsidR="00485BAA" w:rsidRPr="00D30847" w:rsidRDefault="00485BAA" w:rsidP="00485BAA">
            <w:pPr>
              <w:spacing w:after="0" w:line="240" w:lineRule="auto"/>
              <w:jc w:val="both"/>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296F33A5" w14:textId="33CFEF1B" w:rsidR="00485BAA" w:rsidRPr="00D30847" w:rsidRDefault="00D847E0"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Implementation of modern systems in order to comply with the Multiannual Strategic Plan of the EU (MASP), integration with European systems and procurement of appropriate hardware.</w:t>
            </w:r>
          </w:p>
        </w:tc>
        <w:tc>
          <w:tcPr>
            <w:tcW w:w="1194" w:type="dxa"/>
            <w:gridSpan w:val="2"/>
            <w:shd w:val="clear" w:color="000000" w:fill="FFFF99"/>
            <w:vAlign w:val="center"/>
            <w:hideMark/>
          </w:tcPr>
          <w:p w14:paraId="2A1CFF82"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2024-202</w:t>
            </w:r>
            <w:r w:rsidR="003339C4" w:rsidRPr="00D30847">
              <w:rPr>
                <w:rFonts w:ascii="Arial" w:eastAsia="Times New Roman" w:hAnsi="Arial" w:cs="Arial"/>
                <w:sz w:val="12"/>
                <w:szCs w:val="12"/>
                <w:lang w:val="en-GB" w:eastAsia="mk-MK"/>
              </w:rPr>
              <w:t>7</w:t>
            </w:r>
          </w:p>
        </w:tc>
        <w:tc>
          <w:tcPr>
            <w:tcW w:w="1418" w:type="dxa"/>
            <w:gridSpan w:val="3"/>
            <w:shd w:val="clear" w:color="000000" w:fill="FFFF99"/>
            <w:vAlign w:val="center"/>
            <w:hideMark/>
          </w:tcPr>
          <w:p w14:paraId="3582EB67" w14:textId="4B14BECB"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Customs</w:t>
            </w:r>
            <w:r w:rsidR="00D847E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Administration</w:t>
            </w:r>
          </w:p>
        </w:tc>
        <w:tc>
          <w:tcPr>
            <w:tcW w:w="1644" w:type="dxa"/>
            <w:gridSpan w:val="3"/>
            <w:shd w:val="clear" w:color="000000" w:fill="FFFF99"/>
            <w:vAlign w:val="center"/>
            <w:hideMark/>
          </w:tcPr>
          <w:p w14:paraId="7A8DABB3"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EU</w:t>
            </w:r>
          </w:p>
        </w:tc>
        <w:tc>
          <w:tcPr>
            <w:tcW w:w="1758" w:type="dxa"/>
            <w:gridSpan w:val="4"/>
            <w:shd w:val="clear" w:color="000000" w:fill="FFFF99"/>
            <w:vAlign w:val="center"/>
            <w:hideMark/>
          </w:tcPr>
          <w:p w14:paraId="7E9857DE" w14:textId="77777777" w:rsidR="00E80D15" w:rsidRPr="00D30847" w:rsidRDefault="00E80D15" w:rsidP="00E80D15">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23,000,000 </w:t>
            </w:r>
          </w:p>
          <w:p w14:paraId="2800F7B4" w14:textId="04C716E5" w:rsidR="00485BAA" w:rsidRPr="00D30847" w:rsidRDefault="00E80D15" w:rsidP="007C6C8C">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mil. IPA3 + 4 mil.</w:t>
            </w:r>
            <w:r w:rsidRPr="00D30847">
              <w:rPr>
                <w:rFonts w:ascii="Arial" w:hAnsi="Arial" w:cs="Arial"/>
                <w:sz w:val="12"/>
                <w:szCs w:val="12"/>
                <w:lang w:val="en-GB"/>
              </w:rPr>
              <w:t xml:space="preserve"> Government of Korea + 17 </w:t>
            </w:r>
            <w:proofErr w:type="spellStart"/>
            <w:r w:rsidRPr="00D30847">
              <w:rPr>
                <w:rFonts w:ascii="Arial" w:hAnsi="Arial" w:cs="Arial"/>
                <w:sz w:val="12"/>
                <w:szCs w:val="12"/>
                <w:lang w:val="en-GB"/>
              </w:rPr>
              <w:t>mil.Growth</w:t>
            </w:r>
            <w:proofErr w:type="spellEnd"/>
            <w:r w:rsidRPr="00D30847">
              <w:rPr>
                <w:rFonts w:ascii="Arial" w:hAnsi="Arial" w:cs="Arial"/>
                <w:sz w:val="12"/>
                <w:szCs w:val="12"/>
                <w:lang w:val="en-GB"/>
              </w:rPr>
              <w:t xml:space="preserve"> Plan for Western Balkan</w:t>
            </w:r>
          </w:p>
        </w:tc>
        <w:tc>
          <w:tcPr>
            <w:tcW w:w="1842" w:type="dxa"/>
            <w:gridSpan w:val="4"/>
            <w:shd w:val="clear" w:color="000000" w:fill="FFFF99"/>
            <w:vAlign w:val="center"/>
            <w:hideMark/>
          </w:tcPr>
          <w:p w14:paraId="482B69AA" w14:textId="64C60BE2" w:rsidR="0056463D" w:rsidRPr="00D30847" w:rsidRDefault="0056463D" w:rsidP="0056463D">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Pr="00D30847">
              <w:rPr>
                <w:rFonts w:ascii="Arial" w:hAnsi="Arial" w:cs="Arial"/>
                <w:sz w:val="12"/>
                <w:szCs w:val="12"/>
                <w:lang w:val="en-GB"/>
              </w:rPr>
              <w:t>IPA 3, t, Government</w:t>
            </w:r>
            <w:r w:rsidR="00D847E0" w:rsidRPr="00D30847">
              <w:rPr>
                <w:rFonts w:ascii="Arial" w:hAnsi="Arial" w:cs="Arial"/>
                <w:sz w:val="12"/>
                <w:szCs w:val="12"/>
                <w:lang w:val="en-GB"/>
              </w:rPr>
              <w:t xml:space="preserve"> </w:t>
            </w:r>
            <w:r w:rsidRPr="00D30847">
              <w:rPr>
                <w:rFonts w:ascii="Arial" w:hAnsi="Arial" w:cs="Arial"/>
                <w:sz w:val="12"/>
                <w:szCs w:val="12"/>
                <w:lang w:val="en-GB"/>
              </w:rPr>
              <w:t>of</w:t>
            </w:r>
            <w:r w:rsidR="00D847E0" w:rsidRPr="00D30847">
              <w:rPr>
                <w:rFonts w:ascii="Arial" w:hAnsi="Arial" w:cs="Arial"/>
                <w:sz w:val="12"/>
                <w:szCs w:val="12"/>
                <w:lang w:val="en-GB"/>
              </w:rPr>
              <w:t xml:space="preserve"> </w:t>
            </w:r>
            <w:r w:rsidRPr="00D30847">
              <w:rPr>
                <w:rFonts w:ascii="Arial" w:hAnsi="Arial" w:cs="Arial"/>
                <w:sz w:val="12"/>
                <w:szCs w:val="12"/>
                <w:lang w:val="en-GB"/>
              </w:rPr>
              <w:t>Korea</w:t>
            </w:r>
            <w:r w:rsidR="00D847E0" w:rsidRPr="00D30847">
              <w:rPr>
                <w:rFonts w:ascii="Arial" w:hAnsi="Arial" w:cs="Arial"/>
                <w:sz w:val="12"/>
                <w:szCs w:val="12"/>
                <w:lang w:val="en-GB"/>
              </w:rPr>
              <w:t xml:space="preserve"> </w:t>
            </w:r>
            <w:r w:rsidRPr="00D30847">
              <w:rPr>
                <w:rFonts w:ascii="Arial" w:hAnsi="Arial" w:cs="Arial"/>
                <w:sz w:val="12"/>
                <w:szCs w:val="12"/>
                <w:lang w:val="en-GB"/>
              </w:rPr>
              <w:t>and</w:t>
            </w:r>
            <w:r w:rsidR="00D847E0" w:rsidRPr="00D30847">
              <w:rPr>
                <w:rFonts w:ascii="Arial" w:hAnsi="Arial" w:cs="Arial"/>
                <w:sz w:val="12"/>
                <w:szCs w:val="12"/>
                <w:lang w:val="en-GB"/>
              </w:rPr>
              <w:t xml:space="preserve"> </w:t>
            </w:r>
            <w:r w:rsidRPr="00D30847">
              <w:rPr>
                <w:rFonts w:ascii="Arial" w:hAnsi="Arial" w:cs="Arial"/>
                <w:sz w:val="12"/>
                <w:szCs w:val="12"/>
                <w:lang w:val="en-GB"/>
              </w:rPr>
              <w:t>Reform</w:t>
            </w:r>
            <w:r w:rsidR="00D847E0" w:rsidRPr="00D30847">
              <w:rPr>
                <w:rFonts w:ascii="Arial" w:hAnsi="Arial" w:cs="Arial"/>
                <w:sz w:val="12"/>
                <w:szCs w:val="12"/>
                <w:lang w:val="en-GB"/>
              </w:rPr>
              <w:t xml:space="preserve"> </w:t>
            </w:r>
            <w:r w:rsidRPr="00D30847">
              <w:rPr>
                <w:rFonts w:ascii="Arial" w:hAnsi="Arial" w:cs="Arial"/>
                <w:sz w:val="12"/>
                <w:szCs w:val="12"/>
                <w:lang w:val="en-GB"/>
              </w:rPr>
              <w:t>and</w:t>
            </w:r>
            <w:r w:rsidR="00D847E0" w:rsidRPr="00D30847">
              <w:rPr>
                <w:rFonts w:ascii="Arial" w:hAnsi="Arial" w:cs="Arial"/>
                <w:sz w:val="12"/>
                <w:szCs w:val="12"/>
                <w:lang w:val="en-GB"/>
              </w:rPr>
              <w:t xml:space="preserve"> </w:t>
            </w:r>
            <w:r w:rsidRPr="00D30847">
              <w:rPr>
                <w:rFonts w:ascii="Arial" w:hAnsi="Arial" w:cs="Arial"/>
                <w:sz w:val="12"/>
                <w:szCs w:val="12"/>
                <w:lang w:val="en-GB"/>
              </w:rPr>
              <w:t>Growth</w:t>
            </w:r>
            <w:r w:rsidR="00D847E0" w:rsidRPr="00D30847">
              <w:rPr>
                <w:rFonts w:ascii="Arial" w:hAnsi="Arial" w:cs="Arial"/>
                <w:sz w:val="12"/>
                <w:szCs w:val="12"/>
                <w:lang w:val="en-GB"/>
              </w:rPr>
              <w:t xml:space="preserve"> </w:t>
            </w:r>
            <w:r w:rsidRPr="00D30847">
              <w:rPr>
                <w:rFonts w:ascii="Arial" w:hAnsi="Arial" w:cs="Arial"/>
                <w:sz w:val="12"/>
                <w:szCs w:val="12"/>
                <w:lang w:val="en-GB"/>
              </w:rPr>
              <w:t>Plan</w:t>
            </w:r>
            <w:r w:rsidR="00D847E0" w:rsidRPr="00D30847">
              <w:rPr>
                <w:rFonts w:ascii="Arial" w:hAnsi="Arial" w:cs="Arial"/>
                <w:sz w:val="12"/>
                <w:szCs w:val="12"/>
                <w:lang w:val="en-GB"/>
              </w:rPr>
              <w:t xml:space="preserve"> </w:t>
            </w:r>
            <w:r w:rsidRPr="00D30847">
              <w:rPr>
                <w:rFonts w:ascii="Arial" w:hAnsi="Arial" w:cs="Arial"/>
                <w:sz w:val="12"/>
                <w:szCs w:val="12"/>
                <w:lang w:val="en-GB"/>
              </w:rPr>
              <w:t>for</w:t>
            </w:r>
            <w:r w:rsidR="00D847E0" w:rsidRPr="00D30847">
              <w:rPr>
                <w:rFonts w:ascii="Arial" w:hAnsi="Arial" w:cs="Arial"/>
                <w:sz w:val="12"/>
                <w:szCs w:val="12"/>
                <w:lang w:val="en-GB"/>
              </w:rPr>
              <w:t xml:space="preserve"> </w:t>
            </w:r>
            <w:r w:rsidRPr="00D30847">
              <w:rPr>
                <w:rFonts w:ascii="Arial" w:hAnsi="Arial" w:cs="Arial"/>
                <w:sz w:val="12"/>
                <w:szCs w:val="12"/>
                <w:lang w:val="en-GB"/>
              </w:rPr>
              <w:t>Western</w:t>
            </w:r>
            <w:r w:rsidR="00D847E0" w:rsidRPr="00D30847">
              <w:rPr>
                <w:rFonts w:ascii="Arial" w:hAnsi="Arial" w:cs="Arial"/>
                <w:sz w:val="12"/>
                <w:szCs w:val="12"/>
                <w:lang w:val="en-GB"/>
              </w:rPr>
              <w:t xml:space="preserve"> </w:t>
            </w:r>
            <w:r w:rsidRPr="00D30847">
              <w:rPr>
                <w:rFonts w:ascii="Arial" w:hAnsi="Arial" w:cs="Arial"/>
                <w:sz w:val="12"/>
                <w:szCs w:val="12"/>
                <w:lang w:val="en-GB"/>
              </w:rPr>
              <w:t>Balkan</w:t>
            </w:r>
            <w:r w:rsidR="001804B8" w:rsidRPr="00D30847">
              <w:rPr>
                <w:rFonts w:ascii="Arial" w:hAnsi="Arial" w:cs="Arial"/>
                <w:sz w:val="12"/>
                <w:szCs w:val="12"/>
                <w:lang w:val="en-GB"/>
              </w:rPr>
              <w:t xml:space="preserve"> -</w:t>
            </w:r>
            <w:r w:rsidRPr="00D30847">
              <w:rPr>
                <w:rFonts w:ascii="Arial" w:hAnsi="Arial" w:cs="Arial"/>
                <w:sz w:val="12"/>
                <w:szCs w:val="12"/>
                <w:lang w:val="en-GB"/>
              </w:rPr>
              <w:t>)</w:t>
            </w:r>
          </w:p>
          <w:p w14:paraId="44817E37" w14:textId="299095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506" w:type="dxa"/>
            <w:gridSpan w:val="4"/>
            <w:shd w:val="clear" w:color="000000" w:fill="FFFF99"/>
            <w:vAlign w:val="center"/>
            <w:hideMark/>
          </w:tcPr>
          <w:p w14:paraId="36D3ED8E" w14:textId="0E555B70"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B6646E" w:rsidRPr="00D30847" w14:paraId="7BCC7ACB" w14:textId="77777777" w:rsidTr="00FD4DDE">
        <w:tblPrEx>
          <w:jc w:val="left"/>
        </w:tblPrEx>
        <w:trPr>
          <w:gridBefore w:val="1"/>
          <w:wBefore w:w="10" w:type="dxa"/>
          <w:trHeight w:val="295"/>
        </w:trPr>
        <w:tc>
          <w:tcPr>
            <w:tcW w:w="13580" w:type="dxa"/>
            <w:gridSpan w:val="31"/>
            <w:shd w:val="clear" w:color="000000" w:fill="9BD2ED"/>
            <w:vAlign w:val="center"/>
            <w:hideMark/>
          </w:tcPr>
          <w:p w14:paraId="00D4B911" w14:textId="1CC2BBE3" w:rsidR="00B6646E" w:rsidRPr="00D30847" w:rsidRDefault="00B6646E" w:rsidP="00B6646E">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Measure 3. Adequate monitoring of excise goods</w:t>
            </w:r>
            <w:r w:rsidR="0045167A"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and collection of excise duties</w:t>
            </w:r>
          </w:p>
        </w:tc>
      </w:tr>
      <w:tr w:rsidR="00B6646E" w:rsidRPr="00D30847" w14:paraId="3EF3BFC7" w14:textId="77777777" w:rsidTr="00FD4DDE">
        <w:tblPrEx>
          <w:jc w:val="left"/>
        </w:tblPrEx>
        <w:trPr>
          <w:gridBefore w:val="1"/>
          <w:wBefore w:w="10" w:type="dxa"/>
          <w:trHeight w:val="295"/>
        </w:trPr>
        <w:tc>
          <w:tcPr>
            <w:tcW w:w="1339" w:type="dxa"/>
            <w:gridSpan w:val="4"/>
            <w:tcBorders>
              <w:top w:val="nil"/>
              <w:left w:val="nil"/>
              <w:bottom w:val="nil"/>
              <w:right w:val="nil"/>
            </w:tcBorders>
            <w:shd w:val="clear" w:color="auto" w:fill="auto"/>
            <w:vAlign w:val="center"/>
            <w:hideMark/>
          </w:tcPr>
          <w:p w14:paraId="6E8FB1BC" w14:textId="77777777" w:rsidR="00B6646E" w:rsidRPr="00D30847" w:rsidRDefault="00B6646E" w:rsidP="00B6646E">
            <w:pPr>
              <w:spacing w:after="0" w:line="240" w:lineRule="auto"/>
              <w:jc w:val="both"/>
              <w:rPr>
                <w:rFonts w:ascii="Arial" w:eastAsia="Times New Roman" w:hAnsi="Arial" w:cs="Arial"/>
                <w:b/>
                <w:bCs/>
                <w:sz w:val="12"/>
                <w:szCs w:val="12"/>
                <w:lang w:val="en-GB" w:eastAsia="mk-MK"/>
              </w:rPr>
            </w:pPr>
          </w:p>
        </w:tc>
        <w:tc>
          <w:tcPr>
            <w:tcW w:w="991" w:type="dxa"/>
            <w:tcBorders>
              <w:top w:val="nil"/>
              <w:left w:val="nil"/>
              <w:bottom w:val="nil"/>
              <w:right w:val="single" w:sz="8" w:space="0" w:color="000000"/>
            </w:tcBorders>
            <w:shd w:val="clear" w:color="auto" w:fill="auto"/>
            <w:noWrap/>
            <w:vAlign w:val="bottom"/>
            <w:hideMark/>
          </w:tcPr>
          <w:p w14:paraId="19A26592" w14:textId="77777777" w:rsidR="00B6646E" w:rsidRPr="00D30847" w:rsidRDefault="00B6646E" w:rsidP="00B6646E">
            <w:pPr>
              <w:spacing w:after="0" w:line="240" w:lineRule="auto"/>
              <w:jc w:val="both"/>
              <w:rPr>
                <w:rFonts w:ascii="Arial" w:eastAsia="Times New Roman" w:hAnsi="Arial" w:cs="Arial"/>
                <w:sz w:val="12"/>
                <w:szCs w:val="12"/>
                <w:lang w:val="en-GB" w:eastAsia="mk-MK"/>
              </w:rPr>
            </w:pPr>
          </w:p>
        </w:tc>
        <w:tc>
          <w:tcPr>
            <w:tcW w:w="1800" w:type="dxa"/>
            <w:gridSpan w:val="4"/>
            <w:tcBorders>
              <w:left w:val="single" w:sz="8" w:space="0" w:color="000000"/>
            </w:tcBorders>
            <w:shd w:val="clear" w:color="000000" w:fill="9BD2ED"/>
            <w:vAlign w:val="center"/>
            <w:hideMark/>
          </w:tcPr>
          <w:p w14:paraId="061F57A7" w14:textId="77777777" w:rsidR="00B6646E" w:rsidRPr="00D30847" w:rsidRDefault="00B6646E" w:rsidP="00B6646E">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w:t>
            </w:r>
          </w:p>
        </w:tc>
        <w:tc>
          <w:tcPr>
            <w:tcW w:w="1260" w:type="dxa"/>
            <w:gridSpan w:val="4"/>
            <w:shd w:val="clear" w:color="000000" w:fill="9BD2ED"/>
            <w:vAlign w:val="center"/>
            <w:hideMark/>
          </w:tcPr>
          <w:p w14:paraId="7B724B53" w14:textId="77777777" w:rsidR="00B6646E" w:rsidRPr="00D30847" w:rsidRDefault="00B6646E" w:rsidP="00B6646E">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 source</w:t>
            </w:r>
          </w:p>
        </w:tc>
        <w:tc>
          <w:tcPr>
            <w:tcW w:w="1440" w:type="dxa"/>
            <w:gridSpan w:val="3"/>
            <w:shd w:val="clear" w:color="000000" w:fill="9BD2ED"/>
            <w:vAlign w:val="center"/>
            <w:hideMark/>
          </w:tcPr>
          <w:p w14:paraId="6AC0AF0D" w14:textId="75AEC4AF" w:rsidR="00B6646E" w:rsidRPr="00D30847" w:rsidRDefault="00B6646E" w:rsidP="00B6646E">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E80D15" w:rsidRPr="00D30847">
              <w:rPr>
                <w:rFonts w:ascii="Arial" w:eastAsia="Times New Roman" w:hAnsi="Arial" w:cs="Arial"/>
                <w:b/>
                <w:bCs/>
                <w:sz w:val="12"/>
                <w:szCs w:val="12"/>
                <w:lang w:val="en-GB" w:eastAsia="mk-MK"/>
              </w:rPr>
              <w:t>3</w:t>
            </w:r>
          </w:p>
        </w:tc>
        <w:tc>
          <w:tcPr>
            <w:tcW w:w="1620" w:type="dxa"/>
            <w:gridSpan w:val="3"/>
            <w:shd w:val="clear" w:color="000000" w:fill="9BD2ED"/>
            <w:vAlign w:val="center"/>
            <w:hideMark/>
          </w:tcPr>
          <w:p w14:paraId="7D088852" w14:textId="4CBC69E1" w:rsidR="00B6646E" w:rsidRPr="00D30847" w:rsidRDefault="00B6646E" w:rsidP="00B6646E">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E80D15" w:rsidRPr="00D30847">
              <w:rPr>
                <w:rFonts w:ascii="Arial" w:eastAsia="Times New Roman" w:hAnsi="Arial" w:cs="Arial"/>
                <w:b/>
                <w:bCs/>
                <w:sz w:val="12"/>
                <w:szCs w:val="12"/>
                <w:lang w:val="en-GB" w:eastAsia="mk-MK"/>
              </w:rPr>
              <w:t>5</w:t>
            </w:r>
          </w:p>
        </w:tc>
        <w:tc>
          <w:tcPr>
            <w:tcW w:w="1710" w:type="dxa"/>
            <w:gridSpan w:val="2"/>
            <w:shd w:val="clear" w:color="000000" w:fill="9BD2ED"/>
            <w:vAlign w:val="center"/>
            <w:hideMark/>
          </w:tcPr>
          <w:p w14:paraId="4B62A2A1" w14:textId="7336C3C3" w:rsidR="00B6646E" w:rsidRPr="00D30847" w:rsidRDefault="00B6646E" w:rsidP="00B6646E">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E80D15" w:rsidRPr="00D30847">
              <w:rPr>
                <w:rFonts w:ascii="Arial" w:eastAsia="Times New Roman" w:hAnsi="Arial" w:cs="Arial"/>
                <w:b/>
                <w:bCs/>
                <w:sz w:val="12"/>
                <w:szCs w:val="12"/>
                <w:lang w:val="en-GB" w:eastAsia="mk-MK"/>
              </w:rPr>
              <w:t>6</w:t>
            </w:r>
          </w:p>
        </w:tc>
        <w:tc>
          <w:tcPr>
            <w:tcW w:w="1890" w:type="dxa"/>
            <w:gridSpan w:val="6"/>
            <w:shd w:val="clear" w:color="000000" w:fill="9BD2ED"/>
            <w:vAlign w:val="center"/>
            <w:hideMark/>
          </w:tcPr>
          <w:p w14:paraId="2205E99C" w14:textId="170106AE" w:rsidR="00B6646E" w:rsidRPr="00D30847" w:rsidRDefault="00B6646E" w:rsidP="00B6646E">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E80D15" w:rsidRPr="00D30847">
              <w:rPr>
                <w:rFonts w:ascii="Arial" w:eastAsia="Times New Roman" w:hAnsi="Arial" w:cs="Arial"/>
                <w:b/>
                <w:bCs/>
                <w:sz w:val="12"/>
                <w:szCs w:val="12"/>
                <w:lang w:val="en-GB" w:eastAsia="mk-MK"/>
              </w:rPr>
              <w:t>7</w:t>
            </w:r>
          </w:p>
        </w:tc>
        <w:tc>
          <w:tcPr>
            <w:tcW w:w="1530" w:type="dxa"/>
            <w:gridSpan w:val="4"/>
            <w:shd w:val="clear" w:color="000000" w:fill="9BD2ED"/>
            <w:vAlign w:val="center"/>
            <w:hideMark/>
          </w:tcPr>
          <w:p w14:paraId="57DFC775" w14:textId="1D69F7FC" w:rsidR="00B6646E" w:rsidRPr="00D30847" w:rsidRDefault="00B6646E" w:rsidP="00B6646E">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E80D15" w:rsidRPr="00D30847">
              <w:rPr>
                <w:rFonts w:ascii="Arial" w:eastAsia="Times New Roman" w:hAnsi="Arial" w:cs="Arial"/>
                <w:b/>
                <w:bCs/>
                <w:sz w:val="12"/>
                <w:szCs w:val="12"/>
                <w:lang w:val="en-GB" w:eastAsia="mk-MK"/>
              </w:rPr>
              <w:t>8</w:t>
            </w:r>
          </w:p>
        </w:tc>
      </w:tr>
      <w:tr w:rsidR="00B6646E" w:rsidRPr="00D30847" w14:paraId="7BB77370" w14:textId="77777777" w:rsidTr="00FD4DDE">
        <w:tblPrEx>
          <w:jc w:val="left"/>
        </w:tblPrEx>
        <w:trPr>
          <w:gridBefore w:val="1"/>
          <w:wBefore w:w="10" w:type="dxa"/>
          <w:trHeight w:val="798"/>
        </w:trPr>
        <w:tc>
          <w:tcPr>
            <w:tcW w:w="1339" w:type="dxa"/>
            <w:gridSpan w:val="4"/>
            <w:tcBorders>
              <w:top w:val="nil"/>
              <w:left w:val="nil"/>
              <w:bottom w:val="nil"/>
              <w:right w:val="nil"/>
            </w:tcBorders>
            <w:shd w:val="clear" w:color="auto" w:fill="auto"/>
            <w:vAlign w:val="center"/>
            <w:hideMark/>
          </w:tcPr>
          <w:p w14:paraId="2810FAD4" w14:textId="77777777" w:rsidR="00B6646E" w:rsidRPr="00D30847" w:rsidRDefault="00B6646E" w:rsidP="00B6646E">
            <w:pPr>
              <w:spacing w:after="0" w:line="240" w:lineRule="auto"/>
              <w:jc w:val="center"/>
              <w:rPr>
                <w:rFonts w:ascii="Arial" w:eastAsia="Times New Roman" w:hAnsi="Arial" w:cs="Arial"/>
                <w:b/>
                <w:bCs/>
                <w:sz w:val="12"/>
                <w:szCs w:val="12"/>
                <w:lang w:val="en-GB" w:eastAsia="mk-MK"/>
              </w:rPr>
            </w:pPr>
          </w:p>
        </w:tc>
        <w:tc>
          <w:tcPr>
            <w:tcW w:w="991" w:type="dxa"/>
            <w:tcBorders>
              <w:top w:val="nil"/>
              <w:left w:val="nil"/>
              <w:bottom w:val="nil"/>
              <w:right w:val="single" w:sz="8" w:space="0" w:color="000000"/>
            </w:tcBorders>
            <w:shd w:val="clear" w:color="auto" w:fill="auto"/>
            <w:noWrap/>
            <w:vAlign w:val="bottom"/>
            <w:hideMark/>
          </w:tcPr>
          <w:p w14:paraId="2E736012" w14:textId="77777777" w:rsidR="00B6646E" w:rsidRPr="00D30847" w:rsidRDefault="00B6646E" w:rsidP="00B6646E">
            <w:pPr>
              <w:spacing w:after="0" w:line="240" w:lineRule="auto"/>
              <w:jc w:val="both"/>
              <w:rPr>
                <w:rFonts w:ascii="Arial" w:eastAsia="Times New Roman" w:hAnsi="Arial" w:cs="Arial"/>
                <w:sz w:val="12"/>
                <w:szCs w:val="12"/>
                <w:lang w:val="en-GB" w:eastAsia="mk-MK"/>
              </w:rPr>
            </w:pPr>
          </w:p>
        </w:tc>
        <w:tc>
          <w:tcPr>
            <w:tcW w:w="1800" w:type="dxa"/>
            <w:gridSpan w:val="4"/>
            <w:tcBorders>
              <w:left w:val="single" w:sz="8" w:space="0" w:color="000000"/>
            </w:tcBorders>
            <w:shd w:val="clear" w:color="000000" w:fill="FFFF99"/>
            <w:vAlign w:val="center"/>
            <w:hideMark/>
          </w:tcPr>
          <w:p w14:paraId="1B397034" w14:textId="77777777" w:rsidR="00B6646E" w:rsidRPr="00D30847" w:rsidRDefault="00B6646E" w:rsidP="00B6646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Preparation of a legal framework for implementing the TRACK&amp;TRACE system </w:t>
            </w:r>
          </w:p>
        </w:tc>
        <w:tc>
          <w:tcPr>
            <w:tcW w:w="1260" w:type="dxa"/>
            <w:gridSpan w:val="4"/>
            <w:shd w:val="clear" w:color="000000" w:fill="FFFF99"/>
            <w:vAlign w:val="center"/>
            <w:hideMark/>
          </w:tcPr>
          <w:p w14:paraId="05923052" w14:textId="77777777" w:rsidR="00B6646E" w:rsidRPr="00D30847" w:rsidRDefault="00B6646E" w:rsidP="00B6646E">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Customs Administration</w:t>
            </w:r>
          </w:p>
        </w:tc>
        <w:tc>
          <w:tcPr>
            <w:tcW w:w="1440" w:type="dxa"/>
            <w:gridSpan w:val="3"/>
            <w:shd w:val="clear" w:color="000000" w:fill="FFFF99"/>
            <w:vAlign w:val="center"/>
            <w:hideMark/>
          </w:tcPr>
          <w:p w14:paraId="54545A75" w14:textId="77777777" w:rsidR="00B6646E" w:rsidRPr="00D30847" w:rsidRDefault="00B6646E" w:rsidP="00B6646E">
            <w:pPr>
              <w:spacing w:after="0" w:line="240" w:lineRule="auto"/>
              <w:jc w:val="center"/>
              <w:rPr>
                <w:rFonts w:ascii="Arial" w:eastAsia="Times New Roman" w:hAnsi="Arial" w:cs="Arial"/>
                <w:sz w:val="12"/>
                <w:szCs w:val="12"/>
                <w:lang w:val="en-GB" w:eastAsia="mk-MK"/>
              </w:rPr>
            </w:pPr>
          </w:p>
        </w:tc>
        <w:tc>
          <w:tcPr>
            <w:tcW w:w="1620" w:type="dxa"/>
            <w:gridSpan w:val="3"/>
            <w:shd w:val="clear" w:color="000000" w:fill="FFFF99"/>
            <w:vAlign w:val="center"/>
            <w:hideMark/>
          </w:tcPr>
          <w:p w14:paraId="431F1BD6" w14:textId="77777777" w:rsidR="00B6646E" w:rsidRPr="00D30847" w:rsidRDefault="00B6646E" w:rsidP="00B6646E">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Signing the necessary Protocols between concerned institutions</w:t>
            </w:r>
          </w:p>
        </w:tc>
        <w:tc>
          <w:tcPr>
            <w:tcW w:w="2018" w:type="dxa"/>
            <w:gridSpan w:val="6"/>
            <w:shd w:val="clear" w:color="000000" w:fill="FFFF99"/>
            <w:vAlign w:val="center"/>
            <w:hideMark/>
          </w:tcPr>
          <w:p w14:paraId="1B7BB8B6" w14:textId="77777777" w:rsidR="00B6646E" w:rsidRPr="00D30847" w:rsidRDefault="00B6646E" w:rsidP="00B6646E">
            <w:pPr>
              <w:spacing w:after="0" w:line="240" w:lineRule="auto"/>
              <w:jc w:val="center"/>
              <w:rPr>
                <w:rFonts w:ascii="Arial" w:eastAsia="Times New Roman" w:hAnsi="Arial" w:cs="Arial"/>
                <w:sz w:val="12"/>
                <w:szCs w:val="12"/>
                <w:lang w:val="en-GB" w:eastAsia="mk-MK"/>
              </w:rPr>
            </w:pPr>
          </w:p>
        </w:tc>
        <w:tc>
          <w:tcPr>
            <w:tcW w:w="1582" w:type="dxa"/>
            <w:gridSpan w:val="2"/>
            <w:shd w:val="clear" w:color="000000" w:fill="FFFF99"/>
            <w:vAlign w:val="center"/>
            <w:hideMark/>
          </w:tcPr>
          <w:p w14:paraId="7469DB08" w14:textId="77777777" w:rsidR="00B6646E" w:rsidRPr="00D30847" w:rsidRDefault="00B6646E" w:rsidP="00B6646E">
            <w:pPr>
              <w:spacing w:after="0" w:line="240" w:lineRule="auto"/>
              <w:jc w:val="center"/>
              <w:rPr>
                <w:rFonts w:ascii="Arial" w:eastAsia="Times New Roman" w:hAnsi="Arial" w:cs="Arial"/>
                <w:sz w:val="12"/>
                <w:szCs w:val="12"/>
                <w:lang w:val="en-GB" w:eastAsia="mk-MK"/>
              </w:rPr>
            </w:pPr>
          </w:p>
        </w:tc>
        <w:tc>
          <w:tcPr>
            <w:tcW w:w="1530" w:type="dxa"/>
            <w:gridSpan w:val="4"/>
            <w:shd w:val="clear" w:color="000000" w:fill="FFFF99"/>
            <w:vAlign w:val="center"/>
            <w:hideMark/>
          </w:tcPr>
          <w:p w14:paraId="1C04B599" w14:textId="77777777" w:rsidR="00B6646E" w:rsidRPr="00D30847" w:rsidRDefault="00B6646E" w:rsidP="00B6646E">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High preparation for implementing the TRACK&amp;TRACE system</w:t>
            </w:r>
          </w:p>
        </w:tc>
      </w:tr>
      <w:tr w:rsidR="00B6646E" w:rsidRPr="00D30847" w14:paraId="56193502" w14:textId="77777777" w:rsidTr="00FD4DDE">
        <w:tblPrEx>
          <w:jc w:val="left"/>
        </w:tblPrEx>
        <w:trPr>
          <w:gridBefore w:val="1"/>
          <w:wBefore w:w="10" w:type="dxa"/>
          <w:trHeight w:val="269"/>
        </w:trPr>
        <w:tc>
          <w:tcPr>
            <w:tcW w:w="1339" w:type="dxa"/>
            <w:gridSpan w:val="4"/>
            <w:tcBorders>
              <w:top w:val="nil"/>
              <w:left w:val="nil"/>
              <w:bottom w:val="nil"/>
              <w:right w:val="nil"/>
            </w:tcBorders>
            <w:shd w:val="clear" w:color="auto" w:fill="auto"/>
            <w:vAlign w:val="center"/>
            <w:hideMark/>
          </w:tcPr>
          <w:p w14:paraId="47D48D1E" w14:textId="77777777" w:rsidR="00B6646E" w:rsidRPr="00D30847" w:rsidRDefault="00B6646E" w:rsidP="00B6646E">
            <w:pPr>
              <w:spacing w:after="0" w:line="240" w:lineRule="auto"/>
              <w:jc w:val="center"/>
              <w:rPr>
                <w:rFonts w:ascii="Arial" w:eastAsia="Times New Roman" w:hAnsi="Arial" w:cs="Arial"/>
                <w:sz w:val="12"/>
                <w:szCs w:val="12"/>
                <w:lang w:val="en-GB" w:eastAsia="mk-MK"/>
              </w:rPr>
            </w:pPr>
          </w:p>
        </w:tc>
        <w:tc>
          <w:tcPr>
            <w:tcW w:w="991" w:type="dxa"/>
            <w:tcBorders>
              <w:top w:val="nil"/>
              <w:left w:val="nil"/>
              <w:bottom w:val="nil"/>
              <w:right w:val="single" w:sz="8" w:space="0" w:color="000000"/>
            </w:tcBorders>
            <w:shd w:val="clear" w:color="auto" w:fill="auto"/>
            <w:noWrap/>
            <w:vAlign w:val="bottom"/>
            <w:hideMark/>
          </w:tcPr>
          <w:p w14:paraId="4036946F" w14:textId="77777777" w:rsidR="00B6646E" w:rsidRPr="00D30847" w:rsidRDefault="00B6646E" w:rsidP="00B6646E">
            <w:pPr>
              <w:spacing w:after="0" w:line="240" w:lineRule="auto"/>
              <w:jc w:val="both"/>
              <w:rPr>
                <w:rFonts w:ascii="Arial" w:eastAsia="Times New Roman" w:hAnsi="Arial" w:cs="Arial"/>
                <w:sz w:val="12"/>
                <w:szCs w:val="12"/>
                <w:lang w:val="en-GB" w:eastAsia="mk-MK"/>
              </w:rPr>
            </w:pPr>
          </w:p>
        </w:tc>
        <w:tc>
          <w:tcPr>
            <w:tcW w:w="1800" w:type="dxa"/>
            <w:gridSpan w:val="4"/>
            <w:tcBorders>
              <w:left w:val="single" w:sz="8" w:space="0" w:color="000000"/>
            </w:tcBorders>
            <w:shd w:val="clear" w:color="000000" w:fill="9BD2ED"/>
            <w:vAlign w:val="center"/>
            <w:hideMark/>
          </w:tcPr>
          <w:p w14:paraId="08E94CAE" w14:textId="77777777" w:rsidR="00B6646E" w:rsidRPr="00D30847" w:rsidRDefault="00B6646E" w:rsidP="00B6646E">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260" w:type="dxa"/>
            <w:gridSpan w:val="4"/>
            <w:shd w:val="clear" w:color="000000" w:fill="9BD2ED"/>
            <w:vAlign w:val="center"/>
            <w:hideMark/>
          </w:tcPr>
          <w:p w14:paraId="792F6754" w14:textId="77777777" w:rsidR="00B6646E" w:rsidRPr="00D30847" w:rsidRDefault="00B6646E" w:rsidP="00B6646E">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 period</w:t>
            </w:r>
          </w:p>
        </w:tc>
        <w:tc>
          <w:tcPr>
            <w:tcW w:w="1440" w:type="dxa"/>
            <w:gridSpan w:val="3"/>
            <w:shd w:val="clear" w:color="000000" w:fill="9BD2ED"/>
            <w:vAlign w:val="center"/>
            <w:hideMark/>
          </w:tcPr>
          <w:p w14:paraId="2A9C0398" w14:textId="55A5B93E" w:rsidR="00B6646E" w:rsidRPr="00D30847" w:rsidRDefault="00B6646E" w:rsidP="00B6646E">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F368A1">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20" w:type="dxa"/>
            <w:gridSpan w:val="3"/>
            <w:shd w:val="clear" w:color="000000" w:fill="9BD2ED"/>
            <w:vAlign w:val="center"/>
            <w:hideMark/>
          </w:tcPr>
          <w:p w14:paraId="3E429E48" w14:textId="169A0EC1" w:rsidR="00B6646E" w:rsidRPr="00D30847" w:rsidRDefault="00B6646E" w:rsidP="00B6646E">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F368A1">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2018" w:type="dxa"/>
            <w:gridSpan w:val="6"/>
            <w:shd w:val="clear" w:color="000000" w:fill="9BD2ED"/>
            <w:vAlign w:val="center"/>
            <w:hideMark/>
          </w:tcPr>
          <w:p w14:paraId="1CBF159D" w14:textId="77777777" w:rsidR="00B6646E" w:rsidRPr="00D30847" w:rsidRDefault="00B6646E" w:rsidP="00B6646E">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582" w:type="dxa"/>
            <w:gridSpan w:val="2"/>
            <w:shd w:val="clear" w:color="000000" w:fill="9BD2ED"/>
            <w:vAlign w:val="center"/>
            <w:hideMark/>
          </w:tcPr>
          <w:p w14:paraId="69ACD943" w14:textId="5664633C" w:rsidR="00B6646E" w:rsidRPr="00D30847" w:rsidRDefault="00B6646E" w:rsidP="00B6646E">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F368A1">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F368A1">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30" w:type="dxa"/>
            <w:gridSpan w:val="4"/>
            <w:shd w:val="clear" w:color="000000" w:fill="9BD2ED"/>
            <w:vAlign w:val="center"/>
            <w:hideMark/>
          </w:tcPr>
          <w:p w14:paraId="2717C625" w14:textId="77777777" w:rsidR="00B6646E" w:rsidRPr="00D30847" w:rsidRDefault="00B6646E" w:rsidP="00B6646E">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B6646E" w:rsidRPr="00D30847" w14:paraId="3560C6BE" w14:textId="77777777" w:rsidTr="00FD4DDE">
        <w:tblPrEx>
          <w:jc w:val="left"/>
        </w:tblPrEx>
        <w:trPr>
          <w:gridBefore w:val="1"/>
          <w:wBefore w:w="10" w:type="dxa"/>
          <w:trHeight w:val="1253"/>
        </w:trPr>
        <w:tc>
          <w:tcPr>
            <w:tcW w:w="1339" w:type="dxa"/>
            <w:gridSpan w:val="4"/>
            <w:tcBorders>
              <w:top w:val="nil"/>
              <w:left w:val="nil"/>
              <w:bottom w:val="nil"/>
              <w:right w:val="nil"/>
            </w:tcBorders>
            <w:shd w:val="clear" w:color="auto" w:fill="auto"/>
            <w:vAlign w:val="center"/>
            <w:hideMark/>
          </w:tcPr>
          <w:p w14:paraId="20137714" w14:textId="77777777" w:rsidR="00B6646E" w:rsidRPr="00D30847" w:rsidRDefault="00B6646E" w:rsidP="00B6646E">
            <w:pPr>
              <w:spacing w:after="0" w:line="240" w:lineRule="auto"/>
              <w:jc w:val="center"/>
              <w:rPr>
                <w:rFonts w:ascii="Arial" w:eastAsia="Times New Roman" w:hAnsi="Arial" w:cs="Arial"/>
                <w:b/>
                <w:bCs/>
                <w:sz w:val="12"/>
                <w:szCs w:val="12"/>
                <w:lang w:val="en-GB" w:eastAsia="mk-MK"/>
              </w:rPr>
            </w:pPr>
          </w:p>
          <w:p w14:paraId="25CBFC94" w14:textId="77777777" w:rsidR="00B6646E" w:rsidRPr="00D30847" w:rsidRDefault="00B6646E" w:rsidP="00B6646E">
            <w:pPr>
              <w:spacing w:after="0" w:line="240" w:lineRule="auto"/>
              <w:jc w:val="center"/>
              <w:rPr>
                <w:rFonts w:ascii="Arial" w:eastAsia="Times New Roman" w:hAnsi="Arial" w:cs="Arial"/>
                <w:b/>
                <w:bCs/>
                <w:sz w:val="12"/>
                <w:szCs w:val="12"/>
                <w:lang w:val="en-GB" w:eastAsia="mk-MK"/>
              </w:rPr>
            </w:pPr>
          </w:p>
          <w:p w14:paraId="1DA58A17" w14:textId="77777777" w:rsidR="00B6646E" w:rsidRPr="00D30847" w:rsidRDefault="00B6646E" w:rsidP="00B6646E">
            <w:pPr>
              <w:spacing w:after="0" w:line="240" w:lineRule="auto"/>
              <w:jc w:val="center"/>
              <w:rPr>
                <w:rFonts w:ascii="Arial" w:eastAsia="Times New Roman" w:hAnsi="Arial" w:cs="Arial"/>
                <w:b/>
                <w:bCs/>
                <w:sz w:val="12"/>
                <w:szCs w:val="12"/>
                <w:lang w:val="en-GB" w:eastAsia="mk-MK"/>
              </w:rPr>
            </w:pPr>
          </w:p>
          <w:p w14:paraId="72AF6367" w14:textId="77777777" w:rsidR="00B6646E" w:rsidRPr="00D30847" w:rsidRDefault="00B6646E" w:rsidP="00B6646E">
            <w:pPr>
              <w:spacing w:after="0" w:line="240" w:lineRule="auto"/>
              <w:jc w:val="center"/>
              <w:rPr>
                <w:rFonts w:ascii="Arial" w:eastAsia="Times New Roman" w:hAnsi="Arial" w:cs="Arial"/>
                <w:b/>
                <w:bCs/>
                <w:sz w:val="12"/>
                <w:szCs w:val="12"/>
                <w:lang w:val="en-GB" w:eastAsia="mk-MK"/>
              </w:rPr>
            </w:pPr>
          </w:p>
          <w:p w14:paraId="4D855875" w14:textId="77777777" w:rsidR="00B6646E" w:rsidRPr="00D30847" w:rsidRDefault="00B6646E" w:rsidP="00B6646E">
            <w:pPr>
              <w:spacing w:after="0" w:line="240" w:lineRule="auto"/>
              <w:jc w:val="center"/>
              <w:rPr>
                <w:rFonts w:ascii="Arial" w:eastAsia="Times New Roman" w:hAnsi="Arial" w:cs="Arial"/>
                <w:b/>
                <w:bCs/>
                <w:sz w:val="12"/>
                <w:szCs w:val="12"/>
                <w:lang w:val="en-GB" w:eastAsia="mk-MK"/>
              </w:rPr>
            </w:pPr>
          </w:p>
          <w:p w14:paraId="0F9F6C07" w14:textId="77777777" w:rsidR="00B6646E" w:rsidRPr="00D30847" w:rsidRDefault="00B6646E" w:rsidP="00B6646E">
            <w:pPr>
              <w:spacing w:after="0" w:line="240" w:lineRule="auto"/>
              <w:jc w:val="center"/>
              <w:rPr>
                <w:rFonts w:ascii="Arial" w:eastAsia="Times New Roman" w:hAnsi="Arial" w:cs="Arial"/>
                <w:b/>
                <w:bCs/>
                <w:sz w:val="12"/>
                <w:szCs w:val="12"/>
                <w:lang w:val="en-GB" w:eastAsia="mk-MK"/>
              </w:rPr>
            </w:pPr>
          </w:p>
          <w:p w14:paraId="7200151E" w14:textId="77777777" w:rsidR="00B6646E" w:rsidRPr="00D30847" w:rsidRDefault="00B6646E" w:rsidP="00B6646E">
            <w:pPr>
              <w:spacing w:after="0" w:line="240" w:lineRule="auto"/>
              <w:jc w:val="center"/>
              <w:rPr>
                <w:rFonts w:ascii="Arial" w:eastAsia="Times New Roman" w:hAnsi="Arial" w:cs="Arial"/>
                <w:b/>
                <w:bCs/>
                <w:sz w:val="12"/>
                <w:szCs w:val="12"/>
                <w:lang w:val="en-GB" w:eastAsia="mk-MK"/>
              </w:rPr>
            </w:pPr>
          </w:p>
          <w:p w14:paraId="0837122B" w14:textId="77777777" w:rsidR="00B6646E" w:rsidRPr="00D30847" w:rsidRDefault="00B6646E" w:rsidP="00B6646E">
            <w:pPr>
              <w:spacing w:after="0" w:line="240" w:lineRule="auto"/>
              <w:jc w:val="center"/>
              <w:rPr>
                <w:rFonts w:ascii="Arial" w:eastAsia="Times New Roman" w:hAnsi="Arial" w:cs="Arial"/>
                <w:b/>
                <w:bCs/>
                <w:sz w:val="12"/>
                <w:szCs w:val="12"/>
                <w:lang w:val="en-GB" w:eastAsia="mk-MK"/>
              </w:rPr>
            </w:pPr>
          </w:p>
        </w:tc>
        <w:tc>
          <w:tcPr>
            <w:tcW w:w="991" w:type="dxa"/>
            <w:tcBorders>
              <w:top w:val="nil"/>
              <w:left w:val="nil"/>
              <w:bottom w:val="nil"/>
              <w:right w:val="single" w:sz="8" w:space="0" w:color="000000"/>
            </w:tcBorders>
            <w:shd w:val="clear" w:color="auto" w:fill="auto"/>
            <w:noWrap/>
            <w:vAlign w:val="bottom"/>
            <w:hideMark/>
          </w:tcPr>
          <w:p w14:paraId="43C0AF3F" w14:textId="77777777" w:rsidR="00B6646E" w:rsidRPr="00D30847" w:rsidRDefault="00B6646E" w:rsidP="00B6646E">
            <w:pPr>
              <w:spacing w:after="0" w:line="240" w:lineRule="auto"/>
              <w:jc w:val="both"/>
              <w:rPr>
                <w:rFonts w:ascii="Arial" w:eastAsia="Times New Roman" w:hAnsi="Arial" w:cs="Arial"/>
                <w:sz w:val="12"/>
                <w:szCs w:val="12"/>
                <w:lang w:val="en-GB" w:eastAsia="mk-MK"/>
              </w:rPr>
            </w:pPr>
          </w:p>
        </w:tc>
        <w:tc>
          <w:tcPr>
            <w:tcW w:w="1800" w:type="dxa"/>
            <w:gridSpan w:val="4"/>
            <w:tcBorders>
              <w:left w:val="single" w:sz="8" w:space="0" w:color="000000"/>
            </w:tcBorders>
            <w:shd w:val="clear" w:color="000000" w:fill="FFFF99"/>
            <w:vAlign w:val="center"/>
            <w:hideMark/>
          </w:tcPr>
          <w:p w14:paraId="520FE37F" w14:textId="77777777" w:rsidR="00B6646E" w:rsidRPr="00D30847" w:rsidRDefault="00B6646E" w:rsidP="00B6646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r w:rsidRPr="00D30847">
              <w:rPr>
                <w:lang w:val="en-GB"/>
              </w:rPr>
              <w:t xml:space="preserve"> </w:t>
            </w:r>
            <w:r w:rsidRPr="00D30847">
              <w:rPr>
                <w:rFonts w:ascii="Arial" w:eastAsia="Times New Roman" w:hAnsi="Arial" w:cs="Arial"/>
                <w:sz w:val="12"/>
                <w:szCs w:val="12"/>
                <w:lang w:val="en-GB" w:eastAsia="mk-MK"/>
              </w:rPr>
              <w:t>Establishing a system for marking and tracking tobacco products (cigarettes) through the TRACK&amp;TRACE system</w:t>
            </w:r>
          </w:p>
        </w:tc>
        <w:tc>
          <w:tcPr>
            <w:tcW w:w="1260" w:type="dxa"/>
            <w:gridSpan w:val="4"/>
            <w:shd w:val="clear" w:color="000000" w:fill="FFFF99"/>
            <w:vAlign w:val="center"/>
            <w:hideMark/>
          </w:tcPr>
          <w:p w14:paraId="46975049" w14:textId="77777777" w:rsidR="00B6646E" w:rsidRPr="00D30847" w:rsidRDefault="00B6646E" w:rsidP="00B6646E">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2024-2027</w:t>
            </w:r>
          </w:p>
        </w:tc>
        <w:tc>
          <w:tcPr>
            <w:tcW w:w="1440" w:type="dxa"/>
            <w:gridSpan w:val="3"/>
            <w:shd w:val="clear" w:color="000000" w:fill="FFFF99"/>
            <w:vAlign w:val="center"/>
            <w:hideMark/>
          </w:tcPr>
          <w:p w14:paraId="35EFCF7F" w14:textId="77777777" w:rsidR="00B6646E" w:rsidRPr="00D30847" w:rsidRDefault="00B6646E" w:rsidP="00B6646E">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Customs Administration</w:t>
            </w:r>
          </w:p>
        </w:tc>
        <w:tc>
          <w:tcPr>
            <w:tcW w:w="1620" w:type="dxa"/>
            <w:gridSpan w:val="3"/>
            <w:shd w:val="clear" w:color="000000" w:fill="FFFF99"/>
            <w:vAlign w:val="center"/>
            <w:hideMark/>
          </w:tcPr>
          <w:p w14:paraId="4BF7FFD8" w14:textId="77777777" w:rsidR="00B6646E" w:rsidRPr="00D30847" w:rsidRDefault="00B6646E" w:rsidP="00B6646E">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2018" w:type="dxa"/>
            <w:gridSpan w:val="6"/>
            <w:shd w:val="clear" w:color="000000" w:fill="FFFF99"/>
            <w:vAlign w:val="center"/>
            <w:hideMark/>
          </w:tcPr>
          <w:p w14:paraId="041EF0F7" w14:textId="77777777" w:rsidR="00B6646E" w:rsidRPr="00D30847" w:rsidRDefault="00B6646E" w:rsidP="00B6646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Funding cannot be planned at the moment</w:t>
            </w:r>
          </w:p>
        </w:tc>
        <w:tc>
          <w:tcPr>
            <w:tcW w:w="1582" w:type="dxa"/>
            <w:gridSpan w:val="2"/>
            <w:shd w:val="clear" w:color="000000" w:fill="FFFF99"/>
            <w:vAlign w:val="center"/>
            <w:hideMark/>
          </w:tcPr>
          <w:p w14:paraId="320EF1FF" w14:textId="77777777" w:rsidR="00B6646E" w:rsidRPr="00D30847" w:rsidRDefault="00B6646E" w:rsidP="00B6646E">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30" w:type="dxa"/>
            <w:gridSpan w:val="4"/>
            <w:shd w:val="clear" w:color="000000" w:fill="FFFF99"/>
            <w:vAlign w:val="center"/>
            <w:hideMark/>
          </w:tcPr>
          <w:p w14:paraId="02669B4F" w14:textId="77777777" w:rsidR="00B6646E" w:rsidRPr="00D30847" w:rsidRDefault="00B6646E" w:rsidP="00B6646E">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485BAA" w:rsidRPr="00D30847" w14:paraId="4E4C6B5B" w14:textId="77777777" w:rsidTr="00FD4DDE">
        <w:trPr>
          <w:gridBefore w:val="3"/>
          <w:gridAfter w:val="1"/>
          <w:wBefore w:w="37" w:type="dxa"/>
          <w:wAfter w:w="52" w:type="dxa"/>
          <w:trHeight w:val="241"/>
          <w:jc w:val="center"/>
        </w:trPr>
        <w:tc>
          <w:tcPr>
            <w:tcW w:w="13501" w:type="dxa"/>
            <w:gridSpan w:val="28"/>
            <w:shd w:val="clear" w:color="000000" w:fill="1F3864"/>
            <w:vAlign w:val="center"/>
            <w:hideMark/>
          </w:tcPr>
          <w:p w14:paraId="5C629DCB" w14:textId="567DE5E1"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PILLAR III: Planning</w:t>
            </w:r>
            <w:r w:rsidR="00D847E0"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and</w:t>
            </w:r>
            <w:r w:rsidR="00D847E0"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budget</w:t>
            </w:r>
          </w:p>
        </w:tc>
      </w:tr>
      <w:tr w:rsidR="00485BAA" w:rsidRPr="00D30847" w14:paraId="1F4BD4AA" w14:textId="77777777" w:rsidTr="00FD4DDE">
        <w:trPr>
          <w:gridBefore w:val="3"/>
          <w:gridAfter w:val="1"/>
          <w:wBefore w:w="37" w:type="dxa"/>
          <w:wAfter w:w="52" w:type="dxa"/>
          <w:trHeight w:val="349"/>
          <w:jc w:val="center"/>
        </w:trPr>
        <w:tc>
          <w:tcPr>
            <w:tcW w:w="13501" w:type="dxa"/>
            <w:gridSpan w:val="28"/>
            <w:shd w:val="clear" w:color="000000" w:fill="1F3864"/>
            <w:vAlign w:val="center"/>
            <w:hideMark/>
          </w:tcPr>
          <w:p w14:paraId="64BF7080" w14:textId="36E8BE62"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PRIORITY 1. Budget</w:t>
            </w:r>
            <w:r w:rsidR="00D847E0"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planning</w:t>
            </w:r>
          </w:p>
        </w:tc>
      </w:tr>
      <w:tr w:rsidR="00485BAA" w:rsidRPr="00D30847" w14:paraId="70B4C23A" w14:textId="77777777" w:rsidTr="00FD4DDE">
        <w:trPr>
          <w:gridBefore w:val="3"/>
          <w:gridAfter w:val="1"/>
          <w:wBefore w:w="37" w:type="dxa"/>
          <w:wAfter w:w="52" w:type="dxa"/>
          <w:trHeight w:val="171"/>
          <w:jc w:val="center"/>
        </w:trPr>
        <w:tc>
          <w:tcPr>
            <w:tcW w:w="2303" w:type="dxa"/>
            <w:gridSpan w:val="3"/>
            <w:shd w:val="clear" w:color="000000" w:fill="9BD2ED"/>
            <w:vAlign w:val="center"/>
            <w:hideMark/>
          </w:tcPr>
          <w:p w14:paraId="3B2A4265"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Outcome(s)</w:t>
            </w:r>
          </w:p>
        </w:tc>
        <w:tc>
          <w:tcPr>
            <w:tcW w:w="1836" w:type="dxa"/>
            <w:gridSpan w:val="5"/>
            <w:shd w:val="clear" w:color="000000" w:fill="9BD2ED"/>
            <w:vAlign w:val="center"/>
            <w:hideMark/>
          </w:tcPr>
          <w:p w14:paraId="5F41DEDA" w14:textId="19DC80A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D847E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7D0F39F1" w14:textId="3B416D3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D847E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4C2ED035" w14:textId="055B4FEC"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C11AA8"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3AF64C42" w14:textId="1B15CE4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15D85300" w14:textId="2E964BF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26F4E45E" w14:textId="56ECE69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1BE9BAEC" w14:textId="59583BD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8</w:t>
            </w:r>
          </w:p>
        </w:tc>
      </w:tr>
      <w:tr w:rsidR="00485BAA" w:rsidRPr="00D30847" w14:paraId="6680C2F0" w14:textId="77777777" w:rsidTr="00FD4DDE">
        <w:trPr>
          <w:gridBefore w:val="3"/>
          <w:gridAfter w:val="1"/>
          <w:wBefore w:w="37" w:type="dxa"/>
          <w:wAfter w:w="52" w:type="dxa"/>
          <w:trHeight w:val="559"/>
          <w:jc w:val="center"/>
        </w:trPr>
        <w:tc>
          <w:tcPr>
            <w:tcW w:w="2303" w:type="dxa"/>
            <w:gridSpan w:val="3"/>
            <w:shd w:val="clear" w:color="000000" w:fill="FFFF99"/>
            <w:vAlign w:val="center"/>
            <w:hideMark/>
          </w:tcPr>
          <w:p w14:paraId="618C2ABF" w14:textId="6549A637" w:rsidR="00485BAA" w:rsidRPr="00D30847" w:rsidRDefault="00DD3623"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Adopted Fiscal Strategy</w:t>
            </w:r>
          </w:p>
        </w:tc>
        <w:tc>
          <w:tcPr>
            <w:tcW w:w="1836" w:type="dxa"/>
            <w:gridSpan w:val="5"/>
            <w:shd w:val="clear" w:color="000000" w:fill="FFFF99"/>
            <w:vAlign w:val="center"/>
            <w:hideMark/>
          </w:tcPr>
          <w:p w14:paraId="5950CF01" w14:textId="557A7388" w:rsidR="00485BAA" w:rsidRPr="00D30847" w:rsidRDefault="00C11AA8"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Reduction in the budget deficit as a % compared to the previous year</w:t>
            </w:r>
          </w:p>
        </w:tc>
        <w:tc>
          <w:tcPr>
            <w:tcW w:w="1194" w:type="dxa"/>
            <w:gridSpan w:val="2"/>
            <w:shd w:val="clear" w:color="000000" w:fill="FFFF99"/>
            <w:vAlign w:val="center"/>
            <w:hideMark/>
          </w:tcPr>
          <w:p w14:paraId="0C224F9B" w14:textId="559AF28F" w:rsidR="00485BAA" w:rsidRPr="00D30847" w:rsidRDefault="00C11AA8"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Fiscal strategy</w:t>
            </w:r>
          </w:p>
        </w:tc>
        <w:tc>
          <w:tcPr>
            <w:tcW w:w="1418" w:type="dxa"/>
            <w:gridSpan w:val="3"/>
            <w:shd w:val="clear" w:color="000000" w:fill="FFFF99"/>
            <w:vAlign w:val="center"/>
            <w:hideMark/>
          </w:tcPr>
          <w:p w14:paraId="1B54928D" w14:textId="34584280" w:rsidR="00485BAA" w:rsidRPr="00D30847" w:rsidRDefault="00887AA0"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(-)4,</w:t>
            </w:r>
            <w:r w:rsidR="00C11AA8" w:rsidRPr="00D30847">
              <w:rPr>
                <w:rFonts w:ascii="Arial" w:eastAsia="Times New Roman" w:hAnsi="Arial" w:cs="Arial"/>
                <w:sz w:val="12"/>
                <w:szCs w:val="12"/>
                <w:lang w:val="en-GB" w:eastAsia="mk-MK"/>
              </w:rPr>
              <w:t>9</w:t>
            </w:r>
            <w:r w:rsidRPr="00D30847">
              <w:rPr>
                <w:rFonts w:ascii="Arial" w:eastAsia="Times New Roman" w:hAnsi="Arial" w:cs="Arial"/>
                <w:sz w:val="12"/>
                <w:szCs w:val="12"/>
                <w:lang w:val="en-GB" w:eastAsia="mk-MK"/>
              </w:rPr>
              <w:t xml:space="preserve"> % of GDP</w:t>
            </w:r>
          </w:p>
        </w:tc>
        <w:tc>
          <w:tcPr>
            <w:tcW w:w="1644" w:type="dxa"/>
            <w:gridSpan w:val="3"/>
            <w:shd w:val="clear" w:color="000000" w:fill="FFFF99"/>
            <w:vAlign w:val="center"/>
            <w:hideMark/>
          </w:tcPr>
          <w:p w14:paraId="1686E944" w14:textId="38FBE73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004D467C" w:rsidRPr="00D30847">
              <w:rPr>
                <w:rFonts w:ascii="Arial" w:eastAsia="Times New Roman" w:hAnsi="Arial" w:cs="Arial"/>
                <w:sz w:val="12"/>
                <w:szCs w:val="12"/>
                <w:lang w:val="en-GB" w:eastAsia="mk-MK"/>
              </w:rPr>
              <w:t>4</w:t>
            </w:r>
            <w:r w:rsidRPr="00D30847">
              <w:rPr>
                <w:rFonts w:ascii="Arial" w:eastAsia="Times New Roman" w:hAnsi="Arial" w:cs="Arial"/>
                <w:sz w:val="12"/>
                <w:szCs w:val="12"/>
                <w:lang w:val="en-GB" w:eastAsia="mk-MK"/>
              </w:rPr>
              <w:t>% of GDP</w:t>
            </w:r>
          </w:p>
        </w:tc>
        <w:tc>
          <w:tcPr>
            <w:tcW w:w="1758" w:type="dxa"/>
            <w:gridSpan w:val="4"/>
            <w:shd w:val="clear" w:color="000000" w:fill="FFFF99"/>
            <w:vAlign w:val="center"/>
            <w:hideMark/>
          </w:tcPr>
          <w:p w14:paraId="50AF9877" w14:textId="27687C75"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w:t>
            </w:r>
            <w:r w:rsidR="00C11AA8" w:rsidRPr="00D30847">
              <w:rPr>
                <w:rFonts w:ascii="Arial" w:eastAsia="Times New Roman" w:hAnsi="Arial" w:cs="Arial"/>
                <w:sz w:val="12"/>
                <w:szCs w:val="12"/>
                <w:lang w:val="en-GB" w:eastAsia="mk-MK"/>
              </w:rPr>
              <w:t>,5</w:t>
            </w:r>
            <w:r w:rsidRPr="00D30847">
              <w:rPr>
                <w:rFonts w:ascii="Arial" w:eastAsia="Times New Roman" w:hAnsi="Arial" w:cs="Arial"/>
                <w:sz w:val="12"/>
                <w:szCs w:val="12"/>
                <w:lang w:val="en-GB" w:eastAsia="mk-MK"/>
              </w:rPr>
              <w:t>% of GDP</w:t>
            </w:r>
          </w:p>
        </w:tc>
        <w:tc>
          <w:tcPr>
            <w:tcW w:w="1842" w:type="dxa"/>
            <w:gridSpan w:val="4"/>
            <w:shd w:val="clear" w:color="000000" w:fill="FFFF99"/>
            <w:vAlign w:val="center"/>
            <w:hideMark/>
          </w:tcPr>
          <w:p w14:paraId="7B78E0FF"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004D467C" w:rsidRPr="00D30847">
              <w:rPr>
                <w:rFonts w:ascii="Arial" w:eastAsia="Times New Roman" w:hAnsi="Arial" w:cs="Arial"/>
                <w:sz w:val="12"/>
                <w:szCs w:val="12"/>
                <w:lang w:val="en-GB" w:eastAsia="mk-MK"/>
              </w:rPr>
              <w:t xml:space="preserve">3 </w:t>
            </w:r>
            <w:r w:rsidRPr="00D30847">
              <w:rPr>
                <w:rFonts w:ascii="Arial" w:eastAsia="Times New Roman" w:hAnsi="Arial" w:cs="Arial"/>
                <w:sz w:val="12"/>
                <w:szCs w:val="12"/>
                <w:lang w:val="en-GB" w:eastAsia="mk-MK"/>
              </w:rPr>
              <w:t>% of GDP</w:t>
            </w:r>
          </w:p>
        </w:tc>
        <w:tc>
          <w:tcPr>
            <w:tcW w:w="1506" w:type="dxa"/>
            <w:gridSpan w:val="4"/>
            <w:shd w:val="clear" w:color="000000" w:fill="FFFF99"/>
            <w:vAlign w:val="center"/>
            <w:hideMark/>
          </w:tcPr>
          <w:p w14:paraId="675C99AF" w14:textId="23C3E1C4"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00C11AA8" w:rsidRPr="00D30847">
              <w:rPr>
                <w:rFonts w:ascii="Arial" w:eastAsia="Times New Roman" w:hAnsi="Arial" w:cs="Arial"/>
                <w:sz w:val="12"/>
                <w:szCs w:val="12"/>
                <w:lang w:val="en-GB" w:eastAsia="mk-MK"/>
              </w:rPr>
              <w:t>3</w:t>
            </w:r>
            <w:r w:rsidRPr="00D30847">
              <w:rPr>
                <w:rFonts w:ascii="Arial" w:eastAsia="Times New Roman" w:hAnsi="Arial" w:cs="Arial"/>
                <w:sz w:val="12"/>
                <w:szCs w:val="12"/>
                <w:lang w:val="en-GB" w:eastAsia="mk-MK"/>
              </w:rPr>
              <w:t>% of GDP</w:t>
            </w:r>
          </w:p>
        </w:tc>
      </w:tr>
      <w:tr w:rsidR="00485BAA" w:rsidRPr="00D30847" w14:paraId="03A37766" w14:textId="77777777" w:rsidTr="00FD4DDE">
        <w:trPr>
          <w:gridBefore w:val="3"/>
          <w:gridAfter w:val="1"/>
          <w:wBefore w:w="37" w:type="dxa"/>
          <w:wAfter w:w="52" w:type="dxa"/>
          <w:trHeight w:val="241"/>
          <w:jc w:val="center"/>
        </w:trPr>
        <w:tc>
          <w:tcPr>
            <w:tcW w:w="13501" w:type="dxa"/>
            <w:gridSpan w:val="28"/>
            <w:shd w:val="clear" w:color="000000" w:fill="9BD2ED"/>
            <w:vAlign w:val="center"/>
            <w:hideMark/>
          </w:tcPr>
          <w:p w14:paraId="74C34E65" w14:textId="51AF80D6" w:rsidR="00485BAA" w:rsidRPr="00D30847" w:rsidRDefault="008B4C47"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Measure</w:t>
            </w:r>
            <w:r w:rsidR="00485BAA" w:rsidRPr="00D30847">
              <w:rPr>
                <w:rFonts w:ascii="Arial" w:eastAsia="Times New Roman" w:hAnsi="Arial" w:cs="Arial"/>
                <w:b/>
                <w:bCs/>
                <w:sz w:val="12"/>
                <w:szCs w:val="12"/>
                <w:lang w:val="en-GB" w:eastAsia="mk-MK"/>
              </w:rPr>
              <w:t xml:space="preserve"> 1</w:t>
            </w:r>
            <w:r w:rsidR="00577A56" w:rsidRPr="00D30847">
              <w:rPr>
                <w:rFonts w:ascii="Arial" w:eastAsia="Times New Roman" w:hAnsi="Arial" w:cs="Arial"/>
                <w:b/>
                <w:bCs/>
                <w:sz w:val="12"/>
                <w:szCs w:val="12"/>
                <w:lang w:val="en-GB" w:eastAsia="mk-MK"/>
              </w:rPr>
              <w:t>.</w:t>
            </w:r>
            <w:r w:rsidR="00485BAA" w:rsidRPr="00D30847">
              <w:rPr>
                <w:rFonts w:ascii="Arial" w:eastAsia="Times New Roman" w:hAnsi="Arial" w:cs="Arial"/>
                <w:b/>
                <w:bCs/>
                <w:sz w:val="12"/>
                <w:szCs w:val="12"/>
                <w:lang w:val="en-GB" w:eastAsia="mk-MK"/>
              </w:rPr>
              <w:t xml:space="preserve"> Improving</w:t>
            </w:r>
            <w:r w:rsidR="00D847E0" w:rsidRPr="00D30847">
              <w:rPr>
                <w:rFonts w:ascii="Arial" w:eastAsia="Times New Roman" w:hAnsi="Arial" w:cs="Arial"/>
                <w:b/>
                <w:bCs/>
                <w:sz w:val="12"/>
                <w:szCs w:val="12"/>
                <w:lang w:val="en-GB" w:eastAsia="mk-MK"/>
              </w:rPr>
              <w:t xml:space="preserve"> </w:t>
            </w:r>
            <w:r w:rsidR="00485BAA" w:rsidRPr="00D30847">
              <w:rPr>
                <w:rFonts w:ascii="Arial" w:eastAsia="Times New Roman" w:hAnsi="Arial" w:cs="Arial"/>
                <w:b/>
                <w:bCs/>
                <w:sz w:val="12"/>
                <w:szCs w:val="12"/>
                <w:lang w:val="en-GB" w:eastAsia="mk-MK"/>
              </w:rPr>
              <w:t>medium-term</w:t>
            </w:r>
            <w:r w:rsidR="003C4B70" w:rsidRPr="00D30847">
              <w:rPr>
                <w:rFonts w:ascii="Arial" w:eastAsia="Times New Roman" w:hAnsi="Arial" w:cs="Arial"/>
                <w:b/>
                <w:bCs/>
                <w:sz w:val="12"/>
                <w:szCs w:val="12"/>
                <w:lang w:val="en-GB" w:eastAsia="mk-MK"/>
              </w:rPr>
              <w:t xml:space="preserve"> </w:t>
            </w:r>
            <w:r w:rsidR="00485BAA" w:rsidRPr="00D30847">
              <w:rPr>
                <w:rFonts w:ascii="Arial" w:eastAsia="Times New Roman" w:hAnsi="Arial" w:cs="Arial"/>
                <w:b/>
                <w:bCs/>
                <w:sz w:val="12"/>
                <w:szCs w:val="12"/>
                <w:lang w:val="en-GB" w:eastAsia="mk-MK"/>
              </w:rPr>
              <w:t>planning</w:t>
            </w:r>
          </w:p>
        </w:tc>
      </w:tr>
      <w:tr w:rsidR="00485BAA" w:rsidRPr="00D30847" w14:paraId="612CED94" w14:textId="77777777" w:rsidTr="00FD4DDE">
        <w:trPr>
          <w:gridBefore w:val="3"/>
          <w:gridAfter w:val="1"/>
          <w:wBefore w:w="37" w:type="dxa"/>
          <w:wAfter w:w="52" w:type="dxa"/>
          <w:trHeight w:val="243"/>
          <w:jc w:val="center"/>
        </w:trPr>
        <w:tc>
          <w:tcPr>
            <w:tcW w:w="2303" w:type="dxa"/>
            <w:gridSpan w:val="3"/>
            <w:vMerge w:val="restart"/>
            <w:tcBorders>
              <w:top w:val="nil"/>
              <w:left w:val="nil"/>
              <w:bottom w:val="nil"/>
              <w:right w:val="single" w:sz="8" w:space="0" w:color="000000"/>
            </w:tcBorders>
            <w:shd w:val="clear" w:color="auto" w:fill="auto"/>
            <w:vAlign w:val="center"/>
            <w:hideMark/>
          </w:tcPr>
          <w:p w14:paraId="31283D87"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6FCD23BB" w14:textId="49609048"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D847E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2BE0A5E9" w14:textId="188BEEE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D847E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6449A18D" w14:textId="2CB8D5E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C11AA8"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77C78A1E" w14:textId="49F2AD2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3D0A9051" w14:textId="7DE9676A"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594F5129" w14:textId="7E313AD3"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52E974A6" w14:textId="41AAB174"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8</w:t>
            </w:r>
          </w:p>
        </w:tc>
      </w:tr>
      <w:tr w:rsidR="00887AA0" w:rsidRPr="00D30847" w14:paraId="03353E62" w14:textId="77777777" w:rsidTr="00FD4DDE">
        <w:trPr>
          <w:gridBefore w:val="3"/>
          <w:gridAfter w:val="1"/>
          <w:wBefore w:w="37" w:type="dxa"/>
          <w:wAfter w:w="52" w:type="dxa"/>
          <w:trHeight w:val="509"/>
          <w:jc w:val="center"/>
        </w:trPr>
        <w:tc>
          <w:tcPr>
            <w:tcW w:w="2303" w:type="dxa"/>
            <w:gridSpan w:val="3"/>
            <w:vMerge/>
            <w:tcBorders>
              <w:top w:val="nil"/>
              <w:left w:val="nil"/>
              <w:bottom w:val="nil"/>
              <w:right w:val="single" w:sz="8" w:space="0" w:color="000000"/>
            </w:tcBorders>
            <w:vAlign w:val="center"/>
            <w:hideMark/>
          </w:tcPr>
          <w:p w14:paraId="13A3287A" w14:textId="77777777" w:rsidR="00887AA0" w:rsidRPr="00D30847" w:rsidRDefault="00887AA0" w:rsidP="00887AA0">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75547E66" w14:textId="08CF8798" w:rsidR="00887AA0" w:rsidRPr="00D30847" w:rsidRDefault="00C11AA8" w:rsidP="00887AA0">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Share of total expenditure in GDP</w:t>
            </w:r>
          </w:p>
        </w:tc>
        <w:tc>
          <w:tcPr>
            <w:tcW w:w="1194" w:type="dxa"/>
            <w:gridSpan w:val="2"/>
            <w:shd w:val="clear" w:color="000000" w:fill="FFFF99"/>
            <w:vAlign w:val="center"/>
            <w:hideMark/>
          </w:tcPr>
          <w:p w14:paraId="45820418" w14:textId="16F73B68" w:rsidR="00887AA0" w:rsidRPr="00D30847" w:rsidRDefault="00C11AA8" w:rsidP="00887AA0">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Fiscal strategy + annual budget</w:t>
            </w:r>
          </w:p>
        </w:tc>
        <w:tc>
          <w:tcPr>
            <w:tcW w:w="1418" w:type="dxa"/>
            <w:gridSpan w:val="3"/>
            <w:shd w:val="clear" w:color="000000" w:fill="FFFF99"/>
            <w:hideMark/>
          </w:tcPr>
          <w:p w14:paraId="27E3DC12" w14:textId="25AEB8C9" w:rsidR="00887AA0" w:rsidRPr="00D30847" w:rsidRDefault="00C11AA8" w:rsidP="00887AA0">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35.5% of GDP</w:t>
            </w:r>
          </w:p>
        </w:tc>
        <w:tc>
          <w:tcPr>
            <w:tcW w:w="1644" w:type="dxa"/>
            <w:gridSpan w:val="3"/>
            <w:shd w:val="clear" w:color="000000" w:fill="FFFF99"/>
            <w:hideMark/>
          </w:tcPr>
          <w:p w14:paraId="6B7E5FB9" w14:textId="3AF3ACBE" w:rsidR="00887AA0" w:rsidRPr="00D30847" w:rsidRDefault="00C11AA8" w:rsidP="00887AA0">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39.1% of GDP</w:t>
            </w:r>
          </w:p>
        </w:tc>
        <w:tc>
          <w:tcPr>
            <w:tcW w:w="1758" w:type="dxa"/>
            <w:gridSpan w:val="4"/>
            <w:shd w:val="clear" w:color="000000" w:fill="FFFF99"/>
            <w:hideMark/>
          </w:tcPr>
          <w:p w14:paraId="6A2B3D75" w14:textId="0CB67C25" w:rsidR="00887AA0" w:rsidRPr="00D30847" w:rsidRDefault="00536FFE" w:rsidP="00887AA0">
            <w:pPr>
              <w:spacing w:after="0" w:line="240" w:lineRule="auto"/>
              <w:jc w:val="center"/>
              <w:rPr>
                <w:rFonts w:ascii="Arial" w:eastAsia="Times New Roman" w:hAnsi="Arial" w:cs="Arial"/>
                <w:sz w:val="12"/>
                <w:szCs w:val="12"/>
                <w:lang w:val="en-GB" w:eastAsia="mk-MK"/>
              </w:rPr>
            </w:pPr>
            <w:r>
              <w:rPr>
                <w:rFonts w:ascii="Arial" w:eastAsia="Times New Roman" w:hAnsi="Arial" w:cs="Arial"/>
                <w:sz w:val="12"/>
                <w:szCs w:val="12"/>
                <w:lang w:val="en-GB" w:eastAsia="mk-MK"/>
              </w:rPr>
              <w:t>39.0</w:t>
            </w:r>
            <w:r w:rsidR="00C11AA8" w:rsidRPr="00D30847">
              <w:rPr>
                <w:rFonts w:ascii="Arial" w:eastAsia="Times New Roman" w:hAnsi="Arial" w:cs="Arial"/>
                <w:sz w:val="12"/>
                <w:szCs w:val="12"/>
                <w:lang w:val="en-GB" w:eastAsia="mk-MK"/>
              </w:rPr>
              <w:t>% of GDP</w:t>
            </w:r>
          </w:p>
        </w:tc>
        <w:tc>
          <w:tcPr>
            <w:tcW w:w="1842" w:type="dxa"/>
            <w:gridSpan w:val="4"/>
            <w:shd w:val="clear" w:color="000000" w:fill="FFFF99"/>
            <w:hideMark/>
          </w:tcPr>
          <w:p w14:paraId="17E19815" w14:textId="16500E49" w:rsidR="00887AA0" w:rsidRPr="00D30847" w:rsidRDefault="00536FFE" w:rsidP="00887AA0">
            <w:pPr>
              <w:spacing w:after="0" w:line="240" w:lineRule="auto"/>
              <w:jc w:val="center"/>
              <w:rPr>
                <w:rFonts w:ascii="Arial" w:eastAsia="Times New Roman" w:hAnsi="Arial" w:cs="Arial"/>
                <w:sz w:val="12"/>
                <w:szCs w:val="12"/>
                <w:lang w:val="en-GB" w:eastAsia="mk-MK"/>
              </w:rPr>
            </w:pPr>
            <w:r>
              <w:rPr>
                <w:rFonts w:ascii="Arial" w:eastAsia="Times New Roman" w:hAnsi="Arial" w:cs="Arial"/>
                <w:sz w:val="12"/>
                <w:szCs w:val="12"/>
                <w:lang w:val="en-GB" w:eastAsia="mk-MK"/>
              </w:rPr>
              <w:t>38.5</w:t>
            </w:r>
            <w:r w:rsidR="00C11AA8" w:rsidRPr="00D30847">
              <w:rPr>
                <w:rFonts w:ascii="Arial" w:eastAsia="Times New Roman" w:hAnsi="Arial" w:cs="Arial"/>
                <w:sz w:val="12"/>
                <w:szCs w:val="12"/>
                <w:lang w:val="en-GB" w:eastAsia="mk-MK"/>
              </w:rPr>
              <w:t>% of GDP</w:t>
            </w:r>
          </w:p>
        </w:tc>
        <w:tc>
          <w:tcPr>
            <w:tcW w:w="1506" w:type="dxa"/>
            <w:gridSpan w:val="4"/>
            <w:shd w:val="clear" w:color="000000" w:fill="FFFF99"/>
            <w:hideMark/>
          </w:tcPr>
          <w:p w14:paraId="44942AA8" w14:textId="10A41400" w:rsidR="00887AA0" w:rsidRPr="00D30847" w:rsidRDefault="00536FFE" w:rsidP="00887AA0">
            <w:pPr>
              <w:spacing w:after="0" w:line="240" w:lineRule="auto"/>
              <w:jc w:val="center"/>
              <w:rPr>
                <w:rFonts w:ascii="Arial" w:eastAsia="Times New Roman" w:hAnsi="Arial" w:cs="Arial"/>
                <w:sz w:val="12"/>
                <w:szCs w:val="12"/>
                <w:lang w:val="en-GB" w:eastAsia="mk-MK"/>
              </w:rPr>
            </w:pPr>
            <w:r>
              <w:rPr>
                <w:rFonts w:ascii="Arial" w:eastAsia="Times New Roman" w:hAnsi="Arial" w:cs="Arial"/>
                <w:sz w:val="12"/>
                <w:szCs w:val="12"/>
                <w:lang w:val="en-GB" w:eastAsia="mk-MK"/>
              </w:rPr>
              <w:t>38.7</w:t>
            </w:r>
            <w:r w:rsidR="00C11AA8" w:rsidRPr="00D30847">
              <w:rPr>
                <w:rFonts w:ascii="Arial" w:eastAsia="Times New Roman" w:hAnsi="Arial" w:cs="Arial"/>
                <w:sz w:val="12"/>
                <w:szCs w:val="12"/>
                <w:lang w:val="en-GB" w:eastAsia="mk-MK"/>
              </w:rPr>
              <w:t>% of GDP</w:t>
            </w:r>
          </w:p>
        </w:tc>
      </w:tr>
      <w:tr w:rsidR="00485BAA" w:rsidRPr="00D30847" w14:paraId="4FEDCE4B" w14:textId="77777777" w:rsidTr="00FD4DDE">
        <w:trPr>
          <w:gridBefore w:val="3"/>
          <w:gridAfter w:val="1"/>
          <w:wBefore w:w="37" w:type="dxa"/>
          <w:wAfter w:w="52" w:type="dxa"/>
          <w:trHeight w:val="264"/>
          <w:jc w:val="center"/>
        </w:trPr>
        <w:tc>
          <w:tcPr>
            <w:tcW w:w="2303" w:type="dxa"/>
            <w:gridSpan w:val="3"/>
            <w:vMerge/>
            <w:tcBorders>
              <w:top w:val="nil"/>
              <w:left w:val="nil"/>
              <w:bottom w:val="nil"/>
              <w:right w:val="single" w:sz="8" w:space="0" w:color="000000"/>
            </w:tcBorders>
            <w:vAlign w:val="center"/>
            <w:hideMark/>
          </w:tcPr>
          <w:p w14:paraId="2CA6F6CA"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1C567E47" w14:textId="09CF9994"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3D371A92" w14:textId="4B58D81A"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D847E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06033666" w14:textId="2A67428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D847E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444A94FC" w14:textId="566FE9C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D847E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7C426EA5"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1B9BADC0" w14:textId="39445671"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D847E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D847E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3E655154"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330707" w:rsidRPr="00D30847" w14:paraId="1346E68E" w14:textId="77777777" w:rsidTr="00FD4DDE">
        <w:trPr>
          <w:gridBefore w:val="3"/>
          <w:gridAfter w:val="1"/>
          <w:wBefore w:w="37" w:type="dxa"/>
          <w:wAfter w:w="52" w:type="dxa"/>
          <w:trHeight w:val="534"/>
          <w:jc w:val="center"/>
        </w:trPr>
        <w:tc>
          <w:tcPr>
            <w:tcW w:w="2303" w:type="dxa"/>
            <w:gridSpan w:val="3"/>
            <w:vMerge/>
            <w:tcBorders>
              <w:top w:val="nil"/>
              <w:left w:val="nil"/>
              <w:bottom w:val="nil"/>
              <w:right w:val="single" w:sz="8" w:space="0" w:color="000000"/>
            </w:tcBorders>
            <w:vAlign w:val="center"/>
            <w:hideMark/>
          </w:tcPr>
          <w:p w14:paraId="710FF7B9" w14:textId="77777777" w:rsidR="00330707" w:rsidRPr="00D30847" w:rsidRDefault="00330707"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0C9F644E" w14:textId="0914D674" w:rsidR="00330707" w:rsidRPr="00D30847" w:rsidRDefault="00330707"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1. </w:t>
            </w:r>
            <w:r w:rsidR="00C11AA8" w:rsidRPr="00D30847">
              <w:rPr>
                <w:rFonts w:ascii="Arial" w:eastAsia="Times New Roman" w:hAnsi="Arial" w:cs="Arial"/>
                <w:sz w:val="12"/>
                <w:szCs w:val="12"/>
                <w:lang w:val="en-GB" w:eastAsia="mk-MK"/>
              </w:rPr>
              <w:t>Medium-Term Fiscal Strategy based on a sectoral approach and determination of medium term expenditures ceilings</w:t>
            </w:r>
          </w:p>
        </w:tc>
        <w:tc>
          <w:tcPr>
            <w:tcW w:w="1194" w:type="dxa"/>
            <w:gridSpan w:val="2"/>
            <w:shd w:val="clear" w:color="000000" w:fill="FFFF99"/>
            <w:vAlign w:val="center"/>
            <w:hideMark/>
          </w:tcPr>
          <w:p w14:paraId="59D7AD9F" w14:textId="1C8F6349" w:rsidR="00330707" w:rsidRPr="00D30847" w:rsidRDefault="00330707"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C11AA8" w:rsidRPr="00D30847">
              <w:rPr>
                <w:rFonts w:ascii="Arial" w:eastAsia="Times New Roman" w:hAnsi="Arial" w:cs="Arial"/>
                <w:sz w:val="12"/>
                <w:szCs w:val="12"/>
                <w:lang w:val="en-GB" w:eastAsia="mk-MK"/>
              </w:rPr>
              <w:t>5</w:t>
            </w:r>
            <w:r w:rsidRPr="00D30847">
              <w:rPr>
                <w:rFonts w:ascii="Arial" w:eastAsia="Times New Roman" w:hAnsi="Arial" w:cs="Arial"/>
                <w:sz w:val="12"/>
                <w:szCs w:val="12"/>
                <w:lang w:val="en-GB" w:eastAsia="mk-MK"/>
              </w:rPr>
              <w:t>-202</w:t>
            </w:r>
            <w:r w:rsidR="00C11AA8" w:rsidRPr="00D30847">
              <w:rPr>
                <w:rFonts w:ascii="Arial" w:eastAsia="Times New Roman" w:hAnsi="Arial" w:cs="Arial"/>
                <w:sz w:val="12"/>
                <w:szCs w:val="12"/>
                <w:lang w:val="en-GB" w:eastAsia="mk-MK"/>
              </w:rPr>
              <w:t>8</w:t>
            </w:r>
          </w:p>
        </w:tc>
        <w:tc>
          <w:tcPr>
            <w:tcW w:w="1418" w:type="dxa"/>
            <w:gridSpan w:val="3"/>
            <w:shd w:val="clear" w:color="000000" w:fill="FFFF99"/>
            <w:vAlign w:val="center"/>
            <w:hideMark/>
          </w:tcPr>
          <w:p w14:paraId="422C89D3" w14:textId="25A549B2" w:rsidR="00330707" w:rsidRPr="00D30847" w:rsidRDefault="00330707"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r w:rsidR="00263A7B" w:rsidRPr="00D30847">
              <w:rPr>
                <w:rFonts w:ascii="Arial" w:eastAsia="Times New Roman" w:hAnsi="Arial" w:cs="Arial"/>
                <w:sz w:val="12"/>
                <w:szCs w:val="12"/>
                <w:lang w:val="en-GB" w:eastAsia="mk-MK"/>
              </w:rPr>
              <w:t xml:space="preserve"> </w:t>
            </w:r>
            <w:r w:rsidR="002F500A" w:rsidRPr="00D30847">
              <w:rPr>
                <w:rFonts w:ascii="Arial" w:eastAsia="Times New Roman" w:hAnsi="Arial" w:cs="Arial"/>
                <w:sz w:val="12"/>
                <w:szCs w:val="12"/>
                <w:lang w:val="en-GB" w:eastAsia="mk-MK"/>
              </w:rPr>
              <w:t>–</w:t>
            </w:r>
            <w:r w:rsidR="00263A7B"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Budget</w:t>
            </w:r>
            <w:r w:rsidR="002F500A"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Department</w:t>
            </w:r>
          </w:p>
        </w:tc>
        <w:tc>
          <w:tcPr>
            <w:tcW w:w="1644" w:type="dxa"/>
            <w:gridSpan w:val="3"/>
            <w:shd w:val="clear" w:color="000000" w:fill="FFFF99"/>
            <w:vAlign w:val="center"/>
            <w:hideMark/>
          </w:tcPr>
          <w:p w14:paraId="41B02E0E" w14:textId="04E9FB09" w:rsidR="00330707" w:rsidRPr="00D30847" w:rsidRDefault="00330707"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Budget users</w:t>
            </w:r>
          </w:p>
        </w:tc>
        <w:tc>
          <w:tcPr>
            <w:tcW w:w="1758" w:type="dxa"/>
            <w:gridSpan w:val="4"/>
            <w:shd w:val="clear" w:color="000000" w:fill="FFFF99"/>
            <w:vAlign w:val="center"/>
            <w:hideMark/>
          </w:tcPr>
          <w:p w14:paraId="1EE3B717" w14:textId="522648C5" w:rsidR="00330707" w:rsidRPr="00D30847" w:rsidRDefault="00330707"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hideMark/>
          </w:tcPr>
          <w:p w14:paraId="20F3A554" w14:textId="4088FDE1" w:rsidR="00330707" w:rsidRPr="00D30847" w:rsidRDefault="00330707"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br/>
              <w:t>/</w:t>
            </w:r>
          </w:p>
        </w:tc>
        <w:tc>
          <w:tcPr>
            <w:tcW w:w="1506" w:type="dxa"/>
            <w:gridSpan w:val="4"/>
            <w:shd w:val="clear" w:color="000000" w:fill="FFFF99"/>
            <w:vAlign w:val="center"/>
            <w:hideMark/>
          </w:tcPr>
          <w:p w14:paraId="3E1A554B" w14:textId="41FFD32E" w:rsidR="00330707" w:rsidRPr="00B763CD" w:rsidRDefault="00330707" w:rsidP="00485BAA">
            <w:pPr>
              <w:spacing w:after="0" w:line="240" w:lineRule="auto"/>
              <w:jc w:val="center"/>
              <w:rPr>
                <w:rFonts w:ascii="Arial" w:eastAsia="Times New Roman" w:hAnsi="Arial" w:cs="Arial"/>
                <w:sz w:val="12"/>
                <w:szCs w:val="12"/>
                <w:lang w:eastAsia="mk-MK"/>
              </w:rPr>
            </w:pPr>
          </w:p>
        </w:tc>
      </w:tr>
      <w:tr w:rsidR="00485BAA" w:rsidRPr="00D30847" w14:paraId="1A8F6C99" w14:textId="77777777" w:rsidTr="00FD4DDE">
        <w:trPr>
          <w:gridBefore w:val="3"/>
          <w:gridAfter w:val="1"/>
          <w:wBefore w:w="37" w:type="dxa"/>
          <w:wAfter w:w="52" w:type="dxa"/>
          <w:trHeight w:val="223"/>
          <w:jc w:val="center"/>
        </w:trPr>
        <w:tc>
          <w:tcPr>
            <w:tcW w:w="13501" w:type="dxa"/>
            <w:gridSpan w:val="28"/>
            <w:shd w:val="clear" w:color="000000" w:fill="9BD2ED"/>
            <w:vAlign w:val="center"/>
            <w:hideMark/>
          </w:tcPr>
          <w:p w14:paraId="3C90D02F" w14:textId="40115CD7" w:rsidR="00485BAA" w:rsidRPr="00D30847" w:rsidRDefault="005C29D1"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Measure</w:t>
            </w:r>
            <w:r w:rsidR="00485BAA" w:rsidRPr="00D30847">
              <w:rPr>
                <w:rFonts w:ascii="Arial" w:eastAsia="Times New Roman" w:hAnsi="Arial" w:cs="Arial"/>
                <w:b/>
                <w:bCs/>
                <w:sz w:val="12"/>
                <w:szCs w:val="12"/>
                <w:lang w:val="en-GB" w:eastAsia="mk-MK"/>
              </w:rPr>
              <w:t xml:space="preserve"> 2</w:t>
            </w:r>
            <w:r w:rsidR="00577A56" w:rsidRPr="00D30847">
              <w:rPr>
                <w:rFonts w:ascii="Arial" w:eastAsia="Times New Roman" w:hAnsi="Arial" w:cs="Arial"/>
                <w:b/>
                <w:bCs/>
                <w:sz w:val="12"/>
                <w:szCs w:val="12"/>
                <w:lang w:val="en-GB" w:eastAsia="mk-MK"/>
              </w:rPr>
              <w:t>.</w:t>
            </w:r>
            <w:r w:rsidR="00485BAA" w:rsidRPr="00D30847">
              <w:rPr>
                <w:rFonts w:ascii="Arial" w:eastAsia="Times New Roman" w:hAnsi="Arial" w:cs="Arial"/>
                <w:b/>
                <w:bCs/>
                <w:sz w:val="12"/>
                <w:szCs w:val="12"/>
                <w:lang w:val="en-GB" w:eastAsia="mk-MK"/>
              </w:rPr>
              <w:t xml:space="preserve"> </w:t>
            </w:r>
            <w:r w:rsidR="00887AA0" w:rsidRPr="00D30847">
              <w:rPr>
                <w:rFonts w:ascii="Arial" w:eastAsia="Times New Roman" w:hAnsi="Arial" w:cs="Arial"/>
                <w:b/>
                <w:bCs/>
                <w:sz w:val="12"/>
                <w:szCs w:val="12"/>
                <w:lang w:val="en-GB" w:eastAsia="mk-MK"/>
              </w:rPr>
              <w:t>Improving</w:t>
            </w:r>
            <w:r w:rsidR="003C4B70" w:rsidRPr="00D30847">
              <w:rPr>
                <w:rFonts w:ascii="Arial" w:eastAsia="Times New Roman" w:hAnsi="Arial" w:cs="Arial"/>
                <w:b/>
                <w:bCs/>
                <w:sz w:val="12"/>
                <w:szCs w:val="12"/>
                <w:lang w:val="en-GB" w:eastAsia="mk-MK"/>
              </w:rPr>
              <w:t xml:space="preserve"> </w:t>
            </w:r>
            <w:r w:rsidR="00887AA0" w:rsidRPr="00D30847">
              <w:rPr>
                <w:rFonts w:ascii="Arial" w:eastAsia="Times New Roman" w:hAnsi="Arial" w:cs="Arial"/>
                <w:b/>
                <w:bCs/>
                <w:sz w:val="12"/>
                <w:szCs w:val="12"/>
                <w:lang w:val="en-GB" w:eastAsia="mk-MK"/>
              </w:rPr>
              <w:t>sectoral</w:t>
            </w:r>
            <w:r w:rsidR="003C4B70" w:rsidRPr="00D30847">
              <w:rPr>
                <w:rFonts w:ascii="Arial" w:eastAsia="Times New Roman" w:hAnsi="Arial" w:cs="Arial"/>
                <w:b/>
                <w:bCs/>
                <w:sz w:val="12"/>
                <w:szCs w:val="12"/>
                <w:lang w:val="en-GB" w:eastAsia="mk-MK"/>
              </w:rPr>
              <w:t xml:space="preserve"> </w:t>
            </w:r>
            <w:r w:rsidR="00887AA0" w:rsidRPr="00D30847">
              <w:rPr>
                <w:rFonts w:ascii="Arial" w:eastAsia="Times New Roman" w:hAnsi="Arial" w:cs="Arial"/>
                <w:b/>
                <w:bCs/>
                <w:sz w:val="12"/>
                <w:szCs w:val="12"/>
                <w:lang w:val="en-GB" w:eastAsia="mk-MK"/>
              </w:rPr>
              <w:t>approach</w:t>
            </w:r>
            <w:r w:rsidR="003C4B70" w:rsidRPr="00D30847">
              <w:rPr>
                <w:rFonts w:ascii="Arial" w:eastAsia="Times New Roman" w:hAnsi="Arial" w:cs="Arial"/>
                <w:b/>
                <w:bCs/>
                <w:sz w:val="12"/>
                <w:szCs w:val="12"/>
                <w:lang w:val="en-GB" w:eastAsia="mk-MK"/>
              </w:rPr>
              <w:t xml:space="preserve"> </w:t>
            </w:r>
            <w:r w:rsidR="00887AA0" w:rsidRPr="00D30847">
              <w:rPr>
                <w:rFonts w:ascii="Arial" w:eastAsia="Times New Roman" w:hAnsi="Arial" w:cs="Arial"/>
                <w:b/>
                <w:bCs/>
                <w:sz w:val="12"/>
                <w:szCs w:val="12"/>
                <w:lang w:val="en-GB" w:eastAsia="mk-MK"/>
              </w:rPr>
              <w:t>of</w:t>
            </w:r>
            <w:r w:rsidR="003C4B70" w:rsidRPr="00D30847">
              <w:rPr>
                <w:rFonts w:ascii="Arial" w:eastAsia="Times New Roman" w:hAnsi="Arial" w:cs="Arial"/>
                <w:b/>
                <w:bCs/>
                <w:sz w:val="12"/>
                <w:szCs w:val="12"/>
                <w:lang w:val="en-GB" w:eastAsia="mk-MK"/>
              </w:rPr>
              <w:t xml:space="preserve"> </w:t>
            </w:r>
            <w:r w:rsidR="00887AA0" w:rsidRPr="00D30847">
              <w:rPr>
                <w:rFonts w:ascii="Arial" w:eastAsia="Times New Roman" w:hAnsi="Arial" w:cs="Arial"/>
                <w:b/>
                <w:bCs/>
                <w:sz w:val="12"/>
                <w:szCs w:val="12"/>
                <w:lang w:val="en-GB" w:eastAsia="mk-MK"/>
              </w:rPr>
              <w:t>budget</w:t>
            </w:r>
            <w:r w:rsidR="003C4B70" w:rsidRPr="00D30847">
              <w:rPr>
                <w:rFonts w:ascii="Arial" w:eastAsia="Times New Roman" w:hAnsi="Arial" w:cs="Arial"/>
                <w:b/>
                <w:bCs/>
                <w:sz w:val="12"/>
                <w:szCs w:val="12"/>
                <w:lang w:val="en-GB" w:eastAsia="mk-MK"/>
              </w:rPr>
              <w:t xml:space="preserve"> </w:t>
            </w:r>
            <w:r w:rsidR="00887AA0" w:rsidRPr="00D30847">
              <w:rPr>
                <w:rFonts w:ascii="Arial" w:eastAsia="Times New Roman" w:hAnsi="Arial" w:cs="Arial"/>
                <w:b/>
                <w:bCs/>
                <w:sz w:val="12"/>
                <w:szCs w:val="12"/>
                <w:lang w:val="en-GB" w:eastAsia="mk-MK"/>
              </w:rPr>
              <w:t>planning</w:t>
            </w:r>
            <w:r w:rsidR="003C4B70" w:rsidRPr="00D30847">
              <w:rPr>
                <w:rFonts w:ascii="Arial" w:eastAsia="Times New Roman" w:hAnsi="Arial" w:cs="Arial"/>
                <w:b/>
                <w:bCs/>
                <w:sz w:val="12"/>
                <w:szCs w:val="12"/>
                <w:lang w:val="en-GB" w:eastAsia="mk-MK"/>
              </w:rPr>
              <w:t xml:space="preserve"> </w:t>
            </w:r>
            <w:r w:rsidR="00887AA0" w:rsidRPr="00D30847">
              <w:rPr>
                <w:rFonts w:ascii="Arial" w:eastAsia="Times New Roman" w:hAnsi="Arial" w:cs="Arial"/>
                <w:b/>
                <w:bCs/>
                <w:sz w:val="12"/>
                <w:szCs w:val="12"/>
                <w:lang w:val="en-GB" w:eastAsia="mk-MK"/>
              </w:rPr>
              <w:t>and</w:t>
            </w:r>
            <w:r w:rsidR="003C4B70" w:rsidRPr="00D30847">
              <w:rPr>
                <w:rFonts w:ascii="Arial" w:eastAsia="Times New Roman" w:hAnsi="Arial" w:cs="Arial"/>
                <w:b/>
                <w:bCs/>
                <w:sz w:val="12"/>
                <w:szCs w:val="12"/>
                <w:lang w:val="en-GB" w:eastAsia="mk-MK"/>
              </w:rPr>
              <w:t xml:space="preserve"> </w:t>
            </w:r>
            <w:r w:rsidR="00887AA0" w:rsidRPr="00D30847">
              <w:rPr>
                <w:rFonts w:ascii="Arial" w:eastAsia="Times New Roman" w:hAnsi="Arial" w:cs="Arial"/>
                <w:b/>
                <w:bCs/>
                <w:sz w:val="12"/>
                <w:szCs w:val="12"/>
                <w:lang w:val="en-GB" w:eastAsia="mk-MK"/>
              </w:rPr>
              <w:t>development</w:t>
            </w:r>
            <w:r w:rsidR="003C4B70" w:rsidRPr="00D30847">
              <w:rPr>
                <w:rFonts w:ascii="Arial" w:eastAsia="Times New Roman" w:hAnsi="Arial" w:cs="Arial"/>
                <w:b/>
                <w:bCs/>
                <w:sz w:val="12"/>
                <w:szCs w:val="12"/>
                <w:lang w:val="en-GB" w:eastAsia="mk-MK"/>
              </w:rPr>
              <w:t xml:space="preserve"> </w:t>
            </w:r>
            <w:r w:rsidR="00887AA0" w:rsidRPr="00D30847">
              <w:rPr>
                <w:rFonts w:ascii="Arial" w:eastAsia="Times New Roman" w:hAnsi="Arial" w:cs="Arial"/>
                <w:b/>
                <w:bCs/>
                <w:sz w:val="12"/>
                <w:szCs w:val="12"/>
                <w:lang w:val="en-GB" w:eastAsia="mk-MK"/>
              </w:rPr>
              <w:t>by</w:t>
            </w:r>
            <w:r w:rsidR="003C4B70" w:rsidRPr="00D30847">
              <w:rPr>
                <w:rFonts w:ascii="Arial" w:eastAsia="Times New Roman" w:hAnsi="Arial" w:cs="Arial"/>
                <w:b/>
                <w:bCs/>
                <w:sz w:val="12"/>
                <w:szCs w:val="12"/>
                <w:lang w:val="en-GB" w:eastAsia="mk-MK"/>
              </w:rPr>
              <w:t xml:space="preserve"> </w:t>
            </w:r>
            <w:r w:rsidR="00887AA0" w:rsidRPr="00D30847">
              <w:rPr>
                <w:rFonts w:ascii="Arial" w:eastAsia="Times New Roman" w:hAnsi="Arial" w:cs="Arial"/>
                <w:b/>
                <w:bCs/>
                <w:sz w:val="12"/>
                <w:szCs w:val="12"/>
                <w:lang w:val="en-GB" w:eastAsia="mk-MK"/>
              </w:rPr>
              <w:t>implementation</w:t>
            </w:r>
            <w:r w:rsidR="003C4B70" w:rsidRPr="00D30847">
              <w:rPr>
                <w:rFonts w:ascii="Arial" w:eastAsia="Times New Roman" w:hAnsi="Arial" w:cs="Arial"/>
                <w:b/>
                <w:bCs/>
                <w:sz w:val="12"/>
                <w:szCs w:val="12"/>
                <w:lang w:val="en-GB" w:eastAsia="mk-MK"/>
              </w:rPr>
              <w:t xml:space="preserve"> </w:t>
            </w:r>
            <w:r w:rsidR="00887AA0" w:rsidRPr="00D30847">
              <w:rPr>
                <w:rFonts w:ascii="Arial" w:eastAsia="Times New Roman" w:hAnsi="Arial" w:cs="Arial"/>
                <w:b/>
                <w:bCs/>
                <w:sz w:val="12"/>
                <w:szCs w:val="12"/>
                <w:lang w:val="en-GB" w:eastAsia="mk-MK"/>
              </w:rPr>
              <w:t>of</w:t>
            </w:r>
            <w:r w:rsidR="003C4B70" w:rsidRPr="00D30847">
              <w:rPr>
                <w:rFonts w:ascii="Arial" w:eastAsia="Times New Roman" w:hAnsi="Arial" w:cs="Arial"/>
                <w:b/>
                <w:bCs/>
                <w:sz w:val="12"/>
                <w:szCs w:val="12"/>
                <w:lang w:val="en-GB" w:eastAsia="mk-MK"/>
              </w:rPr>
              <w:t xml:space="preserve"> </w:t>
            </w:r>
            <w:r w:rsidR="00887AA0" w:rsidRPr="00D30847">
              <w:rPr>
                <w:rFonts w:ascii="Arial" w:eastAsia="Times New Roman" w:hAnsi="Arial" w:cs="Arial"/>
                <w:b/>
                <w:bCs/>
                <w:sz w:val="12"/>
                <w:szCs w:val="12"/>
                <w:lang w:val="en-GB" w:eastAsia="mk-MK"/>
              </w:rPr>
              <w:t>bylaw</w:t>
            </w:r>
            <w:r w:rsidR="00C060C4" w:rsidRPr="00D30847">
              <w:rPr>
                <w:rFonts w:ascii="Arial" w:eastAsia="Times New Roman" w:hAnsi="Arial" w:cs="Arial"/>
                <w:b/>
                <w:bCs/>
                <w:sz w:val="12"/>
                <w:szCs w:val="12"/>
                <w:lang w:val="en-GB" w:eastAsia="mk-MK"/>
              </w:rPr>
              <w:t>s</w:t>
            </w:r>
          </w:p>
        </w:tc>
      </w:tr>
      <w:tr w:rsidR="00485BAA" w:rsidRPr="00D30847" w14:paraId="16D5B22A" w14:textId="77777777" w:rsidTr="00FD4DDE">
        <w:trPr>
          <w:gridBefore w:val="3"/>
          <w:gridAfter w:val="1"/>
          <w:wBefore w:w="37" w:type="dxa"/>
          <w:wAfter w:w="52" w:type="dxa"/>
          <w:trHeight w:val="257"/>
          <w:jc w:val="center"/>
        </w:trPr>
        <w:tc>
          <w:tcPr>
            <w:tcW w:w="2303" w:type="dxa"/>
            <w:gridSpan w:val="3"/>
            <w:vMerge w:val="restart"/>
            <w:tcBorders>
              <w:top w:val="nil"/>
              <w:left w:val="nil"/>
              <w:bottom w:val="nil"/>
              <w:right w:val="single" w:sz="8" w:space="0" w:color="000000"/>
            </w:tcBorders>
            <w:shd w:val="clear" w:color="auto" w:fill="auto"/>
            <w:vAlign w:val="center"/>
            <w:hideMark/>
          </w:tcPr>
          <w:p w14:paraId="0B45F50A"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15D630BD" w14:textId="247AA05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3C4B7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55188DAA" w14:textId="0F671CCE"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3C4B7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29FF85C8" w14:textId="7523844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C11AA8"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4ABC0706" w14:textId="6E97D39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2A6641F4" w14:textId="519D42AA"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2FFD0023" w14:textId="19134283"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17FB1808" w14:textId="12EB4B6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8</w:t>
            </w:r>
          </w:p>
        </w:tc>
      </w:tr>
      <w:tr w:rsidR="00485BAA" w:rsidRPr="00D30847" w14:paraId="0ED7B81D" w14:textId="77777777" w:rsidTr="00FD4DDE">
        <w:trPr>
          <w:gridBefore w:val="3"/>
          <w:gridAfter w:val="1"/>
          <w:wBefore w:w="37" w:type="dxa"/>
          <w:wAfter w:w="52" w:type="dxa"/>
          <w:trHeight w:val="402"/>
          <w:jc w:val="center"/>
        </w:trPr>
        <w:tc>
          <w:tcPr>
            <w:tcW w:w="2303" w:type="dxa"/>
            <w:gridSpan w:val="3"/>
            <w:vMerge/>
            <w:tcBorders>
              <w:top w:val="nil"/>
              <w:left w:val="nil"/>
              <w:bottom w:val="nil"/>
              <w:right w:val="single" w:sz="8" w:space="0" w:color="000000"/>
            </w:tcBorders>
            <w:vAlign w:val="center"/>
            <w:hideMark/>
          </w:tcPr>
          <w:p w14:paraId="1F20C522"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473774F4" w14:textId="3BD59D9C" w:rsidR="00485BAA" w:rsidRPr="00D30847" w:rsidRDefault="00485BAA"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w:t>
            </w:r>
            <w:r w:rsidR="003C4B7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w:t>
            </w:r>
            <w:r w:rsidR="003C4B7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first</w:t>
            </w:r>
            <w:r w:rsidR="003C4B7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level</w:t>
            </w:r>
            <w:r w:rsidR="003C4B7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w:t>
            </w:r>
            <w:r w:rsidR="003C4B7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budget</w:t>
            </w:r>
            <w:r w:rsidR="003C4B7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users</w:t>
            </w:r>
          </w:p>
        </w:tc>
        <w:tc>
          <w:tcPr>
            <w:tcW w:w="1194" w:type="dxa"/>
            <w:gridSpan w:val="2"/>
            <w:shd w:val="clear" w:color="000000" w:fill="FFFF99"/>
            <w:vAlign w:val="center"/>
            <w:hideMark/>
          </w:tcPr>
          <w:p w14:paraId="358E990C"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Budget</w:t>
            </w:r>
          </w:p>
        </w:tc>
        <w:tc>
          <w:tcPr>
            <w:tcW w:w="1418" w:type="dxa"/>
            <w:gridSpan w:val="3"/>
            <w:shd w:val="clear" w:color="000000" w:fill="FFFF99"/>
            <w:vAlign w:val="center"/>
            <w:hideMark/>
          </w:tcPr>
          <w:p w14:paraId="3A92241F"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around 100</w:t>
            </w:r>
          </w:p>
        </w:tc>
        <w:tc>
          <w:tcPr>
            <w:tcW w:w="1644" w:type="dxa"/>
            <w:gridSpan w:val="3"/>
            <w:shd w:val="clear" w:color="000000" w:fill="FFFF99"/>
            <w:vAlign w:val="center"/>
            <w:hideMark/>
          </w:tcPr>
          <w:p w14:paraId="13808D09" w14:textId="67B8372F"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around </w:t>
            </w:r>
            <w:r w:rsidR="00C11AA8" w:rsidRPr="00D30847">
              <w:rPr>
                <w:rFonts w:ascii="Arial" w:eastAsia="Times New Roman" w:hAnsi="Arial" w:cs="Arial"/>
                <w:sz w:val="12"/>
                <w:szCs w:val="12"/>
                <w:lang w:val="en-GB" w:eastAsia="mk-MK"/>
              </w:rPr>
              <w:t>90</w:t>
            </w:r>
          </w:p>
        </w:tc>
        <w:tc>
          <w:tcPr>
            <w:tcW w:w="1758" w:type="dxa"/>
            <w:gridSpan w:val="4"/>
            <w:shd w:val="clear" w:color="000000" w:fill="FFFF99"/>
            <w:vAlign w:val="center"/>
            <w:hideMark/>
          </w:tcPr>
          <w:p w14:paraId="45AF4898" w14:textId="16E82432" w:rsidR="00485BAA" w:rsidRPr="00D30847" w:rsidRDefault="00404D9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w:t>
            </w:r>
            <w:r w:rsidR="00485BAA" w:rsidRPr="00D30847">
              <w:rPr>
                <w:rFonts w:ascii="Arial" w:eastAsia="Times New Roman" w:hAnsi="Arial" w:cs="Arial"/>
                <w:sz w:val="12"/>
                <w:szCs w:val="12"/>
                <w:lang w:val="en-GB" w:eastAsia="mk-MK"/>
              </w:rPr>
              <w:t>round</w:t>
            </w:r>
            <w:r w:rsidRPr="00D30847">
              <w:rPr>
                <w:rFonts w:ascii="Arial" w:eastAsia="Times New Roman" w:hAnsi="Arial" w:cs="Arial"/>
                <w:sz w:val="12"/>
                <w:szCs w:val="12"/>
                <w:lang w:val="en-GB" w:eastAsia="mk-MK"/>
              </w:rPr>
              <w:t xml:space="preserve"> </w:t>
            </w:r>
            <w:r w:rsidR="004D467C" w:rsidRPr="00D30847">
              <w:rPr>
                <w:rFonts w:ascii="Arial" w:eastAsia="Times New Roman" w:hAnsi="Arial" w:cs="Arial"/>
                <w:sz w:val="12"/>
                <w:szCs w:val="12"/>
                <w:lang w:val="en-GB" w:eastAsia="mk-MK"/>
              </w:rPr>
              <w:t>5</w:t>
            </w:r>
            <w:r w:rsidR="00485BAA" w:rsidRPr="00D30847">
              <w:rPr>
                <w:rFonts w:ascii="Arial" w:eastAsia="Times New Roman" w:hAnsi="Arial" w:cs="Arial"/>
                <w:sz w:val="12"/>
                <w:szCs w:val="12"/>
                <w:lang w:val="en-GB" w:eastAsia="mk-MK"/>
              </w:rPr>
              <w:t>0</w:t>
            </w:r>
          </w:p>
        </w:tc>
        <w:tc>
          <w:tcPr>
            <w:tcW w:w="1842" w:type="dxa"/>
            <w:gridSpan w:val="4"/>
            <w:shd w:val="clear" w:color="000000" w:fill="FFFF99"/>
            <w:vAlign w:val="center"/>
            <w:hideMark/>
          </w:tcPr>
          <w:p w14:paraId="7080BD24" w14:textId="290735BD" w:rsidR="00485BAA" w:rsidRPr="00D30847" w:rsidRDefault="00404D9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less than</w:t>
            </w:r>
            <w:r w:rsidR="00485BAA" w:rsidRPr="00D30847">
              <w:rPr>
                <w:rFonts w:ascii="Arial" w:eastAsia="Times New Roman" w:hAnsi="Arial" w:cs="Arial"/>
                <w:sz w:val="12"/>
                <w:szCs w:val="12"/>
                <w:lang w:val="en-GB" w:eastAsia="mk-MK"/>
              </w:rPr>
              <w:t xml:space="preserve"> 50</w:t>
            </w:r>
          </w:p>
        </w:tc>
        <w:tc>
          <w:tcPr>
            <w:tcW w:w="1506" w:type="dxa"/>
            <w:gridSpan w:val="4"/>
            <w:shd w:val="clear" w:color="000000" w:fill="FFFF99"/>
            <w:vAlign w:val="center"/>
            <w:hideMark/>
          </w:tcPr>
          <w:p w14:paraId="15E50AB0" w14:textId="55DBE169" w:rsidR="00485BAA" w:rsidRPr="00D30847" w:rsidRDefault="00404D9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L</w:t>
            </w:r>
            <w:r w:rsidR="00485BAA" w:rsidRPr="00D30847">
              <w:rPr>
                <w:rFonts w:ascii="Arial" w:eastAsia="Times New Roman" w:hAnsi="Arial" w:cs="Arial"/>
                <w:sz w:val="12"/>
                <w:szCs w:val="12"/>
                <w:lang w:val="en-GB" w:eastAsia="mk-MK"/>
              </w:rPr>
              <w:t>ess</w:t>
            </w:r>
            <w:r w:rsidRPr="00D30847">
              <w:rPr>
                <w:rFonts w:ascii="Arial" w:eastAsia="Times New Roman" w:hAnsi="Arial" w:cs="Arial"/>
                <w:sz w:val="12"/>
                <w:szCs w:val="12"/>
                <w:lang w:val="en-GB" w:eastAsia="mk-MK"/>
              </w:rPr>
              <w:t xml:space="preserve"> </w:t>
            </w:r>
            <w:r w:rsidR="00485BAA" w:rsidRPr="00D30847">
              <w:rPr>
                <w:rFonts w:ascii="Arial" w:eastAsia="Times New Roman" w:hAnsi="Arial" w:cs="Arial"/>
                <w:sz w:val="12"/>
                <w:szCs w:val="12"/>
                <w:lang w:val="en-GB" w:eastAsia="mk-MK"/>
              </w:rPr>
              <w:t>than 50</w:t>
            </w:r>
          </w:p>
        </w:tc>
      </w:tr>
      <w:tr w:rsidR="00485BAA" w:rsidRPr="00D30847" w14:paraId="011F9A8D" w14:textId="77777777" w:rsidTr="00FD4DDE">
        <w:trPr>
          <w:gridBefore w:val="3"/>
          <w:gridAfter w:val="1"/>
          <w:wBefore w:w="37" w:type="dxa"/>
          <w:wAfter w:w="52" w:type="dxa"/>
          <w:trHeight w:val="267"/>
          <w:jc w:val="center"/>
        </w:trPr>
        <w:tc>
          <w:tcPr>
            <w:tcW w:w="2303" w:type="dxa"/>
            <w:gridSpan w:val="3"/>
            <w:vMerge/>
            <w:tcBorders>
              <w:top w:val="nil"/>
              <w:left w:val="nil"/>
              <w:bottom w:val="nil"/>
              <w:right w:val="single" w:sz="8" w:space="0" w:color="000000"/>
            </w:tcBorders>
            <w:vAlign w:val="center"/>
            <w:hideMark/>
          </w:tcPr>
          <w:p w14:paraId="04BEF087"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2C1E232A" w14:textId="7C4385AC"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1B37DDF9" w14:textId="0D0C4E8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3C4B7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494B5985" w14:textId="2C2D574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3C4B7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6AB628C4" w14:textId="627913A8"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3C4B7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6946E528"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5FD21655" w14:textId="7EBCCCE3"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3C4B7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3C4B7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19AF9CD0"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887AA0" w:rsidRPr="00D30847" w14:paraId="36BD7A2C" w14:textId="77777777" w:rsidTr="00FD4DDE">
        <w:trPr>
          <w:gridBefore w:val="3"/>
          <w:gridAfter w:val="1"/>
          <w:wBefore w:w="37" w:type="dxa"/>
          <w:wAfter w:w="52" w:type="dxa"/>
          <w:trHeight w:val="610"/>
          <w:jc w:val="center"/>
        </w:trPr>
        <w:tc>
          <w:tcPr>
            <w:tcW w:w="2303" w:type="dxa"/>
            <w:gridSpan w:val="3"/>
            <w:vMerge/>
            <w:tcBorders>
              <w:top w:val="nil"/>
              <w:left w:val="nil"/>
              <w:bottom w:val="nil"/>
              <w:right w:val="single" w:sz="8" w:space="0" w:color="000000"/>
            </w:tcBorders>
            <w:vAlign w:val="center"/>
            <w:hideMark/>
          </w:tcPr>
          <w:p w14:paraId="3478D589" w14:textId="77777777" w:rsidR="00887AA0" w:rsidRPr="00D30847" w:rsidRDefault="00887AA0" w:rsidP="00887AA0">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1AA4B919" w14:textId="3242C59D" w:rsidR="003C20E4" w:rsidRPr="00D30847" w:rsidRDefault="003C4B70" w:rsidP="003C4B70">
            <w:pPr>
              <w:spacing w:after="0" w:line="240" w:lineRule="auto"/>
              <w:jc w:val="both"/>
              <w:rPr>
                <w:rFonts w:cs="Calibri"/>
                <w:lang w:val="en-GB"/>
              </w:rPr>
            </w:pPr>
            <w:r w:rsidRPr="00D30847">
              <w:rPr>
                <w:rFonts w:ascii="Arial" w:hAnsi="Arial" w:cs="Arial"/>
                <w:sz w:val="12"/>
                <w:szCs w:val="12"/>
                <w:lang w:val="en-GB"/>
              </w:rPr>
              <w:t>1.</w:t>
            </w:r>
            <w:r w:rsidR="00887AA0" w:rsidRPr="00D30847">
              <w:rPr>
                <w:rFonts w:ascii="Arial" w:hAnsi="Arial" w:cs="Arial"/>
                <w:sz w:val="12"/>
                <w:szCs w:val="12"/>
                <w:lang w:val="en-GB"/>
              </w:rPr>
              <w:t>Preparing and implementing OBL-bylaws</w:t>
            </w:r>
          </w:p>
          <w:p w14:paraId="3C5DA845" w14:textId="2BCA30AC" w:rsidR="00887AA0" w:rsidRPr="00D30847" w:rsidRDefault="00887AA0" w:rsidP="00330707">
            <w:pPr>
              <w:spacing w:after="0" w:line="240" w:lineRule="auto"/>
              <w:rPr>
                <w:rFonts w:ascii="Arial" w:eastAsia="Times New Roman" w:hAnsi="Arial" w:cs="Arial"/>
                <w:sz w:val="12"/>
                <w:szCs w:val="12"/>
                <w:lang w:val="en-GB" w:eastAsia="mk-MK"/>
              </w:rPr>
            </w:pPr>
          </w:p>
        </w:tc>
        <w:tc>
          <w:tcPr>
            <w:tcW w:w="1194" w:type="dxa"/>
            <w:gridSpan w:val="2"/>
            <w:shd w:val="clear" w:color="000000" w:fill="FFFF99"/>
            <w:vAlign w:val="center"/>
            <w:hideMark/>
          </w:tcPr>
          <w:p w14:paraId="700D3964" w14:textId="5FF2B4FF" w:rsidR="00887AA0" w:rsidRPr="00D30847" w:rsidRDefault="00887AA0" w:rsidP="00887AA0">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C11AA8" w:rsidRPr="00D30847">
              <w:rPr>
                <w:rFonts w:ascii="Arial" w:eastAsia="Times New Roman" w:hAnsi="Arial" w:cs="Arial"/>
                <w:sz w:val="12"/>
                <w:szCs w:val="12"/>
                <w:lang w:val="en-GB" w:eastAsia="mk-MK"/>
              </w:rPr>
              <w:t>5</w:t>
            </w:r>
            <w:r w:rsidRPr="00D30847">
              <w:rPr>
                <w:rFonts w:ascii="Arial" w:eastAsia="Times New Roman" w:hAnsi="Arial" w:cs="Arial"/>
                <w:sz w:val="12"/>
                <w:szCs w:val="12"/>
                <w:lang w:val="en-GB" w:eastAsia="mk-MK"/>
              </w:rPr>
              <w:t>-202</w:t>
            </w:r>
            <w:r w:rsidR="00C11AA8" w:rsidRPr="00D30847">
              <w:rPr>
                <w:rFonts w:ascii="Arial" w:eastAsia="Times New Roman" w:hAnsi="Arial" w:cs="Arial"/>
                <w:sz w:val="12"/>
                <w:szCs w:val="12"/>
                <w:lang w:val="en-GB" w:eastAsia="mk-MK"/>
              </w:rPr>
              <w:t>8</w:t>
            </w:r>
          </w:p>
        </w:tc>
        <w:tc>
          <w:tcPr>
            <w:tcW w:w="1418" w:type="dxa"/>
            <w:gridSpan w:val="3"/>
            <w:shd w:val="clear" w:color="000000" w:fill="FFFF99"/>
            <w:vAlign w:val="center"/>
            <w:hideMark/>
          </w:tcPr>
          <w:p w14:paraId="465F9D13" w14:textId="6826AF70" w:rsidR="00887AA0" w:rsidRPr="00D30847" w:rsidRDefault="00263A7B" w:rsidP="00887AA0">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w:t>
            </w:r>
          </w:p>
        </w:tc>
        <w:tc>
          <w:tcPr>
            <w:tcW w:w="1644" w:type="dxa"/>
            <w:gridSpan w:val="3"/>
            <w:shd w:val="clear" w:color="000000" w:fill="FFFF99"/>
            <w:vAlign w:val="center"/>
            <w:hideMark/>
          </w:tcPr>
          <w:p w14:paraId="5D19C388" w14:textId="0B4A4FB9" w:rsidR="00887AA0" w:rsidRPr="00D30847" w:rsidRDefault="00887AA0" w:rsidP="00887AA0">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Budget</w:t>
            </w:r>
            <w:r w:rsidR="003C4B7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user</w:t>
            </w:r>
          </w:p>
        </w:tc>
        <w:tc>
          <w:tcPr>
            <w:tcW w:w="1758" w:type="dxa"/>
            <w:gridSpan w:val="4"/>
            <w:shd w:val="clear" w:color="000000" w:fill="FFFF99"/>
            <w:hideMark/>
          </w:tcPr>
          <w:p w14:paraId="1EA547D7" w14:textId="77777777" w:rsidR="003C4B70" w:rsidRPr="00D30847" w:rsidRDefault="003C4B70" w:rsidP="003C4B70">
            <w:pPr>
              <w:spacing w:after="0" w:line="240" w:lineRule="auto"/>
              <w:jc w:val="center"/>
              <w:rPr>
                <w:rFonts w:ascii="Arial" w:eastAsia="Times New Roman" w:hAnsi="Arial" w:cs="Arial"/>
                <w:sz w:val="12"/>
                <w:szCs w:val="12"/>
                <w:lang w:val="en-GB" w:eastAsia="mk-MK"/>
              </w:rPr>
            </w:pPr>
          </w:p>
          <w:p w14:paraId="37C1F30C" w14:textId="77777777" w:rsidR="003C4B70" w:rsidRPr="00D30847" w:rsidRDefault="003C4B70" w:rsidP="003C4B70">
            <w:pPr>
              <w:spacing w:after="0" w:line="240" w:lineRule="auto"/>
              <w:jc w:val="center"/>
              <w:rPr>
                <w:rFonts w:ascii="Arial" w:eastAsia="Times New Roman" w:hAnsi="Arial" w:cs="Arial"/>
                <w:sz w:val="12"/>
                <w:szCs w:val="12"/>
                <w:lang w:val="en-GB" w:eastAsia="mk-MK"/>
              </w:rPr>
            </w:pPr>
          </w:p>
          <w:p w14:paraId="5DCB50F4" w14:textId="77777777" w:rsidR="003C4B70" w:rsidRPr="00D30847" w:rsidRDefault="003C4B70" w:rsidP="003C4B70">
            <w:pPr>
              <w:spacing w:after="0" w:line="240" w:lineRule="auto"/>
              <w:jc w:val="center"/>
              <w:rPr>
                <w:rFonts w:ascii="Arial" w:eastAsia="Times New Roman" w:hAnsi="Arial" w:cs="Arial"/>
                <w:sz w:val="12"/>
                <w:szCs w:val="12"/>
                <w:lang w:val="en-GB" w:eastAsia="mk-MK"/>
              </w:rPr>
            </w:pPr>
          </w:p>
          <w:p w14:paraId="40A5F0AD" w14:textId="77777777" w:rsidR="003C4B70" w:rsidRPr="00D30847" w:rsidRDefault="003C4B70" w:rsidP="003C4B70">
            <w:pPr>
              <w:spacing w:after="0" w:line="240" w:lineRule="auto"/>
              <w:jc w:val="center"/>
              <w:rPr>
                <w:rFonts w:ascii="Arial" w:eastAsia="Times New Roman" w:hAnsi="Arial" w:cs="Arial"/>
                <w:sz w:val="12"/>
                <w:szCs w:val="12"/>
                <w:lang w:val="en-GB" w:eastAsia="mk-MK"/>
              </w:rPr>
            </w:pPr>
          </w:p>
          <w:p w14:paraId="406F2C3F" w14:textId="2F2543EA" w:rsidR="00887AA0" w:rsidRPr="00D30847" w:rsidRDefault="00C11AA8" w:rsidP="003C4B70">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528</w:t>
            </w:r>
            <w:r w:rsidR="00583C72" w:rsidRPr="00D30847">
              <w:rPr>
                <w:rFonts w:ascii="Arial" w:eastAsia="Times New Roman" w:hAnsi="Arial" w:cs="Arial"/>
                <w:sz w:val="12"/>
                <w:szCs w:val="12"/>
                <w:lang w:val="en-GB" w:eastAsia="mk-MK"/>
              </w:rPr>
              <w:t>,000</w:t>
            </w:r>
          </w:p>
          <w:p w14:paraId="04013FB0" w14:textId="77777777" w:rsidR="00583C72" w:rsidRPr="00D30847" w:rsidRDefault="00583C72" w:rsidP="003C4B70">
            <w:pPr>
              <w:spacing w:after="0" w:line="240" w:lineRule="auto"/>
              <w:jc w:val="center"/>
              <w:rPr>
                <w:rFonts w:ascii="Arial" w:eastAsia="Times New Roman" w:hAnsi="Arial" w:cs="Arial"/>
                <w:sz w:val="12"/>
                <w:szCs w:val="12"/>
                <w:lang w:val="en-GB" w:eastAsia="mk-MK"/>
              </w:rPr>
            </w:pPr>
          </w:p>
        </w:tc>
        <w:tc>
          <w:tcPr>
            <w:tcW w:w="1842" w:type="dxa"/>
            <w:gridSpan w:val="4"/>
            <w:shd w:val="clear" w:color="000000" w:fill="FFFF99"/>
            <w:hideMark/>
          </w:tcPr>
          <w:p w14:paraId="0BC1CAA4" w14:textId="77777777" w:rsidR="003C4B70" w:rsidRPr="00D30847" w:rsidRDefault="003C4B70" w:rsidP="003C4B70">
            <w:pPr>
              <w:spacing w:after="0" w:line="240" w:lineRule="auto"/>
              <w:jc w:val="center"/>
              <w:rPr>
                <w:sz w:val="12"/>
                <w:szCs w:val="12"/>
                <w:lang w:val="en-GB"/>
              </w:rPr>
            </w:pPr>
          </w:p>
          <w:p w14:paraId="05F412AA" w14:textId="77777777" w:rsidR="003C4B70" w:rsidRPr="00D30847" w:rsidRDefault="003C4B70" w:rsidP="003C4B70">
            <w:pPr>
              <w:spacing w:after="0" w:line="240" w:lineRule="auto"/>
              <w:jc w:val="center"/>
              <w:rPr>
                <w:sz w:val="12"/>
                <w:szCs w:val="12"/>
                <w:lang w:val="en-GB"/>
              </w:rPr>
            </w:pPr>
          </w:p>
          <w:p w14:paraId="6D82F67E" w14:textId="77777777" w:rsidR="003C4B70" w:rsidRPr="00D30847" w:rsidRDefault="003C4B70" w:rsidP="003C4B70">
            <w:pPr>
              <w:spacing w:after="0" w:line="240" w:lineRule="auto"/>
              <w:jc w:val="center"/>
              <w:rPr>
                <w:sz w:val="12"/>
                <w:szCs w:val="12"/>
                <w:lang w:val="en-GB"/>
              </w:rPr>
            </w:pPr>
          </w:p>
          <w:p w14:paraId="66816CDC" w14:textId="77777777" w:rsidR="003C4B70" w:rsidRPr="00D30847" w:rsidRDefault="003C4B70" w:rsidP="003C4B70">
            <w:pPr>
              <w:spacing w:after="0" w:line="240" w:lineRule="auto"/>
              <w:jc w:val="center"/>
              <w:rPr>
                <w:sz w:val="12"/>
                <w:szCs w:val="12"/>
                <w:lang w:val="en-GB"/>
              </w:rPr>
            </w:pPr>
          </w:p>
          <w:p w14:paraId="3EF4EB66" w14:textId="54373F3A" w:rsidR="00887AA0" w:rsidRPr="00D30847" w:rsidRDefault="006A55CA" w:rsidP="003C4B70">
            <w:pPr>
              <w:spacing w:after="0" w:line="240" w:lineRule="auto"/>
              <w:jc w:val="center"/>
              <w:rPr>
                <w:rFonts w:ascii="Arial" w:eastAsia="Times New Roman" w:hAnsi="Arial" w:cs="Arial"/>
                <w:sz w:val="12"/>
                <w:szCs w:val="12"/>
                <w:lang w:val="en-GB" w:eastAsia="mk-MK"/>
              </w:rPr>
            </w:pPr>
            <w:r w:rsidRPr="00D30847">
              <w:rPr>
                <w:sz w:val="12"/>
                <w:szCs w:val="12"/>
                <w:lang w:val="en-GB"/>
              </w:rPr>
              <w:t>US Treasury</w:t>
            </w:r>
          </w:p>
        </w:tc>
        <w:tc>
          <w:tcPr>
            <w:tcW w:w="1506" w:type="dxa"/>
            <w:gridSpan w:val="4"/>
            <w:shd w:val="clear" w:color="000000" w:fill="FFFF99"/>
            <w:vAlign w:val="center"/>
            <w:hideMark/>
          </w:tcPr>
          <w:p w14:paraId="54F78531" w14:textId="30F6E27D" w:rsidR="00887AA0" w:rsidRPr="00D30847" w:rsidRDefault="00FD4DDE" w:rsidP="00887AA0">
            <w:pPr>
              <w:spacing w:after="0" w:line="240" w:lineRule="auto"/>
              <w:jc w:val="center"/>
              <w:rPr>
                <w:rFonts w:ascii="Arial" w:eastAsia="Times New Roman" w:hAnsi="Arial" w:cs="Arial"/>
                <w:sz w:val="12"/>
                <w:szCs w:val="12"/>
                <w:lang w:val="en-GB" w:eastAsia="mk-MK"/>
              </w:rPr>
            </w:pPr>
            <w:r>
              <w:rPr>
                <w:rFonts w:ascii="Arial" w:eastAsia="Times New Roman" w:hAnsi="Arial" w:cs="Arial"/>
                <w:sz w:val="12"/>
                <w:szCs w:val="12"/>
                <w:lang w:val="en-GB" w:eastAsia="mk-MK"/>
              </w:rPr>
              <w:t>/</w:t>
            </w:r>
          </w:p>
        </w:tc>
      </w:tr>
      <w:tr w:rsidR="004F0DB1" w:rsidRPr="00D30847" w14:paraId="33154269" w14:textId="77777777" w:rsidTr="00FD4DDE">
        <w:trPr>
          <w:gridBefore w:val="3"/>
          <w:gridAfter w:val="1"/>
          <w:wBefore w:w="37" w:type="dxa"/>
          <w:wAfter w:w="52" w:type="dxa"/>
          <w:trHeight w:val="340"/>
          <w:jc w:val="center"/>
        </w:trPr>
        <w:tc>
          <w:tcPr>
            <w:tcW w:w="1288" w:type="dxa"/>
            <w:tcBorders>
              <w:top w:val="nil"/>
              <w:left w:val="nil"/>
              <w:bottom w:val="nil"/>
              <w:right w:val="nil"/>
            </w:tcBorders>
            <w:shd w:val="clear" w:color="auto" w:fill="auto"/>
            <w:vAlign w:val="center"/>
            <w:hideMark/>
          </w:tcPr>
          <w:p w14:paraId="1E04CDDE" w14:textId="77777777" w:rsidR="004F0DB1" w:rsidRPr="00D30847" w:rsidRDefault="004F0DB1" w:rsidP="004F0DB1">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vAlign w:val="center"/>
            <w:hideMark/>
          </w:tcPr>
          <w:p w14:paraId="395A75FF" w14:textId="77777777" w:rsidR="004F0DB1" w:rsidRPr="00D30847" w:rsidRDefault="004F0DB1" w:rsidP="004F0DB1">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5E6D81E4" w14:textId="433A627D" w:rsidR="004F0DB1" w:rsidRPr="00D30847" w:rsidRDefault="003C4B70" w:rsidP="004F0DB1">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2. Preparing and implementing several types of classifications - administrative/organizational, economic, program, functional classifications, as well as </w:t>
            </w:r>
            <w:r w:rsidRPr="00D30847">
              <w:rPr>
                <w:rFonts w:ascii="Arial" w:eastAsia="Times New Roman" w:hAnsi="Arial" w:cs="Arial"/>
                <w:sz w:val="12"/>
                <w:szCs w:val="12"/>
                <w:lang w:val="en-GB" w:eastAsia="mk-MK"/>
              </w:rPr>
              <w:lastRenderedPageBreak/>
              <w:t>classification of sources of financing;</w:t>
            </w:r>
          </w:p>
        </w:tc>
        <w:tc>
          <w:tcPr>
            <w:tcW w:w="1194" w:type="dxa"/>
            <w:gridSpan w:val="2"/>
            <w:shd w:val="clear" w:color="000000" w:fill="FFFF99"/>
            <w:vAlign w:val="center"/>
            <w:hideMark/>
          </w:tcPr>
          <w:p w14:paraId="2A1CE1E5" w14:textId="43AB34E2" w:rsidR="004F0DB1" w:rsidRPr="00D30847" w:rsidRDefault="004F0DB1" w:rsidP="004F0DB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lastRenderedPageBreak/>
              <w:t>202</w:t>
            </w:r>
            <w:r w:rsidR="00472503" w:rsidRPr="00D30847">
              <w:rPr>
                <w:rFonts w:ascii="Arial" w:eastAsia="Times New Roman" w:hAnsi="Arial" w:cs="Arial"/>
                <w:sz w:val="12"/>
                <w:szCs w:val="12"/>
                <w:lang w:val="en-GB" w:eastAsia="mk-MK"/>
              </w:rPr>
              <w:t>5</w:t>
            </w:r>
            <w:r w:rsidRPr="00D30847">
              <w:rPr>
                <w:rFonts w:ascii="Arial" w:eastAsia="Times New Roman" w:hAnsi="Arial" w:cs="Arial"/>
                <w:sz w:val="12"/>
                <w:szCs w:val="12"/>
                <w:lang w:val="en-GB" w:eastAsia="mk-MK"/>
              </w:rPr>
              <w:t>-202</w:t>
            </w:r>
            <w:r w:rsidR="00C11AA8" w:rsidRPr="00D30847">
              <w:rPr>
                <w:rFonts w:ascii="Arial" w:eastAsia="Times New Roman" w:hAnsi="Arial" w:cs="Arial"/>
                <w:sz w:val="12"/>
                <w:szCs w:val="12"/>
                <w:lang w:val="en-GB" w:eastAsia="mk-MK"/>
              </w:rPr>
              <w:t>8</w:t>
            </w:r>
          </w:p>
        </w:tc>
        <w:tc>
          <w:tcPr>
            <w:tcW w:w="1418" w:type="dxa"/>
            <w:gridSpan w:val="3"/>
            <w:shd w:val="clear" w:color="000000" w:fill="FFFF99"/>
            <w:vAlign w:val="center"/>
            <w:hideMark/>
          </w:tcPr>
          <w:p w14:paraId="3112CE68" w14:textId="3A9A5727" w:rsidR="004F0DB1" w:rsidRPr="00D30847" w:rsidRDefault="00263A7B" w:rsidP="004F0DB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Budget and Funds Department</w:t>
            </w:r>
          </w:p>
        </w:tc>
        <w:tc>
          <w:tcPr>
            <w:tcW w:w="1644" w:type="dxa"/>
            <w:gridSpan w:val="3"/>
            <w:shd w:val="clear" w:color="000000" w:fill="FFFF99"/>
            <w:vAlign w:val="center"/>
            <w:hideMark/>
          </w:tcPr>
          <w:p w14:paraId="398538CF" w14:textId="3DC903D3" w:rsidR="004F0DB1" w:rsidRPr="00D30847" w:rsidRDefault="004F0DB1" w:rsidP="004F0DB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Budget</w:t>
            </w:r>
            <w:r w:rsidR="003C4B7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user</w:t>
            </w:r>
          </w:p>
        </w:tc>
        <w:tc>
          <w:tcPr>
            <w:tcW w:w="1758" w:type="dxa"/>
            <w:gridSpan w:val="4"/>
            <w:shd w:val="clear" w:color="000000" w:fill="FFFF99"/>
            <w:hideMark/>
          </w:tcPr>
          <w:p w14:paraId="3219EACB" w14:textId="77777777" w:rsidR="003C4B70" w:rsidRPr="00D30847" w:rsidRDefault="003C4B70" w:rsidP="003C4B70">
            <w:pPr>
              <w:spacing w:after="0" w:line="240" w:lineRule="auto"/>
              <w:jc w:val="center"/>
              <w:rPr>
                <w:sz w:val="12"/>
                <w:szCs w:val="12"/>
                <w:lang w:val="en-GB"/>
              </w:rPr>
            </w:pPr>
          </w:p>
          <w:p w14:paraId="6F96AC50" w14:textId="77777777" w:rsidR="003C4B70" w:rsidRPr="00D30847" w:rsidRDefault="003C4B70" w:rsidP="003C4B70">
            <w:pPr>
              <w:spacing w:after="0" w:line="240" w:lineRule="auto"/>
              <w:jc w:val="center"/>
              <w:rPr>
                <w:sz w:val="12"/>
                <w:szCs w:val="12"/>
                <w:lang w:val="en-GB"/>
              </w:rPr>
            </w:pPr>
          </w:p>
          <w:p w14:paraId="57CE0E57" w14:textId="77777777" w:rsidR="003C4B70" w:rsidRPr="00D30847" w:rsidRDefault="003C4B70" w:rsidP="003C4B70">
            <w:pPr>
              <w:spacing w:after="0" w:line="240" w:lineRule="auto"/>
              <w:jc w:val="center"/>
              <w:rPr>
                <w:sz w:val="12"/>
                <w:szCs w:val="12"/>
                <w:lang w:val="en-GB"/>
              </w:rPr>
            </w:pPr>
          </w:p>
          <w:p w14:paraId="46E12C8C" w14:textId="1A18A9E1" w:rsidR="004F0DB1" w:rsidRPr="00D30847" w:rsidRDefault="00C11AA8" w:rsidP="003C4B70">
            <w:pPr>
              <w:spacing w:after="0" w:line="240" w:lineRule="auto"/>
              <w:jc w:val="center"/>
              <w:rPr>
                <w:rFonts w:ascii="Arial" w:eastAsia="Times New Roman" w:hAnsi="Arial" w:cs="Arial"/>
                <w:sz w:val="12"/>
                <w:szCs w:val="12"/>
                <w:lang w:val="en-GB" w:eastAsia="mk-MK"/>
              </w:rPr>
            </w:pPr>
            <w:r w:rsidRPr="00D30847">
              <w:rPr>
                <w:sz w:val="12"/>
                <w:szCs w:val="12"/>
                <w:lang w:val="en-GB"/>
              </w:rPr>
              <w:t>432</w:t>
            </w:r>
            <w:r w:rsidR="00583C72" w:rsidRPr="00D30847">
              <w:rPr>
                <w:sz w:val="12"/>
                <w:szCs w:val="12"/>
                <w:lang w:val="en-GB"/>
              </w:rPr>
              <w:t>,000</w:t>
            </w:r>
          </w:p>
        </w:tc>
        <w:tc>
          <w:tcPr>
            <w:tcW w:w="1842" w:type="dxa"/>
            <w:gridSpan w:val="4"/>
            <w:shd w:val="clear" w:color="000000" w:fill="FFFF99"/>
            <w:hideMark/>
          </w:tcPr>
          <w:p w14:paraId="65961358" w14:textId="77777777" w:rsidR="003C4B70" w:rsidRPr="00D30847" w:rsidRDefault="003C4B70" w:rsidP="003C4B70">
            <w:pPr>
              <w:spacing w:after="0" w:line="240" w:lineRule="auto"/>
              <w:jc w:val="center"/>
              <w:rPr>
                <w:sz w:val="12"/>
                <w:szCs w:val="12"/>
                <w:lang w:val="en-GB"/>
              </w:rPr>
            </w:pPr>
          </w:p>
          <w:p w14:paraId="100C01C2" w14:textId="77777777" w:rsidR="003C4B70" w:rsidRPr="00D30847" w:rsidRDefault="003C4B70" w:rsidP="003C4B70">
            <w:pPr>
              <w:spacing w:after="0" w:line="240" w:lineRule="auto"/>
              <w:jc w:val="center"/>
              <w:rPr>
                <w:sz w:val="12"/>
                <w:szCs w:val="12"/>
                <w:lang w:val="en-GB"/>
              </w:rPr>
            </w:pPr>
          </w:p>
          <w:p w14:paraId="62AE91D6" w14:textId="77777777" w:rsidR="003C4B70" w:rsidRPr="00D30847" w:rsidRDefault="003C4B70" w:rsidP="003C4B70">
            <w:pPr>
              <w:spacing w:after="0" w:line="240" w:lineRule="auto"/>
              <w:jc w:val="center"/>
              <w:rPr>
                <w:sz w:val="12"/>
                <w:szCs w:val="12"/>
                <w:lang w:val="en-GB"/>
              </w:rPr>
            </w:pPr>
          </w:p>
          <w:p w14:paraId="4776DE69" w14:textId="37AC2906" w:rsidR="004F0DB1" w:rsidRPr="00D30847" w:rsidRDefault="006A55CA" w:rsidP="003C4B70">
            <w:pPr>
              <w:spacing w:after="0" w:line="240" w:lineRule="auto"/>
              <w:jc w:val="center"/>
              <w:rPr>
                <w:rFonts w:ascii="Arial" w:eastAsia="Times New Roman" w:hAnsi="Arial" w:cs="Arial"/>
                <w:sz w:val="12"/>
                <w:szCs w:val="12"/>
                <w:lang w:val="en-GB" w:eastAsia="mk-MK"/>
              </w:rPr>
            </w:pPr>
            <w:r w:rsidRPr="00D30847">
              <w:rPr>
                <w:sz w:val="12"/>
                <w:szCs w:val="12"/>
                <w:lang w:val="en-GB"/>
              </w:rPr>
              <w:t>US Treasury</w:t>
            </w:r>
          </w:p>
        </w:tc>
        <w:tc>
          <w:tcPr>
            <w:tcW w:w="1506" w:type="dxa"/>
            <w:gridSpan w:val="4"/>
            <w:shd w:val="clear" w:color="000000" w:fill="FFFF99"/>
            <w:hideMark/>
          </w:tcPr>
          <w:p w14:paraId="363F3D09" w14:textId="0A5BA909" w:rsidR="004F0DB1" w:rsidRPr="00D30847" w:rsidRDefault="00FD4DDE" w:rsidP="004F0DB1">
            <w:pPr>
              <w:spacing w:after="0" w:line="240" w:lineRule="auto"/>
              <w:jc w:val="center"/>
              <w:rPr>
                <w:rFonts w:ascii="Arial" w:eastAsia="Times New Roman" w:hAnsi="Arial" w:cs="Arial"/>
                <w:sz w:val="12"/>
                <w:szCs w:val="12"/>
                <w:lang w:val="en-GB" w:eastAsia="mk-MK"/>
              </w:rPr>
            </w:pPr>
            <w:r>
              <w:rPr>
                <w:rFonts w:ascii="Arial" w:eastAsia="Times New Roman" w:hAnsi="Arial" w:cs="Arial"/>
                <w:sz w:val="12"/>
                <w:szCs w:val="12"/>
                <w:lang w:val="en-GB" w:eastAsia="mk-MK"/>
              </w:rPr>
              <w:t>/</w:t>
            </w:r>
          </w:p>
        </w:tc>
      </w:tr>
      <w:tr w:rsidR="00583C72" w:rsidRPr="00D30847" w14:paraId="713EBB03" w14:textId="77777777" w:rsidTr="00FD4DDE">
        <w:trPr>
          <w:gridBefore w:val="3"/>
          <w:gridAfter w:val="1"/>
          <w:wBefore w:w="37" w:type="dxa"/>
          <w:wAfter w:w="52" w:type="dxa"/>
          <w:trHeight w:val="840"/>
          <w:jc w:val="center"/>
        </w:trPr>
        <w:tc>
          <w:tcPr>
            <w:tcW w:w="1288" w:type="dxa"/>
            <w:tcBorders>
              <w:top w:val="nil"/>
              <w:left w:val="nil"/>
              <w:bottom w:val="nil"/>
              <w:right w:val="nil"/>
            </w:tcBorders>
            <w:shd w:val="clear" w:color="auto" w:fill="auto"/>
            <w:vAlign w:val="center"/>
            <w:hideMark/>
          </w:tcPr>
          <w:p w14:paraId="51A17C34" w14:textId="77777777" w:rsidR="00583C72" w:rsidRPr="00D30847" w:rsidRDefault="00583C72" w:rsidP="00485BAA">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vAlign w:val="center"/>
            <w:hideMark/>
          </w:tcPr>
          <w:p w14:paraId="3B26AA5D" w14:textId="77777777" w:rsidR="00583C72" w:rsidRPr="00D30847" w:rsidRDefault="00583C72" w:rsidP="00485BAA">
            <w:pPr>
              <w:spacing w:after="0" w:line="240" w:lineRule="auto"/>
              <w:jc w:val="center"/>
              <w:rPr>
                <w:rFonts w:ascii="Arial" w:eastAsia="Times New Roman" w:hAnsi="Arial" w:cs="Arial"/>
                <w:sz w:val="12"/>
                <w:szCs w:val="12"/>
                <w:lang w:val="en-GB" w:eastAsia="mk-MK"/>
              </w:rPr>
            </w:pPr>
          </w:p>
        </w:tc>
        <w:tc>
          <w:tcPr>
            <w:tcW w:w="1836" w:type="dxa"/>
            <w:gridSpan w:val="5"/>
            <w:vMerge w:val="restart"/>
            <w:tcBorders>
              <w:left w:val="single" w:sz="8" w:space="0" w:color="000000"/>
            </w:tcBorders>
            <w:shd w:val="clear" w:color="000000" w:fill="FFFF99"/>
            <w:vAlign w:val="center"/>
            <w:hideMark/>
          </w:tcPr>
          <w:p w14:paraId="55627299" w14:textId="2EF5EE75" w:rsidR="00583C72" w:rsidRPr="00D30847" w:rsidRDefault="003C4B70"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 Strengthening of capacities, training of employees and budget beneficiaries</w:t>
            </w:r>
            <w:r w:rsidR="00C11AA8" w:rsidRPr="00D30847">
              <w:rPr>
                <w:rFonts w:ascii="Arial" w:eastAsia="Times New Roman" w:hAnsi="Arial" w:cs="Arial"/>
                <w:sz w:val="12"/>
                <w:szCs w:val="12"/>
                <w:lang w:val="en-GB" w:eastAsia="mk-MK"/>
              </w:rPr>
              <w:t>/ municipalities</w:t>
            </w:r>
          </w:p>
        </w:tc>
        <w:tc>
          <w:tcPr>
            <w:tcW w:w="1194" w:type="dxa"/>
            <w:gridSpan w:val="2"/>
            <w:vMerge w:val="restart"/>
            <w:shd w:val="clear" w:color="000000" w:fill="FFFF99"/>
            <w:vAlign w:val="center"/>
            <w:hideMark/>
          </w:tcPr>
          <w:p w14:paraId="3CD335FE" w14:textId="2B3FD9C3" w:rsidR="00583C72" w:rsidRPr="00D30847" w:rsidRDefault="00583C72"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C11AA8" w:rsidRPr="00D30847">
              <w:rPr>
                <w:rFonts w:ascii="Arial" w:eastAsia="Times New Roman" w:hAnsi="Arial" w:cs="Arial"/>
                <w:sz w:val="12"/>
                <w:szCs w:val="12"/>
                <w:lang w:val="en-GB" w:eastAsia="mk-MK"/>
              </w:rPr>
              <w:t>5</w:t>
            </w:r>
            <w:r w:rsidRPr="00D30847">
              <w:rPr>
                <w:rFonts w:ascii="Arial" w:eastAsia="Times New Roman" w:hAnsi="Arial" w:cs="Arial"/>
                <w:sz w:val="12"/>
                <w:szCs w:val="12"/>
                <w:lang w:val="en-GB" w:eastAsia="mk-MK"/>
              </w:rPr>
              <w:t>-202</w:t>
            </w:r>
            <w:r w:rsidR="00C11AA8" w:rsidRPr="00D30847">
              <w:rPr>
                <w:rFonts w:ascii="Arial" w:eastAsia="Times New Roman" w:hAnsi="Arial" w:cs="Arial"/>
                <w:sz w:val="12"/>
                <w:szCs w:val="12"/>
                <w:lang w:val="en-GB" w:eastAsia="mk-MK"/>
              </w:rPr>
              <w:t>8</w:t>
            </w:r>
          </w:p>
        </w:tc>
        <w:tc>
          <w:tcPr>
            <w:tcW w:w="1418" w:type="dxa"/>
            <w:gridSpan w:val="3"/>
            <w:vMerge w:val="restart"/>
            <w:shd w:val="clear" w:color="000000" w:fill="FFFF99"/>
            <w:vAlign w:val="center"/>
            <w:hideMark/>
          </w:tcPr>
          <w:p w14:paraId="0DCB2605" w14:textId="34A61016" w:rsidR="00583C72" w:rsidRPr="00D30847" w:rsidRDefault="00263A7B"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Budget Department</w:t>
            </w:r>
          </w:p>
        </w:tc>
        <w:tc>
          <w:tcPr>
            <w:tcW w:w="1644" w:type="dxa"/>
            <w:gridSpan w:val="3"/>
            <w:vMerge w:val="restart"/>
            <w:shd w:val="clear" w:color="000000" w:fill="FFFF99"/>
            <w:vAlign w:val="center"/>
            <w:hideMark/>
          </w:tcPr>
          <w:p w14:paraId="457E5200" w14:textId="7A4DCDC0" w:rsidR="00583C72" w:rsidRPr="00B763CD" w:rsidRDefault="00583C72" w:rsidP="00485BAA">
            <w:pPr>
              <w:spacing w:after="0" w:line="240" w:lineRule="auto"/>
              <w:jc w:val="center"/>
              <w:rPr>
                <w:rFonts w:ascii="Arial" w:eastAsia="Times New Roman" w:hAnsi="Arial" w:cs="Arial"/>
                <w:sz w:val="12"/>
                <w:szCs w:val="12"/>
                <w:lang w:eastAsia="mk-MK"/>
              </w:rPr>
            </w:pPr>
            <w:r w:rsidRPr="00D30847">
              <w:rPr>
                <w:rFonts w:ascii="Arial" w:eastAsia="Times New Roman" w:hAnsi="Arial" w:cs="Arial"/>
                <w:sz w:val="12"/>
                <w:szCs w:val="12"/>
                <w:lang w:val="en-GB" w:eastAsia="mk-MK"/>
              </w:rPr>
              <w:t> </w:t>
            </w:r>
            <w:r w:rsidR="00322909">
              <w:rPr>
                <w:rFonts w:ascii="Arial" w:eastAsia="Times New Roman" w:hAnsi="Arial" w:cs="Arial"/>
                <w:sz w:val="12"/>
                <w:szCs w:val="12"/>
                <w:lang w:val="en-GB" w:eastAsia="mk-MK"/>
              </w:rPr>
              <w:t>/</w:t>
            </w:r>
          </w:p>
        </w:tc>
        <w:tc>
          <w:tcPr>
            <w:tcW w:w="1758" w:type="dxa"/>
            <w:gridSpan w:val="4"/>
            <w:vMerge w:val="restart"/>
            <w:shd w:val="clear" w:color="000000" w:fill="FFFF99"/>
            <w:vAlign w:val="center"/>
            <w:hideMark/>
          </w:tcPr>
          <w:p w14:paraId="1A1CAF15" w14:textId="1353C6A2" w:rsidR="00583C72" w:rsidRPr="00D30847" w:rsidRDefault="00583C72" w:rsidP="003C4B70">
            <w:pPr>
              <w:spacing w:after="0" w:line="240" w:lineRule="auto"/>
              <w:jc w:val="center"/>
              <w:rPr>
                <w:rFonts w:ascii="Arial" w:eastAsia="Times New Roman" w:hAnsi="Arial" w:cs="Arial"/>
                <w:sz w:val="12"/>
                <w:szCs w:val="12"/>
                <w:lang w:val="en-GB" w:eastAsia="mk-MK"/>
              </w:rPr>
            </w:pPr>
          </w:p>
          <w:p w14:paraId="59756D61" w14:textId="61C3EBB7" w:rsidR="00583C72" w:rsidRPr="00D30847" w:rsidRDefault="00C11AA8" w:rsidP="003C4B70">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984</w:t>
            </w:r>
            <w:r w:rsidR="00583C72" w:rsidRPr="00D30847">
              <w:rPr>
                <w:rFonts w:ascii="Arial" w:eastAsia="Times New Roman" w:hAnsi="Arial" w:cs="Arial"/>
                <w:sz w:val="12"/>
                <w:szCs w:val="12"/>
                <w:lang w:val="en-GB" w:eastAsia="mk-MK"/>
              </w:rPr>
              <w:t>,000</w:t>
            </w:r>
          </w:p>
        </w:tc>
        <w:tc>
          <w:tcPr>
            <w:tcW w:w="1842" w:type="dxa"/>
            <w:gridSpan w:val="4"/>
            <w:vMerge w:val="restart"/>
            <w:shd w:val="clear" w:color="000000" w:fill="FFFF99"/>
            <w:vAlign w:val="center"/>
            <w:hideMark/>
          </w:tcPr>
          <w:p w14:paraId="08F1F749" w14:textId="379B0D87" w:rsidR="00583C72" w:rsidRPr="00D30847" w:rsidRDefault="00583C72" w:rsidP="003C4B70">
            <w:pPr>
              <w:spacing w:after="0" w:line="240" w:lineRule="auto"/>
              <w:jc w:val="center"/>
              <w:rPr>
                <w:rFonts w:ascii="Arial" w:eastAsia="Times New Roman" w:hAnsi="Arial" w:cs="Arial"/>
                <w:sz w:val="12"/>
                <w:szCs w:val="12"/>
                <w:lang w:val="en-GB" w:eastAsia="mk-MK"/>
              </w:rPr>
            </w:pPr>
          </w:p>
          <w:p w14:paraId="45A86537" w14:textId="5262D586" w:rsidR="00583C72" w:rsidRPr="00D30847" w:rsidRDefault="00583C72" w:rsidP="003C4B70">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US Treasury</w:t>
            </w:r>
          </w:p>
        </w:tc>
        <w:tc>
          <w:tcPr>
            <w:tcW w:w="1506" w:type="dxa"/>
            <w:gridSpan w:val="4"/>
            <w:vMerge w:val="restart"/>
            <w:shd w:val="clear" w:color="000000" w:fill="FFFF99"/>
            <w:vAlign w:val="center"/>
            <w:hideMark/>
          </w:tcPr>
          <w:p w14:paraId="683FC393" w14:textId="79707227" w:rsidR="00583C72" w:rsidRPr="00D30847" w:rsidRDefault="00FD4DDE" w:rsidP="00485BAA">
            <w:pPr>
              <w:spacing w:after="0" w:line="240" w:lineRule="auto"/>
              <w:jc w:val="center"/>
              <w:rPr>
                <w:rFonts w:ascii="Arial" w:eastAsia="Times New Roman" w:hAnsi="Arial" w:cs="Arial"/>
                <w:sz w:val="12"/>
                <w:szCs w:val="12"/>
                <w:lang w:val="en-GB" w:eastAsia="mk-MK"/>
              </w:rPr>
            </w:pPr>
            <w:r>
              <w:rPr>
                <w:rFonts w:ascii="Arial" w:eastAsia="Times New Roman" w:hAnsi="Arial" w:cs="Arial"/>
                <w:sz w:val="12"/>
                <w:szCs w:val="12"/>
                <w:lang w:val="en-GB" w:eastAsia="mk-MK"/>
              </w:rPr>
              <w:t>/</w:t>
            </w:r>
          </w:p>
        </w:tc>
      </w:tr>
      <w:tr w:rsidR="00583C72" w:rsidRPr="00D30847" w14:paraId="51D8794A" w14:textId="77777777" w:rsidTr="00FD4DDE">
        <w:trPr>
          <w:gridBefore w:val="3"/>
          <w:gridAfter w:val="1"/>
          <w:wBefore w:w="37" w:type="dxa"/>
          <w:wAfter w:w="52" w:type="dxa"/>
          <w:trHeight w:val="50"/>
          <w:jc w:val="center"/>
        </w:trPr>
        <w:tc>
          <w:tcPr>
            <w:tcW w:w="1288" w:type="dxa"/>
            <w:tcBorders>
              <w:top w:val="nil"/>
              <w:left w:val="nil"/>
              <w:bottom w:val="nil"/>
              <w:right w:val="nil"/>
            </w:tcBorders>
            <w:shd w:val="clear" w:color="auto" w:fill="auto"/>
            <w:vAlign w:val="center"/>
            <w:hideMark/>
          </w:tcPr>
          <w:p w14:paraId="0E994F6A" w14:textId="77777777" w:rsidR="00583C72" w:rsidRPr="00D30847" w:rsidRDefault="00583C72" w:rsidP="00485BAA">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vAlign w:val="center"/>
            <w:hideMark/>
          </w:tcPr>
          <w:p w14:paraId="2A884996" w14:textId="77777777" w:rsidR="00583C72" w:rsidRPr="00D30847" w:rsidRDefault="00583C72" w:rsidP="00485BAA">
            <w:pPr>
              <w:spacing w:after="0" w:line="240" w:lineRule="auto"/>
              <w:jc w:val="center"/>
              <w:rPr>
                <w:rFonts w:ascii="Arial" w:eastAsia="Times New Roman" w:hAnsi="Arial" w:cs="Arial"/>
                <w:sz w:val="12"/>
                <w:szCs w:val="12"/>
                <w:lang w:val="en-GB" w:eastAsia="mk-MK"/>
              </w:rPr>
            </w:pPr>
          </w:p>
        </w:tc>
        <w:tc>
          <w:tcPr>
            <w:tcW w:w="1836" w:type="dxa"/>
            <w:gridSpan w:val="5"/>
            <w:vMerge/>
            <w:tcBorders>
              <w:left w:val="single" w:sz="8" w:space="0" w:color="000000"/>
            </w:tcBorders>
            <w:vAlign w:val="center"/>
            <w:hideMark/>
          </w:tcPr>
          <w:p w14:paraId="497BBC2F" w14:textId="77777777" w:rsidR="00583C72" w:rsidRPr="00D30847" w:rsidRDefault="00583C72" w:rsidP="00485BAA">
            <w:pPr>
              <w:spacing w:after="0" w:line="240" w:lineRule="auto"/>
              <w:rPr>
                <w:rFonts w:ascii="Arial" w:eastAsia="Times New Roman" w:hAnsi="Arial" w:cs="Arial"/>
                <w:sz w:val="12"/>
                <w:szCs w:val="12"/>
                <w:lang w:val="en-GB" w:eastAsia="mk-MK"/>
              </w:rPr>
            </w:pPr>
          </w:p>
        </w:tc>
        <w:tc>
          <w:tcPr>
            <w:tcW w:w="1194" w:type="dxa"/>
            <w:gridSpan w:val="2"/>
            <w:vMerge/>
            <w:vAlign w:val="center"/>
            <w:hideMark/>
          </w:tcPr>
          <w:p w14:paraId="2AEF35DC" w14:textId="77777777" w:rsidR="00583C72" w:rsidRPr="00D30847" w:rsidRDefault="00583C72" w:rsidP="00485BAA">
            <w:pPr>
              <w:spacing w:after="0" w:line="240" w:lineRule="auto"/>
              <w:rPr>
                <w:rFonts w:ascii="Arial" w:eastAsia="Times New Roman" w:hAnsi="Arial" w:cs="Arial"/>
                <w:sz w:val="12"/>
                <w:szCs w:val="12"/>
                <w:lang w:val="en-GB" w:eastAsia="mk-MK"/>
              </w:rPr>
            </w:pPr>
          </w:p>
        </w:tc>
        <w:tc>
          <w:tcPr>
            <w:tcW w:w="1418" w:type="dxa"/>
            <w:gridSpan w:val="3"/>
            <w:vMerge/>
            <w:vAlign w:val="center"/>
            <w:hideMark/>
          </w:tcPr>
          <w:p w14:paraId="35F20A25" w14:textId="77777777" w:rsidR="00583C72" w:rsidRPr="00D30847" w:rsidRDefault="00583C72" w:rsidP="00485BAA">
            <w:pPr>
              <w:spacing w:after="0" w:line="240" w:lineRule="auto"/>
              <w:rPr>
                <w:rFonts w:ascii="Arial" w:eastAsia="Times New Roman" w:hAnsi="Arial" w:cs="Arial"/>
                <w:sz w:val="12"/>
                <w:szCs w:val="12"/>
                <w:lang w:val="en-GB" w:eastAsia="mk-MK"/>
              </w:rPr>
            </w:pPr>
          </w:p>
        </w:tc>
        <w:tc>
          <w:tcPr>
            <w:tcW w:w="1644" w:type="dxa"/>
            <w:gridSpan w:val="3"/>
            <w:vMerge/>
            <w:vAlign w:val="center"/>
            <w:hideMark/>
          </w:tcPr>
          <w:p w14:paraId="217C0363" w14:textId="77777777" w:rsidR="00583C72" w:rsidRPr="00D30847" w:rsidRDefault="00583C72" w:rsidP="00485BAA">
            <w:pPr>
              <w:spacing w:after="0" w:line="240" w:lineRule="auto"/>
              <w:rPr>
                <w:rFonts w:ascii="Arial" w:eastAsia="Times New Roman" w:hAnsi="Arial" w:cs="Arial"/>
                <w:sz w:val="12"/>
                <w:szCs w:val="12"/>
                <w:lang w:val="en-GB" w:eastAsia="mk-MK"/>
              </w:rPr>
            </w:pPr>
          </w:p>
        </w:tc>
        <w:tc>
          <w:tcPr>
            <w:tcW w:w="1758" w:type="dxa"/>
            <w:gridSpan w:val="4"/>
            <w:vMerge/>
            <w:shd w:val="clear" w:color="000000" w:fill="FFFF99"/>
            <w:vAlign w:val="center"/>
            <w:hideMark/>
          </w:tcPr>
          <w:p w14:paraId="2D9AAD8E" w14:textId="77777777" w:rsidR="00583C72" w:rsidRPr="00D30847" w:rsidRDefault="00583C72" w:rsidP="00485BAA">
            <w:pPr>
              <w:spacing w:after="0" w:line="240" w:lineRule="auto"/>
              <w:jc w:val="center"/>
              <w:rPr>
                <w:rFonts w:ascii="Arial" w:eastAsia="Times New Roman" w:hAnsi="Arial" w:cs="Arial"/>
                <w:sz w:val="12"/>
                <w:szCs w:val="12"/>
                <w:lang w:val="en-GB" w:eastAsia="mk-MK"/>
              </w:rPr>
            </w:pPr>
          </w:p>
        </w:tc>
        <w:tc>
          <w:tcPr>
            <w:tcW w:w="1842" w:type="dxa"/>
            <w:gridSpan w:val="4"/>
            <w:vMerge/>
            <w:shd w:val="clear" w:color="000000" w:fill="FFFF99"/>
            <w:vAlign w:val="center"/>
            <w:hideMark/>
          </w:tcPr>
          <w:p w14:paraId="2200EA18" w14:textId="77777777" w:rsidR="00583C72" w:rsidRPr="00D30847" w:rsidRDefault="00583C72" w:rsidP="00485BAA">
            <w:pPr>
              <w:spacing w:after="0" w:line="240" w:lineRule="auto"/>
              <w:jc w:val="center"/>
              <w:rPr>
                <w:rFonts w:ascii="Arial" w:eastAsia="Times New Roman" w:hAnsi="Arial" w:cs="Arial"/>
                <w:sz w:val="12"/>
                <w:szCs w:val="12"/>
                <w:lang w:val="en-GB" w:eastAsia="mk-MK"/>
              </w:rPr>
            </w:pPr>
          </w:p>
        </w:tc>
        <w:tc>
          <w:tcPr>
            <w:tcW w:w="1506" w:type="dxa"/>
            <w:gridSpan w:val="4"/>
            <w:vMerge/>
            <w:vAlign w:val="center"/>
            <w:hideMark/>
          </w:tcPr>
          <w:p w14:paraId="18215577" w14:textId="77777777" w:rsidR="00583C72" w:rsidRPr="00D30847" w:rsidRDefault="00583C72" w:rsidP="00485BAA">
            <w:pPr>
              <w:spacing w:after="0" w:line="240" w:lineRule="auto"/>
              <w:rPr>
                <w:rFonts w:ascii="Arial" w:eastAsia="Times New Roman" w:hAnsi="Arial" w:cs="Arial"/>
                <w:sz w:val="12"/>
                <w:szCs w:val="12"/>
                <w:lang w:val="en-GB" w:eastAsia="mk-MK"/>
              </w:rPr>
            </w:pPr>
          </w:p>
        </w:tc>
      </w:tr>
      <w:tr w:rsidR="00485BAA" w:rsidRPr="00D30847" w14:paraId="5F0B363E" w14:textId="77777777" w:rsidTr="00FD4DDE">
        <w:trPr>
          <w:gridBefore w:val="3"/>
          <w:gridAfter w:val="1"/>
          <w:wBefore w:w="37" w:type="dxa"/>
          <w:wAfter w:w="52" w:type="dxa"/>
          <w:trHeight w:val="209"/>
          <w:jc w:val="center"/>
        </w:trPr>
        <w:tc>
          <w:tcPr>
            <w:tcW w:w="13501" w:type="dxa"/>
            <w:gridSpan w:val="28"/>
            <w:shd w:val="clear" w:color="000000" w:fill="9BD2ED"/>
            <w:vAlign w:val="center"/>
            <w:hideMark/>
          </w:tcPr>
          <w:p w14:paraId="78B1FB86" w14:textId="38C4E15F"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Measure 3</w:t>
            </w:r>
            <w:r w:rsidR="00577A56" w:rsidRPr="00D30847">
              <w:rPr>
                <w:rFonts w:ascii="Arial" w:eastAsia="Times New Roman" w:hAnsi="Arial" w:cs="Arial"/>
                <w:b/>
                <w:bCs/>
                <w:sz w:val="12"/>
                <w:szCs w:val="12"/>
                <w:lang w:val="en-GB" w:eastAsia="mk-MK"/>
              </w:rPr>
              <w:t>.</w:t>
            </w:r>
            <w:r w:rsidRPr="00D30847">
              <w:rPr>
                <w:rFonts w:ascii="Arial" w:eastAsia="Times New Roman" w:hAnsi="Arial" w:cs="Arial"/>
                <w:b/>
                <w:bCs/>
                <w:sz w:val="12"/>
                <w:szCs w:val="12"/>
                <w:lang w:val="en-GB" w:eastAsia="mk-MK"/>
              </w:rPr>
              <w:t xml:space="preserve"> </w:t>
            </w:r>
            <w:r w:rsidR="00C11AA8" w:rsidRPr="00D30847">
              <w:rPr>
                <w:rFonts w:ascii="Arial" w:eastAsia="Times New Roman" w:hAnsi="Arial" w:cs="Arial"/>
                <w:b/>
                <w:bCs/>
                <w:sz w:val="12"/>
                <w:szCs w:val="12"/>
                <w:lang w:val="en-GB" w:eastAsia="mk-MK"/>
              </w:rPr>
              <w:t>Improved performance based budget</w:t>
            </w:r>
          </w:p>
        </w:tc>
      </w:tr>
      <w:tr w:rsidR="00485BAA" w:rsidRPr="00D30847" w14:paraId="4FA27435" w14:textId="77777777" w:rsidTr="00FD4DDE">
        <w:trPr>
          <w:gridBefore w:val="3"/>
          <w:gridAfter w:val="1"/>
          <w:wBefore w:w="37" w:type="dxa"/>
          <w:wAfter w:w="52" w:type="dxa"/>
          <w:trHeight w:val="390"/>
          <w:jc w:val="center"/>
        </w:trPr>
        <w:tc>
          <w:tcPr>
            <w:tcW w:w="2303" w:type="dxa"/>
            <w:gridSpan w:val="3"/>
            <w:vMerge w:val="restart"/>
            <w:tcBorders>
              <w:top w:val="nil"/>
              <w:left w:val="nil"/>
              <w:bottom w:val="nil"/>
              <w:right w:val="single" w:sz="8" w:space="0" w:color="000000"/>
            </w:tcBorders>
            <w:shd w:val="clear" w:color="auto" w:fill="auto"/>
            <w:vAlign w:val="center"/>
            <w:hideMark/>
          </w:tcPr>
          <w:p w14:paraId="4C2CDE63"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705C4B16" w14:textId="63A48C6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3C4B7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1FB98401" w14:textId="3AABCBC0"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3C4B7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2B09DB54" w14:textId="7406C84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C11AA8"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342FEB80" w14:textId="433D888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2D6A5A01" w14:textId="2AAAB8D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640B9D4C" w14:textId="72830E16"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2C9E4AA5" w14:textId="28C0625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8</w:t>
            </w:r>
          </w:p>
        </w:tc>
      </w:tr>
      <w:tr w:rsidR="004F0DB1" w:rsidRPr="00D30847" w14:paraId="10328017" w14:textId="77777777" w:rsidTr="00FD4DDE">
        <w:trPr>
          <w:gridBefore w:val="3"/>
          <w:gridAfter w:val="1"/>
          <w:wBefore w:w="37" w:type="dxa"/>
          <w:wAfter w:w="52" w:type="dxa"/>
          <w:trHeight w:val="289"/>
          <w:jc w:val="center"/>
        </w:trPr>
        <w:tc>
          <w:tcPr>
            <w:tcW w:w="2303" w:type="dxa"/>
            <w:gridSpan w:val="3"/>
            <w:vMerge/>
            <w:tcBorders>
              <w:top w:val="nil"/>
              <w:left w:val="nil"/>
              <w:bottom w:val="nil"/>
              <w:right w:val="single" w:sz="8" w:space="0" w:color="000000"/>
            </w:tcBorders>
            <w:vAlign w:val="center"/>
            <w:hideMark/>
          </w:tcPr>
          <w:p w14:paraId="2650EE0C" w14:textId="77777777" w:rsidR="004F0DB1" w:rsidRPr="00D30847" w:rsidRDefault="004F0DB1" w:rsidP="004F0DB1">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09C8FF34" w14:textId="52375B7D" w:rsidR="004F0DB1" w:rsidRPr="00D30847" w:rsidRDefault="004F0DB1" w:rsidP="004F0DB1">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Share</w:t>
            </w:r>
            <w:r w:rsidR="000D20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w:t>
            </w:r>
            <w:r w:rsidR="000D20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capital</w:t>
            </w:r>
            <w:r w:rsidR="000D20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in</w:t>
            </w:r>
            <w:r w:rsidR="000D20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total</w:t>
            </w:r>
            <w:r w:rsidR="000D20D0"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expenditures</w:t>
            </w:r>
          </w:p>
        </w:tc>
        <w:tc>
          <w:tcPr>
            <w:tcW w:w="1194" w:type="dxa"/>
            <w:gridSpan w:val="2"/>
            <w:shd w:val="clear" w:color="000000" w:fill="FFFF99"/>
            <w:vAlign w:val="center"/>
            <w:hideMark/>
          </w:tcPr>
          <w:p w14:paraId="7EF3343F" w14:textId="77777777" w:rsidR="004F0DB1" w:rsidRPr="00D30847" w:rsidRDefault="004F0DB1" w:rsidP="004F0DB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Budget</w:t>
            </w:r>
          </w:p>
        </w:tc>
        <w:tc>
          <w:tcPr>
            <w:tcW w:w="1418" w:type="dxa"/>
            <w:gridSpan w:val="3"/>
            <w:shd w:val="clear" w:color="000000" w:fill="FFFF99"/>
            <w:hideMark/>
          </w:tcPr>
          <w:p w14:paraId="5328443B" w14:textId="7789A9A6" w:rsidR="004F0DB1" w:rsidRPr="00D30847" w:rsidRDefault="00C11AA8" w:rsidP="004F0DB1">
            <w:pPr>
              <w:spacing w:after="0" w:line="240" w:lineRule="auto"/>
              <w:jc w:val="center"/>
              <w:rPr>
                <w:rFonts w:ascii="Arial" w:eastAsia="Times New Roman" w:hAnsi="Arial" w:cs="Arial"/>
                <w:sz w:val="12"/>
                <w:szCs w:val="12"/>
                <w:lang w:val="en-GB" w:eastAsia="mk-MK"/>
              </w:rPr>
            </w:pPr>
            <w:r w:rsidRPr="00D30847">
              <w:rPr>
                <w:sz w:val="12"/>
                <w:szCs w:val="12"/>
                <w:lang w:val="en-GB"/>
              </w:rPr>
              <w:t>13.6</w:t>
            </w:r>
            <w:r w:rsidR="006A55CA" w:rsidRPr="00D30847">
              <w:rPr>
                <w:sz w:val="12"/>
                <w:szCs w:val="12"/>
                <w:lang w:val="en-GB"/>
              </w:rPr>
              <w:t xml:space="preserve"> %</w:t>
            </w:r>
          </w:p>
        </w:tc>
        <w:tc>
          <w:tcPr>
            <w:tcW w:w="1644" w:type="dxa"/>
            <w:gridSpan w:val="3"/>
            <w:shd w:val="clear" w:color="000000" w:fill="FFFF99"/>
            <w:hideMark/>
          </w:tcPr>
          <w:p w14:paraId="4ACE6246" w14:textId="22547E68" w:rsidR="004F0DB1" w:rsidRPr="00D30847" w:rsidRDefault="00536FFE" w:rsidP="004F0DB1">
            <w:pPr>
              <w:spacing w:after="0" w:line="240" w:lineRule="auto"/>
              <w:jc w:val="center"/>
              <w:rPr>
                <w:rFonts w:ascii="Arial" w:eastAsia="Times New Roman" w:hAnsi="Arial" w:cs="Arial"/>
                <w:sz w:val="12"/>
                <w:szCs w:val="12"/>
                <w:lang w:val="en-GB" w:eastAsia="mk-MK"/>
              </w:rPr>
            </w:pPr>
            <w:r>
              <w:rPr>
                <w:sz w:val="12"/>
                <w:szCs w:val="12"/>
                <w:lang w:val="en-GB"/>
              </w:rPr>
              <w:t>11.8</w:t>
            </w:r>
            <w:r w:rsidR="006A55CA" w:rsidRPr="00D30847">
              <w:rPr>
                <w:sz w:val="12"/>
                <w:szCs w:val="12"/>
                <w:lang w:val="en-GB"/>
              </w:rPr>
              <w:t>%</w:t>
            </w:r>
          </w:p>
        </w:tc>
        <w:tc>
          <w:tcPr>
            <w:tcW w:w="1758" w:type="dxa"/>
            <w:gridSpan w:val="4"/>
            <w:shd w:val="clear" w:color="000000" w:fill="FFFF99"/>
            <w:hideMark/>
          </w:tcPr>
          <w:p w14:paraId="6A9D0546" w14:textId="1D873E25" w:rsidR="004F0DB1" w:rsidRPr="00D30847" w:rsidRDefault="00536FFE" w:rsidP="004F0DB1">
            <w:pPr>
              <w:spacing w:after="0" w:line="240" w:lineRule="auto"/>
              <w:jc w:val="center"/>
              <w:rPr>
                <w:rFonts w:ascii="Arial" w:eastAsia="Times New Roman" w:hAnsi="Arial" w:cs="Arial"/>
                <w:sz w:val="12"/>
                <w:szCs w:val="12"/>
                <w:lang w:val="en-GB" w:eastAsia="mk-MK"/>
              </w:rPr>
            </w:pPr>
            <w:r>
              <w:rPr>
                <w:sz w:val="12"/>
                <w:szCs w:val="12"/>
                <w:lang w:val="en-GB"/>
              </w:rPr>
              <w:t>12.5</w:t>
            </w:r>
            <w:r w:rsidR="006A55CA" w:rsidRPr="00D30847">
              <w:rPr>
                <w:sz w:val="12"/>
                <w:szCs w:val="12"/>
                <w:lang w:val="en-GB"/>
              </w:rPr>
              <w:t xml:space="preserve">% </w:t>
            </w:r>
          </w:p>
        </w:tc>
        <w:tc>
          <w:tcPr>
            <w:tcW w:w="1842" w:type="dxa"/>
            <w:gridSpan w:val="4"/>
            <w:shd w:val="clear" w:color="000000" w:fill="FFFF99"/>
            <w:hideMark/>
          </w:tcPr>
          <w:p w14:paraId="24E03336" w14:textId="6867C49E" w:rsidR="004F0DB1" w:rsidRPr="00D30847" w:rsidRDefault="006A55CA" w:rsidP="004F0DB1">
            <w:pPr>
              <w:spacing w:after="0" w:line="240" w:lineRule="auto"/>
              <w:jc w:val="center"/>
              <w:rPr>
                <w:rFonts w:ascii="Arial" w:eastAsia="Times New Roman" w:hAnsi="Arial" w:cs="Arial"/>
                <w:sz w:val="12"/>
                <w:szCs w:val="12"/>
                <w:lang w:val="en-GB" w:eastAsia="mk-MK"/>
              </w:rPr>
            </w:pPr>
            <w:r w:rsidRPr="00D30847">
              <w:rPr>
                <w:sz w:val="12"/>
                <w:szCs w:val="12"/>
                <w:lang w:val="en-GB"/>
              </w:rPr>
              <w:t>1</w:t>
            </w:r>
            <w:r w:rsidR="00C11AA8" w:rsidRPr="00D30847">
              <w:rPr>
                <w:sz w:val="12"/>
                <w:szCs w:val="12"/>
                <w:lang w:val="en-GB"/>
              </w:rPr>
              <w:t>2</w:t>
            </w:r>
            <w:r w:rsidR="00536FFE">
              <w:rPr>
                <w:sz w:val="12"/>
                <w:szCs w:val="12"/>
              </w:rPr>
              <w:t>,6</w:t>
            </w:r>
            <w:r w:rsidRPr="00D30847">
              <w:rPr>
                <w:sz w:val="12"/>
                <w:szCs w:val="12"/>
                <w:lang w:val="en-GB"/>
              </w:rPr>
              <w:t xml:space="preserve">% </w:t>
            </w:r>
          </w:p>
        </w:tc>
        <w:tc>
          <w:tcPr>
            <w:tcW w:w="1506" w:type="dxa"/>
            <w:gridSpan w:val="4"/>
            <w:shd w:val="clear" w:color="000000" w:fill="FFFF99"/>
            <w:hideMark/>
          </w:tcPr>
          <w:p w14:paraId="48195DDB" w14:textId="1DA621F3" w:rsidR="004F0DB1" w:rsidRPr="00D30847" w:rsidRDefault="00536FFE" w:rsidP="004F0DB1">
            <w:pPr>
              <w:spacing w:after="0" w:line="240" w:lineRule="auto"/>
              <w:jc w:val="center"/>
              <w:rPr>
                <w:rFonts w:ascii="Arial" w:eastAsia="Times New Roman" w:hAnsi="Arial" w:cs="Arial"/>
                <w:sz w:val="12"/>
                <w:szCs w:val="12"/>
                <w:lang w:val="en-GB" w:eastAsia="mk-MK"/>
              </w:rPr>
            </w:pPr>
            <w:r>
              <w:rPr>
                <w:sz w:val="12"/>
                <w:szCs w:val="12"/>
                <w:lang w:val="en-GB"/>
              </w:rPr>
              <w:t>13.2</w:t>
            </w:r>
            <w:r w:rsidR="006A55CA" w:rsidRPr="00D30847">
              <w:rPr>
                <w:sz w:val="12"/>
                <w:szCs w:val="12"/>
                <w:lang w:val="en-GB"/>
              </w:rPr>
              <w:t xml:space="preserve">% </w:t>
            </w:r>
          </w:p>
        </w:tc>
      </w:tr>
      <w:tr w:rsidR="00485BAA" w:rsidRPr="00D30847" w14:paraId="18947FCF" w14:textId="77777777" w:rsidTr="00FD4DDE">
        <w:trPr>
          <w:gridBefore w:val="3"/>
          <w:gridAfter w:val="1"/>
          <w:wBefore w:w="37" w:type="dxa"/>
          <w:wAfter w:w="52" w:type="dxa"/>
          <w:trHeight w:val="264"/>
          <w:jc w:val="center"/>
        </w:trPr>
        <w:tc>
          <w:tcPr>
            <w:tcW w:w="2303" w:type="dxa"/>
            <w:gridSpan w:val="3"/>
            <w:vMerge/>
            <w:tcBorders>
              <w:top w:val="nil"/>
              <w:left w:val="nil"/>
              <w:bottom w:val="nil"/>
              <w:right w:val="single" w:sz="8" w:space="0" w:color="000000"/>
            </w:tcBorders>
            <w:vAlign w:val="center"/>
            <w:hideMark/>
          </w:tcPr>
          <w:p w14:paraId="7C68AA8C"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bottom w:val="single" w:sz="8" w:space="0" w:color="000000"/>
            </w:tcBorders>
            <w:shd w:val="clear" w:color="000000" w:fill="9BD2ED"/>
            <w:vAlign w:val="center"/>
            <w:hideMark/>
          </w:tcPr>
          <w:p w14:paraId="5663C5E7"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4CAC114C" w14:textId="6BB4474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3C4B7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00207D69" w14:textId="7E1FA0B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3C4B7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7977CEBA" w14:textId="1E66A88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3C4B7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0442AE83"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0D2D7989" w14:textId="47E7EEFB"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3C4B7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3C4B70"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249C3B1D"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FD4DDE" w:rsidRPr="00D30847" w14:paraId="5DEEB854" w14:textId="77777777" w:rsidTr="00FD4DDE">
        <w:trPr>
          <w:gridBefore w:val="3"/>
          <w:gridAfter w:val="1"/>
          <w:wBefore w:w="37" w:type="dxa"/>
          <w:wAfter w:w="52" w:type="dxa"/>
          <w:trHeight w:val="950"/>
          <w:jc w:val="center"/>
        </w:trPr>
        <w:tc>
          <w:tcPr>
            <w:tcW w:w="2303" w:type="dxa"/>
            <w:gridSpan w:val="3"/>
            <w:vMerge/>
            <w:tcBorders>
              <w:top w:val="nil"/>
              <w:left w:val="nil"/>
              <w:bottom w:val="nil"/>
              <w:right w:val="single" w:sz="8" w:space="0" w:color="000000"/>
            </w:tcBorders>
            <w:vAlign w:val="center"/>
            <w:hideMark/>
          </w:tcPr>
          <w:p w14:paraId="13F7EB7D" w14:textId="77777777" w:rsidR="00FD4DDE" w:rsidRPr="00D30847" w:rsidRDefault="00FD4DDE"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2911D23C" w14:textId="30688154" w:rsidR="00FD4DDE" w:rsidRPr="00D30847" w:rsidRDefault="00FD4DDE"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1. Developing of multi-year indicators for measuring the success in the implementation of budget policies  </w:t>
            </w:r>
          </w:p>
        </w:tc>
        <w:tc>
          <w:tcPr>
            <w:tcW w:w="1194" w:type="dxa"/>
            <w:gridSpan w:val="2"/>
            <w:shd w:val="clear" w:color="000000" w:fill="FFFF99"/>
            <w:vAlign w:val="center"/>
            <w:hideMark/>
          </w:tcPr>
          <w:p w14:paraId="2BBB07A3" w14:textId="3F8BD374" w:rsidR="00FD4DDE" w:rsidRPr="00D30847" w:rsidRDefault="00FD4DDE"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18" w:type="dxa"/>
            <w:gridSpan w:val="3"/>
            <w:shd w:val="clear" w:color="000000" w:fill="FFFF99"/>
            <w:vAlign w:val="center"/>
            <w:hideMark/>
          </w:tcPr>
          <w:p w14:paraId="4120C8C3" w14:textId="1396C8A9" w:rsidR="00FD4DDE" w:rsidRPr="00D30847" w:rsidRDefault="00FD4DDE"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Budget Gov.</w:t>
            </w:r>
          </w:p>
        </w:tc>
        <w:tc>
          <w:tcPr>
            <w:tcW w:w="1644" w:type="dxa"/>
            <w:gridSpan w:val="3"/>
            <w:shd w:val="clear" w:color="000000" w:fill="FFFF99"/>
            <w:vAlign w:val="center"/>
            <w:hideMark/>
          </w:tcPr>
          <w:p w14:paraId="21C2C4CC" w14:textId="73737B33" w:rsidR="00FD4DDE" w:rsidRPr="00D30847" w:rsidRDefault="00FD4DDE"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Budget users/PE/JSC/</w:t>
            </w:r>
            <w:proofErr w:type="spellStart"/>
            <w:r w:rsidRPr="00D30847">
              <w:rPr>
                <w:rFonts w:ascii="Arial" w:eastAsia="Times New Roman" w:hAnsi="Arial" w:cs="Arial"/>
                <w:sz w:val="12"/>
                <w:szCs w:val="12"/>
                <w:lang w:val="en-GB" w:eastAsia="mk-MK"/>
              </w:rPr>
              <w:t>LSGu</w:t>
            </w:r>
            <w:proofErr w:type="spellEnd"/>
          </w:p>
        </w:tc>
        <w:tc>
          <w:tcPr>
            <w:tcW w:w="1758" w:type="dxa"/>
            <w:gridSpan w:val="4"/>
            <w:vMerge w:val="restart"/>
            <w:shd w:val="clear" w:color="000000" w:fill="FFFF99"/>
            <w:vAlign w:val="center"/>
            <w:hideMark/>
          </w:tcPr>
          <w:p w14:paraId="113C2FDD" w14:textId="1A9CA92E" w:rsidR="00FD4DDE" w:rsidRPr="00D30847" w:rsidRDefault="00FD4DDE"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360,000</w:t>
            </w:r>
          </w:p>
          <w:p w14:paraId="4804856C" w14:textId="0712FC84" w:rsidR="00FD4DDE" w:rsidRPr="00D30847" w:rsidRDefault="00FD4DDE" w:rsidP="00485BAA">
            <w:pPr>
              <w:spacing w:after="0" w:line="240" w:lineRule="auto"/>
              <w:jc w:val="center"/>
              <w:rPr>
                <w:rFonts w:ascii="Arial" w:eastAsia="Times New Roman" w:hAnsi="Arial" w:cs="Arial"/>
                <w:sz w:val="12"/>
                <w:szCs w:val="12"/>
                <w:lang w:val="en-GB" w:eastAsia="mk-MK"/>
              </w:rPr>
            </w:pPr>
          </w:p>
        </w:tc>
        <w:tc>
          <w:tcPr>
            <w:tcW w:w="1842" w:type="dxa"/>
            <w:gridSpan w:val="4"/>
            <w:vMerge w:val="restart"/>
            <w:shd w:val="clear" w:color="000000" w:fill="FFFF99"/>
            <w:vAlign w:val="center"/>
            <w:hideMark/>
          </w:tcPr>
          <w:p w14:paraId="4A67EA1D" w14:textId="64E62EEB" w:rsidR="00FD4DDE" w:rsidRPr="00D30847" w:rsidRDefault="00FD4DDE" w:rsidP="000D20D0">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US Treasury</w:t>
            </w:r>
          </w:p>
          <w:p w14:paraId="707F6CBA" w14:textId="212959D4" w:rsidR="00FD4DDE" w:rsidRPr="00D30847" w:rsidRDefault="00FD4DDE" w:rsidP="004F0DB1">
            <w:pPr>
              <w:spacing w:after="0" w:line="240" w:lineRule="auto"/>
              <w:jc w:val="center"/>
              <w:rPr>
                <w:rFonts w:ascii="Arial" w:eastAsia="Times New Roman" w:hAnsi="Arial" w:cs="Arial"/>
                <w:sz w:val="12"/>
                <w:szCs w:val="12"/>
                <w:lang w:val="en-GB" w:eastAsia="mk-MK"/>
              </w:rPr>
            </w:pPr>
          </w:p>
          <w:p w14:paraId="637B1C5F" w14:textId="151DF6A5" w:rsidR="00FD4DDE" w:rsidRPr="00D30847" w:rsidRDefault="00FD4DDE" w:rsidP="00C11AA8">
            <w:pPr>
              <w:spacing w:after="0" w:line="240" w:lineRule="auto"/>
              <w:jc w:val="center"/>
              <w:rPr>
                <w:rFonts w:ascii="Arial" w:eastAsia="Times New Roman" w:hAnsi="Arial" w:cs="Arial"/>
                <w:sz w:val="12"/>
                <w:szCs w:val="12"/>
                <w:lang w:val="en-GB" w:eastAsia="mk-MK"/>
              </w:rPr>
            </w:pPr>
          </w:p>
        </w:tc>
        <w:tc>
          <w:tcPr>
            <w:tcW w:w="1506" w:type="dxa"/>
            <w:gridSpan w:val="4"/>
            <w:vMerge w:val="restart"/>
            <w:shd w:val="clear" w:color="000000" w:fill="FFFF99"/>
            <w:vAlign w:val="center"/>
            <w:hideMark/>
          </w:tcPr>
          <w:p w14:paraId="04FC4BA5" w14:textId="009A0D25" w:rsidR="00FD4DDE" w:rsidRPr="00FD4DDE" w:rsidRDefault="00FD4DDE" w:rsidP="00485BAA">
            <w:pPr>
              <w:spacing w:after="0" w:line="240" w:lineRule="auto"/>
              <w:jc w:val="center"/>
              <w:rPr>
                <w:rFonts w:ascii="Arial" w:eastAsia="Times New Roman" w:hAnsi="Arial" w:cs="Arial"/>
                <w:sz w:val="12"/>
                <w:szCs w:val="12"/>
                <w:lang w:val="en-US" w:eastAsia="mk-MK"/>
              </w:rPr>
            </w:pPr>
            <w:r>
              <w:rPr>
                <w:rFonts w:ascii="Arial" w:eastAsia="Times New Roman" w:hAnsi="Arial" w:cs="Arial"/>
                <w:sz w:val="12"/>
                <w:szCs w:val="12"/>
                <w:lang w:val="en-US" w:eastAsia="mk-MK"/>
              </w:rPr>
              <w:t>/</w:t>
            </w:r>
          </w:p>
        </w:tc>
      </w:tr>
      <w:tr w:rsidR="00FD4DDE" w:rsidRPr="00D30847" w14:paraId="11024144" w14:textId="77777777" w:rsidTr="00FD4DDE">
        <w:trPr>
          <w:gridBefore w:val="3"/>
          <w:gridAfter w:val="1"/>
          <w:wBefore w:w="37" w:type="dxa"/>
          <w:wAfter w:w="52" w:type="dxa"/>
          <w:trHeight w:val="547"/>
          <w:jc w:val="center"/>
        </w:trPr>
        <w:tc>
          <w:tcPr>
            <w:tcW w:w="1288" w:type="dxa"/>
            <w:tcBorders>
              <w:top w:val="nil"/>
              <w:left w:val="nil"/>
              <w:bottom w:val="nil"/>
              <w:right w:val="nil"/>
            </w:tcBorders>
            <w:shd w:val="clear" w:color="auto" w:fill="auto"/>
            <w:vAlign w:val="center"/>
            <w:hideMark/>
          </w:tcPr>
          <w:p w14:paraId="2A2261FB" w14:textId="77777777" w:rsidR="00FD4DDE" w:rsidRPr="00D30847" w:rsidRDefault="00FD4DDE" w:rsidP="00485BAA">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vAlign w:val="center"/>
            <w:hideMark/>
          </w:tcPr>
          <w:p w14:paraId="0415B081" w14:textId="77777777" w:rsidR="00FD4DDE" w:rsidRPr="00D30847" w:rsidRDefault="00FD4DDE" w:rsidP="00485BAA">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4F2101EE" w14:textId="0FF98BC3" w:rsidR="00FD4DDE" w:rsidRPr="00D30847" w:rsidRDefault="00FD4DDE"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Preparing procedures for monitoring the impact of sectoral policies on performance indicators</w:t>
            </w:r>
          </w:p>
        </w:tc>
        <w:tc>
          <w:tcPr>
            <w:tcW w:w="1194" w:type="dxa"/>
            <w:gridSpan w:val="2"/>
            <w:shd w:val="clear" w:color="000000" w:fill="FFFF99"/>
            <w:vAlign w:val="center"/>
            <w:hideMark/>
          </w:tcPr>
          <w:p w14:paraId="4053E2B9" w14:textId="0D0BC091" w:rsidR="00FD4DDE" w:rsidRPr="00D30847" w:rsidRDefault="00FD4DDE"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18" w:type="dxa"/>
            <w:gridSpan w:val="3"/>
            <w:shd w:val="clear" w:color="000000" w:fill="FFFF99"/>
            <w:vAlign w:val="center"/>
            <w:hideMark/>
          </w:tcPr>
          <w:p w14:paraId="6D2DB62F" w14:textId="6F13AE08" w:rsidR="00FD4DDE" w:rsidRPr="00D30847" w:rsidRDefault="00FD4DDE"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Budget Gov.</w:t>
            </w:r>
          </w:p>
        </w:tc>
        <w:tc>
          <w:tcPr>
            <w:tcW w:w="1644" w:type="dxa"/>
            <w:gridSpan w:val="3"/>
            <w:shd w:val="clear" w:color="000000" w:fill="FFFF99"/>
            <w:vAlign w:val="center"/>
            <w:hideMark/>
          </w:tcPr>
          <w:p w14:paraId="0DB32742" w14:textId="304A38AF" w:rsidR="00FD4DDE" w:rsidRPr="00D30847" w:rsidRDefault="00FD4DDE"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Budget users/PE/JSC/</w:t>
            </w:r>
            <w:proofErr w:type="spellStart"/>
            <w:r w:rsidRPr="00D30847">
              <w:rPr>
                <w:rFonts w:ascii="Arial" w:eastAsia="Times New Roman" w:hAnsi="Arial" w:cs="Arial"/>
                <w:sz w:val="12"/>
                <w:szCs w:val="12"/>
                <w:lang w:val="en-GB" w:eastAsia="mk-MK"/>
              </w:rPr>
              <w:t>LSGu</w:t>
            </w:r>
            <w:proofErr w:type="spellEnd"/>
          </w:p>
        </w:tc>
        <w:tc>
          <w:tcPr>
            <w:tcW w:w="1758" w:type="dxa"/>
            <w:gridSpan w:val="4"/>
            <w:vMerge/>
            <w:shd w:val="clear" w:color="000000" w:fill="FFFF99"/>
            <w:vAlign w:val="center"/>
            <w:hideMark/>
          </w:tcPr>
          <w:p w14:paraId="2CF5BDF5" w14:textId="6703A0C9" w:rsidR="00FD4DDE" w:rsidRPr="00D30847" w:rsidRDefault="00FD4DDE" w:rsidP="00485BAA">
            <w:pPr>
              <w:spacing w:after="0" w:line="240" w:lineRule="auto"/>
              <w:jc w:val="center"/>
              <w:rPr>
                <w:rFonts w:ascii="Arial" w:eastAsia="Times New Roman" w:hAnsi="Arial" w:cs="Arial"/>
                <w:sz w:val="12"/>
                <w:szCs w:val="12"/>
                <w:lang w:val="en-GB" w:eastAsia="mk-MK"/>
              </w:rPr>
            </w:pPr>
          </w:p>
        </w:tc>
        <w:tc>
          <w:tcPr>
            <w:tcW w:w="1842" w:type="dxa"/>
            <w:gridSpan w:val="4"/>
            <w:vMerge/>
            <w:shd w:val="clear" w:color="000000" w:fill="FFFF99"/>
            <w:vAlign w:val="center"/>
            <w:hideMark/>
          </w:tcPr>
          <w:p w14:paraId="13650C84" w14:textId="4923FD3E" w:rsidR="00FD4DDE" w:rsidRPr="00D30847" w:rsidRDefault="00FD4DDE">
            <w:pPr>
              <w:spacing w:after="0" w:line="240" w:lineRule="auto"/>
              <w:jc w:val="center"/>
              <w:rPr>
                <w:rFonts w:ascii="Arial" w:eastAsia="Times New Roman" w:hAnsi="Arial" w:cs="Arial"/>
                <w:sz w:val="12"/>
                <w:szCs w:val="12"/>
                <w:lang w:val="en-GB" w:eastAsia="mk-MK"/>
              </w:rPr>
            </w:pPr>
          </w:p>
        </w:tc>
        <w:tc>
          <w:tcPr>
            <w:tcW w:w="1506" w:type="dxa"/>
            <w:gridSpan w:val="4"/>
            <w:vMerge/>
            <w:shd w:val="clear" w:color="000000" w:fill="FFFF99"/>
            <w:vAlign w:val="center"/>
            <w:hideMark/>
          </w:tcPr>
          <w:p w14:paraId="269DDBB4" w14:textId="0E7819AE" w:rsidR="00FD4DDE" w:rsidRPr="00536FFE" w:rsidRDefault="00FD4DDE" w:rsidP="00485BAA">
            <w:pPr>
              <w:spacing w:after="0" w:line="240" w:lineRule="auto"/>
              <w:jc w:val="center"/>
              <w:rPr>
                <w:rFonts w:ascii="Arial" w:eastAsia="Times New Roman" w:hAnsi="Arial" w:cs="Arial"/>
                <w:sz w:val="12"/>
                <w:szCs w:val="12"/>
                <w:lang w:eastAsia="mk-MK"/>
              </w:rPr>
            </w:pPr>
          </w:p>
        </w:tc>
      </w:tr>
      <w:tr w:rsidR="007755BE" w:rsidRPr="00D30847" w14:paraId="041E1B37" w14:textId="77777777" w:rsidTr="00FD4DDE">
        <w:trPr>
          <w:gridBefore w:val="2"/>
          <w:gridAfter w:val="1"/>
          <w:wBefore w:w="20" w:type="dxa"/>
          <w:wAfter w:w="52" w:type="dxa"/>
          <w:trHeight w:val="209"/>
          <w:jc w:val="center"/>
        </w:trPr>
        <w:tc>
          <w:tcPr>
            <w:tcW w:w="13518" w:type="dxa"/>
            <w:gridSpan w:val="29"/>
            <w:shd w:val="clear" w:color="000000" w:fill="9BD2ED"/>
            <w:vAlign w:val="center"/>
            <w:hideMark/>
          </w:tcPr>
          <w:p w14:paraId="6882FC83" w14:textId="3ED9928B" w:rsidR="007755BE" w:rsidRPr="00D30847" w:rsidRDefault="007755BE" w:rsidP="00497F2C">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Measure</w:t>
            </w:r>
            <w:r w:rsidR="00577A5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4</w:t>
            </w:r>
            <w:r w:rsidR="00577A5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Spending</w:t>
            </w:r>
            <w:r w:rsidR="00FF6D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review</w:t>
            </w:r>
          </w:p>
        </w:tc>
      </w:tr>
      <w:tr w:rsidR="007755BE" w:rsidRPr="00D30847" w14:paraId="621622E5" w14:textId="77777777" w:rsidTr="00FD4DDE">
        <w:trPr>
          <w:gridBefore w:val="2"/>
          <w:gridAfter w:val="1"/>
          <w:wBefore w:w="20" w:type="dxa"/>
          <w:wAfter w:w="52" w:type="dxa"/>
          <w:trHeight w:val="277"/>
          <w:jc w:val="center"/>
        </w:trPr>
        <w:tc>
          <w:tcPr>
            <w:tcW w:w="2320" w:type="dxa"/>
            <w:gridSpan w:val="4"/>
            <w:vMerge w:val="restart"/>
            <w:tcBorders>
              <w:top w:val="nil"/>
              <w:left w:val="nil"/>
              <w:bottom w:val="nil"/>
              <w:right w:val="single" w:sz="8" w:space="0" w:color="000000"/>
            </w:tcBorders>
            <w:shd w:val="clear" w:color="auto" w:fill="auto"/>
            <w:vAlign w:val="center"/>
            <w:hideMark/>
          </w:tcPr>
          <w:p w14:paraId="1206B67E" w14:textId="77777777" w:rsidR="007755BE" w:rsidRPr="00D30847" w:rsidRDefault="007755BE" w:rsidP="00497F2C">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2693CB61" w14:textId="32B87ED4" w:rsidR="007755BE" w:rsidRPr="00D30847" w:rsidRDefault="007755BE" w:rsidP="00AF1506">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0EEE0648" w14:textId="6AE654E5" w:rsidR="007755BE" w:rsidRPr="00D30847" w:rsidRDefault="007755BE" w:rsidP="00AF1506">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5C73BAEA" w14:textId="61086B6E" w:rsidR="007755BE" w:rsidRPr="00D30847" w:rsidRDefault="007755BE" w:rsidP="00AF1506">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C11AA8"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5ED69D24" w14:textId="1B0E44FD" w:rsidR="007755BE" w:rsidRPr="00D30847" w:rsidRDefault="007755BE" w:rsidP="00AF1506">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6A574AC3" w14:textId="0D795237" w:rsidR="007755BE" w:rsidRPr="00D30847" w:rsidRDefault="007755BE" w:rsidP="00AF1506">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31DC0F21" w14:textId="0253B338" w:rsidR="007755BE" w:rsidRPr="00D30847" w:rsidRDefault="007755BE" w:rsidP="00AF1506">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623D3B3B" w14:textId="600F1766" w:rsidR="007755BE" w:rsidRPr="00D30847" w:rsidRDefault="007755BE" w:rsidP="00AF1506">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C11AA8" w:rsidRPr="00D30847">
              <w:rPr>
                <w:rFonts w:ascii="Arial" w:eastAsia="Times New Roman" w:hAnsi="Arial" w:cs="Arial"/>
                <w:b/>
                <w:bCs/>
                <w:sz w:val="12"/>
                <w:szCs w:val="12"/>
                <w:lang w:val="en-GB" w:eastAsia="mk-MK"/>
              </w:rPr>
              <w:t>8</w:t>
            </w:r>
          </w:p>
        </w:tc>
      </w:tr>
      <w:tr w:rsidR="007755BE" w:rsidRPr="00D30847" w14:paraId="4AA49B7F" w14:textId="77777777" w:rsidTr="00FD4DDE">
        <w:trPr>
          <w:gridBefore w:val="2"/>
          <w:gridAfter w:val="1"/>
          <w:wBefore w:w="20" w:type="dxa"/>
          <w:wAfter w:w="52" w:type="dxa"/>
          <w:trHeight w:val="289"/>
          <w:jc w:val="center"/>
        </w:trPr>
        <w:tc>
          <w:tcPr>
            <w:tcW w:w="2320" w:type="dxa"/>
            <w:gridSpan w:val="4"/>
            <w:vMerge/>
            <w:tcBorders>
              <w:top w:val="nil"/>
              <w:left w:val="nil"/>
              <w:bottom w:val="nil"/>
              <w:right w:val="single" w:sz="8" w:space="0" w:color="000000"/>
            </w:tcBorders>
            <w:vAlign w:val="center"/>
            <w:hideMark/>
          </w:tcPr>
          <w:p w14:paraId="06458A94" w14:textId="77777777" w:rsidR="007755BE" w:rsidRPr="00D30847" w:rsidRDefault="007755BE" w:rsidP="00497F2C">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34E20C02" w14:textId="77198FEE" w:rsidR="007755BE" w:rsidRPr="00D30847" w:rsidRDefault="00536FFE" w:rsidP="00497F2C">
            <w:pPr>
              <w:spacing w:after="0" w:line="240" w:lineRule="auto"/>
              <w:rPr>
                <w:rFonts w:ascii="Arial" w:eastAsia="Times New Roman" w:hAnsi="Arial" w:cs="Arial"/>
                <w:sz w:val="12"/>
                <w:szCs w:val="12"/>
                <w:lang w:val="en-GB" w:eastAsia="mk-MK"/>
              </w:rPr>
            </w:pPr>
            <w:r>
              <w:rPr>
                <w:rFonts w:ascii="Arial" w:eastAsia="Times New Roman" w:hAnsi="Arial" w:cs="Arial"/>
                <w:sz w:val="12"/>
                <w:szCs w:val="12"/>
                <w:lang w:val="en-GB" w:eastAsia="mk-MK"/>
              </w:rPr>
              <w:t xml:space="preserve">Share of </w:t>
            </w:r>
            <w:proofErr w:type="spellStart"/>
            <w:r>
              <w:rPr>
                <w:rFonts w:ascii="Arial" w:eastAsia="Times New Roman" w:hAnsi="Arial" w:cs="Arial"/>
                <w:sz w:val="12"/>
                <w:szCs w:val="12"/>
                <w:lang w:val="en-GB" w:eastAsia="mk-MK"/>
              </w:rPr>
              <w:t>curent</w:t>
            </w:r>
            <w:proofErr w:type="spellEnd"/>
            <w:r>
              <w:rPr>
                <w:rFonts w:ascii="Arial" w:eastAsia="Times New Roman" w:hAnsi="Arial" w:cs="Arial"/>
                <w:sz w:val="12"/>
                <w:szCs w:val="12"/>
                <w:lang w:val="en-GB" w:eastAsia="mk-MK"/>
              </w:rPr>
              <w:t xml:space="preserve"> </w:t>
            </w:r>
            <w:r w:rsidR="007755BE" w:rsidRPr="00D30847">
              <w:rPr>
                <w:rFonts w:ascii="Arial" w:eastAsia="Times New Roman" w:hAnsi="Arial" w:cs="Arial"/>
                <w:sz w:val="12"/>
                <w:szCs w:val="12"/>
                <w:lang w:val="en-GB" w:eastAsia="mk-MK"/>
              </w:rPr>
              <w:t>expenditure</w:t>
            </w:r>
            <w:r w:rsidR="00AF1506" w:rsidRPr="00D30847">
              <w:rPr>
                <w:rFonts w:ascii="Arial" w:eastAsia="Times New Roman" w:hAnsi="Arial" w:cs="Arial"/>
                <w:sz w:val="12"/>
                <w:szCs w:val="12"/>
                <w:lang w:val="en-GB" w:eastAsia="mk-MK"/>
              </w:rPr>
              <w:t xml:space="preserve"> </w:t>
            </w:r>
            <w:r w:rsidR="007755BE" w:rsidRPr="00D30847">
              <w:rPr>
                <w:rFonts w:ascii="Arial" w:eastAsia="Times New Roman" w:hAnsi="Arial" w:cs="Arial"/>
                <w:sz w:val="12"/>
                <w:szCs w:val="12"/>
                <w:lang w:val="en-GB" w:eastAsia="mk-MK"/>
              </w:rPr>
              <w:t>in GDP</w:t>
            </w:r>
          </w:p>
        </w:tc>
        <w:tc>
          <w:tcPr>
            <w:tcW w:w="1194" w:type="dxa"/>
            <w:gridSpan w:val="2"/>
            <w:shd w:val="clear" w:color="000000" w:fill="FFFF99"/>
            <w:vAlign w:val="center"/>
            <w:hideMark/>
          </w:tcPr>
          <w:p w14:paraId="5EF38410" w14:textId="5EE7ED95" w:rsidR="007755BE" w:rsidRPr="00D30847" w:rsidRDefault="007755BE" w:rsidP="00497F2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fiscal</w:t>
            </w:r>
            <w:r w:rsidR="00AF150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strategy + annual</w:t>
            </w:r>
            <w:r w:rsidR="00AF150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budget</w:t>
            </w:r>
          </w:p>
        </w:tc>
        <w:tc>
          <w:tcPr>
            <w:tcW w:w="1418" w:type="dxa"/>
            <w:gridSpan w:val="3"/>
            <w:shd w:val="clear" w:color="000000" w:fill="FFFF99"/>
            <w:vAlign w:val="center"/>
            <w:hideMark/>
          </w:tcPr>
          <w:p w14:paraId="3F1E43C3" w14:textId="029259EE" w:rsidR="007755BE" w:rsidRPr="00D30847" w:rsidRDefault="00C11AA8" w:rsidP="00497F2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30.6</w:t>
            </w:r>
            <w:r w:rsidR="007755BE" w:rsidRPr="00D30847">
              <w:rPr>
                <w:rFonts w:ascii="Arial" w:eastAsia="Times New Roman" w:hAnsi="Arial" w:cs="Arial"/>
                <w:sz w:val="12"/>
                <w:szCs w:val="12"/>
                <w:lang w:val="en-GB" w:eastAsia="mk-MK"/>
              </w:rPr>
              <w:t>% of GDP</w:t>
            </w:r>
          </w:p>
        </w:tc>
        <w:tc>
          <w:tcPr>
            <w:tcW w:w="1644" w:type="dxa"/>
            <w:gridSpan w:val="3"/>
            <w:shd w:val="clear" w:color="000000" w:fill="FFFF99"/>
            <w:vAlign w:val="center"/>
            <w:hideMark/>
          </w:tcPr>
          <w:p w14:paraId="071A638A" w14:textId="45E86932" w:rsidR="007755BE" w:rsidRPr="00D30847" w:rsidRDefault="00536FFE" w:rsidP="00497F2C">
            <w:pPr>
              <w:spacing w:after="0" w:line="240" w:lineRule="auto"/>
              <w:jc w:val="center"/>
              <w:rPr>
                <w:rFonts w:ascii="Arial" w:eastAsia="Times New Roman" w:hAnsi="Arial" w:cs="Arial"/>
                <w:sz w:val="12"/>
                <w:szCs w:val="12"/>
                <w:lang w:val="en-GB" w:eastAsia="mk-MK"/>
              </w:rPr>
            </w:pPr>
            <w:r>
              <w:rPr>
                <w:rFonts w:ascii="Arial" w:eastAsia="Times New Roman" w:hAnsi="Arial" w:cs="Arial"/>
                <w:sz w:val="12"/>
                <w:szCs w:val="12"/>
                <w:lang w:val="en-GB" w:eastAsia="mk-MK"/>
              </w:rPr>
              <w:t>34.5</w:t>
            </w:r>
            <w:r w:rsidR="007755BE" w:rsidRPr="00D30847">
              <w:rPr>
                <w:rFonts w:ascii="Arial" w:eastAsia="Times New Roman" w:hAnsi="Arial" w:cs="Arial"/>
                <w:sz w:val="12"/>
                <w:szCs w:val="12"/>
                <w:lang w:val="en-GB" w:eastAsia="mk-MK"/>
              </w:rPr>
              <w:t>% of GDP</w:t>
            </w:r>
          </w:p>
        </w:tc>
        <w:tc>
          <w:tcPr>
            <w:tcW w:w="1758" w:type="dxa"/>
            <w:gridSpan w:val="4"/>
            <w:shd w:val="clear" w:color="000000" w:fill="FFFF99"/>
            <w:vAlign w:val="center"/>
            <w:hideMark/>
          </w:tcPr>
          <w:p w14:paraId="1A69547D" w14:textId="488E695E" w:rsidR="007755BE" w:rsidRPr="00D30847" w:rsidRDefault="007755BE" w:rsidP="00497F2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34.</w:t>
            </w:r>
            <w:r w:rsidR="00536FFE">
              <w:rPr>
                <w:rFonts w:ascii="Arial" w:eastAsia="Times New Roman" w:hAnsi="Arial" w:cs="Arial"/>
                <w:sz w:val="12"/>
                <w:szCs w:val="12"/>
                <w:lang w:val="en-GB" w:eastAsia="mk-MK"/>
              </w:rPr>
              <w:t>1</w:t>
            </w:r>
            <w:r w:rsidRPr="00D30847">
              <w:rPr>
                <w:rFonts w:ascii="Arial" w:eastAsia="Times New Roman" w:hAnsi="Arial" w:cs="Arial"/>
                <w:sz w:val="12"/>
                <w:szCs w:val="12"/>
                <w:lang w:val="en-GB" w:eastAsia="mk-MK"/>
              </w:rPr>
              <w:t>% of GDP</w:t>
            </w:r>
          </w:p>
        </w:tc>
        <w:tc>
          <w:tcPr>
            <w:tcW w:w="1842" w:type="dxa"/>
            <w:gridSpan w:val="4"/>
            <w:shd w:val="clear" w:color="000000" w:fill="FFFF99"/>
            <w:vAlign w:val="center"/>
            <w:hideMark/>
          </w:tcPr>
          <w:p w14:paraId="55DB1175" w14:textId="4EAB86E9" w:rsidR="007755BE" w:rsidRPr="00D30847" w:rsidRDefault="00536FFE" w:rsidP="00497F2C">
            <w:pPr>
              <w:spacing w:after="0" w:line="240" w:lineRule="auto"/>
              <w:jc w:val="center"/>
              <w:rPr>
                <w:rFonts w:ascii="Arial" w:eastAsia="Times New Roman" w:hAnsi="Arial" w:cs="Arial"/>
                <w:sz w:val="12"/>
                <w:szCs w:val="12"/>
                <w:lang w:val="en-GB" w:eastAsia="mk-MK"/>
              </w:rPr>
            </w:pPr>
            <w:r>
              <w:rPr>
                <w:rFonts w:ascii="Arial" w:eastAsia="Times New Roman" w:hAnsi="Arial" w:cs="Arial"/>
                <w:sz w:val="12"/>
                <w:szCs w:val="12"/>
                <w:lang w:val="en-GB" w:eastAsia="mk-MK"/>
              </w:rPr>
              <w:t>33</w:t>
            </w:r>
            <w:r w:rsidR="007755BE" w:rsidRPr="00D30847">
              <w:rPr>
                <w:rFonts w:ascii="Arial" w:eastAsia="Times New Roman" w:hAnsi="Arial" w:cs="Arial"/>
                <w:sz w:val="12"/>
                <w:szCs w:val="12"/>
                <w:lang w:val="en-GB" w:eastAsia="mk-MK"/>
              </w:rPr>
              <w:t>.</w:t>
            </w:r>
            <w:r>
              <w:rPr>
                <w:rFonts w:ascii="Arial" w:eastAsia="Times New Roman" w:hAnsi="Arial" w:cs="Arial"/>
                <w:sz w:val="12"/>
                <w:szCs w:val="12"/>
                <w:lang w:val="en-GB" w:eastAsia="mk-MK"/>
              </w:rPr>
              <w:t>7</w:t>
            </w:r>
            <w:r w:rsidR="007755BE" w:rsidRPr="00D30847">
              <w:rPr>
                <w:rFonts w:ascii="Arial" w:eastAsia="Times New Roman" w:hAnsi="Arial" w:cs="Arial"/>
                <w:sz w:val="12"/>
                <w:szCs w:val="12"/>
                <w:lang w:val="en-GB" w:eastAsia="mk-MK"/>
              </w:rPr>
              <w:t>% of GDP</w:t>
            </w:r>
          </w:p>
        </w:tc>
        <w:tc>
          <w:tcPr>
            <w:tcW w:w="1506" w:type="dxa"/>
            <w:gridSpan w:val="4"/>
            <w:shd w:val="clear" w:color="000000" w:fill="FFFF99"/>
            <w:vAlign w:val="center"/>
            <w:hideMark/>
          </w:tcPr>
          <w:p w14:paraId="50398B5F" w14:textId="3FF6BD47" w:rsidR="007755BE" w:rsidRPr="00D30847" w:rsidRDefault="00536FFE" w:rsidP="00497F2C">
            <w:pPr>
              <w:spacing w:after="0" w:line="240" w:lineRule="auto"/>
              <w:jc w:val="center"/>
              <w:rPr>
                <w:rFonts w:ascii="Arial" w:eastAsia="Times New Roman" w:hAnsi="Arial" w:cs="Arial"/>
                <w:sz w:val="12"/>
                <w:szCs w:val="12"/>
                <w:lang w:val="en-GB" w:eastAsia="mk-MK"/>
              </w:rPr>
            </w:pPr>
            <w:r>
              <w:rPr>
                <w:rFonts w:ascii="Arial" w:eastAsia="Times New Roman" w:hAnsi="Arial" w:cs="Arial"/>
                <w:sz w:val="12"/>
                <w:szCs w:val="12"/>
                <w:lang w:val="en-GB" w:eastAsia="mk-MK"/>
              </w:rPr>
              <w:t>33.5</w:t>
            </w:r>
            <w:r w:rsidR="007755BE" w:rsidRPr="00D30847">
              <w:rPr>
                <w:rFonts w:ascii="Arial" w:eastAsia="Times New Roman" w:hAnsi="Arial" w:cs="Arial"/>
                <w:sz w:val="12"/>
                <w:szCs w:val="12"/>
                <w:lang w:val="en-GB" w:eastAsia="mk-MK"/>
              </w:rPr>
              <w:t>% of GDP</w:t>
            </w:r>
          </w:p>
        </w:tc>
      </w:tr>
      <w:tr w:rsidR="007755BE" w:rsidRPr="00D30847" w14:paraId="5EBAB67E" w14:textId="77777777" w:rsidTr="00FD4DDE">
        <w:trPr>
          <w:gridBefore w:val="2"/>
          <w:gridAfter w:val="1"/>
          <w:wBefore w:w="20" w:type="dxa"/>
          <w:wAfter w:w="52" w:type="dxa"/>
          <w:trHeight w:val="264"/>
          <w:jc w:val="center"/>
        </w:trPr>
        <w:tc>
          <w:tcPr>
            <w:tcW w:w="2320" w:type="dxa"/>
            <w:gridSpan w:val="4"/>
            <w:vMerge/>
            <w:tcBorders>
              <w:top w:val="nil"/>
              <w:left w:val="nil"/>
              <w:bottom w:val="nil"/>
              <w:right w:val="single" w:sz="8" w:space="0" w:color="000000"/>
            </w:tcBorders>
            <w:vAlign w:val="center"/>
            <w:hideMark/>
          </w:tcPr>
          <w:p w14:paraId="27EE24C4" w14:textId="77777777" w:rsidR="007755BE" w:rsidRPr="00D30847" w:rsidRDefault="007755BE" w:rsidP="00497F2C">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bottom w:val="single" w:sz="8" w:space="0" w:color="000000"/>
            </w:tcBorders>
            <w:shd w:val="clear" w:color="000000" w:fill="9BD2ED"/>
            <w:vAlign w:val="center"/>
            <w:hideMark/>
          </w:tcPr>
          <w:p w14:paraId="76052D92" w14:textId="78A3EB89" w:rsidR="007755BE" w:rsidRPr="00D30847" w:rsidRDefault="007755BE" w:rsidP="00497F2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3FB226FC" w14:textId="58F8673E" w:rsidR="007755BE" w:rsidRPr="00D30847" w:rsidRDefault="007755BE" w:rsidP="00497F2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308E6F95" w14:textId="4C9D9129" w:rsidR="007755BE" w:rsidRPr="00D30847" w:rsidRDefault="007755BE" w:rsidP="00497F2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635B7F65" w14:textId="53D6B15A" w:rsidR="007755BE" w:rsidRPr="00D30847" w:rsidRDefault="007755BE" w:rsidP="00497F2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48331E7B" w14:textId="77777777" w:rsidR="007755BE" w:rsidRPr="00D30847" w:rsidRDefault="007755BE" w:rsidP="00497F2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6C2537E3" w14:textId="42103548" w:rsidR="007755BE" w:rsidRPr="00D30847" w:rsidRDefault="007755BE" w:rsidP="00497F2C">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6ADDEC2F" w14:textId="77777777" w:rsidR="007755BE" w:rsidRPr="00D30847" w:rsidRDefault="007755BE" w:rsidP="00497F2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FD4DDE" w:rsidRPr="00D30847" w14:paraId="6C7D5721" w14:textId="77777777" w:rsidTr="00FD4DDE">
        <w:trPr>
          <w:gridBefore w:val="2"/>
          <w:gridAfter w:val="1"/>
          <w:wBefore w:w="20" w:type="dxa"/>
          <w:wAfter w:w="52" w:type="dxa"/>
          <w:trHeight w:val="950"/>
          <w:jc w:val="center"/>
        </w:trPr>
        <w:tc>
          <w:tcPr>
            <w:tcW w:w="2320" w:type="dxa"/>
            <w:gridSpan w:val="4"/>
            <w:vMerge/>
            <w:tcBorders>
              <w:top w:val="nil"/>
              <w:left w:val="nil"/>
              <w:bottom w:val="nil"/>
              <w:right w:val="single" w:sz="8" w:space="0" w:color="000000"/>
            </w:tcBorders>
            <w:vAlign w:val="center"/>
            <w:hideMark/>
          </w:tcPr>
          <w:p w14:paraId="3BF7DD82" w14:textId="77777777" w:rsidR="00FD4DDE" w:rsidRPr="00D30847" w:rsidRDefault="00FD4DDE" w:rsidP="00497F2C">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4CF49C09" w14:textId="5F57A0BF" w:rsidR="00FD4DDE" w:rsidRPr="00D30847" w:rsidRDefault="00FD4DDE" w:rsidP="00AF1506">
            <w:pPr>
              <w:spacing w:after="0" w:line="240" w:lineRule="auto"/>
              <w:ind w:left="34"/>
              <w:jc w:val="both"/>
              <w:rPr>
                <w:rFonts w:cs="Calibri"/>
                <w:lang w:val="en-GB"/>
              </w:rPr>
            </w:pPr>
            <w:r w:rsidRPr="00D30847">
              <w:rPr>
                <w:rFonts w:ascii="Arial" w:eastAsia="Times New Roman" w:hAnsi="Arial" w:cs="Arial"/>
                <w:sz w:val="12"/>
                <w:szCs w:val="12"/>
                <w:lang w:val="en-GB" w:eastAsia="mk-MK"/>
              </w:rPr>
              <w:t>1. Build capacity at the MoF and line ministries</w:t>
            </w:r>
            <w:r w:rsidRPr="00D30847" w:rsidDel="002B0820">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for conducting Spending Reviews on a regular base</w:t>
            </w:r>
          </w:p>
          <w:p w14:paraId="3A87D475" w14:textId="77777777" w:rsidR="00FD4DDE" w:rsidRPr="00D30847" w:rsidRDefault="00FD4DDE" w:rsidP="00497F2C">
            <w:pPr>
              <w:spacing w:after="0" w:line="240" w:lineRule="auto"/>
              <w:rPr>
                <w:rFonts w:ascii="Arial" w:eastAsia="Times New Roman" w:hAnsi="Arial" w:cs="Arial"/>
                <w:sz w:val="12"/>
                <w:szCs w:val="12"/>
                <w:lang w:val="en-GB" w:eastAsia="mk-MK"/>
              </w:rPr>
            </w:pPr>
          </w:p>
        </w:tc>
        <w:tc>
          <w:tcPr>
            <w:tcW w:w="1194" w:type="dxa"/>
            <w:gridSpan w:val="2"/>
            <w:shd w:val="clear" w:color="000000" w:fill="FFFF99"/>
            <w:vAlign w:val="center"/>
            <w:hideMark/>
          </w:tcPr>
          <w:p w14:paraId="07EE6E37" w14:textId="2AF6E45D" w:rsidR="00FD4DDE" w:rsidRPr="00D30847" w:rsidRDefault="00FD4DDE" w:rsidP="00497F2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18" w:type="dxa"/>
            <w:gridSpan w:val="3"/>
            <w:shd w:val="clear" w:color="000000" w:fill="FFFF99"/>
            <w:vAlign w:val="center"/>
            <w:hideMark/>
          </w:tcPr>
          <w:p w14:paraId="6106E20F" w14:textId="70CB2480" w:rsidR="00FD4DDE" w:rsidRPr="00D30847" w:rsidRDefault="00FD4DDE" w:rsidP="00497F2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Gov.</w:t>
            </w:r>
          </w:p>
        </w:tc>
        <w:tc>
          <w:tcPr>
            <w:tcW w:w="1644" w:type="dxa"/>
            <w:gridSpan w:val="3"/>
            <w:shd w:val="clear" w:color="000000" w:fill="FFFF99"/>
            <w:vAlign w:val="center"/>
            <w:hideMark/>
          </w:tcPr>
          <w:p w14:paraId="601B4E7C" w14:textId="5F12F031" w:rsidR="00FD4DDE" w:rsidRPr="00D30847" w:rsidRDefault="00FD4DDE" w:rsidP="00497F2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Budget users/PE/JSC/</w:t>
            </w:r>
            <w:proofErr w:type="spellStart"/>
            <w:r w:rsidRPr="00D30847">
              <w:rPr>
                <w:rFonts w:ascii="Arial" w:eastAsia="Times New Roman" w:hAnsi="Arial" w:cs="Arial"/>
                <w:sz w:val="12"/>
                <w:szCs w:val="12"/>
                <w:lang w:val="en-GB" w:eastAsia="mk-MK"/>
              </w:rPr>
              <w:t>LSGu</w:t>
            </w:r>
            <w:proofErr w:type="spellEnd"/>
          </w:p>
        </w:tc>
        <w:tc>
          <w:tcPr>
            <w:tcW w:w="1758" w:type="dxa"/>
            <w:gridSpan w:val="4"/>
            <w:shd w:val="clear" w:color="000000" w:fill="FFFF99"/>
            <w:vAlign w:val="center"/>
            <w:hideMark/>
          </w:tcPr>
          <w:p w14:paraId="129EE09D" w14:textId="3C442E66" w:rsidR="00FD4DDE" w:rsidRPr="00D30847" w:rsidRDefault="00FD4DDE" w:rsidP="00497F2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80.000</w:t>
            </w:r>
          </w:p>
        </w:tc>
        <w:tc>
          <w:tcPr>
            <w:tcW w:w="1842" w:type="dxa"/>
            <w:gridSpan w:val="4"/>
            <w:vMerge w:val="restart"/>
            <w:shd w:val="clear" w:color="000000" w:fill="FFFF99"/>
            <w:vAlign w:val="center"/>
            <w:hideMark/>
          </w:tcPr>
          <w:p w14:paraId="741B9A49" w14:textId="57F50879" w:rsidR="00FD4DDE" w:rsidRPr="00D30847" w:rsidRDefault="00FD4DDE" w:rsidP="00497F2C">
            <w:pPr>
              <w:spacing w:after="0" w:line="240" w:lineRule="auto"/>
              <w:jc w:val="center"/>
              <w:rPr>
                <w:rFonts w:ascii="Arial" w:eastAsia="Times New Roman" w:hAnsi="Arial" w:cs="Arial"/>
                <w:sz w:val="12"/>
                <w:szCs w:val="12"/>
                <w:lang w:val="en-GB" w:eastAsia="mk-MK"/>
              </w:rPr>
            </w:pPr>
            <w:r>
              <w:rPr>
                <w:rFonts w:ascii="Arial" w:eastAsia="Times New Roman" w:hAnsi="Arial" w:cs="Arial"/>
                <w:sz w:val="12"/>
                <w:szCs w:val="12"/>
                <w:lang w:val="en-GB" w:eastAsia="mk-MK"/>
              </w:rPr>
              <w:t>IMF and WB</w:t>
            </w:r>
          </w:p>
        </w:tc>
        <w:tc>
          <w:tcPr>
            <w:tcW w:w="1506" w:type="dxa"/>
            <w:gridSpan w:val="4"/>
            <w:vMerge w:val="restart"/>
            <w:shd w:val="clear" w:color="000000" w:fill="FFFF99"/>
            <w:vAlign w:val="center"/>
            <w:hideMark/>
          </w:tcPr>
          <w:p w14:paraId="61FAC5A6" w14:textId="591380A5" w:rsidR="00FD4DDE" w:rsidRPr="00D30847" w:rsidRDefault="00FD4DDE" w:rsidP="00497F2C">
            <w:pPr>
              <w:spacing w:after="0" w:line="240" w:lineRule="auto"/>
              <w:jc w:val="center"/>
              <w:rPr>
                <w:rFonts w:ascii="Arial" w:eastAsia="Times New Roman" w:hAnsi="Arial" w:cs="Arial"/>
                <w:sz w:val="12"/>
                <w:szCs w:val="12"/>
                <w:lang w:val="en-GB" w:eastAsia="mk-MK"/>
              </w:rPr>
            </w:pPr>
            <w:r>
              <w:rPr>
                <w:rFonts w:ascii="Arial" w:eastAsia="Times New Roman" w:hAnsi="Arial" w:cs="Arial"/>
                <w:sz w:val="12"/>
                <w:szCs w:val="12"/>
                <w:lang w:val="en-GB" w:eastAsia="mk-MK"/>
              </w:rPr>
              <w:t>/</w:t>
            </w:r>
          </w:p>
        </w:tc>
      </w:tr>
      <w:tr w:rsidR="00FD4DDE" w:rsidRPr="00D30847" w14:paraId="714F113B" w14:textId="77777777" w:rsidTr="00FD4DDE">
        <w:trPr>
          <w:gridBefore w:val="2"/>
          <w:gridAfter w:val="1"/>
          <w:wBefore w:w="20" w:type="dxa"/>
          <w:wAfter w:w="52" w:type="dxa"/>
          <w:trHeight w:val="547"/>
          <w:jc w:val="center"/>
        </w:trPr>
        <w:tc>
          <w:tcPr>
            <w:tcW w:w="1305" w:type="dxa"/>
            <w:gridSpan w:val="2"/>
            <w:tcBorders>
              <w:top w:val="nil"/>
              <w:left w:val="nil"/>
              <w:bottom w:val="nil"/>
              <w:right w:val="nil"/>
            </w:tcBorders>
            <w:shd w:val="clear" w:color="auto" w:fill="auto"/>
            <w:vAlign w:val="center"/>
          </w:tcPr>
          <w:p w14:paraId="115F2F73" w14:textId="77777777" w:rsidR="00FD4DDE" w:rsidRPr="00D30847" w:rsidRDefault="00FD4DDE" w:rsidP="00497F2C">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vAlign w:val="center"/>
          </w:tcPr>
          <w:p w14:paraId="0BABFDD6" w14:textId="77777777" w:rsidR="00FD4DDE" w:rsidRPr="00D30847" w:rsidRDefault="00FD4DDE" w:rsidP="00497F2C">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tcPr>
          <w:p w14:paraId="6035B0EA" w14:textId="4432422B" w:rsidR="00FD4DDE" w:rsidRPr="00D30847" w:rsidRDefault="00FD4DDE" w:rsidP="009A22E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Prepare and adopt methodology with defining criteria and procedures for conducting Spending review.</w:t>
            </w:r>
          </w:p>
        </w:tc>
        <w:tc>
          <w:tcPr>
            <w:tcW w:w="1194" w:type="dxa"/>
            <w:gridSpan w:val="2"/>
            <w:shd w:val="clear" w:color="000000" w:fill="FFFF99"/>
            <w:vAlign w:val="center"/>
          </w:tcPr>
          <w:p w14:paraId="06D0E75D" w14:textId="572132A7" w:rsidR="00FD4DDE" w:rsidRPr="00D30847" w:rsidRDefault="00FD4DDE" w:rsidP="00497F2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18" w:type="dxa"/>
            <w:gridSpan w:val="3"/>
            <w:shd w:val="clear" w:color="000000" w:fill="FFFF99"/>
            <w:vAlign w:val="center"/>
          </w:tcPr>
          <w:p w14:paraId="174892E9" w14:textId="261C51BB" w:rsidR="00FD4DDE" w:rsidRPr="00D30847" w:rsidRDefault="00FD4DDE" w:rsidP="00497F2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Gov.</w:t>
            </w:r>
          </w:p>
        </w:tc>
        <w:tc>
          <w:tcPr>
            <w:tcW w:w="1644" w:type="dxa"/>
            <w:gridSpan w:val="3"/>
            <w:shd w:val="clear" w:color="000000" w:fill="FFFF99"/>
            <w:vAlign w:val="center"/>
          </w:tcPr>
          <w:p w14:paraId="5638A9FE" w14:textId="60D8C1E5" w:rsidR="00FD4DDE" w:rsidRPr="00D30847" w:rsidRDefault="00FD4DDE" w:rsidP="00497F2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Budget users/PE/JSC/</w:t>
            </w:r>
            <w:proofErr w:type="spellStart"/>
            <w:r w:rsidRPr="00D30847">
              <w:rPr>
                <w:rFonts w:ascii="Arial" w:eastAsia="Times New Roman" w:hAnsi="Arial" w:cs="Arial"/>
                <w:sz w:val="12"/>
                <w:szCs w:val="12"/>
                <w:lang w:val="en-GB" w:eastAsia="mk-MK"/>
              </w:rPr>
              <w:t>LSGu</w:t>
            </w:r>
            <w:proofErr w:type="spellEnd"/>
          </w:p>
        </w:tc>
        <w:tc>
          <w:tcPr>
            <w:tcW w:w="1758" w:type="dxa"/>
            <w:gridSpan w:val="4"/>
            <w:shd w:val="clear" w:color="000000" w:fill="FFFF99"/>
            <w:vAlign w:val="center"/>
          </w:tcPr>
          <w:p w14:paraId="56DE5BB3" w14:textId="27784A01" w:rsidR="00FD4DDE" w:rsidRPr="00D30847" w:rsidRDefault="00FD4DDE" w:rsidP="00497F2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80.000</w:t>
            </w:r>
          </w:p>
        </w:tc>
        <w:tc>
          <w:tcPr>
            <w:tcW w:w="1842" w:type="dxa"/>
            <w:gridSpan w:val="4"/>
            <w:vMerge/>
            <w:shd w:val="clear" w:color="000000" w:fill="FFFF99"/>
            <w:vAlign w:val="center"/>
          </w:tcPr>
          <w:p w14:paraId="2B70C77B" w14:textId="008E103A" w:rsidR="00FD4DDE" w:rsidRPr="00D30847" w:rsidRDefault="00FD4DDE" w:rsidP="00497F2C">
            <w:pPr>
              <w:spacing w:after="0" w:line="240" w:lineRule="auto"/>
              <w:jc w:val="center"/>
              <w:rPr>
                <w:rFonts w:ascii="Arial" w:eastAsia="Times New Roman" w:hAnsi="Arial" w:cs="Arial"/>
                <w:sz w:val="12"/>
                <w:szCs w:val="12"/>
                <w:lang w:val="en-GB" w:eastAsia="mk-MK"/>
              </w:rPr>
            </w:pPr>
          </w:p>
        </w:tc>
        <w:tc>
          <w:tcPr>
            <w:tcW w:w="1506" w:type="dxa"/>
            <w:gridSpan w:val="4"/>
            <w:vMerge/>
            <w:shd w:val="clear" w:color="000000" w:fill="FFFF99"/>
            <w:vAlign w:val="center"/>
          </w:tcPr>
          <w:p w14:paraId="20A19147" w14:textId="604F124F" w:rsidR="00FD4DDE" w:rsidRPr="00D30847" w:rsidRDefault="00FD4DDE" w:rsidP="00497F2C">
            <w:pPr>
              <w:spacing w:after="0" w:line="240" w:lineRule="auto"/>
              <w:jc w:val="center"/>
              <w:rPr>
                <w:rFonts w:ascii="Arial" w:eastAsia="Times New Roman" w:hAnsi="Arial" w:cs="Arial"/>
                <w:sz w:val="12"/>
                <w:szCs w:val="12"/>
                <w:lang w:val="en-GB" w:eastAsia="mk-MK"/>
              </w:rPr>
            </w:pPr>
          </w:p>
        </w:tc>
      </w:tr>
      <w:tr w:rsidR="00FD4DDE" w:rsidRPr="00D30847" w14:paraId="4E699D30" w14:textId="77777777" w:rsidTr="00FD4DDE">
        <w:trPr>
          <w:gridBefore w:val="2"/>
          <w:gridAfter w:val="1"/>
          <w:wBefore w:w="20" w:type="dxa"/>
          <w:wAfter w:w="52" w:type="dxa"/>
          <w:trHeight w:val="547"/>
          <w:jc w:val="center"/>
        </w:trPr>
        <w:tc>
          <w:tcPr>
            <w:tcW w:w="1305" w:type="dxa"/>
            <w:gridSpan w:val="2"/>
            <w:tcBorders>
              <w:top w:val="nil"/>
              <w:left w:val="nil"/>
              <w:bottom w:val="nil"/>
              <w:right w:val="nil"/>
            </w:tcBorders>
            <w:shd w:val="clear" w:color="auto" w:fill="auto"/>
            <w:vAlign w:val="center"/>
          </w:tcPr>
          <w:p w14:paraId="65CD43E5" w14:textId="77777777" w:rsidR="00FD4DDE" w:rsidRPr="00D30847" w:rsidRDefault="00FD4DDE" w:rsidP="00497F2C">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vAlign w:val="center"/>
          </w:tcPr>
          <w:p w14:paraId="0EB28BB3" w14:textId="77777777" w:rsidR="00FD4DDE" w:rsidRPr="00D30847" w:rsidRDefault="00FD4DDE" w:rsidP="00497F2C">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tcPr>
          <w:p w14:paraId="72A60DE4" w14:textId="4CBDBC08" w:rsidR="00FD4DDE" w:rsidRPr="00D30847" w:rsidRDefault="00FD4DDE" w:rsidP="009A22E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3.Spending review as a basis for appropriate budgeting for the next mid-term period</w:t>
            </w:r>
          </w:p>
        </w:tc>
        <w:tc>
          <w:tcPr>
            <w:tcW w:w="1194" w:type="dxa"/>
            <w:gridSpan w:val="2"/>
            <w:shd w:val="clear" w:color="000000" w:fill="FFFF99"/>
            <w:vAlign w:val="center"/>
          </w:tcPr>
          <w:p w14:paraId="676FE90C" w14:textId="0689438E" w:rsidR="00FD4DDE" w:rsidRPr="00D30847" w:rsidRDefault="00FD4DDE" w:rsidP="00497F2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2027</w:t>
            </w:r>
          </w:p>
        </w:tc>
        <w:tc>
          <w:tcPr>
            <w:tcW w:w="1418" w:type="dxa"/>
            <w:gridSpan w:val="3"/>
            <w:shd w:val="clear" w:color="000000" w:fill="FFFF99"/>
            <w:vAlign w:val="center"/>
          </w:tcPr>
          <w:p w14:paraId="4B4C7010" w14:textId="08420DBE" w:rsidR="00FD4DDE" w:rsidRPr="00D30847" w:rsidRDefault="00FD4DDE" w:rsidP="00497F2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Gov.</w:t>
            </w:r>
          </w:p>
        </w:tc>
        <w:tc>
          <w:tcPr>
            <w:tcW w:w="1644" w:type="dxa"/>
            <w:gridSpan w:val="3"/>
            <w:shd w:val="clear" w:color="000000" w:fill="FFFF99"/>
            <w:vAlign w:val="center"/>
          </w:tcPr>
          <w:p w14:paraId="4E73F592" w14:textId="60A6A4CE" w:rsidR="00FD4DDE" w:rsidRPr="00D30847" w:rsidRDefault="00FD4DDE" w:rsidP="00497F2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Budget users/PE/JSC/</w:t>
            </w:r>
            <w:proofErr w:type="spellStart"/>
            <w:r w:rsidRPr="00D30847">
              <w:rPr>
                <w:rFonts w:ascii="Arial" w:eastAsia="Times New Roman" w:hAnsi="Arial" w:cs="Arial"/>
                <w:sz w:val="12"/>
                <w:szCs w:val="12"/>
                <w:lang w:val="en-GB" w:eastAsia="mk-MK"/>
              </w:rPr>
              <w:t>LSGu</w:t>
            </w:r>
            <w:proofErr w:type="spellEnd"/>
          </w:p>
        </w:tc>
        <w:tc>
          <w:tcPr>
            <w:tcW w:w="1758" w:type="dxa"/>
            <w:gridSpan w:val="4"/>
            <w:shd w:val="clear" w:color="000000" w:fill="FFFF99"/>
            <w:vAlign w:val="center"/>
          </w:tcPr>
          <w:p w14:paraId="51A0C11F" w14:textId="76979C61" w:rsidR="00FD4DDE" w:rsidRPr="00D30847" w:rsidRDefault="00FD4DDE" w:rsidP="00497F2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80.000</w:t>
            </w:r>
          </w:p>
        </w:tc>
        <w:tc>
          <w:tcPr>
            <w:tcW w:w="1842" w:type="dxa"/>
            <w:gridSpan w:val="4"/>
            <w:vMerge/>
            <w:shd w:val="clear" w:color="000000" w:fill="FFFF99"/>
            <w:vAlign w:val="center"/>
          </w:tcPr>
          <w:p w14:paraId="1F1DAF5C" w14:textId="76C5D63A" w:rsidR="00FD4DDE" w:rsidRPr="00D30847" w:rsidRDefault="00FD4DDE" w:rsidP="00497F2C">
            <w:pPr>
              <w:spacing w:after="0" w:line="240" w:lineRule="auto"/>
              <w:jc w:val="center"/>
              <w:rPr>
                <w:rFonts w:ascii="Arial" w:eastAsia="Times New Roman" w:hAnsi="Arial" w:cs="Arial"/>
                <w:sz w:val="12"/>
                <w:szCs w:val="12"/>
                <w:lang w:val="en-GB" w:eastAsia="mk-MK"/>
              </w:rPr>
            </w:pPr>
          </w:p>
        </w:tc>
        <w:tc>
          <w:tcPr>
            <w:tcW w:w="1506" w:type="dxa"/>
            <w:gridSpan w:val="4"/>
            <w:vMerge/>
            <w:shd w:val="clear" w:color="000000" w:fill="FFFF99"/>
            <w:vAlign w:val="center"/>
          </w:tcPr>
          <w:p w14:paraId="50DD21E1" w14:textId="77777777" w:rsidR="00FD4DDE" w:rsidRPr="00D30847" w:rsidRDefault="00FD4DDE" w:rsidP="00497F2C">
            <w:pPr>
              <w:spacing w:after="0" w:line="240" w:lineRule="auto"/>
              <w:jc w:val="center"/>
              <w:rPr>
                <w:rFonts w:ascii="Arial" w:eastAsia="Times New Roman" w:hAnsi="Arial" w:cs="Arial"/>
                <w:sz w:val="12"/>
                <w:szCs w:val="12"/>
                <w:lang w:val="en-GB" w:eastAsia="mk-MK"/>
              </w:rPr>
            </w:pPr>
          </w:p>
        </w:tc>
      </w:tr>
      <w:tr w:rsidR="00485BAA" w:rsidRPr="00D30847" w14:paraId="60C02778" w14:textId="77777777" w:rsidTr="00FD4DDE">
        <w:trPr>
          <w:gridBefore w:val="3"/>
          <w:gridAfter w:val="1"/>
          <w:wBefore w:w="37" w:type="dxa"/>
          <w:wAfter w:w="52" w:type="dxa"/>
          <w:trHeight w:val="264"/>
          <w:jc w:val="center"/>
        </w:trPr>
        <w:tc>
          <w:tcPr>
            <w:tcW w:w="13501" w:type="dxa"/>
            <w:gridSpan w:val="28"/>
            <w:shd w:val="clear" w:color="000000" w:fill="1F3864"/>
            <w:vAlign w:val="center"/>
            <w:hideMark/>
          </w:tcPr>
          <w:p w14:paraId="0EBC16B7" w14:textId="0CDB795B"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Pillar III</w:t>
            </w:r>
            <w:r w:rsidR="00577A56" w:rsidRPr="00D30847">
              <w:rPr>
                <w:rFonts w:ascii="Arial" w:eastAsia="Times New Roman" w:hAnsi="Arial" w:cs="Arial"/>
                <w:b/>
                <w:bCs/>
                <w:color w:val="FFFFFF"/>
                <w:sz w:val="12"/>
                <w:szCs w:val="12"/>
                <w:lang w:val="en-GB" w:eastAsia="mk-MK"/>
              </w:rPr>
              <w:t>.</w:t>
            </w:r>
            <w:r w:rsidRPr="00D30847">
              <w:rPr>
                <w:rFonts w:ascii="Arial" w:eastAsia="Times New Roman" w:hAnsi="Arial" w:cs="Arial"/>
                <w:b/>
                <w:bCs/>
                <w:color w:val="FFFFFF"/>
                <w:sz w:val="12"/>
                <w:szCs w:val="12"/>
                <w:lang w:val="en-GB" w:eastAsia="mk-MK"/>
              </w:rPr>
              <w:t xml:space="preserve"> Planning</w:t>
            </w:r>
            <w:r w:rsidR="00AF1506"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and</w:t>
            </w:r>
            <w:r w:rsidR="00AF1506"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budget</w:t>
            </w:r>
          </w:p>
        </w:tc>
      </w:tr>
      <w:tr w:rsidR="00485BAA" w:rsidRPr="00D30847" w14:paraId="7A837B59" w14:textId="77777777" w:rsidTr="00FD4DDE">
        <w:trPr>
          <w:gridBefore w:val="3"/>
          <w:gridAfter w:val="1"/>
          <w:wBefore w:w="37" w:type="dxa"/>
          <w:wAfter w:w="52" w:type="dxa"/>
          <w:trHeight w:val="212"/>
          <w:jc w:val="center"/>
        </w:trPr>
        <w:tc>
          <w:tcPr>
            <w:tcW w:w="13501" w:type="dxa"/>
            <w:gridSpan w:val="28"/>
            <w:shd w:val="clear" w:color="000000" w:fill="1F3864"/>
            <w:vAlign w:val="center"/>
            <w:hideMark/>
          </w:tcPr>
          <w:p w14:paraId="46B72140" w14:textId="7F8ED360"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PRIORITY 2</w:t>
            </w:r>
            <w:r w:rsidR="00577A56" w:rsidRPr="00D30847">
              <w:rPr>
                <w:rFonts w:ascii="Arial" w:eastAsia="Times New Roman" w:hAnsi="Arial" w:cs="Arial"/>
                <w:b/>
                <w:bCs/>
                <w:color w:val="FFFFFF"/>
                <w:sz w:val="12"/>
                <w:szCs w:val="12"/>
                <w:lang w:val="en-GB" w:eastAsia="mk-MK"/>
              </w:rPr>
              <w:t>.</w:t>
            </w:r>
            <w:r w:rsidRPr="00D30847">
              <w:rPr>
                <w:rFonts w:ascii="Arial" w:eastAsia="Times New Roman" w:hAnsi="Arial" w:cs="Arial"/>
                <w:b/>
                <w:bCs/>
                <w:color w:val="FFFFFF"/>
                <w:sz w:val="12"/>
                <w:szCs w:val="12"/>
                <w:lang w:val="en-GB" w:eastAsia="mk-MK"/>
              </w:rPr>
              <w:t xml:space="preserve"> Strengthened</w:t>
            </w:r>
            <w:r w:rsidR="00AF1506"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Public</w:t>
            </w:r>
            <w:r w:rsidR="00AF1506"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Investment</w:t>
            </w:r>
            <w:r w:rsidR="00AF1506"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Management</w:t>
            </w:r>
          </w:p>
        </w:tc>
      </w:tr>
      <w:tr w:rsidR="00485BAA" w:rsidRPr="00D30847" w14:paraId="148756EC" w14:textId="77777777" w:rsidTr="00FD4DDE">
        <w:trPr>
          <w:gridBefore w:val="3"/>
          <w:gridAfter w:val="1"/>
          <w:wBefore w:w="37" w:type="dxa"/>
          <w:wAfter w:w="52" w:type="dxa"/>
          <w:trHeight w:val="314"/>
          <w:jc w:val="center"/>
        </w:trPr>
        <w:tc>
          <w:tcPr>
            <w:tcW w:w="2303" w:type="dxa"/>
            <w:gridSpan w:val="3"/>
            <w:shd w:val="clear" w:color="000000" w:fill="9BD2ED"/>
            <w:vAlign w:val="center"/>
            <w:hideMark/>
          </w:tcPr>
          <w:p w14:paraId="21200324"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Outcome(s)</w:t>
            </w:r>
          </w:p>
        </w:tc>
        <w:tc>
          <w:tcPr>
            <w:tcW w:w="1836" w:type="dxa"/>
            <w:gridSpan w:val="5"/>
            <w:shd w:val="clear" w:color="000000" w:fill="9BD2ED"/>
            <w:vAlign w:val="center"/>
            <w:hideMark/>
          </w:tcPr>
          <w:p w14:paraId="64252EA7" w14:textId="23425730"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017BADD0" w14:textId="4317A035"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00C7C2AF" w14:textId="5983B46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A157B0" w:rsidRPr="00D30847">
              <w:rPr>
                <w:rFonts w:ascii="Arial" w:eastAsia="Times New Roman" w:hAnsi="Arial" w:cs="Arial"/>
                <w:b/>
                <w:bCs/>
                <w:sz w:val="12"/>
                <w:szCs w:val="12"/>
                <w:lang w:val="en-GB" w:eastAsia="mk-MK"/>
              </w:rPr>
              <w:t>3(2024)</w:t>
            </w:r>
          </w:p>
        </w:tc>
        <w:tc>
          <w:tcPr>
            <w:tcW w:w="1644" w:type="dxa"/>
            <w:gridSpan w:val="3"/>
            <w:shd w:val="clear" w:color="000000" w:fill="9BD2ED"/>
            <w:vAlign w:val="center"/>
            <w:hideMark/>
          </w:tcPr>
          <w:p w14:paraId="0A8456F2" w14:textId="2CABD3F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A157B0"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120836B4" w14:textId="56EF85B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A157B0"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602745BE" w14:textId="3DE8C4C5"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A157B0"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5DAB6D27" w14:textId="25D1A1DE"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A157B0" w:rsidRPr="00D30847">
              <w:rPr>
                <w:rFonts w:ascii="Arial" w:eastAsia="Times New Roman" w:hAnsi="Arial" w:cs="Arial"/>
                <w:b/>
                <w:bCs/>
                <w:sz w:val="12"/>
                <w:szCs w:val="12"/>
                <w:lang w:val="en-GB" w:eastAsia="mk-MK"/>
              </w:rPr>
              <w:t>8</w:t>
            </w:r>
          </w:p>
        </w:tc>
      </w:tr>
      <w:tr w:rsidR="00485BAA" w:rsidRPr="00D30847" w14:paraId="351D457B" w14:textId="77777777" w:rsidTr="00FD4DDE">
        <w:trPr>
          <w:gridBefore w:val="3"/>
          <w:gridAfter w:val="1"/>
          <w:wBefore w:w="37" w:type="dxa"/>
          <w:wAfter w:w="52" w:type="dxa"/>
          <w:trHeight w:val="446"/>
          <w:jc w:val="center"/>
        </w:trPr>
        <w:tc>
          <w:tcPr>
            <w:tcW w:w="2303" w:type="dxa"/>
            <w:gridSpan w:val="3"/>
            <w:vMerge w:val="restart"/>
            <w:shd w:val="clear" w:color="000000" w:fill="FFFF99"/>
            <w:vAlign w:val="center"/>
            <w:hideMark/>
          </w:tcPr>
          <w:p w14:paraId="271E68D6" w14:textId="4A4A96F0" w:rsidR="00485BAA" w:rsidRPr="00D30847" w:rsidRDefault="00AF1506" w:rsidP="007578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Efficient and effective planning, selection</w:t>
            </w:r>
            <w:r w:rsidR="007163C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and implementation of major public investment projects</w:t>
            </w:r>
          </w:p>
        </w:tc>
        <w:tc>
          <w:tcPr>
            <w:tcW w:w="1836" w:type="dxa"/>
            <w:gridSpan w:val="5"/>
            <w:vMerge w:val="restart"/>
            <w:shd w:val="clear" w:color="000000" w:fill="FFFF99"/>
            <w:vAlign w:val="center"/>
            <w:hideMark/>
          </w:tcPr>
          <w:p w14:paraId="54A8B00F" w14:textId="4D1EE9AD" w:rsidR="00485BAA" w:rsidRPr="00D30847" w:rsidRDefault="00AF1506" w:rsidP="00D94E20">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PEFA score for indicator PI - 11.Public Investment Management</w:t>
            </w:r>
            <w:r w:rsidRPr="00D30847">
              <w:rPr>
                <w:rFonts w:ascii="Arial" w:eastAsia="Times New Roman" w:hAnsi="Arial" w:cs="Arial"/>
                <w:sz w:val="12"/>
                <w:szCs w:val="12"/>
                <w:lang w:val="en-GB" w:eastAsia="mk-MK"/>
              </w:rPr>
              <w:br/>
            </w:r>
            <w:r w:rsidRPr="00D30847">
              <w:rPr>
                <w:rFonts w:ascii="Arial" w:eastAsia="Times New Roman" w:hAnsi="Arial" w:cs="Arial"/>
                <w:sz w:val="12"/>
                <w:szCs w:val="12"/>
                <w:lang w:val="en-GB" w:eastAsia="mk-MK"/>
              </w:rPr>
              <w:lastRenderedPageBreak/>
              <w:t xml:space="preserve">11.1. Economic analysis of investment projects </w:t>
            </w:r>
            <w:r w:rsidRPr="00D30847">
              <w:rPr>
                <w:rFonts w:ascii="Arial" w:eastAsia="Times New Roman" w:hAnsi="Arial" w:cs="Arial"/>
                <w:sz w:val="12"/>
                <w:szCs w:val="12"/>
                <w:lang w:val="en-GB" w:eastAsia="mk-MK"/>
              </w:rPr>
              <w:br/>
              <w:t>11.2. Investment project selection</w:t>
            </w:r>
            <w:r w:rsidRPr="00D30847">
              <w:rPr>
                <w:rFonts w:ascii="Arial" w:eastAsia="Times New Roman" w:hAnsi="Arial" w:cs="Arial"/>
                <w:sz w:val="12"/>
                <w:szCs w:val="12"/>
                <w:lang w:val="en-GB" w:eastAsia="mk-MK"/>
              </w:rPr>
              <w:br/>
              <w:t>11.3. Investment project costing</w:t>
            </w:r>
            <w:r w:rsidRPr="00D30847">
              <w:rPr>
                <w:rFonts w:ascii="Arial" w:eastAsia="Times New Roman" w:hAnsi="Arial" w:cs="Arial"/>
                <w:sz w:val="12"/>
                <w:szCs w:val="12"/>
                <w:lang w:val="en-GB" w:eastAsia="mk-MK"/>
              </w:rPr>
              <w:br/>
              <w:t>11.4. Investment project monitoring</w:t>
            </w:r>
          </w:p>
        </w:tc>
        <w:tc>
          <w:tcPr>
            <w:tcW w:w="1194" w:type="dxa"/>
            <w:gridSpan w:val="2"/>
            <w:vMerge w:val="restart"/>
            <w:shd w:val="clear" w:color="000000" w:fill="FFFF99"/>
            <w:vAlign w:val="center"/>
            <w:hideMark/>
          </w:tcPr>
          <w:p w14:paraId="667712E1" w14:textId="35F75D3A"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lastRenderedPageBreak/>
              <w:t>PEFA Assessment</w:t>
            </w:r>
            <w:r w:rsidR="00AF150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Report</w:t>
            </w:r>
          </w:p>
        </w:tc>
        <w:tc>
          <w:tcPr>
            <w:tcW w:w="1418" w:type="dxa"/>
            <w:gridSpan w:val="3"/>
            <w:shd w:val="clear" w:color="000000" w:fill="FFFF99"/>
            <w:vAlign w:val="center"/>
            <w:hideMark/>
          </w:tcPr>
          <w:p w14:paraId="011C1D01"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PEFA Score D+</w:t>
            </w:r>
          </w:p>
        </w:tc>
        <w:tc>
          <w:tcPr>
            <w:tcW w:w="1644" w:type="dxa"/>
            <w:gridSpan w:val="3"/>
            <w:vMerge w:val="restart"/>
            <w:shd w:val="clear" w:color="000000" w:fill="FFFF99"/>
            <w:vAlign w:val="center"/>
            <w:hideMark/>
          </w:tcPr>
          <w:p w14:paraId="2E916BFB" w14:textId="1338000F" w:rsidR="00485BAA" w:rsidRPr="00D30847" w:rsidRDefault="00407B01"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vMerge w:val="restart"/>
            <w:shd w:val="clear" w:color="000000" w:fill="FFFF99"/>
            <w:vAlign w:val="center"/>
            <w:hideMark/>
          </w:tcPr>
          <w:p w14:paraId="3EA8E3F9" w14:textId="4E5AC02B" w:rsidR="00485BAA" w:rsidRPr="00D30847" w:rsidRDefault="00407B01" w:rsidP="00701A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vMerge w:val="restart"/>
            <w:shd w:val="clear" w:color="000000" w:fill="FFFF99"/>
            <w:vAlign w:val="center"/>
            <w:hideMark/>
          </w:tcPr>
          <w:p w14:paraId="703EA005" w14:textId="3C19FE88" w:rsidR="00485BAA" w:rsidRPr="00D30847" w:rsidRDefault="00407B01"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hideMark/>
          </w:tcPr>
          <w:p w14:paraId="2D8DD47B"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PEFA Score: </w:t>
            </w:r>
            <w:r w:rsidRPr="00D30847">
              <w:rPr>
                <w:rFonts w:ascii="Arial" w:eastAsia="Times New Roman" w:hAnsi="Arial" w:cs="Arial"/>
                <w:sz w:val="12"/>
                <w:szCs w:val="12"/>
                <w:u w:val="single"/>
                <w:lang w:val="en-GB" w:eastAsia="mk-MK"/>
              </w:rPr>
              <w:t>&gt;</w:t>
            </w:r>
            <w:r w:rsidRPr="00D30847">
              <w:rPr>
                <w:rFonts w:ascii="Arial" w:eastAsia="Times New Roman" w:hAnsi="Arial" w:cs="Arial"/>
                <w:sz w:val="12"/>
                <w:szCs w:val="12"/>
                <w:lang w:val="en-GB" w:eastAsia="mk-MK"/>
              </w:rPr>
              <w:t>C</w:t>
            </w:r>
          </w:p>
        </w:tc>
      </w:tr>
      <w:tr w:rsidR="00031ACD" w:rsidRPr="00D30847" w14:paraId="5E225299" w14:textId="77777777" w:rsidTr="00FD4DDE">
        <w:trPr>
          <w:gridBefore w:val="3"/>
          <w:gridAfter w:val="1"/>
          <w:wBefore w:w="37" w:type="dxa"/>
          <w:wAfter w:w="52" w:type="dxa"/>
          <w:trHeight w:val="315"/>
          <w:jc w:val="center"/>
        </w:trPr>
        <w:tc>
          <w:tcPr>
            <w:tcW w:w="2303" w:type="dxa"/>
            <w:gridSpan w:val="3"/>
            <w:vMerge/>
            <w:vAlign w:val="center"/>
            <w:hideMark/>
          </w:tcPr>
          <w:p w14:paraId="3EFF4E82"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vMerge/>
            <w:vAlign w:val="center"/>
            <w:hideMark/>
          </w:tcPr>
          <w:p w14:paraId="6373AE5C"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194" w:type="dxa"/>
            <w:gridSpan w:val="2"/>
            <w:vMerge/>
            <w:vAlign w:val="center"/>
            <w:hideMark/>
          </w:tcPr>
          <w:p w14:paraId="67F4F728"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418" w:type="dxa"/>
            <w:gridSpan w:val="3"/>
            <w:shd w:val="clear" w:color="000000" w:fill="FFFF99"/>
            <w:vAlign w:val="center"/>
            <w:hideMark/>
          </w:tcPr>
          <w:p w14:paraId="3BBA9D69"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w:t>
            </w:r>
          </w:p>
        </w:tc>
        <w:tc>
          <w:tcPr>
            <w:tcW w:w="1644" w:type="dxa"/>
            <w:gridSpan w:val="3"/>
            <w:vMerge/>
            <w:vAlign w:val="center"/>
            <w:hideMark/>
          </w:tcPr>
          <w:p w14:paraId="0135A3DC"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758" w:type="dxa"/>
            <w:gridSpan w:val="4"/>
            <w:vMerge/>
            <w:vAlign w:val="center"/>
            <w:hideMark/>
          </w:tcPr>
          <w:p w14:paraId="01DBD2D1"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42" w:type="dxa"/>
            <w:gridSpan w:val="4"/>
            <w:vMerge/>
            <w:vAlign w:val="center"/>
            <w:hideMark/>
          </w:tcPr>
          <w:p w14:paraId="69334FA0"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506" w:type="dxa"/>
            <w:gridSpan w:val="4"/>
            <w:shd w:val="clear" w:color="000000" w:fill="FFFF99"/>
            <w:vAlign w:val="center"/>
            <w:hideMark/>
          </w:tcPr>
          <w:p w14:paraId="70829F33"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&gt;C</w:t>
            </w:r>
          </w:p>
        </w:tc>
      </w:tr>
      <w:tr w:rsidR="00031ACD" w:rsidRPr="00D30847" w14:paraId="0F0B8A97" w14:textId="77777777" w:rsidTr="00FD4DDE">
        <w:trPr>
          <w:gridBefore w:val="3"/>
          <w:gridAfter w:val="1"/>
          <w:wBefore w:w="37" w:type="dxa"/>
          <w:wAfter w:w="52" w:type="dxa"/>
          <w:trHeight w:val="315"/>
          <w:jc w:val="center"/>
        </w:trPr>
        <w:tc>
          <w:tcPr>
            <w:tcW w:w="2303" w:type="dxa"/>
            <w:gridSpan w:val="3"/>
            <w:vMerge/>
            <w:vAlign w:val="center"/>
            <w:hideMark/>
          </w:tcPr>
          <w:p w14:paraId="65C7A726"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vMerge/>
            <w:vAlign w:val="center"/>
            <w:hideMark/>
          </w:tcPr>
          <w:p w14:paraId="37644867"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194" w:type="dxa"/>
            <w:gridSpan w:val="2"/>
            <w:vMerge/>
            <w:vAlign w:val="center"/>
            <w:hideMark/>
          </w:tcPr>
          <w:p w14:paraId="1D3A6AF7"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418" w:type="dxa"/>
            <w:gridSpan w:val="3"/>
            <w:shd w:val="clear" w:color="000000" w:fill="FFFF99"/>
            <w:vAlign w:val="center"/>
            <w:hideMark/>
          </w:tcPr>
          <w:p w14:paraId="65264D83"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w:t>
            </w:r>
          </w:p>
        </w:tc>
        <w:tc>
          <w:tcPr>
            <w:tcW w:w="1644" w:type="dxa"/>
            <w:gridSpan w:val="3"/>
            <w:vMerge/>
            <w:vAlign w:val="center"/>
            <w:hideMark/>
          </w:tcPr>
          <w:p w14:paraId="097874E2"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758" w:type="dxa"/>
            <w:gridSpan w:val="4"/>
            <w:vMerge/>
            <w:vAlign w:val="center"/>
            <w:hideMark/>
          </w:tcPr>
          <w:p w14:paraId="6D28B0DB"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42" w:type="dxa"/>
            <w:gridSpan w:val="4"/>
            <w:vMerge/>
            <w:vAlign w:val="center"/>
            <w:hideMark/>
          </w:tcPr>
          <w:p w14:paraId="4D15A896"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506" w:type="dxa"/>
            <w:gridSpan w:val="4"/>
            <w:shd w:val="clear" w:color="000000" w:fill="FFFF99"/>
            <w:vAlign w:val="center"/>
            <w:hideMark/>
          </w:tcPr>
          <w:p w14:paraId="52F1530A" w14:textId="77777777" w:rsidR="00485BAA" w:rsidRPr="00D30847" w:rsidRDefault="00485BAA" w:rsidP="00485BAA">
            <w:pPr>
              <w:spacing w:after="0" w:line="240" w:lineRule="auto"/>
              <w:jc w:val="center"/>
              <w:rPr>
                <w:rFonts w:ascii="Arial" w:eastAsia="Times New Roman" w:hAnsi="Arial" w:cs="Arial"/>
                <w:sz w:val="12"/>
                <w:szCs w:val="12"/>
                <w:u w:val="single"/>
                <w:lang w:val="en-GB" w:eastAsia="mk-MK"/>
              </w:rPr>
            </w:pPr>
            <w:r w:rsidRPr="00D30847">
              <w:rPr>
                <w:rFonts w:ascii="Arial" w:eastAsia="Times New Roman" w:hAnsi="Arial" w:cs="Arial"/>
                <w:sz w:val="12"/>
                <w:szCs w:val="12"/>
                <w:u w:val="single"/>
                <w:lang w:val="en-GB" w:eastAsia="mk-MK"/>
              </w:rPr>
              <w:t>&gt;</w:t>
            </w:r>
            <w:r w:rsidRPr="00D30847">
              <w:rPr>
                <w:rFonts w:ascii="Arial" w:eastAsia="Times New Roman" w:hAnsi="Arial" w:cs="Arial"/>
                <w:sz w:val="12"/>
                <w:szCs w:val="12"/>
                <w:lang w:val="en-GB" w:eastAsia="mk-MK"/>
              </w:rPr>
              <w:t>C</w:t>
            </w:r>
          </w:p>
        </w:tc>
      </w:tr>
      <w:tr w:rsidR="00031ACD" w:rsidRPr="00D30847" w14:paraId="76086C1C" w14:textId="77777777" w:rsidTr="00FD4DDE">
        <w:trPr>
          <w:gridBefore w:val="3"/>
          <w:gridAfter w:val="1"/>
          <w:wBefore w:w="37" w:type="dxa"/>
          <w:wAfter w:w="52" w:type="dxa"/>
          <w:trHeight w:val="315"/>
          <w:jc w:val="center"/>
        </w:trPr>
        <w:tc>
          <w:tcPr>
            <w:tcW w:w="2303" w:type="dxa"/>
            <w:gridSpan w:val="3"/>
            <w:vMerge/>
            <w:vAlign w:val="center"/>
            <w:hideMark/>
          </w:tcPr>
          <w:p w14:paraId="48D0822B"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vMerge/>
            <w:vAlign w:val="center"/>
            <w:hideMark/>
          </w:tcPr>
          <w:p w14:paraId="021E981F"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194" w:type="dxa"/>
            <w:gridSpan w:val="2"/>
            <w:vMerge/>
            <w:vAlign w:val="center"/>
            <w:hideMark/>
          </w:tcPr>
          <w:p w14:paraId="6ABE9156"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418" w:type="dxa"/>
            <w:gridSpan w:val="3"/>
            <w:shd w:val="clear" w:color="000000" w:fill="FFFF99"/>
            <w:vAlign w:val="center"/>
            <w:hideMark/>
          </w:tcPr>
          <w:p w14:paraId="2BDA734D"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w:t>
            </w:r>
          </w:p>
        </w:tc>
        <w:tc>
          <w:tcPr>
            <w:tcW w:w="1644" w:type="dxa"/>
            <w:gridSpan w:val="3"/>
            <w:vMerge/>
            <w:vAlign w:val="center"/>
            <w:hideMark/>
          </w:tcPr>
          <w:p w14:paraId="76862065"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758" w:type="dxa"/>
            <w:gridSpan w:val="4"/>
            <w:vMerge/>
            <w:vAlign w:val="center"/>
            <w:hideMark/>
          </w:tcPr>
          <w:p w14:paraId="1295B137"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42" w:type="dxa"/>
            <w:gridSpan w:val="4"/>
            <w:vMerge/>
            <w:vAlign w:val="center"/>
            <w:hideMark/>
          </w:tcPr>
          <w:p w14:paraId="13BC3B76"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506" w:type="dxa"/>
            <w:gridSpan w:val="4"/>
            <w:shd w:val="clear" w:color="000000" w:fill="FFFF99"/>
            <w:vAlign w:val="center"/>
            <w:hideMark/>
          </w:tcPr>
          <w:p w14:paraId="3741E55A"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&gt;C</w:t>
            </w:r>
          </w:p>
        </w:tc>
      </w:tr>
      <w:tr w:rsidR="00031ACD" w:rsidRPr="00D30847" w14:paraId="2E8BAACA" w14:textId="77777777" w:rsidTr="00FD4DDE">
        <w:trPr>
          <w:gridBefore w:val="3"/>
          <w:gridAfter w:val="1"/>
          <w:wBefore w:w="37" w:type="dxa"/>
          <w:wAfter w:w="52" w:type="dxa"/>
          <w:trHeight w:val="255"/>
          <w:jc w:val="center"/>
        </w:trPr>
        <w:tc>
          <w:tcPr>
            <w:tcW w:w="2303" w:type="dxa"/>
            <w:gridSpan w:val="3"/>
            <w:vMerge/>
            <w:vAlign w:val="center"/>
            <w:hideMark/>
          </w:tcPr>
          <w:p w14:paraId="3C2853C6"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vMerge/>
            <w:vAlign w:val="center"/>
            <w:hideMark/>
          </w:tcPr>
          <w:p w14:paraId="7222B874"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194" w:type="dxa"/>
            <w:gridSpan w:val="2"/>
            <w:vMerge/>
            <w:vAlign w:val="center"/>
            <w:hideMark/>
          </w:tcPr>
          <w:p w14:paraId="390B3F10"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418" w:type="dxa"/>
            <w:gridSpan w:val="3"/>
            <w:shd w:val="clear" w:color="000000" w:fill="FFFF99"/>
            <w:vAlign w:val="center"/>
            <w:hideMark/>
          </w:tcPr>
          <w:p w14:paraId="7F7F2BA4"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w:t>
            </w:r>
          </w:p>
        </w:tc>
        <w:tc>
          <w:tcPr>
            <w:tcW w:w="1644" w:type="dxa"/>
            <w:gridSpan w:val="3"/>
            <w:vMerge/>
            <w:vAlign w:val="center"/>
            <w:hideMark/>
          </w:tcPr>
          <w:p w14:paraId="4CBA22D2"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758" w:type="dxa"/>
            <w:gridSpan w:val="4"/>
            <w:vMerge/>
            <w:vAlign w:val="center"/>
            <w:hideMark/>
          </w:tcPr>
          <w:p w14:paraId="1BD6B007"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42" w:type="dxa"/>
            <w:gridSpan w:val="4"/>
            <w:vMerge/>
            <w:vAlign w:val="center"/>
            <w:hideMark/>
          </w:tcPr>
          <w:p w14:paraId="162BB8F0"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506" w:type="dxa"/>
            <w:gridSpan w:val="4"/>
            <w:shd w:val="clear" w:color="000000" w:fill="FFFF99"/>
            <w:vAlign w:val="center"/>
            <w:hideMark/>
          </w:tcPr>
          <w:p w14:paraId="2662921A"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&gt;C</w:t>
            </w:r>
          </w:p>
        </w:tc>
      </w:tr>
      <w:tr w:rsidR="00485BAA" w:rsidRPr="00D30847" w14:paraId="5DB522B0" w14:textId="77777777" w:rsidTr="00FD4DDE">
        <w:trPr>
          <w:gridBefore w:val="3"/>
          <w:gridAfter w:val="1"/>
          <w:wBefore w:w="37" w:type="dxa"/>
          <w:wAfter w:w="52" w:type="dxa"/>
          <w:trHeight w:val="232"/>
          <w:jc w:val="center"/>
        </w:trPr>
        <w:tc>
          <w:tcPr>
            <w:tcW w:w="13501" w:type="dxa"/>
            <w:gridSpan w:val="28"/>
            <w:shd w:val="clear" w:color="000000" w:fill="9BD2ED"/>
            <w:vAlign w:val="center"/>
            <w:hideMark/>
          </w:tcPr>
          <w:p w14:paraId="3F23DBD4" w14:textId="499F6BCB" w:rsidR="00485BAA" w:rsidRPr="00D30847" w:rsidRDefault="009F0567"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w:t>
            </w:r>
            <w:r w:rsidR="00577A56"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1</w:t>
            </w:r>
            <w:r w:rsidR="00577A56" w:rsidRPr="00D30847">
              <w:rPr>
                <w:rFonts w:ascii="Arial" w:eastAsia="Times New Roman" w:hAnsi="Arial" w:cs="Arial"/>
                <w:b/>
                <w:bCs/>
                <w:sz w:val="12"/>
                <w:szCs w:val="12"/>
                <w:lang w:val="en-GB" w:eastAsia="mk-MK"/>
              </w:rPr>
              <w:t>.</w:t>
            </w:r>
            <w:r w:rsidRPr="00D30847">
              <w:rPr>
                <w:rFonts w:ascii="Arial" w:eastAsia="Times New Roman" w:hAnsi="Arial" w:cs="Arial"/>
                <w:b/>
                <w:bCs/>
                <w:sz w:val="12"/>
                <w:szCs w:val="12"/>
                <w:lang w:val="en-GB" w:eastAsia="mk-MK"/>
              </w:rPr>
              <w:t xml:space="preserve"> Efficient</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coordination</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and</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development</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public</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investment</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management</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processes</w:t>
            </w:r>
          </w:p>
        </w:tc>
      </w:tr>
      <w:tr w:rsidR="00485BAA" w:rsidRPr="00D30847" w14:paraId="37B3ECE7" w14:textId="77777777" w:rsidTr="00FD4DDE">
        <w:trPr>
          <w:gridBefore w:val="3"/>
          <w:gridAfter w:val="1"/>
          <w:wBefore w:w="37" w:type="dxa"/>
          <w:wAfter w:w="52" w:type="dxa"/>
          <w:trHeight w:val="221"/>
          <w:jc w:val="center"/>
        </w:trPr>
        <w:tc>
          <w:tcPr>
            <w:tcW w:w="1288" w:type="dxa"/>
            <w:tcBorders>
              <w:top w:val="nil"/>
              <w:left w:val="nil"/>
              <w:bottom w:val="nil"/>
              <w:right w:val="nil"/>
            </w:tcBorders>
            <w:shd w:val="clear" w:color="auto" w:fill="auto"/>
            <w:noWrap/>
            <w:vAlign w:val="bottom"/>
            <w:hideMark/>
          </w:tcPr>
          <w:p w14:paraId="0900AF81" w14:textId="77777777" w:rsidR="00485BAA" w:rsidRPr="00D30847" w:rsidRDefault="00485BAA" w:rsidP="00485BAA">
            <w:pPr>
              <w:spacing w:after="0" w:line="240" w:lineRule="auto"/>
              <w:jc w:val="both"/>
              <w:rPr>
                <w:rFonts w:ascii="Arial" w:eastAsia="Times New Roman" w:hAnsi="Arial" w:cs="Arial"/>
                <w:b/>
                <w:bCs/>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7A599B1C"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5AA08AAA" w14:textId="21DFEB3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5BF48195"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proofErr w:type="spellStart"/>
            <w:r w:rsidRPr="00D30847">
              <w:rPr>
                <w:rFonts w:ascii="Arial" w:eastAsia="Times New Roman" w:hAnsi="Arial" w:cs="Arial"/>
                <w:b/>
                <w:bCs/>
                <w:sz w:val="12"/>
                <w:szCs w:val="12"/>
                <w:lang w:val="en-GB" w:eastAsia="mk-MK"/>
              </w:rPr>
              <w:t>DataSource</w:t>
            </w:r>
            <w:proofErr w:type="spellEnd"/>
          </w:p>
        </w:tc>
        <w:tc>
          <w:tcPr>
            <w:tcW w:w="1418" w:type="dxa"/>
            <w:gridSpan w:val="3"/>
            <w:shd w:val="clear" w:color="000000" w:fill="9BD2ED"/>
            <w:vAlign w:val="center"/>
            <w:hideMark/>
          </w:tcPr>
          <w:p w14:paraId="4E1C2B90" w14:textId="763B957D"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A157B0" w:rsidRPr="00D30847">
              <w:rPr>
                <w:rFonts w:ascii="Arial" w:eastAsia="Times New Roman" w:hAnsi="Arial" w:cs="Arial"/>
                <w:b/>
                <w:bCs/>
                <w:sz w:val="12"/>
                <w:szCs w:val="12"/>
                <w:lang w:val="en-GB" w:eastAsia="mk-MK"/>
              </w:rPr>
              <w:t>3(2024)</w:t>
            </w:r>
          </w:p>
        </w:tc>
        <w:tc>
          <w:tcPr>
            <w:tcW w:w="1644" w:type="dxa"/>
            <w:gridSpan w:val="3"/>
            <w:shd w:val="clear" w:color="000000" w:fill="9BD2ED"/>
            <w:vAlign w:val="center"/>
            <w:hideMark/>
          </w:tcPr>
          <w:p w14:paraId="29C00583" w14:textId="66E2E66D"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A157B0"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46A03008" w14:textId="29AED3E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A157B0"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0A5F7AA7" w14:textId="33049C90" w:rsidR="00485BAA" w:rsidRPr="00D30847" w:rsidRDefault="00485BAA" w:rsidP="00E32BC1">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A157B0"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0BF100AF" w14:textId="52F7110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A157B0" w:rsidRPr="00D30847">
              <w:rPr>
                <w:rFonts w:ascii="Arial" w:eastAsia="Times New Roman" w:hAnsi="Arial" w:cs="Arial"/>
                <w:b/>
                <w:bCs/>
                <w:sz w:val="12"/>
                <w:szCs w:val="12"/>
                <w:lang w:val="en-GB" w:eastAsia="mk-MK"/>
              </w:rPr>
              <w:t>8</w:t>
            </w:r>
          </w:p>
        </w:tc>
      </w:tr>
      <w:tr w:rsidR="007578AA" w:rsidRPr="00D30847" w14:paraId="4ABCB55F" w14:textId="77777777" w:rsidTr="00FD4DDE">
        <w:trPr>
          <w:gridBefore w:val="3"/>
          <w:gridAfter w:val="1"/>
          <w:wBefore w:w="37" w:type="dxa"/>
          <w:wAfter w:w="52" w:type="dxa"/>
          <w:trHeight w:val="390"/>
          <w:jc w:val="center"/>
        </w:trPr>
        <w:tc>
          <w:tcPr>
            <w:tcW w:w="1288" w:type="dxa"/>
            <w:tcBorders>
              <w:top w:val="nil"/>
              <w:left w:val="nil"/>
              <w:bottom w:val="nil"/>
              <w:right w:val="nil"/>
            </w:tcBorders>
            <w:shd w:val="clear" w:color="auto" w:fill="auto"/>
            <w:noWrap/>
            <w:vAlign w:val="bottom"/>
          </w:tcPr>
          <w:p w14:paraId="5303D4CA" w14:textId="77777777" w:rsidR="007578AA" w:rsidRPr="00D30847" w:rsidRDefault="007578AA" w:rsidP="00485BAA">
            <w:pPr>
              <w:spacing w:after="0" w:line="240" w:lineRule="auto"/>
              <w:jc w:val="center"/>
              <w:rPr>
                <w:rFonts w:ascii="Arial" w:eastAsia="Times New Roman" w:hAnsi="Arial" w:cs="Arial"/>
                <w:b/>
                <w:bCs/>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tcPr>
          <w:p w14:paraId="55071FD9" w14:textId="77777777" w:rsidR="007578AA" w:rsidRPr="00D30847" w:rsidRDefault="007578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tcPr>
          <w:p w14:paraId="0D5DB934" w14:textId="0F986E59" w:rsidR="007578AA" w:rsidRPr="00D30847" w:rsidRDefault="007578AA" w:rsidP="009F0567">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Staff capacity of the PIM Department in the MoF</w:t>
            </w:r>
          </w:p>
        </w:tc>
        <w:tc>
          <w:tcPr>
            <w:tcW w:w="1194" w:type="dxa"/>
            <w:gridSpan w:val="2"/>
            <w:shd w:val="clear" w:color="000000" w:fill="FFFF99"/>
            <w:vAlign w:val="center"/>
          </w:tcPr>
          <w:p w14:paraId="5F96AC8C" w14:textId="77777777" w:rsidR="007578AA" w:rsidRPr="00D30847" w:rsidRDefault="007578AA" w:rsidP="00485BAA">
            <w:pPr>
              <w:spacing w:after="0" w:line="240" w:lineRule="auto"/>
              <w:jc w:val="center"/>
              <w:rPr>
                <w:rFonts w:ascii="Arial" w:eastAsia="Times New Roman" w:hAnsi="Arial" w:cs="Arial"/>
                <w:sz w:val="12"/>
                <w:szCs w:val="12"/>
                <w:lang w:val="en-GB" w:eastAsia="mk-MK"/>
              </w:rPr>
            </w:pPr>
          </w:p>
        </w:tc>
        <w:tc>
          <w:tcPr>
            <w:tcW w:w="1418" w:type="dxa"/>
            <w:gridSpan w:val="3"/>
            <w:shd w:val="clear" w:color="000000" w:fill="FFFF99"/>
            <w:vAlign w:val="center"/>
          </w:tcPr>
          <w:p w14:paraId="3E53F20C" w14:textId="77777777" w:rsidR="00A157B0" w:rsidRPr="00D30847" w:rsidRDefault="00A157B0" w:rsidP="00A157B0">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Baseline (2024)</w:t>
            </w:r>
          </w:p>
          <w:p w14:paraId="357979DF" w14:textId="77777777" w:rsidR="00A157B0" w:rsidRPr="00D30847" w:rsidRDefault="00A157B0" w:rsidP="00A157B0">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6 employees</w:t>
            </w:r>
          </w:p>
          <w:p w14:paraId="32665A97" w14:textId="77777777" w:rsidR="007578AA" w:rsidRPr="00D30847" w:rsidRDefault="007578AA" w:rsidP="009F0567">
            <w:pPr>
              <w:spacing w:after="0" w:line="240" w:lineRule="auto"/>
              <w:rPr>
                <w:rFonts w:ascii="Arial" w:eastAsia="Times New Roman" w:hAnsi="Arial" w:cs="Arial"/>
                <w:sz w:val="12"/>
                <w:szCs w:val="12"/>
                <w:lang w:val="en-GB" w:eastAsia="mk-MK"/>
              </w:rPr>
            </w:pPr>
          </w:p>
        </w:tc>
        <w:tc>
          <w:tcPr>
            <w:tcW w:w="1644" w:type="dxa"/>
            <w:gridSpan w:val="3"/>
            <w:shd w:val="clear" w:color="000000" w:fill="FFFF99"/>
            <w:vAlign w:val="center"/>
          </w:tcPr>
          <w:p w14:paraId="20A8167E" w14:textId="3E60566A" w:rsidR="007578AA" w:rsidRPr="00D30847" w:rsidRDefault="007578AA" w:rsidP="007578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1) </w:t>
            </w:r>
            <w:r w:rsidR="00A157B0" w:rsidRPr="00D30847">
              <w:rPr>
                <w:rFonts w:ascii="Arial" w:eastAsia="Times New Roman" w:hAnsi="Arial" w:cs="Arial"/>
                <w:sz w:val="12"/>
                <w:szCs w:val="12"/>
                <w:lang w:val="en-GB" w:eastAsia="mk-MK"/>
              </w:rPr>
              <w:t>60</w:t>
            </w:r>
            <w:r w:rsidRPr="00D30847">
              <w:rPr>
                <w:rFonts w:ascii="Arial" w:eastAsia="Times New Roman" w:hAnsi="Arial" w:cs="Arial"/>
                <w:sz w:val="12"/>
                <w:szCs w:val="12"/>
                <w:lang w:val="en-GB" w:eastAsia="mk-MK"/>
              </w:rPr>
              <w:t>% of planned staff engaged</w:t>
            </w:r>
          </w:p>
          <w:p w14:paraId="1BAE23A1" w14:textId="77777777" w:rsidR="007578AA" w:rsidRPr="00D30847" w:rsidRDefault="007578AA" w:rsidP="009F0567">
            <w:pPr>
              <w:spacing w:after="0" w:line="240" w:lineRule="auto"/>
              <w:rPr>
                <w:rFonts w:ascii="Arial" w:eastAsia="Times New Roman" w:hAnsi="Arial" w:cs="Arial"/>
                <w:sz w:val="12"/>
                <w:szCs w:val="12"/>
                <w:lang w:val="en-GB" w:eastAsia="mk-MK"/>
              </w:rPr>
            </w:pPr>
          </w:p>
        </w:tc>
        <w:tc>
          <w:tcPr>
            <w:tcW w:w="1758" w:type="dxa"/>
            <w:gridSpan w:val="4"/>
            <w:shd w:val="clear" w:color="000000" w:fill="FFFF99"/>
            <w:vAlign w:val="center"/>
          </w:tcPr>
          <w:p w14:paraId="0299A9FD" w14:textId="10E0036B" w:rsidR="007578AA" w:rsidRPr="00D30847" w:rsidRDefault="00A157B0" w:rsidP="009F0567">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80</w:t>
            </w:r>
            <w:r w:rsidR="007578AA" w:rsidRPr="00D30847">
              <w:rPr>
                <w:rFonts w:ascii="Arial" w:eastAsia="Times New Roman" w:hAnsi="Arial" w:cs="Arial"/>
                <w:sz w:val="12"/>
                <w:szCs w:val="12"/>
                <w:lang w:val="en-GB" w:eastAsia="mk-MK"/>
              </w:rPr>
              <w:t>% of planned staff engaged</w:t>
            </w:r>
          </w:p>
        </w:tc>
        <w:tc>
          <w:tcPr>
            <w:tcW w:w="1842" w:type="dxa"/>
            <w:gridSpan w:val="4"/>
            <w:shd w:val="clear" w:color="000000" w:fill="FFFF99"/>
            <w:vAlign w:val="center"/>
          </w:tcPr>
          <w:p w14:paraId="5C1B01DC" w14:textId="625FF168" w:rsidR="007578AA" w:rsidRPr="00D30847" w:rsidRDefault="00A157B0" w:rsidP="00CE2DF4">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90% of planned staff engaged</w:t>
            </w:r>
          </w:p>
        </w:tc>
        <w:tc>
          <w:tcPr>
            <w:tcW w:w="1506" w:type="dxa"/>
            <w:gridSpan w:val="4"/>
            <w:shd w:val="clear" w:color="000000" w:fill="FFFF99"/>
            <w:vAlign w:val="center"/>
          </w:tcPr>
          <w:p w14:paraId="1323428C" w14:textId="3E78F173" w:rsidR="007578AA" w:rsidRPr="00D30847" w:rsidRDefault="00A157B0" w:rsidP="009F0567">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100% of planned staff engaged</w:t>
            </w:r>
          </w:p>
        </w:tc>
      </w:tr>
      <w:tr w:rsidR="00485BAA" w:rsidRPr="00D30847" w14:paraId="487E68A7" w14:textId="77777777" w:rsidTr="00FD4DDE">
        <w:trPr>
          <w:gridBefore w:val="3"/>
          <w:gridAfter w:val="1"/>
          <w:wBefore w:w="37" w:type="dxa"/>
          <w:wAfter w:w="52" w:type="dxa"/>
          <w:trHeight w:val="390"/>
          <w:jc w:val="center"/>
        </w:trPr>
        <w:tc>
          <w:tcPr>
            <w:tcW w:w="1288" w:type="dxa"/>
            <w:tcBorders>
              <w:top w:val="nil"/>
              <w:left w:val="nil"/>
              <w:bottom w:val="nil"/>
              <w:right w:val="nil"/>
            </w:tcBorders>
            <w:shd w:val="clear" w:color="auto" w:fill="auto"/>
            <w:noWrap/>
            <w:vAlign w:val="bottom"/>
            <w:hideMark/>
          </w:tcPr>
          <w:p w14:paraId="0C941DA8"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2942714D"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6C0D704D" w14:textId="042A48D0" w:rsidR="003C20E4" w:rsidRPr="00D30847" w:rsidRDefault="009F0567" w:rsidP="00CE2DF4">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Supporting legal framework for PIM adopted</w:t>
            </w:r>
          </w:p>
        </w:tc>
        <w:tc>
          <w:tcPr>
            <w:tcW w:w="1194" w:type="dxa"/>
            <w:gridSpan w:val="2"/>
            <w:shd w:val="clear" w:color="000000" w:fill="FFFF99"/>
            <w:vAlign w:val="center"/>
            <w:hideMark/>
          </w:tcPr>
          <w:p w14:paraId="5A9A1E13" w14:textId="14DDD886" w:rsidR="00485BAA" w:rsidRPr="00D30847" w:rsidRDefault="009F0567"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p>
        </w:tc>
        <w:tc>
          <w:tcPr>
            <w:tcW w:w="1418" w:type="dxa"/>
            <w:gridSpan w:val="3"/>
            <w:shd w:val="clear" w:color="000000" w:fill="FFFF99"/>
            <w:vAlign w:val="center"/>
            <w:hideMark/>
          </w:tcPr>
          <w:p w14:paraId="42405B7A" w14:textId="77777777" w:rsidR="00A157B0" w:rsidRPr="00D30847" w:rsidRDefault="00A157B0" w:rsidP="00A157B0">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acts adopted (OBL and PIM Decree)</w:t>
            </w:r>
          </w:p>
          <w:p w14:paraId="6AA6DABF" w14:textId="1DC83AEA"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644" w:type="dxa"/>
            <w:gridSpan w:val="3"/>
            <w:shd w:val="clear" w:color="000000" w:fill="FFFF99"/>
            <w:vAlign w:val="center"/>
            <w:hideMark/>
          </w:tcPr>
          <w:p w14:paraId="381487EF" w14:textId="77777777" w:rsidR="009F0567" w:rsidRPr="00D30847" w:rsidRDefault="009F0567" w:rsidP="009F0567">
            <w:pPr>
              <w:spacing w:after="0" w:line="240" w:lineRule="auto"/>
              <w:rPr>
                <w:rFonts w:ascii="Arial" w:eastAsia="Times New Roman" w:hAnsi="Arial" w:cs="Arial"/>
                <w:sz w:val="12"/>
                <w:szCs w:val="12"/>
                <w:lang w:val="en-GB" w:eastAsia="mk-MK"/>
              </w:rPr>
            </w:pPr>
          </w:p>
          <w:p w14:paraId="06AFB48B" w14:textId="1632DE87" w:rsidR="003C20E4" w:rsidRPr="00D30847" w:rsidRDefault="00A157B0" w:rsidP="00CE2DF4">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act adopted</w:t>
            </w:r>
          </w:p>
        </w:tc>
        <w:tc>
          <w:tcPr>
            <w:tcW w:w="1758" w:type="dxa"/>
            <w:gridSpan w:val="4"/>
            <w:shd w:val="clear" w:color="000000" w:fill="FFFF99"/>
            <w:vAlign w:val="center"/>
            <w:hideMark/>
          </w:tcPr>
          <w:p w14:paraId="3F2DE4E1" w14:textId="649F0F33" w:rsidR="003C20E4" w:rsidRPr="00D30847" w:rsidRDefault="009F0567" w:rsidP="00CE2DF4">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new acts adopted</w:t>
            </w:r>
            <w:r w:rsidR="00A157B0" w:rsidRPr="00D30847">
              <w:rPr>
                <w:rFonts w:ascii="Arial" w:eastAsia="Times New Roman" w:hAnsi="Arial" w:cs="Arial"/>
                <w:sz w:val="12"/>
                <w:szCs w:val="12"/>
                <w:lang w:val="en-GB" w:eastAsia="mk-MK"/>
              </w:rPr>
              <w:t xml:space="preserve"> amended</w:t>
            </w:r>
          </w:p>
        </w:tc>
        <w:tc>
          <w:tcPr>
            <w:tcW w:w="1842" w:type="dxa"/>
            <w:gridSpan w:val="4"/>
            <w:shd w:val="clear" w:color="000000" w:fill="FFFF99"/>
            <w:vAlign w:val="center"/>
            <w:hideMark/>
          </w:tcPr>
          <w:p w14:paraId="5EB265F3" w14:textId="76950BBF" w:rsidR="003C20E4" w:rsidRPr="00D30847" w:rsidRDefault="00A157B0" w:rsidP="00CE2DF4">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new acts adopted/amended</w:t>
            </w:r>
          </w:p>
        </w:tc>
        <w:tc>
          <w:tcPr>
            <w:tcW w:w="1506" w:type="dxa"/>
            <w:gridSpan w:val="4"/>
            <w:shd w:val="clear" w:color="000000" w:fill="FFFF99"/>
            <w:vAlign w:val="center"/>
            <w:hideMark/>
          </w:tcPr>
          <w:p w14:paraId="39B0A388" w14:textId="7CBF3E1A" w:rsidR="00485BAA" w:rsidRPr="00D30847" w:rsidRDefault="00A157B0" w:rsidP="00485BAA">
            <w:pPr>
              <w:spacing w:after="0" w:line="240" w:lineRule="auto"/>
              <w:jc w:val="center"/>
              <w:rPr>
                <w:rFonts w:ascii="Arial" w:eastAsia="Times New Roman" w:hAnsi="Arial" w:cs="Arial"/>
                <w:sz w:val="12"/>
                <w:szCs w:val="12"/>
                <w:u w:val="single"/>
                <w:lang w:val="en-GB" w:eastAsia="mk-MK"/>
              </w:rPr>
            </w:pPr>
            <w:r w:rsidRPr="00D30847">
              <w:rPr>
                <w:rFonts w:ascii="Arial" w:eastAsia="Times New Roman" w:hAnsi="Arial" w:cs="Arial"/>
                <w:sz w:val="12"/>
                <w:szCs w:val="12"/>
                <w:lang w:val="en-GB" w:eastAsia="mk-MK"/>
              </w:rPr>
              <w:t>Number of new acts adopted/amended</w:t>
            </w:r>
            <w:r w:rsidRPr="00D30847" w:rsidDel="00734119">
              <w:rPr>
                <w:rFonts w:ascii="Arial" w:eastAsia="Times New Roman" w:hAnsi="Arial" w:cs="Arial"/>
                <w:sz w:val="12"/>
                <w:szCs w:val="12"/>
                <w:lang w:val="en-GB" w:eastAsia="mk-MK"/>
              </w:rPr>
              <w:t xml:space="preserve"> </w:t>
            </w:r>
          </w:p>
        </w:tc>
      </w:tr>
      <w:tr w:rsidR="00485BAA" w:rsidRPr="00D30847" w14:paraId="5848C750" w14:textId="77777777" w:rsidTr="00FD4DDE">
        <w:trPr>
          <w:gridBefore w:val="3"/>
          <w:gridAfter w:val="1"/>
          <w:wBefore w:w="37" w:type="dxa"/>
          <w:wAfter w:w="52" w:type="dxa"/>
          <w:trHeight w:val="289"/>
          <w:jc w:val="center"/>
        </w:trPr>
        <w:tc>
          <w:tcPr>
            <w:tcW w:w="1288" w:type="dxa"/>
            <w:tcBorders>
              <w:top w:val="nil"/>
              <w:left w:val="nil"/>
              <w:bottom w:val="nil"/>
              <w:right w:val="nil"/>
            </w:tcBorders>
            <w:shd w:val="clear" w:color="auto" w:fill="auto"/>
            <w:noWrap/>
            <w:vAlign w:val="bottom"/>
            <w:hideMark/>
          </w:tcPr>
          <w:p w14:paraId="3481BD1D" w14:textId="77777777" w:rsidR="00485BAA" w:rsidRPr="00D30847" w:rsidRDefault="00485BAA" w:rsidP="00485BAA">
            <w:pPr>
              <w:spacing w:after="0" w:line="240" w:lineRule="auto"/>
              <w:jc w:val="center"/>
              <w:rPr>
                <w:rFonts w:ascii="Arial" w:eastAsia="Times New Roman" w:hAnsi="Arial" w:cs="Arial"/>
                <w:sz w:val="12"/>
                <w:szCs w:val="12"/>
                <w:u w:val="single"/>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7040D155"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01AB94E1"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2E7B3DE7" w14:textId="264FAC78"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4902894E" w14:textId="59984B5D"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015A63A2" w14:textId="42900B7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03ACFFB8"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1EDADC5C" w14:textId="5D1D2A58"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4D448255"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485BAA" w:rsidRPr="00D30847" w14:paraId="675532B8" w14:textId="77777777" w:rsidTr="00FD4DDE">
        <w:trPr>
          <w:gridBefore w:val="3"/>
          <w:gridAfter w:val="1"/>
          <w:wBefore w:w="37" w:type="dxa"/>
          <w:wAfter w:w="52" w:type="dxa"/>
          <w:trHeight w:val="554"/>
          <w:jc w:val="center"/>
        </w:trPr>
        <w:tc>
          <w:tcPr>
            <w:tcW w:w="1288" w:type="dxa"/>
            <w:tcBorders>
              <w:top w:val="nil"/>
              <w:left w:val="nil"/>
              <w:bottom w:val="nil"/>
              <w:right w:val="nil"/>
            </w:tcBorders>
            <w:shd w:val="clear" w:color="auto" w:fill="auto"/>
            <w:noWrap/>
            <w:vAlign w:val="bottom"/>
            <w:hideMark/>
          </w:tcPr>
          <w:p w14:paraId="7B1334B5"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2AD9EC21"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054488E1" w14:textId="731A65BD" w:rsidR="00485BAA" w:rsidRPr="00D30847" w:rsidRDefault="00815A4F"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1.Strengthen the</w:t>
            </w:r>
            <w:r w:rsidR="00AF150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supporting</w:t>
            </w:r>
            <w:r w:rsidR="00AF150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legal</w:t>
            </w:r>
            <w:r w:rsidR="00AF150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framework</w:t>
            </w:r>
            <w:r w:rsidR="00AF150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for PIM</w:t>
            </w:r>
          </w:p>
        </w:tc>
        <w:tc>
          <w:tcPr>
            <w:tcW w:w="1194" w:type="dxa"/>
            <w:gridSpan w:val="2"/>
            <w:shd w:val="clear" w:color="000000" w:fill="FFFF99"/>
            <w:vAlign w:val="center"/>
            <w:hideMark/>
          </w:tcPr>
          <w:p w14:paraId="3143DFE1" w14:textId="590EDBA3"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A157B0" w:rsidRPr="00D30847">
              <w:rPr>
                <w:rFonts w:ascii="Arial" w:eastAsia="Times New Roman" w:hAnsi="Arial" w:cs="Arial"/>
                <w:sz w:val="12"/>
                <w:szCs w:val="12"/>
                <w:lang w:val="en-GB" w:eastAsia="mk-MK"/>
              </w:rPr>
              <w:t>5</w:t>
            </w:r>
            <w:r w:rsidRPr="00D30847">
              <w:rPr>
                <w:rFonts w:ascii="Arial" w:eastAsia="Times New Roman" w:hAnsi="Arial" w:cs="Arial"/>
                <w:sz w:val="12"/>
                <w:szCs w:val="12"/>
                <w:lang w:val="en-GB" w:eastAsia="mk-MK"/>
              </w:rPr>
              <w:t xml:space="preserve"> - 202</w:t>
            </w:r>
            <w:r w:rsidR="00A157B0" w:rsidRPr="00D30847">
              <w:rPr>
                <w:rFonts w:ascii="Arial" w:eastAsia="Times New Roman" w:hAnsi="Arial" w:cs="Arial"/>
                <w:sz w:val="12"/>
                <w:szCs w:val="12"/>
                <w:lang w:val="en-GB" w:eastAsia="mk-MK"/>
              </w:rPr>
              <w:t>8</w:t>
            </w:r>
          </w:p>
        </w:tc>
        <w:tc>
          <w:tcPr>
            <w:tcW w:w="1418" w:type="dxa"/>
            <w:gridSpan w:val="3"/>
            <w:shd w:val="clear" w:color="000000" w:fill="FFFF99"/>
            <w:vAlign w:val="center"/>
            <w:hideMark/>
          </w:tcPr>
          <w:p w14:paraId="13F080CD" w14:textId="2A0CE02C"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r w:rsidR="00263A7B" w:rsidRPr="00D30847">
              <w:rPr>
                <w:rFonts w:ascii="Arial" w:eastAsia="Times New Roman" w:hAnsi="Arial" w:cs="Arial"/>
                <w:sz w:val="12"/>
                <w:szCs w:val="12"/>
                <w:lang w:val="en-GB" w:eastAsia="mk-MK"/>
              </w:rPr>
              <w:t xml:space="preserve"> </w:t>
            </w:r>
          </w:p>
        </w:tc>
        <w:tc>
          <w:tcPr>
            <w:tcW w:w="1644" w:type="dxa"/>
            <w:gridSpan w:val="3"/>
            <w:shd w:val="clear" w:color="000000" w:fill="FFFF99"/>
            <w:vAlign w:val="center"/>
            <w:hideMark/>
          </w:tcPr>
          <w:p w14:paraId="0C89E595" w14:textId="2278D0A8" w:rsidR="00485BAA" w:rsidRPr="00D30847" w:rsidRDefault="00485BAA" w:rsidP="0035096E">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br/>
            </w:r>
            <w:r w:rsidR="009F0567" w:rsidRPr="00D30847">
              <w:rPr>
                <w:rFonts w:ascii="Arial" w:eastAsia="Times New Roman" w:hAnsi="Arial" w:cs="Arial"/>
                <w:sz w:val="12"/>
                <w:szCs w:val="12"/>
                <w:lang w:val="en-GB" w:eastAsia="mk-MK"/>
              </w:rPr>
              <w:t>External</w:t>
            </w:r>
            <w:r w:rsidR="00AF1506" w:rsidRPr="00D30847">
              <w:rPr>
                <w:rFonts w:ascii="Arial" w:eastAsia="Times New Roman" w:hAnsi="Arial" w:cs="Arial"/>
                <w:sz w:val="12"/>
                <w:szCs w:val="12"/>
                <w:lang w:val="en-GB" w:eastAsia="mk-MK"/>
              </w:rPr>
              <w:t xml:space="preserve"> </w:t>
            </w:r>
            <w:r w:rsidR="009F0567" w:rsidRPr="00D30847">
              <w:rPr>
                <w:rFonts w:ascii="Arial" w:eastAsia="Times New Roman" w:hAnsi="Arial" w:cs="Arial"/>
                <w:sz w:val="12"/>
                <w:szCs w:val="12"/>
                <w:lang w:val="en-GB" w:eastAsia="mk-MK"/>
              </w:rPr>
              <w:t>expertise(WB/IMF/EU)</w:t>
            </w:r>
          </w:p>
        </w:tc>
        <w:tc>
          <w:tcPr>
            <w:tcW w:w="1758" w:type="dxa"/>
            <w:gridSpan w:val="4"/>
            <w:shd w:val="clear" w:color="000000" w:fill="FFFF99"/>
            <w:vAlign w:val="center"/>
            <w:hideMark/>
          </w:tcPr>
          <w:p w14:paraId="213945F2" w14:textId="4B00B74C" w:rsidR="00485BAA" w:rsidRPr="00D30847" w:rsidRDefault="00A157B0" w:rsidP="00DE7154">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15</w:t>
            </w:r>
            <w:r w:rsidR="00815A4F" w:rsidRPr="00D30847">
              <w:rPr>
                <w:rFonts w:ascii="Arial" w:eastAsia="Times New Roman" w:hAnsi="Arial" w:cs="Arial"/>
                <w:sz w:val="12"/>
                <w:szCs w:val="12"/>
                <w:lang w:val="en-GB" w:eastAsia="mk-MK"/>
              </w:rPr>
              <w:t>.000</w:t>
            </w:r>
          </w:p>
        </w:tc>
        <w:tc>
          <w:tcPr>
            <w:tcW w:w="1842" w:type="dxa"/>
            <w:gridSpan w:val="4"/>
            <w:shd w:val="clear" w:color="000000" w:fill="FFFF99"/>
            <w:vAlign w:val="center"/>
            <w:hideMark/>
          </w:tcPr>
          <w:p w14:paraId="2D3D0CF6" w14:textId="77777777" w:rsidR="00485BAA" w:rsidRPr="00D30847" w:rsidRDefault="00815A4F"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w:t>
            </w:r>
            <w:r w:rsidR="00472503" w:rsidRPr="00D30847">
              <w:rPr>
                <w:rFonts w:ascii="Arial" w:eastAsia="Times New Roman" w:hAnsi="Arial" w:cs="Arial"/>
                <w:sz w:val="12"/>
                <w:szCs w:val="12"/>
                <w:lang w:val="en-GB" w:eastAsia="mk-MK"/>
              </w:rPr>
              <w:t xml:space="preserve"> funding</w:t>
            </w:r>
          </w:p>
        </w:tc>
        <w:tc>
          <w:tcPr>
            <w:tcW w:w="1506" w:type="dxa"/>
            <w:gridSpan w:val="4"/>
            <w:shd w:val="clear" w:color="000000" w:fill="FFFF99"/>
            <w:vAlign w:val="center"/>
            <w:hideMark/>
          </w:tcPr>
          <w:p w14:paraId="1A270E1D" w14:textId="400DC20E" w:rsidR="00485BAA" w:rsidRPr="00D30847" w:rsidRDefault="00485BAA" w:rsidP="00407B01">
            <w:pPr>
              <w:spacing w:after="0" w:line="240" w:lineRule="auto"/>
              <w:jc w:val="center"/>
              <w:rPr>
                <w:rFonts w:ascii="Arial" w:eastAsia="Times New Roman" w:hAnsi="Arial" w:cs="Arial"/>
                <w:sz w:val="12"/>
                <w:szCs w:val="12"/>
                <w:lang w:val="en-GB" w:eastAsia="mk-MK"/>
              </w:rPr>
            </w:pPr>
          </w:p>
        </w:tc>
      </w:tr>
      <w:tr w:rsidR="00815A4F" w:rsidRPr="00D30847" w14:paraId="07D33052" w14:textId="77777777" w:rsidTr="00FD4DDE">
        <w:trPr>
          <w:gridBefore w:val="3"/>
          <w:gridAfter w:val="1"/>
          <w:wBefore w:w="37" w:type="dxa"/>
          <w:wAfter w:w="52" w:type="dxa"/>
          <w:trHeight w:val="313"/>
          <w:jc w:val="center"/>
        </w:trPr>
        <w:tc>
          <w:tcPr>
            <w:tcW w:w="1288" w:type="dxa"/>
            <w:tcBorders>
              <w:top w:val="nil"/>
              <w:left w:val="nil"/>
              <w:bottom w:val="nil"/>
              <w:right w:val="nil"/>
            </w:tcBorders>
            <w:shd w:val="clear" w:color="auto" w:fill="auto"/>
            <w:noWrap/>
            <w:vAlign w:val="bottom"/>
          </w:tcPr>
          <w:p w14:paraId="4A87A1EC" w14:textId="77777777" w:rsidR="00815A4F" w:rsidRPr="00D30847" w:rsidRDefault="00815A4F" w:rsidP="00485BAA">
            <w:pPr>
              <w:spacing w:after="0" w:line="240" w:lineRule="auto"/>
              <w:jc w:val="both"/>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tcPr>
          <w:p w14:paraId="505BB5D9" w14:textId="77777777" w:rsidR="00815A4F" w:rsidRPr="00D30847" w:rsidRDefault="00815A4F" w:rsidP="00485BAA">
            <w:pPr>
              <w:spacing w:after="0" w:line="240" w:lineRule="auto"/>
              <w:rPr>
                <w:rFonts w:ascii="Arial" w:eastAsia="Times New Roman" w:hAnsi="Arial" w:cs="Arial"/>
                <w:sz w:val="12"/>
                <w:szCs w:val="12"/>
                <w:lang w:val="en-GB" w:eastAsia="mk-MK"/>
              </w:rPr>
            </w:pPr>
          </w:p>
        </w:tc>
        <w:tc>
          <w:tcPr>
            <w:tcW w:w="1836" w:type="dxa"/>
            <w:gridSpan w:val="5"/>
            <w:vMerge w:val="restart"/>
            <w:tcBorders>
              <w:left w:val="single" w:sz="8" w:space="0" w:color="000000"/>
            </w:tcBorders>
            <w:shd w:val="clear" w:color="000000" w:fill="FFFF99"/>
            <w:vAlign w:val="center"/>
          </w:tcPr>
          <w:p w14:paraId="695C1AE0" w14:textId="0C0477E9" w:rsidR="00815A4F" w:rsidRPr="00D30847" w:rsidRDefault="00815A4F"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2.Strengthen the</w:t>
            </w:r>
            <w:r w:rsidR="00AF150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institutional</w:t>
            </w:r>
            <w:r w:rsidR="00AF150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capacity</w:t>
            </w:r>
            <w:r w:rsidR="00AF150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w:t>
            </w:r>
            <w:r w:rsidR="00AF150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the</w:t>
            </w:r>
            <w:r w:rsidR="00AF150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MoF</w:t>
            </w:r>
            <w:r w:rsidR="00AF150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in</w:t>
            </w:r>
            <w:r w:rsidR="00AF150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the PIM system</w:t>
            </w:r>
          </w:p>
        </w:tc>
        <w:tc>
          <w:tcPr>
            <w:tcW w:w="1194" w:type="dxa"/>
            <w:gridSpan w:val="2"/>
            <w:vMerge w:val="restart"/>
            <w:shd w:val="clear" w:color="000000" w:fill="FFFF99"/>
            <w:vAlign w:val="center"/>
          </w:tcPr>
          <w:p w14:paraId="0D7FE370" w14:textId="0270A540" w:rsidR="00815A4F" w:rsidRPr="00D30847" w:rsidRDefault="00815A4F"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A157B0" w:rsidRPr="00D30847">
              <w:rPr>
                <w:rFonts w:ascii="Arial" w:eastAsia="Times New Roman" w:hAnsi="Arial" w:cs="Arial"/>
                <w:sz w:val="12"/>
                <w:szCs w:val="12"/>
                <w:lang w:val="en-GB" w:eastAsia="mk-MK"/>
              </w:rPr>
              <w:t>5</w:t>
            </w:r>
            <w:r w:rsidRPr="00D30847">
              <w:rPr>
                <w:rFonts w:ascii="Arial" w:eastAsia="Times New Roman" w:hAnsi="Arial" w:cs="Arial"/>
                <w:sz w:val="12"/>
                <w:szCs w:val="12"/>
                <w:lang w:val="en-GB" w:eastAsia="mk-MK"/>
              </w:rPr>
              <w:t xml:space="preserve"> - 202</w:t>
            </w:r>
            <w:r w:rsidR="00A157B0" w:rsidRPr="00D30847">
              <w:rPr>
                <w:rFonts w:ascii="Arial" w:eastAsia="Times New Roman" w:hAnsi="Arial" w:cs="Arial"/>
                <w:sz w:val="12"/>
                <w:szCs w:val="12"/>
                <w:lang w:val="en-GB" w:eastAsia="mk-MK"/>
              </w:rPr>
              <w:t>8</w:t>
            </w:r>
          </w:p>
        </w:tc>
        <w:tc>
          <w:tcPr>
            <w:tcW w:w="1418" w:type="dxa"/>
            <w:gridSpan w:val="3"/>
            <w:vMerge w:val="restart"/>
            <w:shd w:val="clear" w:color="000000" w:fill="FFFF99"/>
            <w:vAlign w:val="center"/>
          </w:tcPr>
          <w:p w14:paraId="7E44EDEA" w14:textId="36804505" w:rsidR="00815A4F" w:rsidRPr="00D30847" w:rsidRDefault="00263A7B"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w:t>
            </w:r>
          </w:p>
        </w:tc>
        <w:tc>
          <w:tcPr>
            <w:tcW w:w="1644" w:type="dxa"/>
            <w:gridSpan w:val="3"/>
            <w:vMerge w:val="restart"/>
            <w:shd w:val="clear" w:color="000000" w:fill="FFFF99"/>
            <w:vAlign w:val="center"/>
          </w:tcPr>
          <w:p w14:paraId="35682CFC" w14:textId="0FE97A8D" w:rsidR="009F0567" w:rsidRPr="00D30847" w:rsidRDefault="009F0567" w:rsidP="009F0567">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w:t>
            </w:r>
            <w:r w:rsidR="00AF150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expertise</w:t>
            </w:r>
          </w:p>
          <w:p w14:paraId="78928680" w14:textId="0CE08026" w:rsidR="00815A4F" w:rsidRPr="00D30847" w:rsidRDefault="009F0567" w:rsidP="009F0567">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(WB/IMF/EU)</w:t>
            </w:r>
          </w:p>
        </w:tc>
        <w:tc>
          <w:tcPr>
            <w:tcW w:w="1758" w:type="dxa"/>
            <w:gridSpan w:val="4"/>
            <w:vMerge w:val="restart"/>
            <w:shd w:val="clear" w:color="000000" w:fill="FFFF99"/>
            <w:vAlign w:val="center"/>
          </w:tcPr>
          <w:p w14:paraId="283EDD3B" w14:textId="71E49035" w:rsidR="00815A4F" w:rsidRPr="00D30847" w:rsidRDefault="00815A4F" w:rsidP="00DE7154">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w:t>
            </w:r>
            <w:r w:rsidR="00A157B0" w:rsidRPr="00D30847">
              <w:rPr>
                <w:rFonts w:ascii="Arial" w:eastAsia="Times New Roman" w:hAnsi="Arial" w:cs="Arial"/>
                <w:sz w:val="12"/>
                <w:szCs w:val="12"/>
                <w:lang w:val="en-GB" w:eastAsia="mk-MK"/>
              </w:rPr>
              <w:t>3</w:t>
            </w:r>
            <w:r w:rsidR="009F0567" w:rsidRPr="00D30847">
              <w:rPr>
                <w:rFonts w:ascii="Arial" w:eastAsia="Times New Roman" w:hAnsi="Arial" w:cs="Arial"/>
                <w:sz w:val="12"/>
                <w:szCs w:val="12"/>
                <w:lang w:val="en-GB" w:eastAsia="mk-MK"/>
              </w:rPr>
              <w:t>0</w:t>
            </w:r>
            <w:r w:rsidRPr="00D30847">
              <w:rPr>
                <w:rFonts w:ascii="Arial" w:eastAsia="Times New Roman" w:hAnsi="Arial" w:cs="Arial"/>
                <w:sz w:val="12"/>
                <w:szCs w:val="12"/>
                <w:lang w:val="en-GB" w:eastAsia="mk-MK"/>
              </w:rPr>
              <w:t>.000</w:t>
            </w:r>
          </w:p>
        </w:tc>
        <w:tc>
          <w:tcPr>
            <w:tcW w:w="1842" w:type="dxa"/>
            <w:gridSpan w:val="4"/>
            <w:shd w:val="clear" w:color="000000" w:fill="FFFF99"/>
            <w:vAlign w:val="center"/>
          </w:tcPr>
          <w:p w14:paraId="0EB9D64F" w14:textId="23AD8D05" w:rsidR="00815A4F" w:rsidRPr="00D30847" w:rsidRDefault="00472503"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National budget</w:t>
            </w:r>
          </w:p>
        </w:tc>
        <w:tc>
          <w:tcPr>
            <w:tcW w:w="1506" w:type="dxa"/>
            <w:gridSpan w:val="4"/>
            <w:shd w:val="clear" w:color="000000" w:fill="FFFF99"/>
            <w:vAlign w:val="center"/>
          </w:tcPr>
          <w:p w14:paraId="0A5F5F2E" w14:textId="10F48726" w:rsidR="00815A4F" w:rsidRPr="00D30847" w:rsidRDefault="00815A4F" w:rsidP="00407B01">
            <w:pPr>
              <w:spacing w:after="0" w:line="240" w:lineRule="auto"/>
              <w:jc w:val="center"/>
              <w:rPr>
                <w:rFonts w:ascii="Arial" w:eastAsia="Times New Roman" w:hAnsi="Arial" w:cs="Arial"/>
                <w:sz w:val="12"/>
                <w:szCs w:val="12"/>
                <w:lang w:val="en-GB" w:eastAsia="mk-MK"/>
              </w:rPr>
            </w:pPr>
          </w:p>
        </w:tc>
      </w:tr>
      <w:tr w:rsidR="00815A4F" w:rsidRPr="00D30847" w14:paraId="18180D42" w14:textId="77777777" w:rsidTr="00FD4DDE">
        <w:trPr>
          <w:gridBefore w:val="3"/>
          <w:gridAfter w:val="1"/>
          <w:wBefore w:w="37" w:type="dxa"/>
          <w:wAfter w:w="52" w:type="dxa"/>
          <w:trHeight w:val="50"/>
          <w:jc w:val="center"/>
        </w:trPr>
        <w:tc>
          <w:tcPr>
            <w:tcW w:w="1288" w:type="dxa"/>
            <w:tcBorders>
              <w:top w:val="nil"/>
              <w:left w:val="nil"/>
              <w:bottom w:val="nil"/>
              <w:right w:val="nil"/>
            </w:tcBorders>
            <w:shd w:val="clear" w:color="auto" w:fill="auto"/>
            <w:noWrap/>
            <w:vAlign w:val="bottom"/>
            <w:hideMark/>
          </w:tcPr>
          <w:p w14:paraId="4BF16DA4" w14:textId="77777777" w:rsidR="00815A4F" w:rsidRPr="00D30847" w:rsidRDefault="00815A4F" w:rsidP="00485BAA">
            <w:pPr>
              <w:spacing w:after="0" w:line="240" w:lineRule="auto"/>
              <w:jc w:val="both"/>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0807FABB" w14:textId="77777777" w:rsidR="00815A4F" w:rsidRPr="00D30847" w:rsidRDefault="00815A4F" w:rsidP="00485BAA">
            <w:pPr>
              <w:spacing w:after="0" w:line="240" w:lineRule="auto"/>
              <w:rPr>
                <w:rFonts w:ascii="Arial" w:eastAsia="Times New Roman" w:hAnsi="Arial" w:cs="Arial"/>
                <w:sz w:val="12"/>
                <w:szCs w:val="12"/>
                <w:lang w:val="en-GB" w:eastAsia="mk-MK"/>
              </w:rPr>
            </w:pPr>
          </w:p>
        </w:tc>
        <w:tc>
          <w:tcPr>
            <w:tcW w:w="1836" w:type="dxa"/>
            <w:gridSpan w:val="5"/>
            <w:vMerge/>
            <w:tcBorders>
              <w:left w:val="single" w:sz="8" w:space="0" w:color="000000"/>
            </w:tcBorders>
            <w:shd w:val="clear" w:color="000000" w:fill="FFFF99"/>
            <w:vAlign w:val="center"/>
            <w:hideMark/>
          </w:tcPr>
          <w:p w14:paraId="352A9CB8" w14:textId="77777777" w:rsidR="00815A4F" w:rsidRPr="00D30847" w:rsidRDefault="00815A4F" w:rsidP="00485BAA">
            <w:pPr>
              <w:spacing w:after="0" w:line="240" w:lineRule="auto"/>
              <w:rPr>
                <w:rFonts w:ascii="Arial" w:eastAsia="Times New Roman" w:hAnsi="Arial" w:cs="Arial"/>
                <w:sz w:val="12"/>
                <w:szCs w:val="12"/>
                <w:lang w:val="en-GB" w:eastAsia="mk-MK"/>
              </w:rPr>
            </w:pPr>
          </w:p>
        </w:tc>
        <w:tc>
          <w:tcPr>
            <w:tcW w:w="1194" w:type="dxa"/>
            <w:gridSpan w:val="2"/>
            <w:vMerge/>
            <w:shd w:val="clear" w:color="000000" w:fill="FFFF99"/>
            <w:vAlign w:val="center"/>
            <w:hideMark/>
          </w:tcPr>
          <w:p w14:paraId="3ECB0EF1" w14:textId="77777777" w:rsidR="00815A4F" w:rsidRPr="00D30847" w:rsidRDefault="00815A4F" w:rsidP="00485BAA">
            <w:pPr>
              <w:spacing w:after="0" w:line="240" w:lineRule="auto"/>
              <w:jc w:val="center"/>
              <w:rPr>
                <w:rFonts w:ascii="Arial" w:eastAsia="Times New Roman" w:hAnsi="Arial" w:cs="Arial"/>
                <w:sz w:val="12"/>
                <w:szCs w:val="12"/>
                <w:lang w:val="en-GB" w:eastAsia="mk-MK"/>
              </w:rPr>
            </w:pPr>
          </w:p>
        </w:tc>
        <w:tc>
          <w:tcPr>
            <w:tcW w:w="1418" w:type="dxa"/>
            <w:gridSpan w:val="3"/>
            <w:vMerge/>
            <w:shd w:val="clear" w:color="000000" w:fill="FFFF99"/>
            <w:vAlign w:val="center"/>
            <w:hideMark/>
          </w:tcPr>
          <w:p w14:paraId="0F091410" w14:textId="77777777" w:rsidR="00815A4F" w:rsidRPr="00D30847" w:rsidRDefault="00815A4F" w:rsidP="00485BAA">
            <w:pPr>
              <w:spacing w:after="0" w:line="240" w:lineRule="auto"/>
              <w:jc w:val="center"/>
              <w:rPr>
                <w:rFonts w:ascii="Arial" w:eastAsia="Times New Roman" w:hAnsi="Arial" w:cs="Arial"/>
                <w:sz w:val="12"/>
                <w:szCs w:val="12"/>
                <w:lang w:val="en-GB" w:eastAsia="mk-MK"/>
              </w:rPr>
            </w:pPr>
          </w:p>
        </w:tc>
        <w:tc>
          <w:tcPr>
            <w:tcW w:w="1644" w:type="dxa"/>
            <w:gridSpan w:val="3"/>
            <w:vMerge/>
            <w:shd w:val="clear" w:color="000000" w:fill="FFFF99"/>
            <w:vAlign w:val="center"/>
            <w:hideMark/>
          </w:tcPr>
          <w:p w14:paraId="6A535B7D" w14:textId="77777777" w:rsidR="00815A4F" w:rsidRPr="00D30847" w:rsidRDefault="00815A4F" w:rsidP="00485BAA">
            <w:pPr>
              <w:spacing w:after="0" w:line="240" w:lineRule="auto"/>
              <w:jc w:val="center"/>
              <w:rPr>
                <w:rFonts w:ascii="Arial" w:eastAsia="Times New Roman" w:hAnsi="Arial" w:cs="Arial"/>
                <w:sz w:val="12"/>
                <w:szCs w:val="12"/>
                <w:lang w:val="en-GB" w:eastAsia="mk-MK"/>
              </w:rPr>
            </w:pPr>
          </w:p>
        </w:tc>
        <w:tc>
          <w:tcPr>
            <w:tcW w:w="1758" w:type="dxa"/>
            <w:gridSpan w:val="4"/>
            <w:vMerge/>
            <w:shd w:val="clear" w:color="000000" w:fill="FFFF99"/>
            <w:vAlign w:val="center"/>
            <w:hideMark/>
          </w:tcPr>
          <w:p w14:paraId="1AE9B4A9" w14:textId="77777777" w:rsidR="00815A4F" w:rsidRPr="00D30847" w:rsidRDefault="00815A4F" w:rsidP="00DE7154">
            <w:pPr>
              <w:spacing w:after="0" w:line="240" w:lineRule="auto"/>
              <w:jc w:val="center"/>
              <w:rPr>
                <w:rFonts w:ascii="Arial" w:eastAsia="Times New Roman" w:hAnsi="Arial" w:cs="Arial"/>
                <w:sz w:val="12"/>
                <w:szCs w:val="12"/>
                <w:lang w:val="en-GB" w:eastAsia="mk-MK"/>
              </w:rPr>
            </w:pPr>
          </w:p>
        </w:tc>
        <w:tc>
          <w:tcPr>
            <w:tcW w:w="1842" w:type="dxa"/>
            <w:gridSpan w:val="4"/>
            <w:vMerge w:val="restart"/>
            <w:shd w:val="clear" w:color="000000" w:fill="FFFF99"/>
            <w:vAlign w:val="center"/>
            <w:hideMark/>
          </w:tcPr>
          <w:p w14:paraId="12C4809A" w14:textId="77777777" w:rsidR="00815A4F" w:rsidRPr="00D30847" w:rsidRDefault="00815A4F"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w:t>
            </w:r>
            <w:r w:rsidR="00472503" w:rsidRPr="00D30847">
              <w:rPr>
                <w:rFonts w:ascii="Arial" w:eastAsia="Times New Roman" w:hAnsi="Arial" w:cs="Arial"/>
                <w:sz w:val="12"/>
                <w:szCs w:val="12"/>
                <w:lang w:val="en-GB" w:eastAsia="mk-MK"/>
              </w:rPr>
              <w:t xml:space="preserve"> funding</w:t>
            </w:r>
          </w:p>
        </w:tc>
        <w:tc>
          <w:tcPr>
            <w:tcW w:w="1506" w:type="dxa"/>
            <w:gridSpan w:val="4"/>
            <w:vMerge w:val="restart"/>
            <w:shd w:val="clear" w:color="000000" w:fill="FFFF99"/>
            <w:vAlign w:val="center"/>
            <w:hideMark/>
          </w:tcPr>
          <w:p w14:paraId="1786592F" w14:textId="0FF1887C" w:rsidR="00815A4F" w:rsidRPr="00D30847" w:rsidRDefault="00815A4F" w:rsidP="00407B01">
            <w:pPr>
              <w:spacing w:after="0" w:line="240" w:lineRule="auto"/>
              <w:jc w:val="center"/>
              <w:rPr>
                <w:rFonts w:ascii="Arial" w:eastAsia="Times New Roman" w:hAnsi="Arial" w:cs="Arial"/>
                <w:sz w:val="12"/>
                <w:szCs w:val="12"/>
                <w:lang w:val="en-GB" w:eastAsia="mk-MK"/>
              </w:rPr>
            </w:pPr>
          </w:p>
        </w:tc>
      </w:tr>
      <w:tr w:rsidR="00815A4F" w:rsidRPr="00D30847" w14:paraId="6E00B614" w14:textId="77777777" w:rsidTr="00FD4DDE">
        <w:trPr>
          <w:gridBefore w:val="3"/>
          <w:gridAfter w:val="1"/>
          <w:wBefore w:w="37" w:type="dxa"/>
          <w:wAfter w:w="52" w:type="dxa"/>
          <w:trHeight w:val="259"/>
          <w:jc w:val="center"/>
        </w:trPr>
        <w:tc>
          <w:tcPr>
            <w:tcW w:w="1288" w:type="dxa"/>
            <w:tcBorders>
              <w:top w:val="nil"/>
              <w:left w:val="nil"/>
              <w:bottom w:val="nil"/>
              <w:right w:val="nil"/>
            </w:tcBorders>
            <w:shd w:val="clear" w:color="auto" w:fill="auto"/>
            <w:noWrap/>
            <w:vAlign w:val="bottom"/>
            <w:hideMark/>
          </w:tcPr>
          <w:p w14:paraId="6DC164C1" w14:textId="77777777" w:rsidR="00815A4F" w:rsidRPr="00D30847" w:rsidRDefault="00815A4F" w:rsidP="00485BAA">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2F4340C4" w14:textId="77777777" w:rsidR="00815A4F" w:rsidRPr="00D30847" w:rsidRDefault="00815A4F" w:rsidP="00485BAA">
            <w:pPr>
              <w:spacing w:after="0" w:line="240" w:lineRule="auto"/>
              <w:rPr>
                <w:rFonts w:ascii="Arial" w:eastAsia="Times New Roman" w:hAnsi="Arial" w:cs="Arial"/>
                <w:sz w:val="12"/>
                <w:szCs w:val="12"/>
                <w:lang w:val="en-GB" w:eastAsia="mk-MK"/>
              </w:rPr>
            </w:pPr>
          </w:p>
        </w:tc>
        <w:tc>
          <w:tcPr>
            <w:tcW w:w="1836" w:type="dxa"/>
            <w:gridSpan w:val="5"/>
            <w:vMerge/>
            <w:tcBorders>
              <w:left w:val="single" w:sz="8" w:space="0" w:color="000000"/>
            </w:tcBorders>
            <w:vAlign w:val="center"/>
            <w:hideMark/>
          </w:tcPr>
          <w:p w14:paraId="42187466" w14:textId="77777777" w:rsidR="00815A4F" w:rsidRPr="00D30847" w:rsidRDefault="00815A4F" w:rsidP="00485BAA">
            <w:pPr>
              <w:spacing w:after="0" w:line="240" w:lineRule="auto"/>
              <w:rPr>
                <w:rFonts w:ascii="Arial" w:eastAsia="Times New Roman" w:hAnsi="Arial" w:cs="Arial"/>
                <w:sz w:val="12"/>
                <w:szCs w:val="12"/>
                <w:lang w:val="en-GB" w:eastAsia="mk-MK"/>
              </w:rPr>
            </w:pPr>
          </w:p>
        </w:tc>
        <w:tc>
          <w:tcPr>
            <w:tcW w:w="1194" w:type="dxa"/>
            <w:gridSpan w:val="2"/>
            <w:vMerge/>
            <w:vAlign w:val="center"/>
            <w:hideMark/>
          </w:tcPr>
          <w:p w14:paraId="3F3634B0" w14:textId="77777777" w:rsidR="00815A4F" w:rsidRPr="00D30847" w:rsidRDefault="00815A4F" w:rsidP="00485BAA">
            <w:pPr>
              <w:spacing w:after="0" w:line="240" w:lineRule="auto"/>
              <w:rPr>
                <w:rFonts w:ascii="Arial" w:eastAsia="Times New Roman" w:hAnsi="Arial" w:cs="Arial"/>
                <w:sz w:val="12"/>
                <w:szCs w:val="12"/>
                <w:lang w:val="en-GB" w:eastAsia="mk-MK"/>
              </w:rPr>
            </w:pPr>
          </w:p>
        </w:tc>
        <w:tc>
          <w:tcPr>
            <w:tcW w:w="1418" w:type="dxa"/>
            <w:gridSpan w:val="3"/>
            <w:vMerge/>
            <w:vAlign w:val="center"/>
            <w:hideMark/>
          </w:tcPr>
          <w:p w14:paraId="1D90104B" w14:textId="77777777" w:rsidR="00815A4F" w:rsidRPr="00D30847" w:rsidRDefault="00815A4F" w:rsidP="00485BAA">
            <w:pPr>
              <w:spacing w:after="0" w:line="240" w:lineRule="auto"/>
              <w:rPr>
                <w:rFonts w:ascii="Arial" w:eastAsia="Times New Roman" w:hAnsi="Arial" w:cs="Arial"/>
                <w:sz w:val="12"/>
                <w:szCs w:val="12"/>
                <w:lang w:val="en-GB" w:eastAsia="mk-MK"/>
              </w:rPr>
            </w:pPr>
          </w:p>
        </w:tc>
        <w:tc>
          <w:tcPr>
            <w:tcW w:w="1644" w:type="dxa"/>
            <w:gridSpan w:val="3"/>
            <w:vMerge/>
            <w:vAlign w:val="center"/>
            <w:hideMark/>
          </w:tcPr>
          <w:p w14:paraId="3ACDC43E" w14:textId="77777777" w:rsidR="00815A4F" w:rsidRPr="00D30847" w:rsidRDefault="00815A4F" w:rsidP="00485BAA">
            <w:pPr>
              <w:spacing w:after="0" w:line="240" w:lineRule="auto"/>
              <w:rPr>
                <w:rFonts w:ascii="Arial" w:eastAsia="Times New Roman" w:hAnsi="Arial" w:cs="Arial"/>
                <w:sz w:val="12"/>
                <w:szCs w:val="12"/>
                <w:lang w:val="en-GB" w:eastAsia="mk-MK"/>
              </w:rPr>
            </w:pPr>
          </w:p>
        </w:tc>
        <w:tc>
          <w:tcPr>
            <w:tcW w:w="1758" w:type="dxa"/>
            <w:gridSpan w:val="4"/>
            <w:shd w:val="clear" w:color="000000" w:fill="FFFF99"/>
            <w:vAlign w:val="center"/>
            <w:hideMark/>
          </w:tcPr>
          <w:p w14:paraId="02EE64CE" w14:textId="77777777" w:rsidR="00815A4F" w:rsidRPr="00D30847" w:rsidRDefault="00815A4F" w:rsidP="00DE7154">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20.000</w:t>
            </w:r>
          </w:p>
        </w:tc>
        <w:tc>
          <w:tcPr>
            <w:tcW w:w="1842" w:type="dxa"/>
            <w:gridSpan w:val="4"/>
            <w:vMerge/>
            <w:vAlign w:val="center"/>
            <w:hideMark/>
          </w:tcPr>
          <w:p w14:paraId="0E9DE3FE" w14:textId="77777777" w:rsidR="00815A4F" w:rsidRPr="00D30847" w:rsidRDefault="00815A4F" w:rsidP="00485BAA">
            <w:pPr>
              <w:spacing w:after="0" w:line="240" w:lineRule="auto"/>
              <w:rPr>
                <w:rFonts w:ascii="Arial" w:eastAsia="Times New Roman" w:hAnsi="Arial" w:cs="Arial"/>
                <w:sz w:val="12"/>
                <w:szCs w:val="12"/>
                <w:lang w:val="en-GB" w:eastAsia="mk-MK"/>
              </w:rPr>
            </w:pPr>
          </w:p>
        </w:tc>
        <w:tc>
          <w:tcPr>
            <w:tcW w:w="1506" w:type="dxa"/>
            <w:gridSpan w:val="4"/>
            <w:vMerge/>
            <w:vAlign w:val="center"/>
            <w:hideMark/>
          </w:tcPr>
          <w:p w14:paraId="5A4040BF" w14:textId="77777777" w:rsidR="00815A4F" w:rsidRPr="00D30847" w:rsidRDefault="00815A4F" w:rsidP="00485BAA">
            <w:pPr>
              <w:spacing w:after="0" w:line="240" w:lineRule="auto"/>
              <w:rPr>
                <w:rFonts w:ascii="Arial" w:eastAsia="Times New Roman" w:hAnsi="Arial" w:cs="Arial"/>
                <w:sz w:val="12"/>
                <w:szCs w:val="12"/>
                <w:lang w:val="en-GB" w:eastAsia="mk-MK"/>
              </w:rPr>
            </w:pPr>
          </w:p>
        </w:tc>
      </w:tr>
      <w:tr w:rsidR="00485BAA" w:rsidRPr="00D30847" w14:paraId="79DE6E00" w14:textId="77777777" w:rsidTr="00FD4DDE">
        <w:trPr>
          <w:gridBefore w:val="3"/>
          <w:gridAfter w:val="1"/>
          <w:wBefore w:w="37" w:type="dxa"/>
          <w:wAfter w:w="52" w:type="dxa"/>
          <w:trHeight w:val="205"/>
          <w:jc w:val="center"/>
        </w:trPr>
        <w:tc>
          <w:tcPr>
            <w:tcW w:w="13501" w:type="dxa"/>
            <w:gridSpan w:val="28"/>
            <w:shd w:val="clear" w:color="000000" w:fill="9BD2ED"/>
            <w:vAlign w:val="center"/>
            <w:hideMark/>
          </w:tcPr>
          <w:p w14:paraId="2C55FD2D" w14:textId="45483AEE"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w:t>
            </w:r>
            <w:r w:rsidR="00577A56"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2</w:t>
            </w:r>
            <w:r w:rsidR="00577A56" w:rsidRPr="00D30847">
              <w:rPr>
                <w:rFonts w:ascii="Arial" w:eastAsia="Times New Roman" w:hAnsi="Arial" w:cs="Arial"/>
                <w:b/>
                <w:bCs/>
                <w:sz w:val="12"/>
                <w:szCs w:val="12"/>
                <w:lang w:val="en-GB" w:eastAsia="mk-MK"/>
              </w:rPr>
              <w:t>.</w:t>
            </w:r>
            <w:r w:rsidRPr="00D30847">
              <w:rPr>
                <w:rFonts w:ascii="Arial" w:eastAsia="Times New Roman" w:hAnsi="Arial" w:cs="Arial"/>
                <w:b/>
                <w:bCs/>
                <w:sz w:val="12"/>
                <w:szCs w:val="12"/>
                <w:lang w:val="en-GB" w:eastAsia="mk-MK"/>
              </w:rPr>
              <w:t xml:space="preserve"> </w:t>
            </w:r>
            <w:r w:rsidR="00815A4F" w:rsidRPr="00D30847">
              <w:rPr>
                <w:rFonts w:ascii="Arial" w:eastAsia="Times New Roman" w:hAnsi="Arial" w:cs="Arial"/>
                <w:b/>
                <w:bCs/>
                <w:sz w:val="12"/>
                <w:szCs w:val="12"/>
                <w:lang w:val="en-GB" w:eastAsia="mk-MK"/>
              </w:rPr>
              <w:t>Established</w:t>
            </w:r>
            <w:r w:rsidR="00AF1506" w:rsidRPr="00D30847">
              <w:rPr>
                <w:rFonts w:ascii="Arial" w:eastAsia="Times New Roman" w:hAnsi="Arial" w:cs="Arial"/>
                <w:b/>
                <w:bCs/>
                <w:sz w:val="12"/>
                <w:szCs w:val="12"/>
                <w:lang w:val="en-GB" w:eastAsia="mk-MK"/>
              </w:rPr>
              <w:t xml:space="preserve"> </w:t>
            </w:r>
            <w:r w:rsidR="00815A4F" w:rsidRPr="00D30847">
              <w:rPr>
                <w:rFonts w:ascii="Arial" w:eastAsia="Times New Roman" w:hAnsi="Arial" w:cs="Arial"/>
                <w:b/>
                <w:bCs/>
                <w:sz w:val="12"/>
                <w:szCs w:val="12"/>
                <w:lang w:val="en-GB" w:eastAsia="mk-MK"/>
              </w:rPr>
              <w:t>single</w:t>
            </w:r>
            <w:r w:rsidR="00AF1506" w:rsidRPr="00D30847">
              <w:rPr>
                <w:rFonts w:ascii="Arial" w:eastAsia="Times New Roman" w:hAnsi="Arial" w:cs="Arial"/>
                <w:b/>
                <w:bCs/>
                <w:sz w:val="12"/>
                <w:szCs w:val="12"/>
                <w:lang w:val="en-GB" w:eastAsia="mk-MK"/>
              </w:rPr>
              <w:t xml:space="preserve"> </w:t>
            </w:r>
            <w:r w:rsidR="00815A4F" w:rsidRPr="00D30847">
              <w:rPr>
                <w:rFonts w:ascii="Arial" w:eastAsia="Times New Roman" w:hAnsi="Arial" w:cs="Arial"/>
                <w:b/>
                <w:bCs/>
                <w:sz w:val="12"/>
                <w:szCs w:val="12"/>
                <w:lang w:val="en-GB" w:eastAsia="mk-MK"/>
              </w:rPr>
              <w:t>pipeline</w:t>
            </w:r>
            <w:r w:rsidR="00AF1506" w:rsidRPr="00D30847">
              <w:rPr>
                <w:rFonts w:ascii="Arial" w:eastAsia="Times New Roman" w:hAnsi="Arial" w:cs="Arial"/>
                <w:b/>
                <w:bCs/>
                <w:sz w:val="12"/>
                <w:szCs w:val="12"/>
                <w:lang w:val="en-GB" w:eastAsia="mk-MK"/>
              </w:rPr>
              <w:t xml:space="preserve"> </w:t>
            </w:r>
            <w:r w:rsidR="00815A4F" w:rsidRPr="00D30847">
              <w:rPr>
                <w:rFonts w:ascii="Arial" w:eastAsia="Times New Roman" w:hAnsi="Arial" w:cs="Arial"/>
                <w:b/>
                <w:bCs/>
                <w:sz w:val="12"/>
                <w:szCs w:val="12"/>
                <w:lang w:val="en-GB" w:eastAsia="mk-MK"/>
              </w:rPr>
              <w:t>of</w:t>
            </w:r>
            <w:r w:rsidR="00AF1506" w:rsidRPr="00D30847">
              <w:rPr>
                <w:rFonts w:ascii="Arial" w:eastAsia="Times New Roman" w:hAnsi="Arial" w:cs="Arial"/>
                <w:b/>
                <w:bCs/>
                <w:sz w:val="12"/>
                <w:szCs w:val="12"/>
                <w:lang w:val="en-GB" w:eastAsia="mk-MK"/>
              </w:rPr>
              <w:t xml:space="preserve"> </w:t>
            </w:r>
            <w:r w:rsidR="00815A4F" w:rsidRPr="00D30847">
              <w:rPr>
                <w:rFonts w:ascii="Arial" w:eastAsia="Times New Roman" w:hAnsi="Arial" w:cs="Arial"/>
                <w:b/>
                <w:bCs/>
                <w:sz w:val="12"/>
                <w:szCs w:val="12"/>
                <w:lang w:val="en-GB" w:eastAsia="mk-MK"/>
              </w:rPr>
              <w:t>appraised</w:t>
            </w:r>
            <w:r w:rsidR="00AF1506" w:rsidRPr="00D30847">
              <w:rPr>
                <w:rFonts w:ascii="Arial" w:eastAsia="Times New Roman" w:hAnsi="Arial" w:cs="Arial"/>
                <w:b/>
                <w:bCs/>
                <w:sz w:val="12"/>
                <w:szCs w:val="12"/>
                <w:lang w:val="en-GB" w:eastAsia="mk-MK"/>
              </w:rPr>
              <w:t xml:space="preserve"> </w:t>
            </w:r>
            <w:r w:rsidR="00815A4F" w:rsidRPr="00D30847">
              <w:rPr>
                <w:rFonts w:ascii="Arial" w:eastAsia="Times New Roman" w:hAnsi="Arial" w:cs="Arial"/>
                <w:b/>
                <w:bCs/>
                <w:sz w:val="12"/>
                <w:szCs w:val="12"/>
                <w:lang w:val="en-GB" w:eastAsia="mk-MK"/>
              </w:rPr>
              <w:t>capital</w:t>
            </w:r>
            <w:r w:rsidR="00AF1506" w:rsidRPr="00D30847">
              <w:rPr>
                <w:rFonts w:ascii="Arial" w:eastAsia="Times New Roman" w:hAnsi="Arial" w:cs="Arial"/>
                <w:b/>
                <w:bCs/>
                <w:sz w:val="12"/>
                <w:szCs w:val="12"/>
                <w:lang w:val="en-GB" w:eastAsia="mk-MK"/>
              </w:rPr>
              <w:t xml:space="preserve"> </w:t>
            </w:r>
            <w:r w:rsidR="00815A4F" w:rsidRPr="00D30847">
              <w:rPr>
                <w:rFonts w:ascii="Arial" w:eastAsia="Times New Roman" w:hAnsi="Arial" w:cs="Arial"/>
                <w:b/>
                <w:bCs/>
                <w:sz w:val="12"/>
                <w:szCs w:val="12"/>
                <w:lang w:val="en-GB" w:eastAsia="mk-MK"/>
              </w:rPr>
              <w:t>public</w:t>
            </w:r>
            <w:r w:rsidR="00AF1506" w:rsidRPr="00D30847">
              <w:rPr>
                <w:rFonts w:ascii="Arial" w:eastAsia="Times New Roman" w:hAnsi="Arial" w:cs="Arial"/>
                <w:b/>
                <w:bCs/>
                <w:sz w:val="12"/>
                <w:szCs w:val="12"/>
                <w:lang w:val="en-GB" w:eastAsia="mk-MK"/>
              </w:rPr>
              <w:t xml:space="preserve"> </w:t>
            </w:r>
            <w:r w:rsidR="00815A4F" w:rsidRPr="00D30847">
              <w:rPr>
                <w:rFonts w:ascii="Arial" w:eastAsia="Times New Roman" w:hAnsi="Arial" w:cs="Arial"/>
                <w:b/>
                <w:bCs/>
                <w:sz w:val="12"/>
                <w:szCs w:val="12"/>
                <w:lang w:val="en-GB" w:eastAsia="mk-MK"/>
              </w:rPr>
              <w:t>investment</w:t>
            </w:r>
            <w:r w:rsidR="00AF1506" w:rsidRPr="00D30847">
              <w:rPr>
                <w:rFonts w:ascii="Arial" w:eastAsia="Times New Roman" w:hAnsi="Arial" w:cs="Arial"/>
                <w:b/>
                <w:bCs/>
                <w:sz w:val="12"/>
                <w:szCs w:val="12"/>
                <w:lang w:val="en-GB" w:eastAsia="mk-MK"/>
              </w:rPr>
              <w:t xml:space="preserve"> </w:t>
            </w:r>
            <w:r w:rsidR="00815A4F" w:rsidRPr="00D30847">
              <w:rPr>
                <w:rFonts w:ascii="Arial" w:eastAsia="Times New Roman" w:hAnsi="Arial" w:cs="Arial"/>
                <w:b/>
                <w:bCs/>
                <w:sz w:val="12"/>
                <w:szCs w:val="12"/>
                <w:lang w:val="en-GB" w:eastAsia="mk-MK"/>
              </w:rPr>
              <w:t>projects</w:t>
            </w:r>
          </w:p>
        </w:tc>
      </w:tr>
      <w:tr w:rsidR="00485BAA" w:rsidRPr="00D30847" w14:paraId="57CDE474" w14:textId="77777777" w:rsidTr="00FD4DDE">
        <w:trPr>
          <w:gridBefore w:val="3"/>
          <w:gridAfter w:val="1"/>
          <w:wBefore w:w="37" w:type="dxa"/>
          <w:wAfter w:w="52" w:type="dxa"/>
          <w:trHeight w:val="129"/>
          <w:jc w:val="center"/>
        </w:trPr>
        <w:tc>
          <w:tcPr>
            <w:tcW w:w="1288" w:type="dxa"/>
            <w:tcBorders>
              <w:top w:val="nil"/>
              <w:left w:val="nil"/>
              <w:bottom w:val="nil"/>
              <w:right w:val="nil"/>
            </w:tcBorders>
            <w:shd w:val="clear" w:color="auto" w:fill="auto"/>
            <w:noWrap/>
            <w:vAlign w:val="bottom"/>
            <w:hideMark/>
          </w:tcPr>
          <w:p w14:paraId="652F0137" w14:textId="77777777" w:rsidR="00485BAA" w:rsidRPr="00D30847" w:rsidRDefault="00485BAA" w:rsidP="00485BAA">
            <w:pPr>
              <w:spacing w:after="0" w:line="240" w:lineRule="auto"/>
              <w:jc w:val="both"/>
              <w:rPr>
                <w:rFonts w:ascii="Arial" w:eastAsia="Times New Roman" w:hAnsi="Arial" w:cs="Arial"/>
                <w:b/>
                <w:bCs/>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574E87B3"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7AB8CD5E" w14:textId="2405061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1EAB8C35" w14:textId="6FC8ABD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362E86E0" w14:textId="687D255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A157B0" w:rsidRPr="00D30847">
              <w:rPr>
                <w:rFonts w:ascii="Arial" w:eastAsia="Times New Roman" w:hAnsi="Arial" w:cs="Arial"/>
                <w:b/>
                <w:bCs/>
                <w:sz w:val="12"/>
                <w:szCs w:val="12"/>
                <w:lang w:val="en-GB" w:eastAsia="mk-MK"/>
              </w:rPr>
              <w:t>4(2024)</w:t>
            </w:r>
          </w:p>
        </w:tc>
        <w:tc>
          <w:tcPr>
            <w:tcW w:w="1644" w:type="dxa"/>
            <w:gridSpan w:val="3"/>
            <w:shd w:val="clear" w:color="000000" w:fill="9BD2ED"/>
            <w:vAlign w:val="center"/>
            <w:hideMark/>
          </w:tcPr>
          <w:p w14:paraId="31F90D00" w14:textId="240F07AD"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A157B0"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3A7499BC" w14:textId="6FA635BC"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A157B0"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263A87E2" w14:textId="56686ED9" w:rsidR="00485BAA" w:rsidRPr="00D30847" w:rsidRDefault="00485BAA" w:rsidP="00815A4F">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A157B0"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2E7BA0A0" w14:textId="7F7156EA"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A157B0" w:rsidRPr="00D30847">
              <w:rPr>
                <w:rFonts w:ascii="Arial" w:eastAsia="Times New Roman" w:hAnsi="Arial" w:cs="Arial"/>
                <w:b/>
                <w:bCs/>
                <w:sz w:val="12"/>
                <w:szCs w:val="12"/>
                <w:lang w:val="en-GB" w:eastAsia="mk-MK"/>
              </w:rPr>
              <w:t>8</w:t>
            </w:r>
          </w:p>
        </w:tc>
      </w:tr>
      <w:tr w:rsidR="00485BAA" w:rsidRPr="00D30847" w14:paraId="61925511" w14:textId="77777777" w:rsidTr="00FD4DDE">
        <w:trPr>
          <w:gridBefore w:val="3"/>
          <w:gridAfter w:val="1"/>
          <w:wBefore w:w="37" w:type="dxa"/>
          <w:wAfter w:w="52" w:type="dxa"/>
          <w:trHeight w:val="403"/>
          <w:jc w:val="center"/>
        </w:trPr>
        <w:tc>
          <w:tcPr>
            <w:tcW w:w="1288" w:type="dxa"/>
            <w:tcBorders>
              <w:top w:val="nil"/>
              <w:left w:val="nil"/>
              <w:bottom w:val="nil"/>
              <w:right w:val="nil"/>
            </w:tcBorders>
            <w:shd w:val="clear" w:color="auto" w:fill="auto"/>
            <w:noWrap/>
            <w:vAlign w:val="bottom"/>
            <w:hideMark/>
          </w:tcPr>
          <w:p w14:paraId="10C2172D"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00FFD572"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71AC1D73" w14:textId="56E0C2FF" w:rsidR="00485BAA" w:rsidRPr="00D30847" w:rsidRDefault="00A157B0" w:rsidP="00637A09">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Single </w:t>
            </w:r>
            <w:proofErr w:type="spellStart"/>
            <w:r w:rsidRPr="00D30847">
              <w:rPr>
                <w:rFonts w:ascii="Arial" w:eastAsia="Times New Roman" w:hAnsi="Arial" w:cs="Arial"/>
                <w:sz w:val="12"/>
                <w:szCs w:val="12"/>
                <w:lang w:val="en-GB" w:eastAsia="mk-MK"/>
              </w:rPr>
              <w:t>pipleline</w:t>
            </w:r>
            <w:proofErr w:type="spellEnd"/>
            <w:r w:rsidRPr="00D30847">
              <w:rPr>
                <w:rFonts w:ascii="Arial" w:eastAsia="Times New Roman" w:hAnsi="Arial" w:cs="Arial"/>
                <w:sz w:val="12"/>
                <w:szCs w:val="12"/>
                <w:lang w:val="en-GB" w:eastAsia="mk-MK"/>
              </w:rPr>
              <w:t xml:space="preserve"> of appraised and prioritized public investment projects established</w:t>
            </w:r>
          </w:p>
        </w:tc>
        <w:tc>
          <w:tcPr>
            <w:tcW w:w="1194" w:type="dxa"/>
            <w:gridSpan w:val="2"/>
            <w:shd w:val="clear" w:color="000000" w:fill="FFFF99"/>
            <w:vAlign w:val="center"/>
            <w:hideMark/>
          </w:tcPr>
          <w:p w14:paraId="72F2B6F7" w14:textId="45698AEB" w:rsidR="00485BAA" w:rsidRPr="00D30847" w:rsidRDefault="00814762"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p>
        </w:tc>
        <w:tc>
          <w:tcPr>
            <w:tcW w:w="1418" w:type="dxa"/>
            <w:gridSpan w:val="3"/>
            <w:shd w:val="clear" w:color="000000" w:fill="FFFF99"/>
            <w:vAlign w:val="center"/>
            <w:hideMark/>
          </w:tcPr>
          <w:p w14:paraId="64622694" w14:textId="7EBF3110" w:rsidR="00485BAA" w:rsidRPr="00D30847" w:rsidRDefault="00814762"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644" w:type="dxa"/>
            <w:gridSpan w:val="3"/>
            <w:shd w:val="clear" w:color="000000" w:fill="FFFF99"/>
            <w:vAlign w:val="center"/>
            <w:hideMark/>
          </w:tcPr>
          <w:p w14:paraId="771ACE6B" w14:textId="77777777" w:rsidR="00A157B0" w:rsidRPr="00D30847" w:rsidRDefault="00A157B0" w:rsidP="00637A09">
            <w:pPr>
              <w:rPr>
                <w:rFonts w:ascii="Arial" w:eastAsia="Times New Roman" w:hAnsi="Arial" w:cs="Arial"/>
                <w:bCs/>
                <w:sz w:val="12"/>
                <w:szCs w:val="12"/>
                <w:lang w:val="en-GB" w:eastAsia="mk-MK"/>
              </w:rPr>
            </w:pPr>
            <w:r w:rsidRPr="00D30847">
              <w:rPr>
                <w:rFonts w:ascii="Arial" w:eastAsia="Times New Roman" w:hAnsi="Arial" w:cs="Arial"/>
                <w:bCs/>
                <w:sz w:val="12"/>
                <w:szCs w:val="12"/>
                <w:lang w:val="en-GB" w:eastAsia="mk-MK"/>
              </w:rPr>
              <w:t>Guidelines for appraisal of public investment projects prepared and published by the MoF</w:t>
            </w:r>
          </w:p>
          <w:p w14:paraId="5A6DCA3E" w14:textId="77777777" w:rsidR="00A157B0" w:rsidRPr="00D30847" w:rsidRDefault="00A157B0" w:rsidP="00637A09">
            <w:pPr>
              <w:rPr>
                <w:rFonts w:ascii="Arial" w:eastAsia="Times New Roman" w:hAnsi="Arial" w:cs="Arial"/>
                <w:bCs/>
                <w:sz w:val="12"/>
                <w:szCs w:val="12"/>
                <w:lang w:val="en-GB" w:eastAsia="mk-MK"/>
              </w:rPr>
            </w:pPr>
            <w:r w:rsidRPr="00D30847">
              <w:rPr>
                <w:rFonts w:ascii="Arial" w:eastAsia="Times New Roman" w:hAnsi="Arial" w:cs="Arial"/>
                <w:bCs/>
                <w:sz w:val="12"/>
                <w:szCs w:val="12"/>
                <w:lang w:val="en-GB" w:eastAsia="mk-MK"/>
              </w:rPr>
              <w:t>Standard criteria for project selection/ prioritization prepared by the MoF and adopted by the Government</w:t>
            </w:r>
          </w:p>
          <w:p w14:paraId="246ED78E" w14:textId="76AF859E" w:rsidR="00485BAA" w:rsidRPr="00D30847" w:rsidRDefault="00A157B0" w:rsidP="00637A09">
            <w:pPr>
              <w:spacing w:after="0" w:line="240" w:lineRule="auto"/>
              <w:rPr>
                <w:rFonts w:ascii="Arial" w:eastAsia="Times New Roman" w:hAnsi="Arial" w:cs="Arial"/>
                <w:b/>
                <w:bCs/>
                <w:sz w:val="12"/>
                <w:szCs w:val="12"/>
                <w:lang w:val="en-GB" w:eastAsia="mk-MK"/>
              </w:rPr>
            </w:pPr>
            <w:r w:rsidRPr="00D30847">
              <w:rPr>
                <w:rFonts w:ascii="Arial" w:eastAsia="Times New Roman" w:hAnsi="Arial" w:cs="Arial"/>
                <w:bCs/>
                <w:sz w:val="12"/>
                <w:szCs w:val="12"/>
                <w:lang w:val="en-GB" w:eastAsia="mk-MK"/>
              </w:rPr>
              <w:t xml:space="preserve">Number of trainings for </w:t>
            </w:r>
            <w:proofErr w:type="spellStart"/>
            <w:r w:rsidRPr="00D30847">
              <w:rPr>
                <w:rFonts w:ascii="Arial" w:eastAsia="Times New Roman" w:hAnsi="Arial" w:cs="Arial"/>
                <w:bCs/>
                <w:sz w:val="12"/>
                <w:szCs w:val="12"/>
                <w:lang w:val="en-GB" w:eastAsia="mk-MK"/>
              </w:rPr>
              <w:t>MoF</w:t>
            </w:r>
            <w:proofErr w:type="spellEnd"/>
            <w:r w:rsidRPr="00D30847">
              <w:rPr>
                <w:rFonts w:ascii="Arial" w:eastAsia="Times New Roman" w:hAnsi="Arial" w:cs="Arial"/>
                <w:bCs/>
                <w:sz w:val="12"/>
                <w:szCs w:val="12"/>
                <w:lang w:val="en-GB" w:eastAsia="mk-MK"/>
              </w:rPr>
              <w:t xml:space="preserve"> and BU/</w:t>
            </w:r>
            <w:proofErr w:type="spellStart"/>
            <w:r w:rsidRPr="00D30847">
              <w:rPr>
                <w:rFonts w:ascii="Arial" w:eastAsia="Times New Roman" w:hAnsi="Arial" w:cs="Arial"/>
                <w:bCs/>
                <w:sz w:val="12"/>
                <w:szCs w:val="12"/>
                <w:lang w:val="en-GB" w:eastAsia="mk-MK"/>
              </w:rPr>
              <w:t>SoE</w:t>
            </w:r>
            <w:proofErr w:type="spellEnd"/>
            <w:r w:rsidRPr="00D30847">
              <w:rPr>
                <w:rFonts w:ascii="Arial" w:eastAsia="Times New Roman" w:hAnsi="Arial" w:cs="Arial"/>
                <w:bCs/>
                <w:sz w:val="12"/>
                <w:szCs w:val="12"/>
                <w:lang w:val="en-GB" w:eastAsia="mk-MK"/>
              </w:rPr>
              <w:t>/LSGUs staff organised</w:t>
            </w:r>
          </w:p>
        </w:tc>
        <w:tc>
          <w:tcPr>
            <w:tcW w:w="1758" w:type="dxa"/>
            <w:gridSpan w:val="4"/>
            <w:shd w:val="clear" w:color="000000" w:fill="FFFF99"/>
            <w:vAlign w:val="center"/>
            <w:hideMark/>
          </w:tcPr>
          <w:p w14:paraId="68B044A8" w14:textId="77777777" w:rsidR="00A157B0" w:rsidRPr="00D30847" w:rsidRDefault="00A157B0" w:rsidP="00A157B0">
            <w:pPr>
              <w:rPr>
                <w:rFonts w:ascii="Arial" w:eastAsia="Times New Roman" w:hAnsi="Arial" w:cs="Arial"/>
                <w:bCs/>
                <w:sz w:val="12"/>
                <w:szCs w:val="12"/>
                <w:lang w:val="en-GB" w:eastAsia="mk-MK"/>
              </w:rPr>
            </w:pPr>
            <w:r w:rsidRPr="00D30847">
              <w:rPr>
                <w:rFonts w:ascii="Arial" w:eastAsia="Times New Roman" w:hAnsi="Arial" w:cs="Arial"/>
                <w:bCs/>
                <w:sz w:val="12"/>
                <w:szCs w:val="12"/>
                <w:lang w:val="en-GB" w:eastAsia="mk-MK"/>
              </w:rPr>
              <w:t>All budget users at central and local level prepare and submit to the Ministry of Finance project concept notes for new public investment projects in accordance with the PIM Decree</w:t>
            </w:r>
          </w:p>
          <w:p w14:paraId="4D46C1EA" w14:textId="77777777" w:rsidR="00A157B0" w:rsidRPr="00D30847" w:rsidRDefault="00A157B0" w:rsidP="00A157B0">
            <w:pPr>
              <w:rPr>
                <w:rFonts w:ascii="Arial" w:eastAsia="Times New Roman" w:hAnsi="Arial" w:cs="Arial"/>
                <w:bCs/>
                <w:sz w:val="12"/>
                <w:szCs w:val="12"/>
                <w:lang w:val="en-GB" w:eastAsia="mk-MK"/>
              </w:rPr>
            </w:pPr>
          </w:p>
          <w:p w14:paraId="2E8A0287" w14:textId="77777777" w:rsidR="00A157B0" w:rsidRPr="00D30847" w:rsidRDefault="00A157B0" w:rsidP="00A157B0">
            <w:pPr>
              <w:rPr>
                <w:rFonts w:ascii="Arial" w:eastAsia="Times New Roman" w:hAnsi="Arial" w:cs="Arial"/>
                <w:bCs/>
                <w:sz w:val="12"/>
                <w:szCs w:val="12"/>
                <w:lang w:val="en-GB" w:eastAsia="mk-MK"/>
              </w:rPr>
            </w:pPr>
            <w:r w:rsidRPr="00D30847">
              <w:rPr>
                <w:rFonts w:ascii="Arial" w:eastAsia="Times New Roman" w:hAnsi="Arial" w:cs="Arial"/>
                <w:bCs/>
                <w:sz w:val="12"/>
                <w:szCs w:val="12"/>
                <w:lang w:val="en-GB" w:eastAsia="mk-MK"/>
              </w:rPr>
              <w:t xml:space="preserve">Number of trainings for </w:t>
            </w:r>
            <w:proofErr w:type="spellStart"/>
            <w:r w:rsidRPr="00D30847">
              <w:rPr>
                <w:rFonts w:ascii="Arial" w:eastAsia="Times New Roman" w:hAnsi="Arial" w:cs="Arial"/>
                <w:bCs/>
                <w:sz w:val="12"/>
                <w:szCs w:val="12"/>
                <w:lang w:val="en-GB" w:eastAsia="mk-MK"/>
              </w:rPr>
              <w:t>MoF</w:t>
            </w:r>
            <w:proofErr w:type="spellEnd"/>
            <w:r w:rsidRPr="00D30847">
              <w:rPr>
                <w:rFonts w:ascii="Arial" w:eastAsia="Times New Roman" w:hAnsi="Arial" w:cs="Arial"/>
                <w:bCs/>
                <w:sz w:val="12"/>
                <w:szCs w:val="12"/>
                <w:lang w:val="en-GB" w:eastAsia="mk-MK"/>
              </w:rPr>
              <w:t xml:space="preserve"> and BU/</w:t>
            </w:r>
            <w:proofErr w:type="spellStart"/>
            <w:r w:rsidRPr="00D30847">
              <w:rPr>
                <w:rFonts w:ascii="Arial" w:eastAsia="Times New Roman" w:hAnsi="Arial" w:cs="Arial"/>
                <w:bCs/>
                <w:sz w:val="12"/>
                <w:szCs w:val="12"/>
                <w:lang w:val="en-GB" w:eastAsia="mk-MK"/>
              </w:rPr>
              <w:t>SoE</w:t>
            </w:r>
            <w:proofErr w:type="spellEnd"/>
            <w:r w:rsidRPr="00D30847">
              <w:rPr>
                <w:rFonts w:ascii="Arial" w:eastAsia="Times New Roman" w:hAnsi="Arial" w:cs="Arial"/>
                <w:bCs/>
                <w:sz w:val="12"/>
                <w:szCs w:val="12"/>
                <w:lang w:val="en-GB" w:eastAsia="mk-MK"/>
              </w:rPr>
              <w:t>/LSGUs staff organised</w:t>
            </w:r>
          </w:p>
          <w:p w14:paraId="5D5973BB" w14:textId="6389AB70"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842" w:type="dxa"/>
            <w:gridSpan w:val="4"/>
            <w:shd w:val="clear" w:color="000000" w:fill="FFFF99"/>
            <w:vAlign w:val="center"/>
            <w:hideMark/>
          </w:tcPr>
          <w:p w14:paraId="4BB9A4E6" w14:textId="65B87336" w:rsidR="00485BAA" w:rsidRPr="00D30847" w:rsidRDefault="00A157B0" w:rsidP="00637A09">
            <w:pPr>
              <w:spacing w:after="0" w:line="240" w:lineRule="auto"/>
              <w:rPr>
                <w:rFonts w:ascii="Arial" w:eastAsia="Times New Roman" w:hAnsi="Arial" w:cs="Arial"/>
                <w:sz w:val="12"/>
                <w:szCs w:val="12"/>
                <w:lang w:val="en-GB" w:eastAsia="mk-MK"/>
              </w:rPr>
            </w:pPr>
            <w:r w:rsidRPr="00D30847">
              <w:rPr>
                <w:rFonts w:ascii="Arial" w:eastAsia="Times New Roman" w:hAnsi="Arial" w:cs="Arial"/>
                <w:bCs/>
                <w:sz w:val="12"/>
                <w:szCs w:val="12"/>
                <w:lang w:val="en-GB" w:eastAsia="mk-MK"/>
              </w:rPr>
              <w:t xml:space="preserve">Developed single pipeline of appraised </w:t>
            </w:r>
            <w:r w:rsidRPr="00D30847">
              <w:rPr>
                <w:rFonts w:ascii="Arial" w:eastAsia="Times New Roman" w:hAnsi="Arial" w:cs="Arial"/>
                <w:sz w:val="12"/>
                <w:szCs w:val="12"/>
                <w:lang w:val="en-GB" w:eastAsia="mk-MK"/>
              </w:rPr>
              <w:t xml:space="preserve">and prioritized </w:t>
            </w:r>
            <w:r w:rsidRPr="00D30847">
              <w:rPr>
                <w:rFonts w:ascii="Arial" w:eastAsia="Times New Roman" w:hAnsi="Arial" w:cs="Arial"/>
                <w:bCs/>
                <w:sz w:val="12"/>
                <w:szCs w:val="12"/>
                <w:lang w:val="en-GB" w:eastAsia="mk-MK"/>
              </w:rPr>
              <w:t>capital public investment projects</w:t>
            </w:r>
          </w:p>
        </w:tc>
        <w:tc>
          <w:tcPr>
            <w:tcW w:w="1506" w:type="dxa"/>
            <w:gridSpan w:val="4"/>
            <w:shd w:val="clear" w:color="000000" w:fill="FFFF99"/>
            <w:vAlign w:val="center"/>
            <w:hideMark/>
          </w:tcPr>
          <w:p w14:paraId="2BF7EED6" w14:textId="7028BCE0" w:rsidR="00485BAA" w:rsidRPr="00D30847" w:rsidRDefault="00A157B0" w:rsidP="00637A09">
            <w:pPr>
              <w:spacing w:after="0" w:line="240" w:lineRule="auto"/>
              <w:rPr>
                <w:rFonts w:ascii="Arial" w:eastAsia="Times New Roman" w:hAnsi="Arial" w:cs="Arial"/>
                <w:sz w:val="12"/>
                <w:szCs w:val="12"/>
                <w:u w:val="single"/>
                <w:lang w:val="en-GB" w:eastAsia="mk-MK"/>
              </w:rPr>
            </w:pPr>
            <w:r w:rsidRPr="00D30847">
              <w:rPr>
                <w:rFonts w:ascii="Arial" w:eastAsia="Times New Roman" w:hAnsi="Arial" w:cs="Arial"/>
                <w:bCs/>
                <w:sz w:val="12"/>
                <w:szCs w:val="12"/>
                <w:lang w:val="en-GB" w:eastAsia="mk-MK"/>
              </w:rPr>
              <w:t>Developed single pipeline of appraised</w:t>
            </w:r>
            <w:r w:rsidRPr="00D30847">
              <w:rPr>
                <w:rFonts w:ascii="Arial" w:eastAsia="Times New Roman" w:hAnsi="Arial" w:cs="Arial"/>
                <w:sz w:val="12"/>
                <w:szCs w:val="12"/>
                <w:lang w:val="en-GB" w:eastAsia="mk-MK"/>
              </w:rPr>
              <w:t xml:space="preserve"> and prioritized</w:t>
            </w:r>
            <w:r w:rsidRPr="00D30847">
              <w:rPr>
                <w:rFonts w:ascii="Arial" w:eastAsia="Times New Roman" w:hAnsi="Arial" w:cs="Arial"/>
                <w:bCs/>
                <w:sz w:val="12"/>
                <w:szCs w:val="12"/>
                <w:lang w:val="en-GB" w:eastAsia="mk-MK"/>
              </w:rPr>
              <w:t xml:space="preserve"> capital public investment projects</w:t>
            </w:r>
          </w:p>
        </w:tc>
      </w:tr>
      <w:tr w:rsidR="00485BAA" w:rsidRPr="00D30847" w14:paraId="3546AFED" w14:textId="77777777" w:rsidTr="00FD4DDE">
        <w:trPr>
          <w:gridBefore w:val="3"/>
          <w:gridAfter w:val="1"/>
          <w:wBefore w:w="37" w:type="dxa"/>
          <w:wAfter w:w="52" w:type="dxa"/>
          <w:trHeight w:val="375"/>
          <w:jc w:val="center"/>
        </w:trPr>
        <w:tc>
          <w:tcPr>
            <w:tcW w:w="1288" w:type="dxa"/>
            <w:tcBorders>
              <w:top w:val="nil"/>
              <w:left w:val="nil"/>
              <w:bottom w:val="nil"/>
              <w:right w:val="nil"/>
            </w:tcBorders>
            <w:shd w:val="clear" w:color="auto" w:fill="auto"/>
            <w:noWrap/>
            <w:vAlign w:val="bottom"/>
            <w:hideMark/>
          </w:tcPr>
          <w:p w14:paraId="45D65866" w14:textId="77777777" w:rsidR="00485BAA" w:rsidRPr="00D30847" w:rsidRDefault="00485BAA" w:rsidP="00485BAA">
            <w:pPr>
              <w:spacing w:after="0" w:line="240" w:lineRule="auto"/>
              <w:jc w:val="center"/>
              <w:rPr>
                <w:rFonts w:ascii="Arial" w:eastAsia="Times New Roman" w:hAnsi="Arial" w:cs="Arial"/>
                <w:sz w:val="12"/>
                <w:szCs w:val="12"/>
                <w:u w:val="single"/>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4B0A181F"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5D4C39A6" w14:textId="7CA951E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504C6DB8" w14:textId="312A692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1F1A1293" w14:textId="430FF28D"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46474600" w14:textId="55D8E3B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37555B79"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60A2F2E4" w14:textId="5439C467"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664D0F09"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485BAA" w:rsidRPr="00D30847" w14:paraId="0AFD11F1" w14:textId="77777777" w:rsidTr="00FD4DDE">
        <w:trPr>
          <w:gridBefore w:val="3"/>
          <w:gridAfter w:val="1"/>
          <w:wBefore w:w="37" w:type="dxa"/>
          <w:wAfter w:w="52" w:type="dxa"/>
          <w:trHeight w:val="525"/>
          <w:jc w:val="center"/>
        </w:trPr>
        <w:tc>
          <w:tcPr>
            <w:tcW w:w="1288" w:type="dxa"/>
            <w:tcBorders>
              <w:top w:val="nil"/>
              <w:left w:val="nil"/>
              <w:bottom w:val="nil"/>
              <w:right w:val="nil"/>
            </w:tcBorders>
            <w:shd w:val="clear" w:color="auto" w:fill="auto"/>
            <w:noWrap/>
            <w:vAlign w:val="bottom"/>
            <w:hideMark/>
          </w:tcPr>
          <w:p w14:paraId="73D7E0E6"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3BDBD489"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7B7564B5" w14:textId="6545343B" w:rsidR="00485BAA" w:rsidRPr="00D30847" w:rsidRDefault="00AF1506"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Develop general public investment project appraisal methodology</w:t>
            </w:r>
          </w:p>
        </w:tc>
        <w:tc>
          <w:tcPr>
            <w:tcW w:w="1194" w:type="dxa"/>
            <w:gridSpan w:val="2"/>
            <w:shd w:val="clear" w:color="000000" w:fill="FFFF99"/>
            <w:vAlign w:val="center"/>
            <w:hideMark/>
          </w:tcPr>
          <w:p w14:paraId="61A564E5" w14:textId="1E1C99B9"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814762" w:rsidRPr="00D30847">
              <w:rPr>
                <w:rFonts w:ascii="Arial" w:eastAsia="Times New Roman" w:hAnsi="Arial" w:cs="Arial"/>
                <w:sz w:val="12"/>
                <w:szCs w:val="12"/>
                <w:lang w:val="en-GB" w:eastAsia="mk-MK"/>
              </w:rPr>
              <w:t>5</w:t>
            </w:r>
          </w:p>
        </w:tc>
        <w:tc>
          <w:tcPr>
            <w:tcW w:w="1418" w:type="dxa"/>
            <w:gridSpan w:val="3"/>
            <w:shd w:val="clear" w:color="000000" w:fill="FFFF99"/>
            <w:vAlign w:val="center"/>
            <w:hideMark/>
          </w:tcPr>
          <w:p w14:paraId="211C89D3" w14:textId="5ED0D445" w:rsidR="00485BAA" w:rsidRPr="00D30847" w:rsidRDefault="00263A7B"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PIM Department</w:t>
            </w:r>
          </w:p>
        </w:tc>
        <w:tc>
          <w:tcPr>
            <w:tcW w:w="1644" w:type="dxa"/>
            <w:gridSpan w:val="3"/>
            <w:shd w:val="clear" w:color="000000" w:fill="FFFF99"/>
            <w:vAlign w:val="center"/>
            <w:hideMark/>
          </w:tcPr>
          <w:p w14:paraId="5EE014F4" w14:textId="3C7D5FF3" w:rsidR="00485BAA" w:rsidRPr="00D30847" w:rsidRDefault="00814762" w:rsidP="0035096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w:t>
            </w:r>
            <w:r w:rsidR="00AF150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expertise (WB/EU)</w:t>
            </w:r>
          </w:p>
        </w:tc>
        <w:tc>
          <w:tcPr>
            <w:tcW w:w="1758" w:type="dxa"/>
            <w:gridSpan w:val="4"/>
            <w:shd w:val="clear" w:color="000000" w:fill="FFFF99"/>
            <w:vAlign w:val="center"/>
            <w:hideMark/>
          </w:tcPr>
          <w:p w14:paraId="5590C269" w14:textId="4A4205E1" w:rsidR="00485BAA" w:rsidRPr="00D30847" w:rsidRDefault="00240E9C" w:rsidP="008747A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5</w:t>
            </w:r>
            <w:r w:rsidR="00485BAA" w:rsidRPr="00D30847">
              <w:rPr>
                <w:rFonts w:ascii="Arial" w:eastAsia="Times New Roman" w:hAnsi="Arial" w:cs="Arial"/>
                <w:sz w:val="12"/>
                <w:szCs w:val="12"/>
                <w:lang w:val="en-GB" w:eastAsia="mk-MK"/>
              </w:rPr>
              <w:t>,000</w:t>
            </w:r>
          </w:p>
        </w:tc>
        <w:tc>
          <w:tcPr>
            <w:tcW w:w="1842" w:type="dxa"/>
            <w:gridSpan w:val="4"/>
            <w:shd w:val="clear" w:color="000000" w:fill="FFFF99"/>
            <w:vAlign w:val="center"/>
            <w:hideMark/>
          </w:tcPr>
          <w:p w14:paraId="2D7F13F5" w14:textId="77777777" w:rsidR="00485BAA" w:rsidRPr="00D30847" w:rsidRDefault="00240E9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w:t>
            </w:r>
            <w:r w:rsidR="00472503" w:rsidRPr="00D30847">
              <w:rPr>
                <w:rFonts w:ascii="Arial" w:eastAsia="Times New Roman" w:hAnsi="Arial" w:cs="Arial"/>
                <w:sz w:val="12"/>
                <w:szCs w:val="12"/>
                <w:lang w:val="en-GB" w:eastAsia="mk-MK"/>
              </w:rPr>
              <w:t xml:space="preserve"> funding</w:t>
            </w:r>
          </w:p>
        </w:tc>
        <w:tc>
          <w:tcPr>
            <w:tcW w:w="1506" w:type="dxa"/>
            <w:gridSpan w:val="4"/>
            <w:shd w:val="clear" w:color="000000" w:fill="FFFF99"/>
            <w:vAlign w:val="center"/>
            <w:hideMark/>
          </w:tcPr>
          <w:p w14:paraId="7F2D615C" w14:textId="5F71C6A2" w:rsidR="00485BAA" w:rsidRPr="00D30847" w:rsidRDefault="00485BAA" w:rsidP="00407B01">
            <w:pPr>
              <w:spacing w:after="0" w:line="240" w:lineRule="auto"/>
              <w:jc w:val="center"/>
              <w:rPr>
                <w:rFonts w:ascii="Arial" w:eastAsia="Times New Roman" w:hAnsi="Arial" w:cs="Arial"/>
                <w:sz w:val="12"/>
                <w:szCs w:val="12"/>
                <w:lang w:val="en-GB" w:eastAsia="mk-MK"/>
              </w:rPr>
            </w:pPr>
          </w:p>
        </w:tc>
      </w:tr>
      <w:tr w:rsidR="00485BAA" w:rsidRPr="00D30847" w14:paraId="24E3BD7F" w14:textId="77777777" w:rsidTr="00FD4DDE">
        <w:trPr>
          <w:gridBefore w:val="3"/>
          <w:gridAfter w:val="1"/>
          <w:wBefore w:w="37" w:type="dxa"/>
          <w:wAfter w:w="52" w:type="dxa"/>
          <w:trHeight w:val="570"/>
          <w:jc w:val="center"/>
        </w:trPr>
        <w:tc>
          <w:tcPr>
            <w:tcW w:w="1288" w:type="dxa"/>
            <w:tcBorders>
              <w:top w:val="nil"/>
              <w:left w:val="nil"/>
              <w:bottom w:val="nil"/>
              <w:right w:val="nil"/>
            </w:tcBorders>
            <w:shd w:val="clear" w:color="auto" w:fill="auto"/>
            <w:noWrap/>
            <w:vAlign w:val="bottom"/>
            <w:hideMark/>
          </w:tcPr>
          <w:p w14:paraId="29A6066C"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615115BB"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7EBB7F1F" w14:textId="6EFAD936" w:rsidR="00485BAA" w:rsidRPr="00D30847" w:rsidRDefault="00AF1506"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Establish standard criteria for project selection/ prioritization</w:t>
            </w:r>
          </w:p>
        </w:tc>
        <w:tc>
          <w:tcPr>
            <w:tcW w:w="1194" w:type="dxa"/>
            <w:gridSpan w:val="2"/>
            <w:shd w:val="clear" w:color="000000" w:fill="FFFF99"/>
            <w:vAlign w:val="center"/>
            <w:hideMark/>
          </w:tcPr>
          <w:p w14:paraId="7A08C072" w14:textId="2AB68760"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472503" w:rsidRPr="00D30847">
              <w:rPr>
                <w:rFonts w:ascii="Arial" w:eastAsia="Times New Roman" w:hAnsi="Arial" w:cs="Arial"/>
                <w:sz w:val="12"/>
                <w:szCs w:val="12"/>
                <w:lang w:val="en-GB" w:eastAsia="mk-MK"/>
              </w:rPr>
              <w:t>5</w:t>
            </w:r>
          </w:p>
        </w:tc>
        <w:tc>
          <w:tcPr>
            <w:tcW w:w="1418" w:type="dxa"/>
            <w:gridSpan w:val="3"/>
            <w:shd w:val="clear" w:color="000000" w:fill="FFFF99"/>
            <w:vAlign w:val="center"/>
            <w:hideMark/>
          </w:tcPr>
          <w:p w14:paraId="3CCBBCBE" w14:textId="2DCC1EBD" w:rsidR="00485BAA" w:rsidRPr="00D30847" w:rsidRDefault="00263A7B"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PIM Department and</w:t>
            </w:r>
            <w:r w:rsidR="00240E9C" w:rsidRPr="00D30847">
              <w:rPr>
                <w:rFonts w:ascii="Arial" w:eastAsia="Times New Roman" w:hAnsi="Arial" w:cs="Arial"/>
                <w:sz w:val="12"/>
                <w:szCs w:val="12"/>
                <w:lang w:val="en-GB" w:eastAsia="mk-MK"/>
              </w:rPr>
              <w:t xml:space="preserve"> Government</w:t>
            </w:r>
          </w:p>
        </w:tc>
        <w:tc>
          <w:tcPr>
            <w:tcW w:w="1644" w:type="dxa"/>
            <w:gridSpan w:val="3"/>
            <w:shd w:val="clear" w:color="000000" w:fill="FFFF99"/>
            <w:vAlign w:val="center"/>
            <w:hideMark/>
          </w:tcPr>
          <w:p w14:paraId="6F148B14" w14:textId="30D6B18A" w:rsidR="00485BAA" w:rsidRPr="00D30847" w:rsidRDefault="00814762" w:rsidP="00485BA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w:t>
            </w:r>
            <w:r w:rsidR="00AF150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expertise (WB/EU)</w:t>
            </w:r>
          </w:p>
        </w:tc>
        <w:tc>
          <w:tcPr>
            <w:tcW w:w="1758" w:type="dxa"/>
            <w:gridSpan w:val="4"/>
            <w:shd w:val="clear" w:color="000000" w:fill="FFFF99"/>
            <w:vAlign w:val="center"/>
            <w:hideMark/>
          </w:tcPr>
          <w:p w14:paraId="0228781A" w14:textId="3774343C" w:rsidR="00485BAA" w:rsidRPr="00D30847" w:rsidRDefault="00240E9C" w:rsidP="008747A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5</w:t>
            </w:r>
            <w:r w:rsidR="00485BAA" w:rsidRPr="00D30847">
              <w:rPr>
                <w:rFonts w:ascii="Arial" w:eastAsia="Times New Roman" w:hAnsi="Arial" w:cs="Arial"/>
                <w:sz w:val="12"/>
                <w:szCs w:val="12"/>
                <w:lang w:val="en-GB" w:eastAsia="mk-MK"/>
              </w:rPr>
              <w:t>,000</w:t>
            </w:r>
          </w:p>
        </w:tc>
        <w:tc>
          <w:tcPr>
            <w:tcW w:w="1842" w:type="dxa"/>
            <w:gridSpan w:val="4"/>
            <w:shd w:val="clear" w:color="000000" w:fill="FFFF99"/>
            <w:vAlign w:val="center"/>
            <w:hideMark/>
          </w:tcPr>
          <w:p w14:paraId="65943E68" w14:textId="77777777" w:rsidR="00485BAA" w:rsidRPr="00D30847" w:rsidRDefault="00240E9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w:t>
            </w:r>
            <w:r w:rsidR="00472503" w:rsidRPr="00D30847">
              <w:rPr>
                <w:rFonts w:ascii="Arial" w:eastAsia="Times New Roman" w:hAnsi="Arial" w:cs="Arial"/>
                <w:sz w:val="12"/>
                <w:szCs w:val="12"/>
                <w:lang w:val="en-GB" w:eastAsia="mk-MK"/>
              </w:rPr>
              <w:t xml:space="preserve"> funding</w:t>
            </w:r>
          </w:p>
        </w:tc>
        <w:tc>
          <w:tcPr>
            <w:tcW w:w="1506" w:type="dxa"/>
            <w:gridSpan w:val="4"/>
            <w:shd w:val="clear" w:color="000000" w:fill="FFFF99"/>
            <w:vAlign w:val="center"/>
            <w:hideMark/>
          </w:tcPr>
          <w:p w14:paraId="032B0822" w14:textId="28ABBCAB" w:rsidR="00485BAA" w:rsidRPr="00D30847" w:rsidRDefault="00485BAA" w:rsidP="00407B01">
            <w:pPr>
              <w:spacing w:after="0" w:line="240" w:lineRule="auto"/>
              <w:jc w:val="center"/>
              <w:rPr>
                <w:rFonts w:ascii="Arial" w:eastAsia="Times New Roman" w:hAnsi="Arial" w:cs="Arial"/>
                <w:sz w:val="12"/>
                <w:szCs w:val="12"/>
                <w:lang w:val="en-GB" w:eastAsia="mk-MK"/>
              </w:rPr>
            </w:pPr>
          </w:p>
        </w:tc>
      </w:tr>
      <w:tr w:rsidR="00240E9C" w:rsidRPr="00D30847" w14:paraId="6F118576" w14:textId="77777777" w:rsidTr="00FD4DDE">
        <w:trPr>
          <w:gridBefore w:val="3"/>
          <w:gridAfter w:val="1"/>
          <w:wBefore w:w="37" w:type="dxa"/>
          <w:wAfter w:w="52" w:type="dxa"/>
          <w:trHeight w:val="408"/>
          <w:jc w:val="center"/>
        </w:trPr>
        <w:tc>
          <w:tcPr>
            <w:tcW w:w="1288" w:type="dxa"/>
            <w:tcBorders>
              <w:top w:val="nil"/>
              <w:left w:val="nil"/>
              <w:bottom w:val="nil"/>
              <w:right w:val="nil"/>
            </w:tcBorders>
            <w:shd w:val="clear" w:color="auto" w:fill="auto"/>
            <w:noWrap/>
            <w:vAlign w:val="bottom"/>
            <w:hideMark/>
          </w:tcPr>
          <w:p w14:paraId="4FE96D02" w14:textId="77777777" w:rsidR="00240E9C" w:rsidRPr="00D30847" w:rsidRDefault="00240E9C" w:rsidP="00485BAA">
            <w:pPr>
              <w:spacing w:after="0" w:line="240" w:lineRule="auto"/>
              <w:jc w:val="both"/>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4907B53A" w14:textId="77777777" w:rsidR="00240E9C" w:rsidRPr="00D30847" w:rsidRDefault="00240E9C" w:rsidP="00485BAA">
            <w:pPr>
              <w:spacing w:after="0" w:line="240" w:lineRule="auto"/>
              <w:rPr>
                <w:rFonts w:ascii="Arial" w:eastAsia="Times New Roman" w:hAnsi="Arial" w:cs="Arial"/>
                <w:sz w:val="12"/>
                <w:szCs w:val="12"/>
                <w:lang w:val="en-GB" w:eastAsia="mk-MK"/>
              </w:rPr>
            </w:pPr>
          </w:p>
        </w:tc>
        <w:tc>
          <w:tcPr>
            <w:tcW w:w="1836" w:type="dxa"/>
            <w:gridSpan w:val="5"/>
            <w:vMerge w:val="restart"/>
            <w:tcBorders>
              <w:left w:val="single" w:sz="8" w:space="0" w:color="000000"/>
            </w:tcBorders>
            <w:shd w:val="clear" w:color="000000" w:fill="FFFF99"/>
            <w:vAlign w:val="center"/>
            <w:hideMark/>
          </w:tcPr>
          <w:p w14:paraId="47C04132" w14:textId="65133ECE" w:rsidR="00240E9C" w:rsidRPr="00D30847" w:rsidRDefault="00AF1506"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3 Provide training to MoF professionals on project appraisal and review of </w:t>
            </w:r>
            <w:proofErr w:type="spellStart"/>
            <w:r w:rsidRPr="00D30847">
              <w:rPr>
                <w:rFonts w:ascii="Arial" w:eastAsia="Times New Roman" w:hAnsi="Arial" w:cs="Arial"/>
                <w:sz w:val="12"/>
                <w:szCs w:val="12"/>
                <w:lang w:val="en-GB" w:eastAsia="mk-MK"/>
              </w:rPr>
              <w:t>preinvestment</w:t>
            </w:r>
            <w:proofErr w:type="spellEnd"/>
            <w:r w:rsidRPr="00D30847">
              <w:rPr>
                <w:rFonts w:ascii="Arial" w:eastAsia="Times New Roman" w:hAnsi="Arial" w:cs="Arial"/>
                <w:sz w:val="12"/>
                <w:szCs w:val="12"/>
                <w:lang w:val="en-GB" w:eastAsia="mk-MK"/>
              </w:rPr>
              <w:t xml:space="preserve"> studies</w:t>
            </w:r>
          </w:p>
        </w:tc>
        <w:tc>
          <w:tcPr>
            <w:tcW w:w="1194" w:type="dxa"/>
            <w:gridSpan w:val="2"/>
            <w:vMerge w:val="restart"/>
            <w:shd w:val="clear" w:color="000000" w:fill="FFFF99"/>
            <w:vAlign w:val="center"/>
            <w:hideMark/>
          </w:tcPr>
          <w:p w14:paraId="3591EDD0" w14:textId="4E186AFC" w:rsidR="00240E9C" w:rsidRPr="00D30847" w:rsidRDefault="00240E9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A157B0" w:rsidRPr="00D30847">
              <w:rPr>
                <w:rFonts w:ascii="Arial" w:eastAsia="Times New Roman" w:hAnsi="Arial" w:cs="Arial"/>
                <w:sz w:val="12"/>
                <w:szCs w:val="12"/>
                <w:lang w:val="en-GB" w:eastAsia="mk-MK"/>
              </w:rPr>
              <w:t>5</w:t>
            </w:r>
            <w:r w:rsidRPr="00D30847">
              <w:rPr>
                <w:rFonts w:ascii="Arial" w:eastAsia="Times New Roman" w:hAnsi="Arial" w:cs="Arial"/>
                <w:sz w:val="12"/>
                <w:szCs w:val="12"/>
                <w:lang w:val="en-GB" w:eastAsia="mk-MK"/>
              </w:rPr>
              <w:t>– 202</w:t>
            </w:r>
            <w:r w:rsidR="00A157B0" w:rsidRPr="00D30847">
              <w:rPr>
                <w:rFonts w:ascii="Arial" w:eastAsia="Times New Roman" w:hAnsi="Arial" w:cs="Arial"/>
                <w:sz w:val="12"/>
                <w:szCs w:val="12"/>
                <w:lang w:val="en-GB" w:eastAsia="mk-MK"/>
              </w:rPr>
              <w:t>8</w:t>
            </w:r>
          </w:p>
        </w:tc>
        <w:tc>
          <w:tcPr>
            <w:tcW w:w="1418" w:type="dxa"/>
            <w:gridSpan w:val="3"/>
            <w:vMerge w:val="restart"/>
            <w:shd w:val="clear" w:color="000000" w:fill="FFFF99"/>
            <w:vAlign w:val="center"/>
            <w:hideMark/>
          </w:tcPr>
          <w:p w14:paraId="3A5D0573" w14:textId="0AC41114" w:rsidR="00240E9C" w:rsidRPr="00D30847" w:rsidRDefault="00263A7B"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PIM Department</w:t>
            </w:r>
            <w:r w:rsidRPr="00D30847" w:rsidDel="00263A7B">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 xml:space="preserve">and </w:t>
            </w:r>
            <w:r w:rsidR="00240E9C" w:rsidRPr="00D30847">
              <w:rPr>
                <w:rFonts w:ascii="Arial" w:eastAsia="Times New Roman" w:hAnsi="Arial" w:cs="Arial"/>
                <w:sz w:val="12"/>
                <w:szCs w:val="12"/>
                <w:lang w:val="en-GB" w:eastAsia="mk-MK"/>
              </w:rPr>
              <w:t>Government</w:t>
            </w:r>
          </w:p>
        </w:tc>
        <w:tc>
          <w:tcPr>
            <w:tcW w:w="1644" w:type="dxa"/>
            <w:gridSpan w:val="3"/>
            <w:vMerge w:val="restart"/>
            <w:shd w:val="clear" w:color="000000" w:fill="FFFF99"/>
            <w:vAlign w:val="center"/>
            <w:hideMark/>
          </w:tcPr>
          <w:p w14:paraId="1DA6F228" w14:textId="3765CC48" w:rsidR="00814762" w:rsidRPr="00D30847" w:rsidRDefault="00814762" w:rsidP="00814762">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w:t>
            </w:r>
            <w:r w:rsidR="00AF150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expertise</w:t>
            </w:r>
          </w:p>
          <w:p w14:paraId="28A4B928" w14:textId="10D87FAB" w:rsidR="00240E9C" w:rsidRPr="00D30847" w:rsidRDefault="00814762" w:rsidP="00814762">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(WB/IMF/EU)</w:t>
            </w:r>
          </w:p>
        </w:tc>
        <w:tc>
          <w:tcPr>
            <w:tcW w:w="1758" w:type="dxa"/>
            <w:gridSpan w:val="4"/>
            <w:vMerge w:val="restart"/>
            <w:shd w:val="clear" w:color="000000" w:fill="FFFF99"/>
            <w:vAlign w:val="center"/>
            <w:hideMark/>
          </w:tcPr>
          <w:p w14:paraId="525FF817" w14:textId="0EDB4668" w:rsidR="00240E9C" w:rsidRPr="00D30847" w:rsidRDefault="00240E9C" w:rsidP="008747A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50,000</w:t>
            </w:r>
          </w:p>
          <w:p w14:paraId="46BD6BE9" w14:textId="77777777" w:rsidR="00240E9C" w:rsidRPr="00D30847" w:rsidRDefault="00240E9C" w:rsidP="008747A1">
            <w:pPr>
              <w:spacing w:after="0" w:line="240" w:lineRule="auto"/>
              <w:jc w:val="center"/>
              <w:rPr>
                <w:rFonts w:ascii="Arial" w:eastAsia="Times New Roman" w:hAnsi="Arial" w:cs="Arial"/>
                <w:sz w:val="12"/>
                <w:szCs w:val="12"/>
                <w:lang w:val="en-GB" w:eastAsia="mk-MK"/>
              </w:rPr>
            </w:pPr>
          </w:p>
        </w:tc>
        <w:tc>
          <w:tcPr>
            <w:tcW w:w="1842" w:type="dxa"/>
            <w:gridSpan w:val="4"/>
            <w:vMerge w:val="restart"/>
            <w:shd w:val="clear" w:color="000000" w:fill="FFFF99"/>
            <w:vAlign w:val="center"/>
            <w:hideMark/>
          </w:tcPr>
          <w:p w14:paraId="6BE1B683" w14:textId="77777777" w:rsidR="00240E9C" w:rsidRPr="00D30847" w:rsidRDefault="00240E9C" w:rsidP="004725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w:t>
            </w:r>
            <w:r w:rsidR="00472503" w:rsidRPr="00D30847">
              <w:rPr>
                <w:rFonts w:ascii="Arial" w:eastAsia="Times New Roman" w:hAnsi="Arial" w:cs="Arial"/>
                <w:sz w:val="12"/>
                <w:szCs w:val="12"/>
                <w:lang w:val="en-GB" w:eastAsia="mk-MK"/>
              </w:rPr>
              <w:t xml:space="preserve"> funding</w:t>
            </w:r>
            <w:r w:rsidRPr="00D30847">
              <w:rPr>
                <w:rFonts w:ascii="Arial" w:eastAsia="Times New Roman" w:hAnsi="Arial" w:cs="Arial"/>
                <w:sz w:val="12"/>
                <w:szCs w:val="12"/>
                <w:lang w:val="en-GB" w:eastAsia="mk-MK"/>
              </w:rPr>
              <w:br/>
            </w:r>
          </w:p>
        </w:tc>
        <w:tc>
          <w:tcPr>
            <w:tcW w:w="1506" w:type="dxa"/>
            <w:gridSpan w:val="4"/>
            <w:vMerge w:val="restart"/>
            <w:shd w:val="clear" w:color="000000" w:fill="FFFF99"/>
            <w:vAlign w:val="center"/>
            <w:hideMark/>
          </w:tcPr>
          <w:p w14:paraId="4D23BCDF" w14:textId="0089270D" w:rsidR="00240E9C" w:rsidRPr="00D30847" w:rsidRDefault="00240E9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240E9C" w:rsidRPr="00D30847" w14:paraId="5C4FE51D" w14:textId="77777777" w:rsidTr="00FD4DDE">
        <w:trPr>
          <w:gridBefore w:val="3"/>
          <w:gridAfter w:val="1"/>
          <w:wBefore w:w="37" w:type="dxa"/>
          <w:wAfter w:w="52" w:type="dxa"/>
          <w:trHeight w:val="257"/>
          <w:jc w:val="center"/>
        </w:trPr>
        <w:tc>
          <w:tcPr>
            <w:tcW w:w="1288" w:type="dxa"/>
            <w:tcBorders>
              <w:top w:val="nil"/>
              <w:left w:val="nil"/>
              <w:bottom w:val="nil"/>
              <w:right w:val="nil"/>
            </w:tcBorders>
            <w:shd w:val="clear" w:color="auto" w:fill="auto"/>
            <w:noWrap/>
            <w:vAlign w:val="bottom"/>
            <w:hideMark/>
          </w:tcPr>
          <w:p w14:paraId="0E39E087" w14:textId="77777777" w:rsidR="00240E9C" w:rsidRPr="00D30847" w:rsidRDefault="00240E9C" w:rsidP="00485BAA">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5D675ACE" w14:textId="77777777" w:rsidR="00240E9C" w:rsidRPr="00D30847" w:rsidRDefault="00240E9C" w:rsidP="00485BAA">
            <w:pPr>
              <w:spacing w:after="0" w:line="240" w:lineRule="auto"/>
              <w:rPr>
                <w:rFonts w:ascii="Arial" w:eastAsia="Times New Roman" w:hAnsi="Arial" w:cs="Arial"/>
                <w:sz w:val="12"/>
                <w:szCs w:val="12"/>
                <w:lang w:val="en-GB" w:eastAsia="mk-MK"/>
              </w:rPr>
            </w:pPr>
          </w:p>
        </w:tc>
        <w:tc>
          <w:tcPr>
            <w:tcW w:w="1836" w:type="dxa"/>
            <w:gridSpan w:val="5"/>
            <w:vMerge/>
            <w:tcBorders>
              <w:left w:val="single" w:sz="8" w:space="0" w:color="000000"/>
            </w:tcBorders>
            <w:vAlign w:val="center"/>
            <w:hideMark/>
          </w:tcPr>
          <w:p w14:paraId="611380C7" w14:textId="77777777" w:rsidR="00240E9C" w:rsidRPr="00D30847" w:rsidRDefault="00240E9C" w:rsidP="00485BAA">
            <w:pPr>
              <w:spacing w:after="0" w:line="240" w:lineRule="auto"/>
              <w:rPr>
                <w:rFonts w:ascii="Arial" w:eastAsia="Times New Roman" w:hAnsi="Arial" w:cs="Arial"/>
                <w:sz w:val="12"/>
                <w:szCs w:val="12"/>
                <w:lang w:val="en-GB" w:eastAsia="mk-MK"/>
              </w:rPr>
            </w:pPr>
          </w:p>
        </w:tc>
        <w:tc>
          <w:tcPr>
            <w:tcW w:w="1194" w:type="dxa"/>
            <w:gridSpan w:val="2"/>
            <w:vMerge/>
            <w:vAlign w:val="center"/>
            <w:hideMark/>
          </w:tcPr>
          <w:p w14:paraId="44403A5E" w14:textId="77777777" w:rsidR="00240E9C" w:rsidRPr="00D30847" w:rsidRDefault="00240E9C" w:rsidP="00485BAA">
            <w:pPr>
              <w:spacing w:after="0" w:line="240" w:lineRule="auto"/>
              <w:rPr>
                <w:rFonts w:ascii="Arial" w:eastAsia="Times New Roman" w:hAnsi="Arial" w:cs="Arial"/>
                <w:sz w:val="12"/>
                <w:szCs w:val="12"/>
                <w:lang w:val="en-GB" w:eastAsia="mk-MK"/>
              </w:rPr>
            </w:pPr>
          </w:p>
        </w:tc>
        <w:tc>
          <w:tcPr>
            <w:tcW w:w="1418" w:type="dxa"/>
            <w:gridSpan w:val="3"/>
            <w:vMerge/>
            <w:vAlign w:val="center"/>
            <w:hideMark/>
          </w:tcPr>
          <w:p w14:paraId="6F0C0D73" w14:textId="77777777" w:rsidR="00240E9C" w:rsidRPr="00D30847" w:rsidRDefault="00240E9C" w:rsidP="00485BAA">
            <w:pPr>
              <w:spacing w:after="0" w:line="240" w:lineRule="auto"/>
              <w:rPr>
                <w:rFonts w:ascii="Arial" w:eastAsia="Times New Roman" w:hAnsi="Arial" w:cs="Arial"/>
                <w:sz w:val="12"/>
                <w:szCs w:val="12"/>
                <w:lang w:val="en-GB" w:eastAsia="mk-MK"/>
              </w:rPr>
            </w:pPr>
          </w:p>
        </w:tc>
        <w:tc>
          <w:tcPr>
            <w:tcW w:w="1644" w:type="dxa"/>
            <w:gridSpan w:val="3"/>
            <w:vMerge/>
            <w:vAlign w:val="center"/>
            <w:hideMark/>
          </w:tcPr>
          <w:p w14:paraId="3C6CE4CC" w14:textId="77777777" w:rsidR="00240E9C" w:rsidRPr="00D30847" w:rsidRDefault="00240E9C" w:rsidP="00485BAA">
            <w:pPr>
              <w:spacing w:after="0" w:line="240" w:lineRule="auto"/>
              <w:rPr>
                <w:rFonts w:ascii="Arial" w:eastAsia="Times New Roman" w:hAnsi="Arial" w:cs="Arial"/>
                <w:sz w:val="12"/>
                <w:szCs w:val="12"/>
                <w:lang w:val="en-GB" w:eastAsia="mk-MK"/>
              </w:rPr>
            </w:pPr>
          </w:p>
        </w:tc>
        <w:tc>
          <w:tcPr>
            <w:tcW w:w="1758" w:type="dxa"/>
            <w:gridSpan w:val="4"/>
            <w:vMerge/>
            <w:shd w:val="clear" w:color="000000" w:fill="FFFF99"/>
            <w:vAlign w:val="center"/>
            <w:hideMark/>
          </w:tcPr>
          <w:p w14:paraId="38922EDE" w14:textId="77777777" w:rsidR="00240E9C" w:rsidRPr="00D30847" w:rsidRDefault="00240E9C" w:rsidP="008747A1">
            <w:pPr>
              <w:spacing w:after="0" w:line="240" w:lineRule="auto"/>
              <w:jc w:val="center"/>
              <w:rPr>
                <w:rFonts w:ascii="Arial" w:eastAsia="Times New Roman" w:hAnsi="Arial" w:cs="Arial"/>
                <w:sz w:val="12"/>
                <w:szCs w:val="12"/>
                <w:lang w:val="en-GB" w:eastAsia="mk-MK"/>
              </w:rPr>
            </w:pPr>
          </w:p>
        </w:tc>
        <w:tc>
          <w:tcPr>
            <w:tcW w:w="1842" w:type="dxa"/>
            <w:gridSpan w:val="4"/>
            <w:vMerge/>
            <w:vAlign w:val="center"/>
            <w:hideMark/>
          </w:tcPr>
          <w:p w14:paraId="5B1CBC6F" w14:textId="77777777" w:rsidR="00240E9C" w:rsidRPr="00D30847" w:rsidRDefault="00240E9C" w:rsidP="00485BAA">
            <w:pPr>
              <w:spacing w:after="0" w:line="240" w:lineRule="auto"/>
              <w:rPr>
                <w:rFonts w:ascii="Arial" w:eastAsia="Times New Roman" w:hAnsi="Arial" w:cs="Arial"/>
                <w:sz w:val="12"/>
                <w:szCs w:val="12"/>
                <w:lang w:val="en-GB" w:eastAsia="mk-MK"/>
              </w:rPr>
            </w:pPr>
          </w:p>
        </w:tc>
        <w:tc>
          <w:tcPr>
            <w:tcW w:w="1506" w:type="dxa"/>
            <w:gridSpan w:val="4"/>
            <w:vMerge/>
            <w:vAlign w:val="center"/>
            <w:hideMark/>
          </w:tcPr>
          <w:p w14:paraId="7875DA98" w14:textId="77777777" w:rsidR="00240E9C" w:rsidRPr="00D30847" w:rsidRDefault="00240E9C" w:rsidP="00485BAA">
            <w:pPr>
              <w:spacing w:after="0" w:line="240" w:lineRule="auto"/>
              <w:rPr>
                <w:rFonts w:ascii="Arial" w:eastAsia="Times New Roman" w:hAnsi="Arial" w:cs="Arial"/>
                <w:sz w:val="12"/>
                <w:szCs w:val="12"/>
                <w:lang w:val="en-GB" w:eastAsia="mk-MK"/>
              </w:rPr>
            </w:pPr>
          </w:p>
        </w:tc>
      </w:tr>
      <w:tr w:rsidR="00485BAA" w:rsidRPr="00D30847" w14:paraId="7E9E4F7B" w14:textId="77777777" w:rsidTr="00FD4DDE">
        <w:trPr>
          <w:gridBefore w:val="3"/>
          <w:gridAfter w:val="1"/>
          <w:wBefore w:w="37" w:type="dxa"/>
          <w:wAfter w:w="52" w:type="dxa"/>
          <w:trHeight w:val="261"/>
          <w:jc w:val="center"/>
        </w:trPr>
        <w:tc>
          <w:tcPr>
            <w:tcW w:w="1288" w:type="dxa"/>
            <w:tcBorders>
              <w:top w:val="nil"/>
              <w:left w:val="nil"/>
              <w:bottom w:val="nil"/>
              <w:right w:val="nil"/>
            </w:tcBorders>
            <w:shd w:val="clear" w:color="auto" w:fill="auto"/>
            <w:noWrap/>
            <w:vAlign w:val="bottom"/>
            <w:hideMark/>
          </w:tcPr>
          <w:p w14:paraId="001578F5"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52CE064D"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vMerge w:val="restart"/>
            <w:tcBorders>
              <w:left w:val="single" w:sz="8" w:space="0" w:color="000000"/>
            </w:tcBorders>
            <w:shd w:val="clear" w:color="000000" w:fill="FFFF99"/>
            <w:vAlign w:val="center"/>
            <w:hideMark/>
          </w:tcPr>
          <w:p w14:paraId="44D493C3" w14:textId="00BF0DB4" w:rsidR="00485BAA" w:rsidRPr="00D30847" w:rsidRDefault="00AF1506"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4. Provide training to budget users/</w:t>
            </w:r>
            <w:proofErr w:type="spellStart"/>
            <w:r w:rsidRPr="00D30847">
              <w:rPr>
                <w:rFonts w:ascii="Arial" w:eastAsia="Times New Roman" w:hAnsi="Arial" w:cs="Arial"/>
                <w:sz w:val="12"/>
                <w:szCs w:val="12"/>
                <w:lang w:val="en-GB" w:eastAsia="mk-MK"/>
              </w:rPr>
              <w:t>SoEs</w:t>
            </w:r>
            <w:proofErr w:type="spellEnd"/>
            <w:r w:rsidRPr="00D30847">
              <w:rPr>
                <w:rFonts w:ascii="Arial" w:eastAsia="Times New Roman" w:hAnsi="Arial" w:cs="Arial"/>
                <w:sz w:val="12"/>
                <w:szCs w:val="12"/>
                <w:lang w:val="en-GB" w:eastAsia="mk-MK"/>
              </w:rPr>
              <w:t>/LSGUs professionals on project formulation appraisal and selection</w:t>
            </w:r>
          </w:p>
        </w:tc>
        <w:tc>
          <w:tcPr>
            <w:tcW w:w="1194" w:type="dxa"/>
            <w:gridSpan w:val="2"/>
            <w:vMerge w:val="restart"/>
            <w:shd w:val="clear" w:color="000000" w:fill="FFFF99"/>
            <w:vAlign w:val="center"/>
            <w:hideMark/>
          </w:tcPr>
          <w:p w14:paraId="2A357483" w14:textId="6E22CE05"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A157B0" w:rsidRPr="00D30847">
              <w:rPr>
                <w:rFonts w:ascii="Arial" w:eastAsia="Times New Roman" w:hAnsi="Arial" w:cs="Arial"/>
                <w:sz w:val="12"/>
                <w:szCs w:val="12"/>
                <w:lang w:val="en-GB" w:eastAsia="mk-MK"/>
              </w:rPr>
              <w:t>5</w:t>
            </w:r>
            <w:r w:rsidRPr="00D30847">
              <w:rPr>
                <w:rFonts w:ascii="Arial" w:eastAsia="Times New Roman" w:hAnsi="Arial" w:cs="Arial"/>
                <w:sz w:val="12"/>
                <w:szCs w:val="12"/>
                <w:lang w:val="en-GB" w:eastAsia="mk-MK"/>
              </w:rPr>
              <w:t xml:space="preserve"> - 202</w:t>
            </w:r>
            <w:r w:rsidR="00A157B0" w:rsidRPr="00D30847">
              <w:rPr>
                <w:rFonts w:ascii="Arial" w:eastAsia="Times New Roman" w:hAnsi="Arial" w:cs="Arial"/>
                <w:sz w:val="12"/>
                <w:szCs w:val="12"/>
                <w:lang w:val="en-GB" w:eastAsia="mk-MK"/>
              </w:rPr>
              <w:t>8</w:t>
            </w:r>
          </w:p>
        </w:tc>
        <w:tc>
          <w:tcPr>
            <w:tcW w:w="1418" w:type="dxa"/>
            <w:gridSpan w:val="3"/>
            <w:vMerge w:val="restart"/>
            <w:shd w:val="clear" w:color="000000" w:fill="FFFF99"/>
            <w:vAlign w:val="center"/>
            <w:hideMark/>
          </w:tcPr>
          <w:p w14:paraId="5FC382CE" w14:textId="1ECFECA2" w:rsidR="00485BAA" w:rsidRPr="00D30847" w:rsidRDefault="00263A7B"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PIM Department</w:t>
            </w:r>
          </w:p>
        </w:tc>
        <w:tc>
          <w:tcPr>
            <w:tcW w:w="1644" w:type="dxa"/>
            <w:gridSpan w:val="3"/>
            <w:vMerge w:val="restart"/>
            <w:shd w:val="clear" w:color="000000" w:fill="FFFF99"/>
            <w:vAlign w:val="center"/>
            <w:hideMark/>
          </w:tcPr>
          <w:p w14:paraId="6A7E0208" w14:textId="575AB521" w:rsidR="00814762" w:rsidRPr="00D30847" w:rsidRDefault="00814762" w:rsidP="00814762">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BU/</w:t>
            </w:r>
            <w:proofErr w:type="spellStart"/>
            <w:r w:rsidRPr="00D30847">
              <w:rPr>
                <w:rFonts w:ascii="Arial" w:eastAsia="Times New Roman" w:hAnsi="Arial" w:cs="Arial"/>
                <w:sz w:val="12"/>
                <w:szCs w:val="12"/>
                <w:lang w:val="en-GB" w:eastAsia="mk-MK"/>
              </w:rPr>
              <w:t>SoEs</w:t>
            </w:r>
            <w:proofErr w:type="spellEnd"/>
            <w:r w:rsidRPr="00D30847">
              <w:rPr>
                <w:rFonts w:ascii="Arial" w:eastAsia="Times New Roman" w:hAnsi="Arial" w:cs="Arial"/>
                <w:sz w:val="12"/>
                <w:szCs w:val="12"/>
                <w:lang w:val="en-GB" w:eastAsia="mk-MK"/>
              </w:rPr>
              <w:t>/ LSGUs</w:t>
            </w:r>
            <w:r w:rsidRPr="00D30847">
              <w:rPr>
                <w:rFonts w:ascii="Arial" w:eastAsia="Times New Roman" w:hAnsi="Arial" w:cs="Arial"/>
                <w:sz w:val="12"/>
                <w:szCs w:val="12"/>
                <w:lang w:val="en-GB" w:eastAsia="mk-MK"/>
              </w:rPr>
              <w:br/>
              <w:t>External</w:t>
            </w:r>
            <w:r w:rsidR="00AF150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expertise</w:t>
            </w:r>
          </w:p>
          <w:p w14:paraId="7F20EE01" w14:textId="5CA68475" w:rsidR="00485BAA" w:rsidRPr="00D30847" w:rsidRDefault="00814762" w:rsidP="00814762">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(WB/EU)</w:t>
            </w:r>
          </w:p>
        </w:tc>
        <w:tc>
          <w:tcPr>
            <w:tcW w:w="1758" w:type="dxa"/>
            <w:gridSpan w:val="4"/>
            <w:shd w:val="clear" w:color="000000" w:fill="FFFF99"/>
            <w:vAlign w:val="center"/>
            <w:hideMark/>
          </w:tcPr>
          <w:p w14:paraId="2D579B4B" w14:textId="565516CE" w:rsidR="00485BAA" w:rsidRPr="00D30847" w:rsidRDefault="00A157B0" w:rsidP="008747A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25</w:t>
            </w:r>
            <w:r w:rsidR="00485BAA" w:rsidRPr="00D30847">
              <w:rPr>
                <w:rFonts w:ascii="Arial" w:eastAsia="Times New Roman" w:hAnsi="Arial" w:cs="Arial"/>
                <w:sz w:val="12"/>
                <w:szCs w:val="12"/>
                <w:lang w:val="en-GB" w:eastAsia="mk-MK"/>
              </w:rPr>
              <w:t>,000</w:t>
            </w:r>
          </w:p>
        </w:tc>
        <w:tc>
          <w:tcPr>
            <w:tcW w:w="1842" w:type="dxa"/>
            <w:gridSpan w:val="4"/>
            <w:vMerge w:val="restart"/>
            <w:shd w:val="clear" w:color="000000" w:fill="FFFF99"/>
            <w:vAlign w:val="center"/>
            <w:hideMark/>
          </w:tcPr>
          <w:p w14:paraId="14ED5AB3" w14:textId="7B346553" w:rsidR="00485BAA" w:rsidRPr="00D30847" w:rsidRDefault="00472503"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National budget</w:t>
            </w:r>
            <w:r w:rsidR="00485BAA" w:rsidRPr="00D30847">
              <w:rPr>
                <w:rFonts w:ascii="Arial" w:eastAsia="Times New Roman" w:hAnsi="Arial" w:cs="Arial"/>
                <w:sz w:val="12"/>
                <w:szCs w:val="12"/>
                <w:lang w:val="en-GB" w:eastAsia="mk-MK"/>
              </w:rPr>
              <w:br/>
            </w:r>
          </w:p>
          <w:p w14:paraId="70BD3F52" w14:textId="77777777" w:rsidR="00240E9C" w:rsidRPr="00D30847" w:rsidRDefault="00240E9C" w:rsidP="00485BAA">
            <w:pPr>
              <w:spacing w:after="0" w:line="240" w:lineRule="auto"/>
              <w:jc w:val="center"/>
              <w:rPr>
                <w:rFonts w:ascii="Arial" w:eastAsia="Times New Roman" w:hAnsi="Arial" w:cs="Arial"/>
                <w:sz w:val="12"/>
                <w:szCs w:val="12"/>
                <w:lang w:val="en-GB" w:eastAsia="mk-MK"/>
              </w:rPr>
            </w:pPr>
          </w:p>
          <w:p w14:paraId="273312C5" w14:textId="77777777" w:rsidR="00240E9C" w:rsidRPr="00D30847" w:rsidRDefault="00240E9C" w:rsidP="00240E9C">
            <w:pPr>
              <w:spacing w:after="0" w:line="240" w:lineRule="auto"/>
              <w:rPr>
                <w:rFonts w:ascii="Arial" w:eastAsia="Times New Roman" w:hAnsi="Arial" w:cs="Arial"/>
                <w:sz w:val="12"/>
                <w:szCs w:val="12"/>
                <w:lang w:val="en-GB" w:eastAsia="mk-MK"/>
              </w:rPr>
            </w:pPr>
          </w:p>
          <w:p w14:paraId="6D63CB48" w14:textId="139ECBEA" w:rsidR="00240E9C" w:rsidRPr="00D30847" w:rsidRDefault="00240E9C" w:rsidP="00240E9C">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w:t>
            </w:r>
            <w:r w:rsidR="00407B0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External</w:t>
            </w:r>
          </w:p>
        </w:tc>
        <w:tc>
          <w:tcPr>
            <w:tcW w:w="1506" w:type="dxa"/>
            <w:gridSpan w:val="4"/>
            <w:vMerge w:val="restart"/>
            <w:shd w:val="clear" w:color="000000" w:fill="FFFF99"/>
            <w:vAlign w:val="center"/>
            <w:hideMark/>
          </w:tcPr>
          <w:p w14:paraId="287A8072" w14:textId="4F295AB1"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240E9C" w:rsidRPr="00D30847" w14:paraId="7880007C" w14:textId="77777777" w:rsidTr="00FD4DDE">
        <w:trPr>
          <w:gridBefore w:val="3"/>
          <w:gridAfter w:val="1"/>
          <w:wBefore w:w="37" w:type="dxa"/>
          <w:wAfter w:w="52" w:type="dxa"/>
          <w:trHeight w:val="261"/>
          <w:jc w:val="center"/>
        </w:trPr>
        <w:tc>
          <w:tcPr>
            <w:tcW w:w="1288" w:type="dxa"/>
            <w:tcBorders>
              <w:top w:val="nil"/>
              <w:left w:val="nil"/>
              <w:bottom w:val="nil"/>
              <w:right w:val="nil"/>
            </w:tcBorders>
            <w:shd w:val="clear" w:color="auto" w:fill="auto"/>
            <w:noWrap/>
            <w:vAlign w:val="bottom"/>
          </w:tcPr>
          <w:p w14:paraId="1A5C191F" w14:textId="77777777" w:rsidR="00240E9C" w:rsidRPr="00D30847" w:rsidRDefault="00240E9C" w:rsidP="00485BAA">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tcPr>
          <w:p w14:paraId="5A3C826B" w14:textId="77777777" w:rsidR="00240E9C" w:rsidRPr="00D30847" w:rsidRDefault="00240E9C" w:rsidP="00485BAA">
            <w:pPr>
              <w:spacing w:after="0" w:line="240" w:lineRule="auto"/>
              <w:rPr>
                <w:rFonts w:ascii="Arial" w:eastAsia="Times New Roman" w:hAnsi="Arial" w:cs="Arial"/>
                <w:sz w:val="12"/>
                <w:szCs w:val="12"/>
                <w:lang w:val="en-GB" w:eastAsia="mk-MK"/>
              </w:rPr>
            </w:pPr>
          </w:p>
        </w:tc>
        <w:tc>
          <w:tcPr>
            <w:tcW w:w="1836" w:type="dxa"/>
            <w:gridSpan w:val="5"/>
            <w:vMerge/>
            <w:tcBorders>
              <w:left w:val="single" w:sz="8" w:space="0" w:color="000000"/>
            </w:tcBorders>
            <w:shd w:val="clear" w:color="000000" w:fill="FFFF99"/>
            <w:vAlign w:val="center"/>
          </w:tcPr>
          <w:p w14:paraId="5E6419A3" w14:textId="77777777" w:rsidR="00240E9C" w:rsidRPr="00D30847" w:rsidRDefault="00240E9C" w:rsidP="00485BAA">
            <w:pPr>
              <w:spacing w:after="0" w:line="240" w:lineRule="auto"/>
              <w:rPr>
                <w:rFonts w:ascii="Arial" w:eastAsia="Times New Roman" w:hAnsi="Arial" w:cs="Arial"/>
                <w:sz w:val="12"/>
                <w:szCs w:val="12"/>
                <w:lang w:val="en-GB" w:eastAsia="mk-MK"/>
              </w:rPr>
            </w:pPr>
          </w:p>
        </w:tc>
        <w:tc>
          <w:tcPr>
            <w:tcW w:w="1194" w:type="dxa"/>
            <w:gridSpan w:val="2"/>
            <w:vMerge/>
            <w:shd w:val="clear" w:color="000000" w:fill="FFFF99"/>
            <w:vAlign w:val="center"/>
          </w:tcPr>
          <w:p w14:paraId="41386917" w14:textId="77777777" w:rsidR="00240E9C" w:rsidRPr="00D30847" w:rsidRDefault="00240E9C" w:rsidP="00485BAA">
            <w:pPr>
              <w:spacing w:after="0" w:line="240" w:lineRule="auto"/>
              <w:jc w:val="center"/>
              <w:rPr>
                <w:rFonts w:ascii="Arial" w:eastAsia="Times New Roman" w:hAnsi="Arial" w:cs="Arial"/>
                <w:sz w:val="12"/>
                <w:szCs w:val="12"/>
                <w:lang w:val="en-GB" w:eastAsia="mk-MK"/>
              </w:rPr>
            </w:pPr>
          </w:p>
        </w:tc>
        <w:tc>
          <w:tcPr>
            <w:tcW w:w="1418" w:type="dxa"/>
            <w:gridSpan w:val="3"/>
            <w:vMerge/>
            <w:shd w:val="clear" w:color="000000" w:fill="FFFF99"/>
            <w:vAlign w:val="center"/>
          </w:tcPr>
          <w:p w14:paraId="2C248042" w14:textId="77777777" w:rsidR="00240E9C" w:rsidRPr="00D30847" w:rsidRDefault="00240E9C" w:rsidP="00485BAA">
            <w:pPr>
              <w:spacing w:after="0" w:line="240" w:lineRule="auto"/>
              <w:jc w:val="center"/>
              <w:rPr>
                <w:rFonts w:ascii="Arial" w:eastAsia="Times New Roman" w:hAnsi="Arial" w:cs="Arial"/>
                <w:sz w:val="12"/>
                <w:szCs w:val="12"/>
                <w:lang w:val="en-GB" w:eastAsia="mk-MK"/>
              </w:rPr>
            </w:pPr>
          </w:p>
        </w:tc>
        <w:tc>
          <w:tcPr>
            <w:tcW w:w="1644" w:type="dxa"/>
            <w:gridSpan w:val="3"/>
            <w:vMerge/>
            <w:shd w:val="clear" w:color="000000" w:fill="FFFF99"/>
            <w:vAlign w:val="center"/>
          </w:tcPr>
          <w:p w14:paraId="0F5922D8" w14:textId="77777777" w:rsidR="00240E9C" w:rsidRPr="00D30847" w:rsidRDefault="00240E9C" w:rsidP="0035096E">
            <w:pPr>
              <w:spacing w:after="0" w:line="240" w:lineRule="auto"/>
              <w:rPr>
                <w:rFonts w:ascii="Arial" w:eastAsia="Times New Roman" w:hAnsi="Arial" w:cs="Arial"/>
                <w:sz w:val="12"/>
                <w:szCs w:val="12"/>
                <w:lang w:val="en-GB" w:eastAsia="mk-MK"/>
              </w:rPr>
            </w:pPr>
          </w:p>
        </w:tc>
        <w:tc>
          <w:tcPr>
            <w:tcW w:w="1758" w:type="dxa"/>
            <w:gridSpan w:val="4"/>
            <w:shd w:val="clear" w:color="000000" w:fill="FFFF99"/>
            <w:vAlign w:val="center"/>
          </w:tcPr>
          <w:p w14:paraId="699A7B27" w14:textId="77777777" w:rsidR="00240E9C" w:rsidRPr="00D30847" w:rsidRDefault="00240E9C" w:rsidP="008747A1">
            <w:pPr>
              <w:spacing w:after="0" w:line="240" w:lineRule="auto"/>
              <w:jc w:val="center"/>
              <w:rPr>
                <w:rFonts w:ascii="Arial" w:eastAsia="Times New Roman" w:hAnsi="Arial" w:cs="Arial"/>
                <w:sz w:val="12"/>
                <w:szCs w:val="12"/>
                <w:lang w:val="en-GB" w:eastAsia="mk-MK"/>
              </w:rPr>
            </w:pPr>
          </w:p>
        </w:tc>
        <w:tc>
          <w:tcPr>
            <w:tcW w:w="1842" w:type="dxa"/>
            <w:gridSpan w:val="4"/>
            <w:vMerge/>
            <w:shd w:val="clear" w:color="000000" w:fill="FFFF99"/>
            <w:vAlign w:val="center"/>
          </w:tcPr>
          <w:p w14:paraId="66737A55" w14:textId="77777777" w:rsidR="00240E9C" w:rsidRPr="00D30847" w:rsidRDefault="00240E9C" w:rsidP="00485BAA">
            <w:pPr>
              <w:spacing w:after="0" w:line="240" w:lineRule="auto"/>
              <w:jc w:val="center"/>
              <w:rPr>
                <w:rFonts w:ascii="Arial" w:eastAsia="Times New Roman" w:hAnsi="Arial" w:cs="Arial"/>
                <w:sz w:val="12"/>
                <w:szCs w:val="12"/>
                <w:lang w:val="en-GB" w:eastAsia="mk-MK"/>
              </w:rPr>
            </w:pPr>
          </w:p>
        </w:tc>
        <w:tc>
          <w:tcPr>
            <w:tcW w:w="1506" w:type="dxa"/>
            <w:gridSpan w:val="4"/>
            <w:vMerge/>
            <w:shd w:val="clear" w:color="000000" w:fill="FFFF99"/>
            <w:vAlign w:val="center"/>
          </w:tcPr>
          <w:p w14:paraId="7728EFAF" w14:textId="77777777" w:rsidR="00240E9C" w:rsidRPr="00D30847" w:rsidRDefault="00240E9C" w:rsidP="00485BAA">
            <w:pPr>
              <w:spacing w:after="0" w:line="240" w:lineRule="auto"/>
              <w:jc w:val="center"/>
              <w:rPr>
                <w:rFonts w:ascii="Arial" w:eastAsia="Times New Roman" w:hAnsi="Arial" w:cs="Arial"/>
                <w:sz w:val="12"/>
                <w:szCs w:val="12"/>
                <w:lang w:val="en-GB" w:eastAsia="mk-MK"/>
              </w:rPr>
            </w:pPr>
          </w:p>
        </w:tc>
      </w:tr>
      <w:tr w:rsidR="00031ACD" w:rsidRPr="00D30847" w14:paraId="4BC51AB9" w14:textId="77777777" w:rsidTr="00FD4DDE">
        <w:trPr>
          <w:gridBefore w:val="3"/>
          <w:gridAfter w:val="1"/>
          <w:wBefore w:w="37" w:type="dxa"/>
          <w:wAfter w:w="52" w:type="dxa"/>
          <w:trHeight w:val="267"/>
          <w:jc w:val="center"/>
        </w:trPr>
        <w:tc>
          <w:tcPr>
            <w:tcW w:w="1288" w:type="dxa"/>
            <w:tcBorders>
              <w:top w:val="nil"/>
              <w:left w:val="nil"/>
              <w:bottom w:val="nil"/>
              <w:right w:val="nil"/>
            </w:tcBorders>
            <w:shd w:val="clear" w:color="auto" w:fill="auto"/>
            <w:noWrap/>
            <w:vAlign w:val="bottom"/>
            <w:hideMark/>
          </w:tcPr>
          <w:p w14:paraId="619F953F"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422D89FF"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vMerge/>
            <w:tcBorders>
              <w:left w:val="single" w:sz="8" w:space="0" w:color="000000"/>
            </w:tcBorders>
            <w:vAlign w:val="center"/>
            <w:hideMark/>
          </w:tcPr>
          <w:p w14:paraId="6813DBFE"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194" w:type="dxa"/>
            <w:gridSpan w:val="2"/>
            <w:vMerge/>
            <w:vAlign w:val="center"/>
            <w:hideMark/>
          </w:tcPr>
          <w:p w14:paraId="5CEB8FBD"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418" w:type="dxa"/>
            <w:gridSpan w:val="3"/>
            <w:vMerge/>
            <w:vAlign w:val="center"/>
            <w:hideMark/>
          </w:tcPr>
          <w:p w14:paraId="53F63826"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644" w:type="dxa"/>
            <w:gridSpan w:val="3"/>
            <w:vMerge/>
            <w:vAlign w:val="center"/>
            <w:hideMark/>
          </w:tcPr>
          <w:p w14:paraId="27D4F8A0"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758" w:type="dxa"/>
            <w:gridSpan w:val="4"/>
            <w:shd w:val="clear" w:color="000000" w:fill="FFFF99"/>
            <w:vAlign w:val="center"/>
            <w:hideMark/>
          </w:tcPr>
          <w:p w14:paraId="3052DE67" w14:textId="1958BDCC" w:rsidR="00485BAA" w:rsidRPr="00D30847" w:rsidRDefault="00240E9C" w:rsidP="008747A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r w:rsidR="0019309E" w:rsidRPr="00D30847">
              <w:rPr>
                <w:rFonts w:ascii="Arial" w:eastAsia="Times New Roman" w:hAnsi="Arial" w:cs="Arial"/>
                <w:sz w:val="12"/>
                <w:szCs w:val="12"/>
                <w:lang w:val="en-GB" w:eastAsia="mk-MK"/>
              </w:rPr>
              <w:t>5</w:t>
            </w:r>
            <w:r w:rsidR="00485BAA" w:rsidRPr="00D30847">
              <w:rPr>
                <w:rFonts w:ascii="Arial" w:eastAsia="Times New Roman" w:hAnsi="Arial" w:cs="Arial"/>
                <w:sz w:val="12"/>
                <w:szCs w:val="12"/>
                <w:lang w:val="en-GB" w:eastAsia="mk-MK"/>
              </w:rPr>
              <w:t>,000</w:t>
            </w:r>
          </w:p>
        </w:tc>
        <w:tc>
          <w:tcPr>
            <w:tcW w:w="1842" w:type="dxa"/>
            <w:gridSpan w:val="4"/>
            <w:vMerge/>
            <w:vAlign w:val="center"/>
            <w:hideMark/>
          </w:tcPr>
          <w:p w14:paraId="762AEBCF"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506" w:type="dxa"/>
            <w:gridSpan w:val="4"/>
            <w:vMerge/>
            <w:vAlign w:val="center"/>
            <w:hideMark/>
          </w:tcPr>
          <w:p w14:paraId="67A54E98" w14:textId="77777777" w:rsidR="00485BAA" w:rsidRPr="00D30847" w:rsidRDefault="00485BAA" w:rsidP="00485BAA">
            <w:pPr>
              <w:spacing w:after="0" w:line="240" w:lineRule="auto"/>
              <w:rPr>
                <w:rFonts w:ascii="Arial" w:eastAsia="Times New Roman" w:hAnsi="Arial" w:cs="Arial"/>
                <w:sz w:val="12"/>
                <w:szCs w:val="12"/>
                <w:lang w:val="en-GB" w:eastAsia="mk-MK"/>
              </w:rPr>
            </w:pPr>
          </w:p>
        </w:tc>
      </w:tr>
      <w:tr w:rsidR="00485BAA" w:rsidRPr="00D30847" w14:paraId="67FE7E9B" w14:textId="77777777" w:rsidTr="00FD4DDE">
        <w:trPr>
          <w:gridBefore w:val="3"/>
          <w:gridAfter w:val="1"/>
          <w:wBefore w:w="37" w:type="dxa"/>
          <w:wAfter w:w="52" w:type="dxa"/>
          <w:trHeight w:val="263"/>
          <w:jc w:val="center"/>
        </w:trPr>
        <w:tc>
          <w:tcPr>
            <w:tcW w:w="13501" w:type="dxa"/>
            <w:gridSpan w:val="28"/>
            <w:shd w:val="clear" w:color="000000" w:fill="9BD2ED"/>
            <w:vAlign w:val="center"/>
            <w:hideMark/>
          </w:tcPr>
          <w:p w14:paraId="639F0E8F" w14:textId="434B088A"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w:t>
            </w:r>
            <w:r w:rsidR="00577A56"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3</w:t>
            </w:r>
            <w:r w:rsidR="00577A56" w:rsidRPr="00D30847">
              <w:rPr>
                <w:rFonts w:ascii="Arial" w:eastAsia="Times New Roman" w:hAnsi="Arial" w:cs="Arial"/>
                <w:b/>
                <w:bCs/>
                <w:sz w:val="12"/>
                <w:szCs w:val="12"/>
                <w:lang w:val="en-GB" w:eastAsia="mk-MK"/>
              </w:rPr>
              <w:t>.</w:t>
            </w:r>
            <w:r w:rsidRPr="00D30847">
              <w:rPr>
                <w:rFonts w:ascii="Arial" w:eastAsia="Times New Roman" w:hAnsi="Arial" w:cs="Arial"/>
                <w:b/>
                <w:bCs/>
                <w:sz w:val="12"/>
                <w:szCs w:val="12"/>
                <w:lang w:val="en-GB" w:eastAsia="mk-MK"/>
              </w:rPr>
              <w:t xml:space="preserve"> Efficient</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and</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effective</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monitoring</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capital</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investments</w:t>
            </w:r>
          </w:p>
        </w:tc>
      </w:tr>
      <w:tr w:rsidR="00485BAA" w:rsidRPr="00D30847" w14:paraId="14E980D6" w14:textId="77777777" w:rsidTr="00FD4DDE">
        <w:trPr>
          <w:gridBefore w:val="3"/>
          <w:gridAfter w:val="1"/>
          <w:wBefore w:w="37" w:type="dxa"/>
          <w:wAfter w:w="52" w:type="dxa"/>
          <w:trHeight w:val="267"/>
          <w:jc w:val="center"/>
        </w:trPr>
        <w:tc>
          <w:tcPr>
            <w:tcW w:w="1288" w:type="dxa"/>
            <w:tcBorders>
              <w:top w:val="nil"/>
              <w:left w:val="nil"/>
              <w:bottom w:val="nil"/>
              <w:right w:val="nil"/>
            </w:tcBorders>
            <w:shd w:val="clear" w:color="auto" w:fill="auto"/>
            <w:noWrap/>
            <w:vAlign w:val="bottom"/>
            <w:hideMark/>
          </w:tcPr>
          <w:p w14:paraId="294BE769" w14:textId="77777777" w:rsidR="00485BAA" w:rsidRPr="00D30847" w:rsidRDefault="00485BAA" w:rsidP="00485BAA">
            <w:pPr>
              <w:spacing w:after="0" w:line="240" w:lineRule="auto"/>
              <w:jc w:val="both"/>
              <w:rPr>
                <w:rFonts w:ascii="Arial" w:eastAsia="Times New Roman" w:hAnsi="Arial" w:cs="Arial"/>
                <w:b/>
                <w:bCs/>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5FF97E96"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017A195C" w14:textId="5840AC7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442BA23B" w14:textId="4425831C"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AF150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58FB9A09"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F36B90" w:rsidRPr="00D30847">
              <w:rPr>
                <w:rFonts w:ascii="Arial" w:eastAsia="Times New Roman" w:hAnsi="Arial" w:cs="Arial"/>
                <w:b/>
                <w:bCs/>
                <w:sz w:val="12"/>
                <w:szCs w:val="12"/>
                <w:lang w:val="en-GB" w:eastAsia="mk-MK"/>
              </w:rPr>
              <w:t>2</w:t>
            </w:r>
          </w:p>
        </w:tc>
        <w:tc>
          <w:tcPr>
            <w:tcW w:w="1644" w:type="dxa"/>
            <w:gridSpan w:val="3"/>
            <w:shd w:val="clear" w:color="000000" w:fill="9BD2ED"/>
            <w:vAlign w:val="center"/>
            <w:hideMark/>
          </w:tcPr>
          <w:p w14:paraId="47512017" w14:textId="7C75F03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19309E"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0E48DD83" w14:textId="538DFF5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19309E"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1C66A530" w14:textId="0988B83F" w:rsidR="00485BAA" w:rsidRPr="00D30847" w:rsidRDefault="00485BAA" w:rsidP="00F36B90">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19309E"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28DBD790" w14:textId="5D10F8FD"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19309E" w:rsidRPr="00D30847">
              <w:rPr>
                <w:rFonts w:ascii="Arial" w:eastAsia="Times New Roman" w:hAnsi="Arial" w:cs="Arial"/>
                <w:b/>
                <w:bCs/>
                <w:sz w:val="12"/>
                <w:szCs w:val="12"/>
                <w:lang w:val="en-GB" w:eastAsia="mk-MK"/>
              </w:rPr>
              <w:t>8</w:t>
            </w:r>
          </w:p>
        </w:tc>
      </w:tr>
      <w:tr w:rsidR="00485BAA" w:rsidRPr="00D30847" w14:paraId="1825E13B" w14:textId="77777777" w:rsidTr="00FD4DDE">
        <w:trPr>
          <w:gridBefore w:val="3"/>
          <w:gridAfter w:val="1"/>
          <w:wBefore w:w="37" w:type="dxa"/>
          <w:wAfter w:w="52" w:type="dxa"/>
          <w:trHeight w:val="406"/>
          <w:jc w:val="center"/>
        </w:trPr>
        <w:tc>
          <w:tcPr>
            <w:tcW w:w="1288" w:type="dxa"/>
            <w:tcBorders>
              <w:top w:val="nil"/>
              <w:left w:val="nil"/>
              <w:bottom w:val="nil"/>
              <w:right w:val="nil"/>
            </w:tcBorders>
            <w:shd w:val="clear" w:color="auto" w:fill="auto"/>
            <w:noWrap/>
            <w:vAlign w:val="bottom"/>
            <w:hideMark/>
          </w:tcPr>
          <w:p w14:paraId="5D005D32"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72041DA1"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22F19ADB" w14:textId="77777777" w:rsidR="00814762" w:rsidRPr="00D30847" w:rsidRDefault="00814762" w:rsidP="00814762">
            <w:pPr>
              <w:tabs>
                <w:tab w:val="left" w:pos="160"/>
              </w:tabs>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r w:rsidRPr="00D30847">
              <w:rPr>
                <w:rFonts w:ascii="Arial" w:eastAsia="Times New Roman" w:hAnsi="Arial" w:cs="Arial"/>
                <w:sz w:val="12"/>
                <w:szCs w:val="12"/>
                <w:lang w:val="en-GB" w:eastAsia="mk-MK"/>
              </w:rPr>
              <w:tab/>
              <w:t>Created database of public investment projects from which to select budget candidates and monitor financial implementation of projects</w:t>
            </w:r>
          </w:p>
          <w:p w14:paraId="29CE96A8" w14:textId="77777777" w:rsidR="00814762" w:rsidRPr="00D30847" w:rsidRDefault="00814762" w:rsidP="00814762">
            <w:pPr>
              <w:spacing w:after="0" w:line="240" w:lineRule="auto"/>
              <w:rPr>
                <w:rFonts w:ascii="Arial" w:eastAsia="Times New Roman" w:hAnsi="Arial" w:cs="Arial"/>
                <w:sz w:val="12"/>
                <w:szCs w:val="12"/>
                <w:lang w:val="en-GB" w:eastAsia="mk-MK"/>
              </w:rPr>
            </w:pPr>
          </w:p>
          <w:p w14:paraId="75766F5D" w14:textId="77777777" w:rsidR="00814762" w:rsidRPr="00D30847" w:rsidRDefault="00814762" w:rsidP="00814762">
            <w:pPr>
              <w:tabs>
                <w:tab w:val="left" w:pos="160"/>
              </w:tabs>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w:t>
            </w:r>
            <w:r w:rsidRPr="00D30847">
              <w:rPr>
                <w:rFonts w:ascii="Arial" w:eastAsia="Times New Roman" w:hAnsi="Arial" w:cs="Arial"/>
                <w:sz w:val="12"/>
                <w:szCs w:val="12"/>
                <w:lang w:val="en-GB" w:eastAsia="mk-MK"/>
              </w:rPr>
              <w:tab/>
              <w:t>Number of monitoring reports for the public investment portfolio prepared</w:t>
            </w:r>
          </w:p>
          <w:p w14:paraId="5B9B35CC" w14:textId="242025C7" w:rsidR="00485BAA" w:rsidRPr="00D30847" w:rsidRDefault="00485BAA" w:rsidP="00485BAA">
            <w:pPr>
              <w:spacing w:after="0" w:line="240" w:lineRule="auto"/>
              <w:rPr>
                <w:rFonts w:ascii="Arial" w:eastAsia="Times New Roman" w:hAnsi="Arial" w:cs="Arial"/>
                <w:sz w:val="12"/>
                <w:szCs w:val="12"/>
                <w:lang w:val="en-GB" w:eastAsia="mk-MK"/>
              </w:rPr>
            </w:pPr>
          </w:p>
        </w:tc>
        <w:tc>
          <w:tcPr>
            <w:tcW w:w="1194" w:type="dxa"/>
            <w:gridSpan w:val="2"/>
            <w:shd w:val="clear" w:color="000000" w:fill="FFFF99"/>
            <w:vAlign w:val="center"/>
            <w:hideMark/>
          </w:tcPr>
          <w:p w14:paraId="6C6BCC6A" w14:textId="00560A41" w:rsidR="00485BAA" w:rsidRPr="00D30847" w:rsidRDefault="00814762"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p>
        </w:tc>
        <w:tc>
          <w:tcPr>
            <w:tcW w:w="1418" w:type="dxa"/>
            <w:gridSpan w:val="3"/>
            <w:shd w:val="clear" w:color="000000" w:fill="FFFF99"/>
            <w:vAlign w:val="center"/>
            <w:hideMark/>
          </w:tcPr>
          <w:p w14:paraId="7E8E01A1" w14:textId="7FD4139C" w:rsidR="00485BAA" w:rsidRPr="00D30847" w:rsidRDefault="00814762"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644" w:type="dxa"/>
            <w:gridSpan w:val="3"/>
            <w:shd w:val="clear" w:color="000000" w:fill="FFFF99"/>
            <w:vAlign w:val="center"/>
            <w:hideMark/>
          </w:tcPr>
          <w:p w14:paraId="2B71AE4F" w14:textId="77777777" w:rsidR="0019309E" w:rsidRPr="00D30847" w:rsidRDefault="0019309E" w:rsidP="0019309E">
            <w:pPr>
              <w:numPr>
                <w:ilvl w:val="0"/>
                <w:numId w:val="52"/>
              </w:numPr>
              <w:spacing w:after="0" w:line="240" w:lineRule="auto"/>
              <w:ind w:left="232" w:hanging="232"/>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Developed short - term IT solution that will provide the MoF with a database of projects</w:t>
            </w:r>
            <w:r w:rsidRPr="00D30847">
              <w:rPr>
                <w:lang w:val="en-GB"/>
              </w:rPr>
              <w:t xml:space="preserve"> </w:t>
            </w:r>
            <w:r w:rsidRPr="00D30847">
              <w:rPr>
                <w:rFonts w:ascii="Arial" w:eastAsia="Times New Roman" w:hAnsi="Arial" w:cs="Arial"/>
                <w:sz w:val="12"/>
                <w:szCs w:val="12"/>
                <w:lang w:val="en-GB" w:eastAsia="mk-MK"/>
              </w:rPr>
              <w:t>from which to select budget candidates and monitor financial implementation of projects</w:t>
            </w:r>
          </w:p>
          <w:p w14:paraId="28E178E6" w14:textId="2A7DBDD1" w:rsidR="00485BAA" w:rsidRPr="00D30847" w:rsidRDefault="00485BAA" w:rsidP="00485BAA">
            <w:pPr>
              <w:spacing w:after="0" w:line="240" w:lineRule="auto"/>
              <w:jc w:val="center"/>
              <w:rPr>
                <w:rFonts w:ascii="Arial" w:eastAsia="Times New Roman" w:hAnsi="Arial" w:cs="Arial"/>
                <w:b/>
                <w:bCs/>
                <w:sz w:val="12"/>
                <w:szCs w:val="12"/>
                <w:lang w:val="en-GB" w:eastAsia="mk-MK"/>
              </w:rPr>
            </w:pPr>
          </w:p>
        </w:tc>
        <w:tc>
          <w:tcPr>
            <w:tcW w:w="1758" w:type="dxa"/>
            <w:gridSpan w:val="4"/>
            <w:shd w:val="clear" w:color="000000" w:fill="FFFF99"/>
            <w:vAlign w:val="center"/>
            <w:hideMark/>
          </w:tcPr>
          <w:p w14:paraId="070A7C65" w14:textId="77777777" w:rsidR="0019309E" w:rsidRPr="00D30847" w:rsidRDefault="0019309E" w:rsidP="0019309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w:t>
            </w:r>
          </w:p>
          <w:p w14:paraId="3852DD86" w14:textId="77777777" w:rsidR="0019309E" w:rsidRPr="00D30847" w:rsidRDefault="0019309E" w:rsidP="0019309E">
            <w:pPr>
              <w:spacing w:after="0" w:line="240" w:lineRule="auto"/>
              <w:jc w:val="center"/>
              <w:rPr>
                <w:rFonts w:ascii="Arial" w:eastAsia="Times New Roman" w:hAnsi="Arial" w:cs="Arial"/>
                <w:sz w:val="12"/>
                <w:szCs w:val="12"/>
                <w:lang w:val="en-GB" w:eastAsia="mk-MK"/>
              </w:rPr>
            </w:pPr>
          </w:p>
          <w:p w14:paraId="3BBA5B88" w14:textId="1BF42E7F" w:rsidR="00485BAA" w:rsidRPr="00D30847" w:rsidRDefault="0019309E"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2</w:t>
            </w:r>
          </w:p>
        </w:tc>
        <w:tc>
          <w:tcPr>
            <w:tcW w:w="1842" w:type="dxa"/>
            <w:gridSpan w:val="4"/>
            <w:shd w:val="clear" w:color="000000" w:fill="FFFF99"/>
            <w:vAlign w:val="center"/>
            <w:hideMark/>
          </w:tcPr>
          <w:p w14:paraId="40E7352D" w14:textId="77777777" w:rsidR="0019309E" w:rsidRPr="00D30847" w:rsidRDefault="0019309E" w:rsidP="0019309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w:t>
            </w:r>
          </w:p>
          <w:p w14:paraId="00EFD12C" w14:textId="77777777" w:rsidR="0019309E" w:rsidRPr="00D30847" w:rsidRDefault="0019309E" w:rsidP="0019309E">
            <w:pPr>
              <w:spacing w:after="0" w:line="240" w:lineRule="auto"/>
              <w:jc w:val="center"/>
              <w:rPr>
                <w:rFonts w:ascii="Arial" w:eastAsia="Times New Roman" w:hAnsi="Arial" w:cs="Arial"/>
                <w:sz w:val="12"/>
                <w:szCs w:val="12"/>
                <w:u w:val="single"/>
                <w:lang w:val="en-GB" w:eastAsia="mk-MK"/>
              </w:rPr>
            </w:pPr>
          </w:p>
          <w:p w14:paraId="40244FBD" w14:textId="4C85DFF0" w:rsidR="00485BAA" w:rsidRPr="00D30847" w:rsidRDefault="0019309E" w:rsidP="00814762">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2</w:t>
            </w:r>
          </w:p>
        </w:tc>
        <w:tc>
          <w:tcPr>
            <w:tcW w:w="1506" w:type="dxa"/>
            <w:gridSpan w:val="4"/>
            <w:shd w:val="clear" w:color="000000" w:fill="FFFF99"/>
            <w:vAlign w:val="center"/>
            <w:hideMark/>
          </w:tcPr>
          <w:p w14:paraId="4AD88792" w14:textId="77777777" w:rsidR="0019309E" w:rsidRPr="00D30847" w:rsidRDefault="0019309E" w:rsidP="0019309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w:t>
            </w:r>
          </w:p>
          <w:p w14:paraId="6FD5CC65" w14:textId="77777777" w:rsidR="0019309E" w:rsidRPr="00D30847" w:rsidRDefault="0019309E" w:rsidP="0019309E">
            <w:pPr>
              <w:spacing w:after="0" w:line="240" w:lineRule="auto"/>
              <w:jc w:val="center"/>
              <w:rPr>
                <w:rFonts w:ascii="Arial" w:eastAsia="Times New Roman" w:hAnsi="Arial" w:cs="Arial"/>
                <w:sz w:val="12"/>
                <w:szCs w:val="12"/>
                <w:u w:val="single"/>
                <w:lang w:val="en-GB" w:eastAsia="mk-MK"/>
              </w:rPr>
            </w:pPr>
          </w:p>
          <w:p w14:paraId="40ABC15D" w14:textId="7211E239" w:rsidR="00485BAA" w:rsidRPr="00D30847" w:rsidRDefault="0019309E" w:rsidP="00814762">
            <w:pPr>
              <w:spacing w:after="0" w:line="240" w:lineRule="auto"/>
              <w:jc w:val="center"/>
              <w:rPr>
                <w:rFonts w:ascii="Arial" w:eastAsia="Times New Roman" w:hAnsi="Arial" w:cs="Arial"/>
                <w:sz w:val="12"/>
                <w:szCs w:val="12"/>
                <w:u w:val="single"/>
                <w:lang w:val="en-GB" w:eastAsia="mk-MK"/>
              </w:rPr>
            </w:pPr>
            <w:r w:rsidRPr="00D30847">
              <w:rPr>
                <w:rFonts w:ascii="Arial" w:eastAsia="Times New Roman" w:hAnsi="Arial" w:cs="Arial"/>
                <w:sz w:val="12"/>
                <w:szCs w:val="12"/>
                <w:lang w:val="en-GB" w:eastAsia="mk-MK"/>
              </w:rPr>
              <w:t>2) 2</w:t>
            </w:r>
          </w:p>
        </w:tc>
      </w:tr>
      <w:tr w:rsidR="00485BAA" w:rsidRPr="00D30847" w14:paraId="5637D7AD" w14:textId="77777777" w:rsidTr="00FD4DDE">
        <w:trPr>
          <w:gridBefore w:val="3"/>
          <w:gridAfter w:val="1"/>
          <w:wBefore w:w="37" w:type="dxa"/>
          <w:wAfter w:w="52" w:type="dxa"/>
          <w:trHeight w:val="257"/>
          <w:jc w:val="center"/>
        </w:trPr>
        <w:tc>
          <w:tcPr>
            <w:tcW w:w="1288" w:type="dxa"/>
            <w:tcBorders>
              <w:top w:val="nil"/>
              <w:left w:val="nil"/>
              <w:bottom w:val="nil"/>
              <w:right w:val="nil"/>
            </w:tcBorders>
            <w:shd w:val="clear" w:color="auto" w:fill="auto"/>
            <w:noWrap/>
            <w:vAlign w:val="bottom"/>
            <w:hideMark/>
          </w:tcPr>
          <w:p w14:paraId="003E631D" w14:textId="77777777" w:rsidR="00485BAA" w:rsidRPr="00D30847" w:rsidRDefault="00485BAA" w:rsidP="00485BAA">
            <w:pPr>
              <w:spacing w:after="0" w:line="240" w:lineRule="auto"/>
              <w:jc w:val="center"/>
              <w:rPr>
                <w:rFonts w:ascii="Arial" w:eastAsia="Times New Roman" w:hAnsi="Arial" w:cs="Arial"/>
                <w:sz w:val="12"/>
                <w:szCs w:val="12"/>
                <w:u w:val="single"/>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746CF85E"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13812E21" w14:textId="309364C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5DD37324" w14:textId="6CEECD5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2371A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13F50D0A" w14:textId="07D40C7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2371A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3B01EDC2" w14:textId="737FC5CC"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2371A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540AFCFF"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4498B474" w14:textId="14C8B9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2371A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2371A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314F9C9C"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485BAA" w:rsidRPr="00D30847" w14:paraId="4998A89D" w14:textId="77777777" w:rsidTr="00FD4DDE">
        <w:trPr>
          <w:gridBefore w:val="3"/>
          <w:gridAfter w:val="1"/>
          <w:wBefore w:w="37" w:type="dxa"/>
          <w:wAfter w:w="52" w:type="dxa"/>
          <w:trHeight w:val="405"/>
          <w:jc w:val="center"/>
        </w:trPr>
        <w:tc>
          <w:tcPr>
            <w:tcW w:w="1288" w:type="dxa"/>
            <w:tcBorders>
              <w:top w:val="nil"/>
              <w:left w:val="nil"/>
              <w:bottom w:val="nil"/>
              <w:right w:val="nil"/>
            </w:tcBorders>
            <w:shd w:val="clear" w:color="auto" w:fill="auto"/>
            <w:noWrap/>
            <w:vAlign w:val="bottom"/>
            <w:hideMark/>
          </w:tcPr>
          <w:p w14:paraId="3759DADE"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0D2E5A62"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464E0C03" w14:textId="5877C92B" w:rsidR="00485BAA" w:rsidRPr="00D30847" w:rsidRDefault="00F36B90"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Introduce</w:t>
            </w:r>
            <w:r w:rsidR="002371A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procedures</w:t>
            </w:r>
            <w:r w:rsidR="002371A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for</w:t>
            </w:r>
            <w:r w:rsidR="002371A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risk-based</w:t>
            </w:r>
            <w:r w:rsidR="002371A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centralized</w:t>
            </w:r>
            <w:r w:rsidR="002371A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monitoring</w:t>
            </w:r>
          </w:p>
        </w:tc>
        <w:tc>
          <w:tcPr>
            <w:tcW w:w="1194" w:type="dxa"/>
            <w:gridSpan w:val="2"/>
            <w:shd w:val="clear" w:color="000000" w:fill="FFFF99"/>
            <w:vAlign w:val="center"/>
            <w:hideMark/>
          </w:tcPr>
          <w:p w14:paraId="3B2FA196" w14:textId="042D1556"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19309E" w:rsidRPr="00D30847">
              <w:rPr>
                <w:rFonts w:ascii="Arial" w:eastAsia="Times New Roman" w:hAnsi="Arial" w:cs="Arial"/>
                <w:sz w:val="12"/>
                <w:szCs w:val="12"/>
                <w:lang w:val="en-GB" w:eastAsia="mk-MK"/>
              </w:rPr>
              <w:t>5</w:t>
            </w:r>
            <w:r w:rsidR="00F36B90" w:rsidRPr="00D30847">
              <w:rPr>
                <w:rFonts w:ascii="Arial" w:eastAsia="Times New Roman" w:hAnsi="Arial" w:cs="Arial"/>
                <w:sz w:val="12"/>
                <w:szCs w:val="12"/>
                <w:lang w:val="en-GB" w:eastAsia="mk-MK"/>
              </w:rPr>
              <w:t>–</w:t>
            </w:r>
            <w:r w:rsidRPr="00D30847">
              <w:rPr>
                <w:rFonts w:ascii="Arial" w:eastAsia="Times New Roman" w:hAnsi="Arial" w:cs="Arial"/>
                <w:sz w:val="12"/>
                <w:szCs w:val="12"/>
                <w:lang w:val="en-GB" w:eastAsia="mk-MK"/>
              </w:rPr>
              <w:t xml:space="preserve"> 202</w:t>
            </w:r>
            <w:r w:rsidR="0019309E" w:rsidRPr="00D30847">
              <w:rPr>
                <w:rFonts w:ascii="Arial" w:eastAsia="Times New Roman" w:hAnsi="Arial" w:cs="Arial"/>
                <w:sz w:val="12"/>
                <w:szCs w:val="12"/>
                <w:lang w:val="en-GB" w:eastAsia="mk-MK"/>
              </w:rPr>
              <w:t>8</w:t>
            </w:r>
          </w:p>
        </w:tc>
        <w:tc>
          <w:tcPr>
            <w:tcW w:w="1418" w:type="dxa"/>
            <w:gridSpan w:val="3"/>
            <w:shd w:val="clear" w:color="000000" w:fill="FFFF99"/>
            <w:vAlign w:val="center"/>
            <w:hideMark/>
          </w:tcPr>
          <w:p w14:paraId="2D56D0CF" w14:textId="29B5B774" w:rsidR="00485BAA" w:rsidRPr="00D30847" w:rsidRDefault="00263A7B"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PIM Department</w:t>
            </w:r>
          </w:p>
        </w:tc>
        <w:tc>
          <w:tcPr>
            <w:tcW w:w="1644" w:type="dxa"/>
            <w:gridSpan w:val="3"/>
            <w:shd w:val="clear" w:color="000000" w:fill="FFFF99"/>
            <w:vAlign w:val="center"/>
            <w:hideMark/>
          </w:tcPr>
          <w:p w14:paraId="76955C74" w14:textId="420B31D9" w:rsidR="00814762" w:rsidRPr="00D30847" w:rsidRDefault="00814762" w:rsidP="00814762">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w:t>
            </w:r>
            <w:r w:rsidR="002371A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expertise</w:t>
            </w:r>
          </w:p>
          <w:p w14:paraId="5941BECA" w14:textId="77777777" w:rsidR="00485BAA" w:rsidRPr="00D30847" w:rsidRDefault="00814762" w:rsidP="00814762">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(WB/ IMF/EU)</w:t>
            </w:r>
          </w:p>
          <w:p w14:paraId="5B08C460" w14:textId="4A414165" w:rsidR="0019309E" w:rsidRPr="00D30847" w:rsidRDefault="0019309E" w:rsidP="00814762">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BU/</w:t>
            </w:r>
            <w:proofErr w:type="spellStart"/>
            <w:r w:rsidRPr="00D30847">
              <w:rPr>
                <w:rFonts w:ascii="Arial" w:eastAsia="Times New Roman" w:hAnsi="Arial" w:cs="Arial"/>
                <w:sz w:val="12"/>
                <w:szCs w:val="12"/>
                <w:lang w:val="en-GB" w:eastAsia="mk-MK"/>
              </w:rPr>
              <w:t>SoEs</w:t>
            </w:r>
            <w:proofErr w:type="spellEnd"/>
            <w:r w:rsidRPr="00D30847">
              <w:rPr>
                <w:rFonts w:ascii="Arial" w:eastAsia="Times New Roman" w:hAnsi="Arial" w:cs="Arial"/>
                <w:sz w:val="12"/>
                <w:szCs w:val="12"/>
                <w:lang w:val="en-GB" w:eastAsia="mk-MK"/>
              </w:rPr>
              <w:t>/ LSGUs</w:t>
            </w:r>
          </w:p>
        </w:tc>
        <w:tc>
          <w:tcPr>
            <w:tcW w:w="1758" w:type="dxa"/>
            <w:gridSpan w:val="4"/>
            <w:shd w:val="clear" w:color="000000" w:fill="FFFF99"/>
            <w:vAlign w:val="center"/>
            <w:hideMark/>
          </w:tcPr>
          <w:p w14:paraId="7A6288FD" w14:textId="77777777" w:rsidR="00485BAA" w:rsidRPr="00D30847" w:rsidRDefault="00F36B90"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w:t>
            </w:r>
            <w:r w:rsidR="00485BAA" w:rsidRPr="00D30847">
              <w:rPr>
                <w:rFonts w:ascii="Arial" w:eastAsia="Times New Roman" w:hAnsi="Arial" w:cs="Arial"/>
                <w:sz w:val="12"/>
                <w:szCs w:val="12"/>
                <w:lang w:val="en-GB" w:eastAsia="mk-MK"/>
              </w:rPr>
              <w:t xml:space="preserve">5,000     </w:t>
            </w:r>
          </w:p>
        </w:tc>
        <w:tc>
          <w:tcPr>
            <w:tcW w:w="1842" w:type="dxa"/>
            <w:gridSpan w:val="4"/>
            <w:shd w:val="clear" w:color="000000" w:fill="FFFF99"/>
            <w:vAlign w:val="center"/>
            <w:hideMark/>
          </w:tcPr>
          <w:p w14:paraId="312E4441" w14:textId="77777777" w:rsidR="00485BAA" w:rsidRPr="00D30847" w:rsidRDefault="00F36B90"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w:t>
            </w:r>
            <w:r w:rsidR="00472503" w:rsidRPr="00D30847">
              <w:rPr>
                <w:rFonts w:ascii="Arial" w:eastAsia="Times New Roman" w:hAnsi="Arial" w:cs="Arial"/>
                <w:sz w:val="12"/>
                <w:szCs w:val="12"/>
                <w:lang w:val="en-GB" w:eastAsia="mk-MK"/>
              </w:rPr>
              <w:t xml:space="preserve"> funding</w:t>
            </w:r>
          </w:p>
        </w:tc>
        <w:tc>
          <w:tcPr>
            <w:tcW w:w="1506" w:type="dxa"/>
            <w:gridSpan w:val="4"/>
            <w:shd w:val="clear" w:color="000000" w:fill="FFFF99"/>
            <w:vAlign w:val="center"/>
            <w:hideMark/>
          </w:tcPr>
          <w:p w14:paraId="56FD2C48" w14:textId="33AEACD6"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485BAA" w:rsidRPr="00D30847" w14:paraId="019C0751" w14:textId="77777777" w:rsidTr="00FD4DDE">
        <w:trPr>
          <w:gridBefore w:val="3"/>
          <w:gridAfter w:val="1"/>
          <w:wBefore w:w="37" w:type="dxa"/>
          <w:wAfter w:w="52" w:type="dxa"/>
          <w:trHeight w:val="680"/>
          <w:jc w:val="center"/>
        </w:trPr>
        <w:tc>
          <w:tcPr>
            <w:tcW w:w="1288" w:type="dxa"/>
            <w:tcBorders>
              <w:top w:val="nil"/>
              <w:left w:val="nil"/>
              <w:bottom w:val="nil"/>
              <w:right w:val="nil"/>
            </w:tcBorders>
            <w:shd w:val="clear" w:color="auto" w:fill="auto"/>
            <w:noWrap/>
            <w:vAlign w:val="bottom"/>
            <w:hideMark/>
          </w:tcPr>
          <w:p w14:paraId="00895C71"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30AC0084"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519C9AE6" w14:textId="320C0837" w:rsidR="00485BAA" w:rsidRPr="00D30847" w:rsidRDefault="00F36B90"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Introduce</w:t>
            </w:r>
            <w:r w:rsidR="002371A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formal</w:t>
            </w:r>
            <w:r w:rsidR="002371A1" w:rsidRPr="00D30847">
              <w:rPr>
                <w:rFonts w:ascii="Arial" w:eastAsia="Times New Roman" w:hAnsi="Arial" w:cs="Arial"/>
                <w:sz w:val="12"/>
                <w:szCs w:val="12"/>
                <w:lang w:val="en-GB" w:eastAsia="mk-MK"/>
              </w:rPr>
              <w:t xml:space="preserve"> </w:t>
            </w:r>
            <w:r w:rsidR="00404D96" w:rsidRPr="00D30847">
              <w:rPr>
                <w:rFonts w:ascii="Arial" w:eastAsia="Times New Roman" w:hAnsi="Arial" w:cs="Arial"/>
                <w:sz w:val="12"/>
                <w:szCs w:val="12"/>
                <w:lang w:val="en-GB" w:eastAsia="mk-MK"/>
              </w:rPr>
              <w:t>requirement</w:t>
            </w:r>
            <w:r w:rsidR="002371A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for</w:t>
            </w:r>
            <w:r w:rsidR="002371A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ex-post</w:t>
            </w:r>
            <w:r w:rsidR="002371A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review</w:t>
            </w:r>
            <w:r w:rsidR="002371A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w:t>
            </w:r>
            <w:r w:rsidR="002371A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completed</w:t>
            </w:r>
            <w:r w:rsidR="002371A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projects</w:t>
            </w:r>
          </w:p>
        </w:tc>
        <w:tc>
          <w:tcPr>
            <w:tcW w:w="1194" w:type="dxa"/>
            <w:gridSpan w:val="2"/>
            <w:shd w:val="clear" w:color="000000" w:fill="FFFF99"/>
            <w:vAlign w:val="center"/>
            <w:hideMark/>
          </w:tcPr>
          <w:p w14:paraId="7FEF51D0" w14:textId="7B53775D"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19309E" w:rsidRPr="00D30847">
              <w:rPr>
                <w:rFonts w:ascii="Arial" w:eastAsia="Times New Roman" w:hAnsi="Arial" w:cs="Arial"/>
                <w:sz w:val="12"/>
                <w:szCs w:val="12"/>
                <w:lang w:val="en-GB" w:eastAsia="mk-MK"/>
              </w:rPr>
              <w:t>6</w:t>
            </w:r>
            <w:r w:rsidRPr="00D30847">
              <w:rPr>
                <w:rFonts w:ascii="Arial" w:eastAsia="Times New Roman" w:hAnsi="Arial" w:cs="Arial"/>
                <w:sz w:val="12"/>
                <w:szCs w:val="12"/>
                <w:lang w:val="en-GB" w:eastAsia="mk-MK"/>
              </w:rPr>
              <w:t xml:space="preserve"> - 202</w:t>
            </w:r>
            <w:r w:rsidR="0019309E" w:rsidRPr="00D30847">
              <w:rPr>
                <w:rFonts w:ascii="Arial" w:eastAsia="Times New Roman" w:hAnsi="Arial" w:cs="Arial"/>
                <w:sz w:val="12"/>
                <w:szCs w:val="12"/>
                <w:lang w:val="en-GB" w:eastAsia="mk-MK"/>
              </w:rPr>
              <w:t>8</w:t>
            </w:r>
          </w:p>
        </w:tc>
        <w:tc>
          <w:tcPr>
            <w:tcW w:w="1418" w:type="dxa"/>
            <w:gridSpan w:val="3"/>
            <w:shd w:val="clear" w:color="000000" w:fill="FFFF99"/>
            <w:vAlign w:val="center"/>
            <w:hideMark/>
          </w:tcPr>
          <w:p w14:paraId="1B22A26F" w14:textId="3B4BA440" w:rsidR="00485BAA" w:rsidRPr="00D30847" w:rsidRDefault="00263A7B"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PIM Department</w:t>
            </w:r>
          </w:p>
        </w:tc>
        <w:tc>
          <w:tcPr>
            <w:tcW w:w="1644" w:type="dxa"/>
            <w:gridSpan w:val="3"/>
            <w:shd w:val="clear" w:color="000000" w:fill="FFFF99"/>
            <w:vAlign w:val="center"/>
            <w:hideMark/>
          </w:tcPr>
          <w:p w14:paraId="1ABE3832" w14:textId="42842321" w:rsidR="00814762" w:rsidRPr="00D30847" w:rsidRDefault="00814762" w:rsidP="00814762">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w:t>
            </w:r>
            <w:r w:rsidR="002371A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expertise</w:t>
            </w:r>
          </w:p>
          <w:p w14:paraId="4D59F3FA" w14:textId="77777777" w:rsidR="00485BAA" w:rsidRPr="00D30847" w:rsidRDefault="00814762" w:rsidP="00814762">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(WB/ IMF/EU)</w:t>
            </w:r>
          </w:p>
          <w:p w14:paraId="0E7E8EAA" w14:textId="0EF18B99" w:rsidR="0019309E" w:rsidRPr="00D30847" w:rsidRDefault="0019309E" w:rsidP="00814762">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BU/</w:t>
            </w:r>
            <w:proofErr w:type="spellStart"/>
            <w:r w:rsidRPr="00D30847">
              <w:rPr>
                <w:rFonts w:ascii="Arial" w:eastAsia="Times New Roman" w:hAnsi="Arial" w:cs="Arial"/>
                <w:sz w:val="12"/>
                <w:szCs w:val="12"/>
                <w:lang w:val="en-GB" w:eastAsia="mk-MK"/>
              </w:rPr>
              <w:t>SoEs</w:t>
            </w:r>
            <w:proofErr w:type="spellEnd"/>
            <w:r w:rsidRPr="00D30847">
              <w:rPr>
                <w:rFonts w:ascii="Arial" w:eastAsia="Times New Roman" w:hAnsi="Arial" w:cs="Arial"/>
                <w:sz w:val="12"/>
                <w:szCs w:val="12"/>
                <w:lang w:val="en-GB" w:eastAsia="mk-MK"/>
              </w:rPr>
              <w:t>/ LSGUs</w:t>
            </w:r>
          </w:p>
        </w:tc>
        <w:tc>
          <w:tcPr>
            <w:tcW w:w="1758" w:type="dxa"/>
            <w:gridSpan w:val="4"/>
            <w:shd w:val="clear" w:color="000000" w:fill="FFFF99"/>
            <w:vAlign w:val="center"/>
            <w:hideMark/>
          </w:tcPr>
          <w:p w14:paraId="2833C196" w14:textId="311DCEF8" w:rsidR="00485BAA" w:rsidRPr="00D30847" w:rsidRDefault="0019309E"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w:t>
            </w:r>
            <w:r w:rsidR="00485BAA" w:rsidRPr="00D30847">
              <w:rPr>
                <w:rFonts w:ascii="Arial" w:eastAsia="Times New Roman" w:hAnsi="Arial" w:cs="Arial"/>
                <w:sz w:val="12"/>
                <w:szCs w:val="12"/>
                <w:lang w:val="en-GB" w:eastAsia="mk-MK"/>
              </w:rPr>
              <w:t xml:space="preserve">,000     </w:t>
            </w:r>
          </w:p>
        </w:tc>
        <w:tc>
          <w:tcPr>
            <w:tcW w:w="1842" w:type="dxa"/>
            <w:gridSpan w:val="4"/>
            <w:shd w:val="clear" w:color="000000" w:fill="FFFF99"/>
            <w:vAlign w:val="center"/>
            <w:hideMark/>
          </w:tcPr>
          <w:p w14:paraId="64966950" w14:textId="77777777" w:rsidR="00485BAA" w:rsidRPr="00D30847" w:rsidRDefault="00F36B90"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w:t>
            </w:r>
            <w:r w:rsidR="00472503" w:rsidRPr="00D30847">
              <w:rPr>
                <w:rFonts w:ascii="Arial" w:eastAsia="Times New Roman" w:hAnsi="Arial" w:cs="Arial"/>
                <w:sz w:val="12"/>
                <w:szCs w:val="12"/>
                <w:lang w:val="en-GB" w:eastAsia="mk-MK"/>
              </w:rPr>
              <w:t xml:space="preserve"> funding</w:t>
            </w:r>
          </w:p>
        </w:tc>
        <w:tc>
          <w:tcPr>
            <w:tcW w:w="1506" w:type="dxa"/>
            <w:gridSpan w:val="4"/>
            <w:shd w:val="clear" w:color="000000" w:fill="FFFF99"/>
            <w:vAlign w:val="center"/>
            <w:hideMark/>
          </w:tcPr>
          <w:p w14:paraId="79530963" w14:textId="3DD1C63B" w:rsidR="00485BAA" w:rsidRPr="00D30847" w:rsidRDefault="00485BAA" w:rsidP="00407B01">
            <w:pPr>
              <w:spacing w:after="0" w:line="240" w:lineRule="auto"/>
              <w:jc w:val="center"/>
              <w:rPr>
                <w:rFonts w:ascii="Arial" w:eastAsia="Times New Roman" w:hAnsi="Arial" w:cs="Arial"/>
                <w:sz w:val="12"/>
                <w:szCs w:val="12"/>
                <w:lang w:val="en-GB" w:eastAsia="mk-MK"/>
              </w:rPr>
            </w:pPr>
          </w:p>
        </w:tc>
      </w:tr>
      <w:tr w:rsidR="00485BAA" w:rsidRPr="00D30847" w14:paraId="51D2DD92" w14:textId="77777777" w:rsidTr="00FD4DDE">
        <w:trPr>
          <w:gridBefore w:val="3"/>
          <w:gridAfter w:val="1"/>
          <w:wBefore w:w="37" w:type="dxa"/>
          <w:wAfter w:w="52" w:type="dxa"/>
          <w:trHeight w:val="511"/>
          <w:jc w:val="center"/>
        </w:trPr>
        <w:tc>
          <w:tcPr>
            <w:tcW w:w="1288" w:type="dxa"/>
            <w:tcBorders>
              <w:top w:val="nil"/>
              <w:left w:val="nil"/>
              <w:bottom w:val="nil"/>
              <w:right w:val="nil"/>
            </w:tcBorders>
            <w:shd w:val="clear" w:color="auto" w:fill="auto"/>
            <w:noWrap/>
            <w:vAlign w:val="bottom"/>
            <w:hideMark/>
          </w:tcPr>
          <w:p w14:paraId="59D154B7" w14:textId="77777777" w:rsidR="00485BAA" w:rsidRPr="00D30847" w:rsidRDefault="00485BAA" w:rsidP="00485BAA">
            <w:pPr>
              <w:spacing w:after="0" w:line="240" w:lineRule="auto"/>
              <w:jc w:val="both"/>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4EABC35A"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2E7234F4" w14:textId="6F14874F" w:rsidR="00485BAA" w:rsidRPr="00D30847" w:rsidRDefault="00F36B90"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3. Develop a short-term IT </w:t>
            </w:r>
            <w:r w:rsidR="00404D96" w:rsidRPr="00D30847">
              <w:rPr>
                <w:rFonts w:ascii="Arial" w:eastAsia="Times New Roman" w:hAnsi="Arial" w:cs="Arial"/>
                <w:sz w:val="12"/>
                <w:szCs w:val="12"/>
                <w:lang w:val="en-GB" w:eastAsia="mk-MK"/>
              </w:rPr>
              <w:t>solution for</w:t>
            </w:r>
            <w:r w:rsidRPr="00D30847">
              <w:rPr>
                <w:rFonts w:ascii="Arial" w:eastAsia="Times New Roman" w:hAnsi="Arial" w:cs="Arial"/>
                <w:sz w:val="12"/>
                <w:szCs w:val="12"/>
                <w:lang w:val="en-GB" w:eastAsia="mk-MK"/>
              </w:rPr>
              <w:t xml:space="preserve"> PIM</w:t>
            </w:r>
          </w:p>
        </w:tc>
        <w:tc>
          <w:tcPr>
            <w:tcW w:w="1194" w:type="dxa"/>
            <w:gridSpan w:val="2"/>
            <w:shd w:val="clear" w:color="000000" w:fill="FFFF99"/>
            <w:vAlign w:val="center"/>
            <w:hideMark/>
          </w:tcPr>
          <w:p w14:paraId="6E6645A3" w14:textId="14A942F3"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19309E" w:rsidRPr="00D30847">
              <w:rPr>
                <w:rFonts w:ascii="Arial" w:eastAsia="Times New Roman" w:hAnsi="Arial" w:cs="Arial"/>
                <w:sz w:val="12"/>
                <w:szCs w:val="12"/>
                <w:lang w:val="en-GB" w:eastAsia="mk-MK"/>
              </w:rPr>
              <w:t>5</w:t>
            </w:r>
            <w:r w:rsidR="00F36B90" w:rsidRPr="00D30847">
              <w:rPr>
                <w:rFonts w:ascii="Arial" w:eastAsia="Times New Roman" w:hAnsi="Arial" w:cs="Arial"/>
                <w:sz w:val="12"/>
                <w:szCs w:val="12"/>
                <w:lang w:val="en-GB" w:eastAsia="mk-MK"/>
              </w:rPr>
              <w:t xml:space="preserve"> </w:t>
            </w:r>
          </w:p>
        </w:tc>
        <w:tc>
          <w:tcPr>
            <w:tcW w:w="1418" w:type="dxa"/>
            <w:gridSpan w:val="3"/>
            <w:shd w:val="clear" w:color="000000" w:fill="FFFF99"/>
            <w:vAlign w:val="center"/>
            <w:hideMark/>
          </w:tcPr>
          <w:p w14:paraId="648A659D" w14:textId="5FE8ED2F" w:rsidR="00485BAA" w:rsidRPr="00D30847" w:rsidRDefault="00263A7B"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PIM Department</w:t>
            </w:r>
          </w:p>
        </w:tc>
        <w:tc>
          <w:tcPr>
            <w:tcW w:w="1644" w:type="dxa"/>
            <w:gridSpan w:val="3"/>
            <w:shd w:val="clear" w:color="000000" w:fill="FFFF99"/>
            <w:vAlign w:val="center"/>
            <w:hideMark/>
          </w:tcPr>
          <w:p w14:paraId="2C692B5A" w14:textId="624485E6" w:rsidR="00814762" w:rsidRPr="00D30847" w:rsidRDefault="00814762" w:rsidP="00814762">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w:t>
            </w:r>
            <w:r w:rsidR="002371A1"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expertise</w:t>
            </w:r>
          </w:p>
          <w:p w14:paraId="59B0E413" w14:textId="183CE534" w:rsidR="00485BAA" w:rsidRPr="00D30847" w:rsidRDefault="00814762" w:rsidP="00814762">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(IMF)</w:t>
            </w:r>
          </w:p>
        </w:tc>
        <w:tc>
          <w:tcPr>
            <w:tcW w:w="1758" w:type="dxa"/>
            <w:gridSpan w:val="4"/>
            <w:shd w:val="clear" w:color="000000" w:fill="FFFF99"/>
            <w:vAlign w:val="center"/>
            <w:hideMark/>
          </w:tcPr>
          <w:p w14:paraId="722A9892" w14:textId="3C7A15A8" w:rsidR="00485BAA" w:rsidRPr="00D30847" w:rsidRDefault="0019309E"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30</w:t>
            </w:r>
            <w:r w:rsidR="00485BAA" w:rsidRPr="00D30847">
              <w:rPr>
                <w:rFonts w:ascii="Arial" w:eastAsia="Times New Roman" w:hAnsi="Arial" w:cs="Arial"/>
                <w:sz w:val="12"/>
                <w:szCs w:val="12"/>
                <w:lang w:val="en-GB" w:eastAsia="mk-MK"/>
              </w:rPr>
              <w:t xml:space="preserve">,000     </w:t>
            </w:r>
          </w:p>
        </w:tc>
        <w:tc>
          <w:tcPr>
            <w:tcW w:w="1842" w:type="dxa"/>
            <w:gridSpan w:val="4"/>
            <w:shd w:val="clear" w:color="000000" w:fill="FFFF99"/>
            <w:vAlign w:val="center"/>
            <w:hideMark/>
          </w:tcPr>
          <w:p w14:paraId="672C19EA" w14:textId="77777777" w:rsidR="00485BAA" w:rsidRPr="00D30847" w:rsidRDefault="00F36B90"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w:t>
            </w:r>
            <w:r w:rsidR="00472503" w:rsidRPr="00D30847">
              <w:rPr>
                <w:rFonts w:ascii="Arial" w:eastAsia="Times New Roman" w:hAnsi="Arial" w:cs="Arial"/>
                <w:sz w:val="12"/>
                <w:szCs w:val="12"/>
                <w:lang w:val="en-GB" w:eastAsia="mk-MK"/>
              </w:rPr>
              <w:t xml:space="preserve"> funding</w:t>
            </w:r>
          </w:p>
        </w:tc>
        <w:tc>
          <w:tcPr>
            <w:tcW w:w="1506" w:type="dxa"/>
            <w:gridSpan w:val="4"/>
            <w:shd w:val="clear" w:color="000000" w:fill="FFFF99"/>
            <w:vAlign w:val="center"/>
            <w:hideMark/>
          </w:tcPr>
          <w:p w14:paraId="21EB1009" w14:textId="4BEF7E6C" w:rsidR="00485BAA" w:rsidRPr="00D30847" w:rsidRDefault="00485BAA" w:rsidP="00407B01">
            <w:pPr>
              <w:spacing w:after="0" w:line="240" w:lineRule="auto"/>
              <w:jc w:val="center"/>
              <w:rPr>
                <w:rFonts w:ascii="Arial" w:eastAsia="Times New Roman" w:hAnsi="Arial" w:cs="Arial"/>
                <w:sz w:val="12"/>
                <w:szCs w:val="12"/>
                <w:lang w:val="en-GB" w:eastAsia="mk-MK"/>
              </w:rPr>
            </w:pPr>
          </w:p>
        </w:tc>
      </w:tr>
      <w:tr w:rsidR="000A08F4" w:rsidRPr="00D30847" w14:paraId="6BE46EA2" w14:textId="77777777" w:rsidTr="00FD4DDE">
        <w:trPr>
          <w:gridBefore w:val="2"/>
          <w:gridAfter w:val="1"/>
          <w:wBefore w:w="20" w:type="dxa"/>
          <w:wAfter w:w="52" w:type="dxa"/>
          <w:trHeight w:val="169"/>
          <w:jc w:val="center"/>
        </w:trPr>
        <w:tc>
          <w:tcPr>
            <w:tcW w:w="13518" w:type="dxa"/>
            <w:gridSpan w:val="29"/>
            <w:shd w:val="clear" w:color="000000" w:fill="1F3864"/>
            <w:vAlign w:val="center"/>
            <w:hideMark/>
          </w:tcPr>
          <w:p w14:paraId="218AFBA3" w14:textId="665ADC0D" w:rsidR="000A08F4" w:rsidRPr="00D30847" w:rsidRDefault="00B91F4E" w:rsidP="008D17AC">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Pillar III</w:t>
            </w:r>
            <w:r w:rsidR="00577A56" w:rsidRPr="00D30847">
              <w:rPr>
                <w:rFonts w:ascii="Arial" w:eastAsia="Times New Roman" w:hAnsi="Arial" w:cs="Arial"/>
                <w:b/>
                <w:bCs/>
                <w:color w:val="FFFFFF"/>
                <w:sz w:val="12"/>
                <w:szCs w:val="12"/>
                <w:lang w:val="en-GB" w:eastAsia="mk-MK"/>
              </w:rPr>
              <w:t>.</w:t>
            </w:r>
            <w:r w:rsidRPr="00D30847">
              <w:rPr>
                <w:rFonts w:ascii="Arial" w:eastAsia="Times New Roman" w:hAnsi="Arial" w:cs="Arial"/>
                <w:b/>
                <w:bCs/>
                <w:color w:val="FFFFFF"/>
                <w:sz w:val="12"/>
                <w:szCs w:val="12"/>
                <w:lang w:val="en-GB" w:eastAsia="mk-MK"/>
              </w:rPr>
              <w:t xml:space="preserve"> Planning</w:t>
            </w:r>
            <w:r w:rsidR="002371A1"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and</w:t>
            </w:r>
            <w:r w:rsidR="002371A1"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budget</w:t>
            </w:r>
          </w:p>
        </w:tc>
      </w:tr>
      <w:tr w:rsidR="000A08F4" w:rsidRPr="00D30847" w14:paraId="6C94A0C3" w14:textId="77777777" w:rsidTr="00FD4DDE">
        <w:trPr>
          <w:gridBefore w:val="2"/>
          <w:gridAfter w:val="1"/>
          <w:wBefore w:w="20" w:type="dxa"/>
          <w:wAfter w:w="52" w:type="dxa"/>
          <w:trHeight w:val="285"/>
          <w:jc w:val="center"/>
        </w:trPr>
        <w:tc>
          <w:tcPr>
            <w:tcW w:w="13518" w:type="dxa"/>
            <w:gridSpan w:val="29"/>
            <w:shd w:val="clear" w:color="000000" w:fill="1F3864"/>
            <w:vAlign w:val="center"/>
            <w:hideMark/>
          </w:tcPr>
          <w:p w14:paraId="35753590" w14:textId="3B44B32E" w:rsidR="000A08F4" w:rsidRPr="00D30847" w:rsidRDefault="000A08F4" w:rsidP="008D17AC">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PRIORITY 3</w:t>
            </w:r>
            <w:r w:rsidR="00577A56" w:rsidRPr="00D30847">
              <w:rPr>
                <w:rFonts w:ascii="Arial" w:eastAsia="Times New Roman" w:hAnsi="Arial" w:cs="Arial"/>
                <w:b/>
                <w:bCs/>
                <w:color w:val="FFFFFF"/>
                <w:sz w:val="12"/>
                <w:szCs w:val="12"/>
                <w:lang w:val="en-GB" w:eastAsia="mk-MK"/>
              </w:rPr>
              <w:t>.</w:t>
            </w:r>
            <w:r w:rsidRPr="00D30847">
              <w:rPr>
                <w:rFonts w:ascii="Arial" w:eastAsia="Times New Roman" w:hAnsi="Arial" w:cs="Arial"/>
                <w:b/>
                <w:bCs/>
                <w:color w:val="FFFFFF"/>
                <w:sz w:val="12"/>
                <w:szCs w:val="12"/>
                <w:lang w:val="en-GB" w:eastAsia="mk-MK"/>
              </w:rPr>
              <w:t> Strengthen</w:t>
            </w:r>
            <w:r w:rsidR="002371A1"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the</w:t>
            </w:r>
            <w:r w:rsidR="002371A1"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accounting</w:t>
            </w:r>
            <w:r w:rsidR="002371A1"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of</w:t>
            </w:r>
            <w:r w:rsidR="002371A1"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budgets</w:t>
            </w:r>
            <w:r w:rsidR="002371A1"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and</w:t>
            </w:r>
            <w:r w:rsidR="002371A1"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budget</w:t>
            </w:r>
            <w:r w:rsidR="002371A1"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users</w:t>
            </w:r>
          </w:p>
        </w:tc>
      </w:tr>
      <w:tr w:rsidR="000A08F4" w:rsidRPr="00D30847" w14:paraId="3EEA0149" w14:textId="77777777" w:rsidTr="00FD4DDE">
        <w:trPr>
          <w:gridBefore w:val="2"/>
          <w:gridAfter w:val="1"/>
          <w:wBefore w:w="20" w:type="dxa"/>
          <w:wAfter w:w="52" w:type="dxa"/>
          <w:trHeight w:val="315"/>
          <w:jc w:val="center"/>
        </w:trPr>
        <w:tc>
          <w:tcPr>
            <w:tcW w:w="2320" w:type="dxa"/>
            <w:gridSpan w:val="4"/>
            <w:shd w:val="clear" w:color="000000" w:fill="9BD2ED"/>
            <w:vAlign w:val="center"/>
            <w:hideMark/>
          </w:tcPr>
          <w:p w14:paraId="1CE855AC" w14:textId="77777777"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Outcome(s)</w:t>
            </w:r>
          </w:p>
        </w:tc>
        <w:tc>
          <w:tcPr>
            <w:tcW w:w="1836" w:type="dxa"/>
            <w:gridSpan w:val="5"/>
            <w:shd w:val="clear" w:color="000000" w:fill="9BD2ED"/>
            <w:vAlign w:val="center"/>
            <w:hideMark/>
          </w:tcPr>
          <w:p w14:paraId="182B72A4" w14:textId="2235C911"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2371A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55D9B82C" w14:textId="046F5A16"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2371A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1C7B4B79" w14:textId="329D9C68"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885942"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410B327B" w14:textId="63861B78"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85942"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659C6422" w14:textId="2AD8B4B2"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85942"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3BBA692F" w14:textId="5698CBEE"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85942"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7961FB13" w14:textId="3ED45D4D"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85942" w:rsidRPr="00D30847">
              <w:rPr>
                <w:rFonts w:ascii="Arial" w:eastAsia="Times New Roman" w:hAnsi="Arial" w:cs="Arial"/>
                <w:b/>
                <w:bCs/>
                <w:sz w:val="12"/>
                <w:szCs w:val="12"/>
                <w:lang w:val="en-GB" w:eastAsia="mk-MK"/>
              </w:rPr>
              <w:t>8</w:t>
            </w:r>
          </w:p>
        </w:tc>
      </w:tr>
      <w:tr w:rsidR="000A08F4" w:rsidRPr="00D30847" w14:paraId="0C7E828C" w14:textId="77777777" w:rsidTr="00FD4DDE">
        <w:trPr>
          <w:gridBefore w:val="2"/>
          <w:gridAfter w:val="1"/>
          <w:wBefore w:w="20" w:type="dxa"/>
          <w:wAfter w:w="52" w:type="dxa"/>
          <w:trHeight w:val="448"/>
          <w:jc w:val="center"/>
        </w:trPr>
        <w:tc>
          <w:tcPr>
            <w:tcW w:w="2320" w:type="dxa"/>
            <w:gridSpan w:val="4"/>
            <w:shd w:val="clear" w:color="000000" w:fill="FFFF99"/>
            <w:vAlign w:val="center"/>
            <w:hideMark/>
          </w:tcPr>
          <w:p w14:paraId="25A894E4" w14:textId="77777777" w:rsidR="00885942" w:rsidRPr="00D30847" w:rsidRDefault="00885942" w:rsidP="00885942">
            <w:pP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Harmonized legal framework of accounting of budgets and budget users with the new Budgets Law</w:t>
            </w:r>
          </w:p>
          <w:p w14:paraId="32403140" w14:textId="740C25C4" w:rsidR="000A08F4" w:rsidRPr="00D30847" w:rsidRDefault="000A08F4" w:rsidP="008D17AC">
            <w:pPr>
              <w:spacing w:after="0" w:line="240" w:lineRule="auto"/>
              <w:rPr>
                <w:rFonts w:ascii="Arial" w:eastAsia="Times New Roman" w:hAnsi="Arial" w:cs="Arial"/>
                <w:sz w:val="12"/>
                <w:szCs w:val="12"/>
                <w:lang w:val="en-GB" w:eastAsia="mk-MK"/>
              </w:rPr>
            </w:pPr>
          </w:p>
        </w:tc>
        <w:tc>
          <w:tcPr>
            <w:tcW w:w="1836" w:type="dxa"/>
            <w:gridSpan w:val="5"/>
            <w:shd w:val="clear" w:color="000000" w:fill="FFFF99"/>
            <w:vAlign w:val="center"/>
            <w:hideMark/>
          </w:tcPr>
          <w:p w14:paraId="38960FB2" w14:textId="57DDDDF8" w:rsidR="00885942" w:rsidRPr="00D30847" w:rsidRDefault="002F500A" w:rsidP="00885942">
            <w:pP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Adopting</w:t>
            </w:r>
            <w:r w:rsidR="00885942" w:rsidRPr="00D30847">
              <w:rPr>
                <w:rFonts w:ascii="Arial" w:eastAsia="Times New Roman" w:hAnsi="Arial" w:cs="Arial"/>
                <w:sz w:val="12"/>
                <w:szCs w:val="12"/>
                <w:lang w:val="en-GB" w:eastAsia="mk-MK"/>
              </w:rPr>
              <w:t xml:space="preserve"> new law and by-laws for accounting of budgets and budget users </w:t>
            </w:r>
          </w:p>
          <w:p w14:paraId="63AE3505" w14:textId="1111C565" w:rsidR="000A08F4" w:rsidRPr="00D30847" w:rsidRDefault="000A08F4" w:rsidP="008D17AC">
            <w:pPr>
              <w:spacing w:after="0" w:line="240" w:lineRule="auto"/>
              <w:rPr>
                <w:rFonts w:ascii="Arial" w:eastAsia="Times New Roman" w:hAnsi="Arial" w:cs="Arial"/>
                <w:sz w:val="12"/>
                <w:szCs w:val="12"/>
                <w:lang w:val="en-GB" w:eastAsia="mk-MK"/>
              </w:rPr>
            </w:pPr>
          </w:p>
        </w:tc>
        <w:tc>
          <w:tcPr>
            <w:tcW w:w="1194" w:type="dxa"/>
            <w:gridSpan w:val="2"/>
            <w:shd w:val="clear" w:color="000000" w:fill="FFFF99"/>
            <w:vAlign w:val="center"/>
            <w:hideMark/>
          </w:tcPr>
          <w:p w14:paraId="2D34F9AD" w14:textId="77777777" w:rsidR="000A08F4" w:rsidRPr="00D30847" w:rsidRDefault="000A08F4" w:rsidP="008D17A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p>
        </w:tc>
        <w:tc>
          <w:tcPr>
            <w:tcW w:w="1418" w:type="dxa"/>
            <w:gridSpan w:val="3"/>
            <w:shd w:val="clear" w:color="000000" w:fill="FFFF99"/>
            <w:vAlign w:val="center"/>
            <w:hideMark/>
          </w:tcPr>
          <w:p w14:paraId="645B3B29" w14:textId="77777777" w:rsidR="000A08F4" w:rsidRPr="00D30847" w:rsidRDefault="000A08F4" w:rsidP="008D17A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644" w:type="dxa"/>
            <w:gridSpan w:val="3"/>
            <w:shd w:val="clear" w:color="000000" w:fill="FFFF99"/>
            <w:vAlign w:val="center"/>
            <w:hideMark/>
          </w:tcPr>
          <w:p w14:paraId="1AF98184" w14:textId="71CE6A76" w:rsidR="000A08F4" w:rsidRPr="00D30847" w:rsidRDefault="00885942" w:rsidP="008D17A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Analysis of the existing legal framework for accounting of budgets and budget users for compliance with the new Budgets Law</w:t>
            </w:r>
          </w:p>
        </w:tc>
        <w:tc>
          <w:tcPr>
            <w:tcW w:w="1758" w:type="dxa"/>
            <w:gridSpan w:val="4"/>
            <w:shd w:val="clear" w:color="000000" w:fill="FFFF99"/>
            <w:vAlign w:val="center"/>
            <w:hideMark/>
          </w:tcPr>
          <w:p w14:paraId="70EA74D3" w14:textId="16D7289B" w:rsidR="000A08F4" w:rsidRPr="00D30847" w:rsidRDefault="00885942" w:rsidP="008D17A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Analysis of the existing legal framework for accounting of budgets and budget users for compliance with the new Budgets Law 0</w:t>
            </w:r>
          </w:p>
        </w:tc>
        <w:tc>
          <w:tcPr>
            <w:tcW w:w="1842" w:type="dxa"/>
            <w:gridSpan w:val="4"/>
            <w:shd w:val="clear" w:color="000000" w:fill="FFFF99"/>
            <w:vAlign w:val="center"/>
            <w:hideMark/>
          </w:tcPr>
          <w:p w14:paraId="6D90B49E" w14:textId="573D7FF9" w:rsidR="000A08F4" w:rsidRPr="00D30847" w:rsidRDefault="00885942" w:rsidP="008D17A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Analysis of the existing legal framework for accounting of budgets and budget users for compliance with the new Budgets Law</w:t>
            </w:r>
          </w:p>
        </w:tc>
        <w:tc>
          <w:tcPr>
            <w:tcW w:w="1506" w:type="dxa"/>
            <w:gridSpan w:val="4"/>
            <w:shd w:val="clear" w:color="000000" w:fill="FFFF99"/>
            <w:vAlign w:val="center"/>
            <w:hideMark/>
          </w:tcPr>
          <w:p w14:paraId="6598AEE6" w14:textId="1D156A1C" w:rsidR="00885942" w:rsidRPr="00D30847" w:rsidRDefault="002F500A" w:rsidP="00885942">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Adopting</w:t>
            </w:r>
            <w:r w:rsidR="00885942" w:rsidRPr="00D30847">
              <w:rPr>
                <w:rFonts w:ascii="Arial" w:eastAsia="Times New Roman" w:hAnsi="Arial" w:cs="Arial"/>
                <w:sz w:val="12"/>
                <w:szCs w:val="12"/>
                <w:lang w:val="en-GB" w:eastAsia="mk-MK"/>
              </w:rPr>
              <w:t xml:space="preserve"> new law and by-laws for accounting of budgets and budget users </w:t>
            </w:r>
          </w:p>
          <w:p w14:paraId="636DF5E0" w14:textId="6D63601A" w:rsidR="000A08F4" w:rsidRPr="00D30847" w:rsidRDefault="000A08F4" w:rsidP="008D17AC">
            <w:pPr>
              <w:spacing w:after="0" w:line="240" w:lineRule="auto"/>
              <w:jc w:val="center"/>
              <w:rPr>
                <w:rFonts w:ascii="Arial" w:eastAsia="Times New Roman" w:hAnsi="Arial" w:cs="Arial"/>
                <w:sz w:val="12"/>
                <w:szCs w:val="12"/>
                <w:lang w:val="en-GB" w:eastAsia="mk-MK"/>
              </w:rPr>
            </w:pPr>
          </w:p>
        </w:tc>
      </w:tr>
      <w:tr w:rsidR="000A08F4" w:rsidRPr="00D30847" w14:paraId="28FC627A" w14:textId="77777777" w:rsidTr="00FD4DDE">
        <w:trPr>
          <w:gridBefore w:val="2"/>
          <w:gridAfter w:val="1"/>
          <w:wBefore w:w="20" w:type="dxa"/>
          <w:wAfter w:w="52" w:type="dxa"/>
          <w:trHeight w:val="196"/>
          <w:jc w:val="center"/>
        </w:trPr>
        <w:tc>
          <w:tcPr>
            <w:tcW w:w="13518" w:type="dxa"/>
            <w:gridSpan w:val="29"/>
            <w:shd w:val="clear" w:color="000000" w:fill="9BD2ED"/>
            <w:vAlign w:val="center"/>
            <w:hideMark/>
          </w:tcPr>
          <w:p w14:paraId="6C62E51C" w14:textId="3912FCB2" w:rsidR="000A08F4" w:rsidRPr="00D30847" w:rsidRDefault="000A08F4" w:rsidP="00637A09">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w:t>
            </w:r>
            <w:r w:rsidR="00577A56"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1. </w:t>
            </w:r>
            <w:r w:rsidR="00885942" w:rsidRPr="00D30847">
              <w:rPr>
                <w:rFonts w:ascii="Arial" w:eastAsia="Times New Roman" w:hAnsi="Arial" w:cs="Arial"/>
                <w:b/>
                <w:bCs/>
                <w:sz w:val="12"/>
                <w:szCs w:val="12"/>
                <w:lang w:val="en-GB" w:eastAsia="mk-MK"/>
              </w:rPr>
              <w:t>Harmonization of the legal framework for accounting of budgets and budget users with the new  Budgets Law</w:t>
            </w:r>
          </w:p>
        </w:tc>
      </w:tr>
      <w:tr w:rsidR="000A08F4" w:rsidRPr="00D30847" w14:paraId="2A42A9E5" w14:textId="77777777" w:rsidTr="00FD4DDE">
        <w:trPr>
          <w:gridBefore w:val="2"/>
          <w:gridAfter w:val="1"/>
          <w:wBefore w:w="20" w:type="dxa"/>
          <w:wAfter w:w="52" w:type="dxa"/>
          <w:trHeight w:val="219"/>
          <w:jc w:val="center"/>
        </w:trPr>
        <w:tc>
          <w:tcPr>
            <w:tcW w:w="2320" w:type="dxa"/>
            <w:gridSpan w:val="4"/>
            <w:vMerge w:val="restart"/>
            <w:tcBorders>
              <w:top w:val="nil"/>
              <w:left w:val="nil"/>
              <w:bottom w:val="nil"/>
              <w:right w:val="single" w:sz="8" w:space="0" w:color="000000"/>
            </w:tcBorders>
            <w:shd w:val="clear" w:color="auto" w:fill="auto"/>
            <w:vAlign w:val="center"/>
            <w:hideMark/>
          </w:tcPr>
          <w:p w14:paraId="755AAD2C" w14:textId="77777777" w:rsidR="000A08F4" w:rsidRPr="00D30847" w:rsidRDefault="000A08F4" w:rsidP="008D17A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32B25C6F" w14:textId="4B6F281B"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2371A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7F90D414" w14:textId="02626FE6"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2371A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72250796" w14:textId="28751B7F"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885942"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11A0FD4E" w14:textId="2FACA104"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85942"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68225DE5" w14:textId="0CA9F40B"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85942"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0978FBC0" w14:textId="6F03F873"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85942"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015EBB43" w14:textId="065F454C"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85942" w:rsidRPr="00D30847">
              <w:rPr>
                <w:rFonts w:ascii="Arial" w:eastAsia="Times New Roman" w:hAnsi="Arial" w:cs="Arial"/>
                <w:b/>
                <w:bCs/>
                <w:sz w:val="12"/>
                <w:szCs w:val="12"/>
                <w:lang w:val="en-GB" w:eastAsia="mk-MK"/>
              </w:rPr>
              <w:t>8</w:t>
            </w:r>
          </w:p>
        </w:tc>
      </w:tr>
      <w:tr w:rsidR="000A08F4" w:rsidRPr="00D30847" w14:paraId="6B1122F4" w14:textId="77777777" w:rsidTr="00FD4DDE">
        <w:trPr>
          <w:gridBefore w:val="2"/>
          <w:gridAfter w:val="1"/>
          <w:wBefore w:w="20" w:type="dxa"/>
          <w:wAfter w:w="52" w:type="dxa"/>
          <w:trHeight w:val="340"/>
          <w:jc w:val="center"/>
        </w:trPr>
        <w:tc>
          <w:tcPr>
            <w:tcW w:w="2320" w:type="dxa"/>
            <w:gridSpan w:val="4"/>
            <w:vMerge/>
            <w:tcBorders>
              <w:top w:val="nil"/>
              <w:left w:val="nil"/>
              <w:bottom w:val="nil"/>
              <w:right w:val="single" w:sz="8" w:space="0" w:color="000000"/>
            </w:tcBorders>
            <w:vAlign w:val="center"/>
            <w:hideMark/>
          </w:tcPr>
          <w:p w14:paraId="5A7C84A4" w14:textId="77777777" w:rsidR="000A08F4" w:rsidRPr="00D30847" w:rsidRDefault="000A08F4" w:rsidP="008D17AC">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2E9C279E" w14:textId="49334CC9" w:rsidR="00885942" w:rsidRPr="00D30847" w:rsidRDefault="002F500A" w:rsidP="00885942">
            <w:pP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Adopting</w:t>
            </w:r>
            <w:r w:rsidR="00885942" w:rsidRPr="00D30847">
              <w:rPr>
                <w:rFonts w:ascii="Arial" w:eastAsia="Times New Roman" w:hAnsi="Arial" w:cs="Arial"/>
                <w:sz w:val="12"/>
                <w:szCs w:val="12"/>
                <w:lang w:val="en-GB" w:eastAsia="mk-MK"/>
              </w:rPr>
              <w:t xml:space="preserve"> new law and by-laws for accounting of budgets and budget users </w:t>
            </w:r>
          </w:p>
          <w:p w14:paraId="75F973BC" w14:textId="03A796CD" w:rsidR="000A08F4" w:rsidRPr="00D30847" w:rsidRDefault="000A08F4" w:rsidP="008D17AC">
            <w:pPr>
              <w:spacing w:after="0" w:line="240" w:lineRule="auto"/>
              <w:rPr>
                <w:rFonts w:ascii="Arial" w:eastAsia="Times New Roman" w:hAnsi="Arial" w:cs="Arial"/>
                <w:sz w:val="12"/>
                <w:szCs w:val="12"/>
                <w:lang w:val="en-GB" w:eastAsia="mk-MK"/>
              </w:rPr>
            </w:pPr>
          </w:p>
        </w:tc>
        <w:tc>
          <w:tcPr>
            <w:tcW w:w="1194" w:type="dxa"/>
            <w:gridSpan w:val="2"/>
            <w:shd w:val="clear" w:color="000000" w:fill="FFFF99"/>
            <w:vAlign w:val="center"/>
            <w:hideMark/>
          </w:tcPr>
          <w:p w14:paraId="7DD9E7E2" w14:textId="77777777" w:rsidR="000A08F4" w:rsidRPr="00D30847" w:rsidRDefault="000A08F4" w:rsidP="008D17A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p>
        </w:tc>
        <w:tc>
          <w:tcPr>
            <w:tcW w:w="1418" w:type="dxa"/>
            <w:gridSpan w:val="3"/>
            <w:shd w:val="clear" w:color="000000" w:fill="FFFF99"/>
            <w:vAlign w:val="center"/>
            <w:hideMark/>
          </w:tcPr>
          <w:p w14:paraId="2BA1BB38" w14:textId="77777777" w:rsidR="000A08F4" w:rsidRPr="00D30847" w:rsidRDefault="000A08F4" w:rsidP="008D17AC">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644" w:type="dxa"/>
            <w:gridSpan w:val="3"/>
            <w:shd w:val="clear" w:color="000000" w:fill="FFFF99"/>
            <w:vAlign w:val="center"/>
            <w:hideMark/>
          </w:tcPr>
          <w:p w14:paraId="1A8A646D" w14:textId="77777777" w:rsidR="00885942" w:rsidRPr="00D30847" w:rsidRDefault="00885942" w:rsidP="00885942">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Analysis of the existing legal framework for accounting of budgets and budget users for compliance with the new Budgets Law</w:t>
            </w:r>
          </w:p>
          <w:p w14:paraId="76981F65" w14:textId="6CB11DC1" w:rsidR="000A08F4" w:rsidRPr="00D30847" w:rsidRDefault="000A08F4" w:rsidP="008D17AC">
            <w:pPr>
              <w:spacing w:after="0" w:line="240" w:lineRule="auto"/>
              <w:rPr>
                <w:rFonts w:ascii="Arial" w:eastAsia="Times New Roman" w:hAnsi="Arial" w:cs="Arial"/>
                <w:sz w:val="12"/>
                <w:szCs w:val="12"/>
                <w:lang w:val="en-GB" w:eastAsia="mk-MK"/>
              </w:rPr>
            </w:pPr>
          </w:p>
        </w:tc>
        <w:tc>
          <w:tcPr>
            <w:tcW w:w="1758" w:type="dxa"/>
            <w:gridSpan w:val="4"/>
            <w:shd w:val="clear" w:color="000000" w:fill="FFFF99"/>
            <w:vAlign w:val="center"/>
            <w:hideMark/>
          </w:tcPr>
          <w:p w14:paraId="4DA16E9B" w14:textId="77777777" w:rsidR="00885942" w:rsidRPr="00D30847" w:rsidRDefault="00885942" w:rsidP="00885942">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Analysis of the existing legal framework for accounting of budgets and budget users for compliance with the new Budgets Law</w:t>
            </w:r>
          </w:p>
          <w:p w14:paraId="44F94D8B" w14:textId="5E62C2AE" w:rsidR="000A08F4" w:rsidRPr="00D30847" w:rsidRDefault="000A08F4" w:rsidP="008D17AC">
            <w:pPr>
              <w:spacing w:after="0" w:line="240" w:lineRule="auto"/>
              <w:rPr>
                <w:rFonts w:ascii="Arial" w:eastAsia="Times New Roman" w:hAnsi="Arial" w:cs="Arial"/>
                <w:sz w:val="12"/>
                <w:szCs w:val="12"/>
                <w:lang w:val="en-GB" w:eastAsia="mk-MK"/>
              </w:rPr>
            </w:pPr>
          </w:p>
        </w:tc>
        <w:tc>
          <w:tcPr>
            <w:tcW w:w="1842" w:type="dxa"/>
            <w:gridSpan w:val="4"/>
            <w:shd w:val="clear" w:color="000000" w:fill="FFFF99"/>
            <w:vAlign w:val="center"/>
            <w:hideMark/>
          </w:tcPr>
          <w:p w14:paraId="2B209E0C" w14:textId="199B8DAC" w:rsidR="000A08F4" w:rsidRPr="00D30847" w:rsidRDefault="000A08F4" w:rsidP="008D17AC">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r w:rsidR="00885942" w:rsidRPr="00D30847">
              <w:rPr>
                <w:rFonts w:ascii="Arial" w:eastAsia="Times New Roman" w:hAnsi="Arial" w:cs="Arial"/>
                <w:sz w:val="12"/>
                <w:szCs w:val="12"/>
                <w:lang w:val="en-GB" w:eastAsia="mk-MK"/>
              </w:rPr>
              <w:t>Analysis of the existing legal framework for accounting of budgets and budget users for compliance with the new Budgets Law</w:t>
            </w:r>
          </w:p>
        </w:tc>
        <w:tc>
          <w:tcPr>
            <w:tcW w:w="1506" w:type="dxa"/>
            <w:gridSpan w:val="4"/>
            <w:shd w:val="clear" w:color="000000" w:fill="FFFF99"/>
            <w:vAlign w:val="center"/>
            <w:hideMark/>
          </w:tcPr>
          <w:p w14:paraId="1D5BEFF4" w14:textId="303A3742" w:rsidR="000A08F4" w:rsidRPr="00D30847" w:rsidRDefault="002F500A" w:rsidP="008D17AC">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Adopting</w:t>
            </w:r>
            <w:r w:rsidR="00885942" w:rsidRPr="00D30847">
              <w:rPr>
                <w:rFonts w:ascii="Arial" w:eastAsia="Times New Roman" w:hAnsi="Arial" w:cs="Arial"/>
                <w:sz w:val="12"/>
                <w:szCs w:val="12"/>
                <w:lang w:val="en-GB" w:eastAsia="mk-MK"/>
              </w:rPr>
              <w:t xml:space="preserve"> new law and by-laws for accounting of budgets and budget users </w:t>
            </w:r>
            <w:r w:rsidR="00DC30FD" w:rsidRPr="00D30847">
              <w:rPr>
                <w:rFonts w:ascii="Arial" w:eastAsia="Times New Roman" w:hAnsi="Arial" w:cs="Arial"/>
                <w:sz w:val="12"/>
                <w:szCs w:val="12"/>
                <w:lang w:val="en-GB" w:eastAsia="mk-MK"/>
              </w:rPr>
              <w:t>Harmonizing</w:t>
            </w:r>
            <w:r w:rsidR="00F7037E" w:rsidRPr="00D30847">
              <w:rPr>
                <w:rFonts w:ascii="Arial" w:eastAsia="Times New Roman" w:hAnsi="Arial" w:cs="Arial"/>
                <w:sz w:val="12"/>
                <w:szCs w:val="12"/>
                <w:lang w:val="en-GB" w:eastAsia="mk-MK"/>
              </w:rPr>
              <w:t xml:space="preserve"> </w:t>
            </w:r>
            <w:r w:rsidR="00DC30FD" w:rsidRPr="00D30847">
              <w:rPr>
                <w:rFonts w:ascii="Arial" w:eastAsia="Times New Roman" w:hAnsi="Arial" w:cs="Arial"/>
                <w:sz w:val="12"/>
                <w:szCs w:val="12"/>
                <w:lang w:val="en-GB" w:eastAsia="mk-MK"/>
              </w:rPr>
              <w:t>budget</w:t>
            </w:r>
            <w:r w:rsidR="00F7037E" w:rsidRPr="00D30847">
              <w:rPr>
                <w:rFonts w:ascii="Arial" w:eastAsia="Times New Roman" w:hAnsi="Arial" w:cs="Arial"/>
                <w:sz w:val="12"/>
                <w:szCs w:val="12"/>
                <w:lang w:val="en-GB" w:eastAsia="mk-MK"/>
              </w:rPr>
              <w:t xml:space="preserve"> </w:t>
            </w:r>
            <w:r w:rsidR="00DC30FD" w:rsidRPr="00D30847">
              <w:rPr>
                <w:rFonts w:ascii="Arial" w:eastAsia="Times New Roman" w:hAnsi="Arial" w:cs="Arial"/>
                <w:sz w:val="12"/>
                <w:szCs w:val="12"/>
                <w:lang w:val="en-GB" w:eastAsia="mk-MK"/>
              </w:rPr>
              <w:t>information</w:t>
            </w:r>
            <w:r w:rsidR="00F7037E" w:rsidRPr="00D30847">
              <w:rPr>
                <w:rFonts w:ascii="Arial" w:eastAsia="Times New Roman" w:hAnsi="Arial" w:cs="Arial"/>
                <w:sz w:val="12"/>
                <w:szCs w:val="12"/>
                <w:lang w:val="en-GB" w:eastAsia="mk-MK"/>
              </w:rPr>
              <w:t xml:space="preserve"> </w:t>
            </w:r>
            <w:r w:rsidR="00DC30FD" w:rsidRPr="00D30847">
              <w:rPr>
                <w:rFonts w:ascii="Arial" w:eastAsia="Times New Roman" w:hAnsi="Arial" w:cs="Arial"/>
                <w:sz w:val="12"/>
                <w:szCs w:val="12"/>
                <w:lang w:val="en-GB" w:eastAsia="mk-MK"/>
              </w:rPr>
              <w:t>systems</w:t>
            </w:r>
            <w:r w:rsidR="00F7037E" w:rsidRPr="00D30847">
              <w:rPr>
                <w:rFonts w:ascii="Arial" w:eastAsia="Times New Roman" w:hAnsi="Arial" w:cs="Arial"/>
                <w:sz w:val="12"/>
                <w:szCs w:val="12"/>
                <w:lang w:val="en-GB" w:eastAsia="mk-MK"/>
              </w:rPr>
              <w:t xml:space="preserve"> </w:t>
            </w:r>
            <w:r w:rsidR="00DC30FD" w:rsidRPr="00D30847">
              <w:rPr>
                <w:rFonts w:ascii="Arial" w:eastAsia="Times New Roman" w:hAnsi="Arial" w:cs="Arial"/>
                <w:sz w:val="12"/>
                <w:szCs w:val="12"/>
                <w:lang w:val="en-GB" w:eastAsia="mk-MK"/>
              </w:rPr>
              <w:t>and</w:t>
            </w:r>
            <w:r w:rsidR="00F7037E" w:rsidRPr="00D30847">
              <w:rPr>
                <w:rFonts w:ascii="Arial" w:eastAsia="Times New Roman" w:hAnsi="Arial" w:cs="Arial"/>
                <w:sz w:val="12"/>
                <w:szCs w:val="12"/>
                <w:lang w:val="en-GB" w:eastAsia="mk-MK"/>
              </w:rPr>
              <w:t xml:space="preserve"> </w:t>
            </w:r>
            <w:r w:rsidR="00DC30FD" w:rsidRPr="00D30847">
              <w:rPr>
                <w:rFonts w:ascii="Arial" w:eastAsia="Times New Roman" w:hAnsi="Arial" w:cs="Arial"/>
                <w:sz w:val="12"/>
                <w:szCs w:val="12"/>
                <w:lang w:val="en-GB" w:eastAsia="mk-MK"/>
              </w:rPr>
              <w:t>budget</w:t>
            </w:r>
            <w:r w:rsidR="00F7037E" w:rsidRPr="00D30847">
              <w:rPr>
                <w:rFonts w:ascii="Arial" w:eastAsia="Times New Roman" w:hAnsi="Arial" w:cs="Arial"/>
                <w:sz w:val="12"/>
                <w:szCs w:val="12"/>
                <w:lang w:val="en-GB" w:eastAsia="mk-MK"/>
              </w:rPr>
              <w:t xml:space="preserve"> </w:t>
            </w:r>
            <w:r w:rsidR="00DC30FD" w:rsidRPr="00D30847">
              <w:rPr>
                <w:rFonts w:ascii="Arial" w:eastAsia="Times New Roman" w:hAnsi="Arial" w:cs="Arial"/>
                <w:sz w:val="12"/>
                <w:szCs w:val="12"/>
                <w:lang w:val="en-GB" w:eastAsia="mk-MK"/>
              </w:rPr>
              <w:t>users</w:t>
            </w:r>
            <w:r w:rsidR="00F7037E" w:rsidRPr="00D30847">
              <w:rPr>
                <w:rFonts w:ascii="Arial" w:eastAsia="Times New Roman" w:hAnsi="Arial" w:cs="Arial"/>
                <w:sz w:val="12"/>
                <w:szCs w:val="12"/>
                <w:lang w:val="en-GB" w:eastAsia="mk-MK"/>
              </w:rPr>
              <w:t xml:space="preserve"> </w:t>
            </w:r>
            <w:r w:rsidR="00DC30FD" w:rsidRPr="00D30847">
              <w:rPr>
                <w:rFonts w:ascii="Arial" w:eastAsia="Times New Roman" w:hAnsi="Arial" w:cs="Arial"/>
                <w:sz w:val="12"/>
                <w:szCs w:val="12"/>
                <w:lang w:val="en-GB" w:eastAsia="mk-MK"/>
              </w:rPr>
              <w:t>with</w:t>
            </w:r>
            <w:r w:rsidR="00F7037E" w:rsidRPr="00D30847">
              <w:rPr>
                <w:rFonts w:ascii="Arial" w:eastAsia="Times New Roman" w:hAnsi="Arial" w:cs="Arial"/>
                <w:sz w:val="12"/>
                <w:szCs w:val="12"/>
                <w:lang w:val="en-GB" w:eastAsia="mk-MK"/>
              </w:rPr>
              <w:t xml:space="preserve"> </w:t>
            </w:r>
            <w:r w:rsidR="00DC30FD" w:rsidRPr="00D30847">
              <w:rPr>
                <w:rFonts w:ascii="Arial" w:eastAsia="Times New Roman" w:hAnsi="Arial" w:cs="Arial"/>
                <w:sz w:val="12"/>
                <w:szCs w:val="12"/>
                <w:lang w:val="en-GB" w:eastAsia="mk-MK"/>
              </w:rPr>
              <w:t>the</w:t>
            </w:r>
            <w:r w:rsidR="00F7037E" w:rsidRPr="00D30847">
              <w:rPr>
                <w:rFonts w:ascii="Arial" w:eastAsia="Times New Roman" w:hAnsi="Arial" w:cs="Arial"/>
                <w:sz w:val="12"/>
                <w:szCs w:val="12"/>
                <w:lang w:val="en-GB" w:eastAsia="mk-MK"/>
              </w:rPr>
              <w:t xml:space="preserve"> </w:t>
            </w:r>
            <w:r w:rsidR="00DC30FD" w:rsidRPr="00D30847">
              <w:rPr>
                <w:rFonts w:ascii="Arial" w:eastAsia="Times New Roman" w:hAnsi="Arial" w:cs="Arial"/>
                <w:sz w:val="12"/>
                <w:szCs w:val="12"/>
                <w:lang w:val="en-GB" w:eastAsia="mk-MK"/>
              </w:rPr>
              <w:t>new</w:t>
            </w:r>
            <w:r w:rsidR="00F7037E" w:rsidRPr="00D30847">
              <w:rPr>
                <w:rFonts w:ascii="Arial" w:eastAsia="Times New Roman" w:hAnsi="Arial" w:cs="Arial"/>
                <w:sz w:val="12"/>
                <w:szCs w:val="12"/>
                <w:lang w:val="en-GB" w:eastAsia="mk-MK"/>
              </w:rPr>
              <w:t xml:space="preserve"> </w:t>
            </w:r>
            <w:r w:rsidR="00DC30FD" w:rsidRPr="00D30847">
              <w:rPr>
                <w:rFonts w:ascii="Arial" w:eastAsia="Times New Roman" w:hAnsi="Arial" w:cs="Arial"/>
                <w:sz w:val="12"/>
                <w:szCs w:val="12"/>
                <w:lang w:val="en-GB" w:eastAsia="mk-MK"/>
              </w:rPr>
              <w:lastRenderedPageBreak/>
              <w:t>accounting</w:t>
            </w:r>
            <w:r w:rsidR="00F7037E" w:rsidRPr="00D30847">
              <w:rPr>
                <w:rFonts w:ascii="Arial" w:eastAsia="Times New Roman" w:hAnsi="Arial" w:cs="Arial"/>
                <w:sz w:val="12"/>
                <w:szCs w:val="12"/>
                <w:lang w:val="en-GB" w:eastAsia="mk-MK"/>
              </w:rPr>
              <w:t xml:space="preserve"> </w:t>
            </w:r>
            <w:r w:rsidR="00DC30FD" w:rsidRPr="00D30847">
              <w:rPr>
                <w:rFonts w:ascii="Arial" w:eastAsia="Times New Roman" w:hAnsi="Arial" w:cs="Arial"/>
                <w:sz w:val="12"/>
                <w:szCs w:val="12"/>
                <w:lang w:val="en-GB" w:eastAsia="mk-MK"/>
              </w:rPr>
              <w:t>requirements</w:t>
            </w:r>
          </w:p>
        </w:tc>
      </w:tr>
      <w:tr w:rsidR="000A08F4" w:rsidRPr="00D30847" w14:paraId="3FA2A170" w14:textId="77777777" w:rsidTr="00FD4DDE">
        <w:trPr>
          <w:gridBefore w:val="2"/>
          <w:gridAfter w:val="1"/>
          <w:wBefore w:w="20" w:type="dxa"/>
          <w:wAfter w:w="52" w:type="dxa"/>
          <w:trHeight w:val="264"/>
          <w:jc w:val="center"/>
        </w:trPr>
        <w:tc>
          <w:tcPr>
            <w:tcW w:w="2320" w:type="dxa"/>
            <w:gridSpan w:val="4"/>
            <w:vMerge/>
            <w:tcBorders>
              <w:top w:val="nil"/>
              <w:left w:val="nil"/>
              <w:bottom w:val="nil"/>
              <w:right w:val="single" w:sz="8" w:space="0" w:color="000000"/>
            </w:tcBorders>
            <w:vAlign w:val="center"/>
            <w:hideMark/>
          </w:tcPr>
          <w:p w14:paraId="0B76D724" w14:textId="77777777" w:rsidR="000A08F4" w:rsidRPr="00D30847" w:rsidRDefault="000A08F4" w:rsidP="008D17AC">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69283427" w14:textId="252A969E"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46659F39" w14:textId="156B871A"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2371A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439A2C7E" w14:textId="592A9AEE"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2371A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0CA9AF00" w14:textId="52868CED"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2371A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64AB4294" w14:textId="77777777"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19260EB8" w14:textId="42423350" w:rsidR="000A08F4" w:rsidRPr="00D30847" w:rsidRDefault="000A08F4" w:rsidP="008D17AC">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2371A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2371A1"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640F7259" w14:textId="77777777" w:rsidR="000A08F4" w:rsidRPr="00D30847" w:rsidRDefault="000A08F4" w:rsidP="008D17A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0A08F4" w:rsidRPr="00D30847" w14:paraId="7286867A" w14:textId="77777777" w:rsidTr="00FD4DDE">
        <w:trPr>
          <w:gridBefore w:val="2"/>
          <w:gridAfter w:val="1"/>
          <w:wBefore w:w="20" w:type="dxa"/>
          <w:wAfter w:w="52" w:type="dxa"/>
          <w:trHeight w:val="853"/>
          <w:jc w:val="center"/>
        </w:trPr>
        <w:tc>
          <w:tcPr>
            <w:tcW w:w="2320" w:type="dxa"/>
            <w:gridSpan w:val="4"/>
            <w:vMerge/>
            <w:tcBorders>
              <w:top w:val="nil"/>
              <w:left w:val="nil"/>
              <w:bottom w:val="nil"/>
              <w:right w:val="single" w:sz="8" w:space="0" w:color="000000"/>
            </w:tcBorders>
            <w:vAlign w:val="center"/>
            <w:hideMark/>
          </w:tcPr>
          <w:p w14:paraId="5D182F1C" w14:textId="77777777" w:rsidR="000A08F4" w:rsidRPr="00D30847" w:rsidRDefault="000A08F4" w:rsidP="008D17AC">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03D434D2" w14:textId="538D36D7" w:rsidR="000A08F4" w:rsidRPr="00D30847" w:rsidRDefault="002371A1" w:rsidP="008D17AC">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1. </w:t>
            </w:r>
            <w:r w:rsidR="00885942" w:rsidRPr="00D30847">
              <w:rPr>
                <w:rFonts w:ascii="Arial" w:eastAsia="Times New Roman" w:hAnsi="Arial" w:cs="Arial"/>
                <w:sz w:val="12"/>
                <w:szCs w:val="12"/>
                <w:lang w:val="en-GB" w:eastAsia="mk-MK"/>
              </w:rPr>
              <w:t>Revision of the existing legal framework and detecting the need for the adoption of a new regulation for accounting of budgets and budget users</w:t>
            </w:r>
          </w:p>
        </w:tc>
        <w:tc>
          <w:tcPr>
            <w:tcW w:w="1194" w:type="dxa"/>
            <w:gridSpan w:val="2"/>
            <w:shd w:val="clear" w:color="000000" w:fill="FFFF99"/>
            <w:vAlign w:val="center"/>
            <w:hideMark/>
          </w:tcPr>
          <w:p w14:paraId="7EFB0220" w14:textId="6B7DB63C" w:rsidR="000A08F4" w:rsidRPr="00D30847" w:rsidRDefault="000A08F4" w:rsidP="008D17A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885942" w:rsidRPr="00D30847">
              <w:rPr>
                <w:rFonts w:ascii="Arial" w:eastAsia="Times New Roman" w:hAnsi="Arial" w:cs="Arial"/>
                <w:sz w:val="12"/>
                <w:szCs w:val="12"/>
                <w:lang w:val="en-GB" w:eastAsia="mk-MK"/>
              </w:rPr>
              <w:t>5</w:t>
            </w:r>
          </w:p>
        </w:tc>
        <w:tc>
          <w:tcPr>
            <w:tcW w:w="1418" w:type="dxa"/>
            <w:gridSpan w:val="3"/>
            <w:shd w:val="clear" w:color="000000" w:fill="FFFF99"/>
            <w:vAlign w:val="center"/>
            <w:hideMark/>
          </w:tcPr>
          <w:p w14:paraId="7E8D7B69" w14:textId="64281E2C" w:rsidR="000A08F4" w:rsidRPr="00D30847" w:rsidRDefault="000A08F4" w:rsidP="008D17A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r w:rsidR="00F90378" w:rsidRPr="00D30847">
              <w:rPr>
                <w:rFonts w:ascii="Arial" w:eastAsia="Times New Roman" w:hAnsi="Arial" w:cs="Arial"/>
                <w:sz w:val="12"/>
                <w:szCs w:val="12"/>
                <w:lang w:val="en-GB" w:eastAsia="mk-MK"/>
              </w:rPr>
              <w:t xml:space="preserve"> – Financial System Department</w:t>
            </w:r>
          </w:p>
        </w:tc>
        <w:tc>
          <w:tcPr>
            <w:tcW w:w="1644" w:type="dxa"/>
            <w:gridSpan w:val="3"/>
            <w:shd w:val="clear" w:color="000000" w:fill="FFFF99"/>
            <w:vAlign w:val="center"/>
            <w:hideMark/>
          </w:tcPr>
          <w:p w14:paraId="14C459AB" w14:textId="7BC8F64E" w:rsidR="000A08F4"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shd w:val="clear" w:color="000000" w:fill="FFFF99"/>
            <w:vAlign w:val="center"/>
            <w:hideMark/>
          </w:tcPr>
          <w:p w14:paraId="4BB0A599" w14:textId="35121AD9" w:rsidR="000A08F4" w:rsidRPr="00D30847" w:rsidRDefault="000A08F4" w:rsidP="008D17AC">
            <w:pPr>
              <w:spacing w:after="0" w:line="240" w:lineRule="auto"/>
              <w:jc w:val="center"/>
              <w:rPr>
                <w:rFonts w:ascii="Arial" w:eastAsia="Times New Roman" w:hAnsi="Arial" w:cs="Arial"/>
                <w:sz w:val="12"/>
                <w:szCs w:val="12"/>
                <w:lang w:val="en-GB" w:eastAsia="mk-MK"/>
              </w:rPr>
            </w:pPr>
          </w:p>
        </w:tc>
        <w:tc>
          <w:tcPr>
            <w:tcW w:w="1842" w:type="dxa"/>
            <w:gridSpan w:val="4"/>
            <w:shd w:val="clear" w:color="000000" w:fill="FFFF99"/>
            <w:vAlign w:val="center"/>
            <w:hideMark/>
          </w:tcPr>
          <w:p w14:paraId="52CDCC6D" w14:textId="129CCC1B" w:rsidR="000A08F4" w:rsidRPr="00D30847" w:rsidRDefault="000A08F4" w:rsidP="008D17AC">
            <w:pPr>
              <w:spacing w:after="0" w:line="240" w:lineRule="auto"/>
              <w:jc w:val="center"/>
              <w:rPr>
                <w:rFonts w:ascii="Arial" w:eastAsia="Times New Roman" w:hAnsi="Arial" w:cs="Arial"/>
                <w:sz w:val="12"/>
                <w:szCs w:val="12"/>
                <w:lang w:val="en-GB" w:eastAsia="mk-MK"/>
              </w:rPr>
            </w:pPr>
          </w:p>
        </w:tc>
        <w:tc>
          <w:tcPr>
            <w:tcW w:w="1506" w:type="dxa"/>
            <w:gridSpan w:val="4"/>
            <w:shd w:val="clear" w:color="000000" w:fill="FFFF99"/>
            <w:vAlign w:val="center"/>
            <w:hideMark/>
          </w:tcPr>
          <w:p w14:paraId="3C285660" w14:textId="2A77AB33" w:rsidR="000A08F4" w:rsidRPr="00D30847" w:rsidRDefault="000A08F4" w:rsidP="00407B01">
            <w:pPr>
              <w:spacing w:after="0" w:line="240" w:lineRule="auto"/>
              <w:jc w:val="center"/>
              <w:rPr>
                <w:rFonts w:ascii="Arial" w:eastAsia="Times New Roman" w:hAnsi="Arial" w:cs="Arial"/>
                <w:sz w:val="12"/>
                <w:szCs w:val="12"/>
                <w:lang w:val="en-GB" w:eastAsia="mk-MK"/>
              </w:rPr>
            </w:pPr>
          </w:p>
        </w:tc>
      </w:tr>
      <w:tr w:rsidR="000A08F4" w:rsidRPr="00D30847" w14:paraId="37E4657C" w14:textId="77777777" w:rsidTr="00FD4DDE">
        <w:trPr>
          <w:gridBefore w:val="2"/>
          <w:gridAfter w:val="1"/>
          <w:wBefore w:w="20" w:type="dxa"/>
          <w:wAfter w:w="52" w:type="dxa"/>
          <w:trHeight w:val="680"/>
          <w:jc w:val="center"/>
        </w:trPr>
        <w:tc>
          <w:tcPr>
            <w:tcW w:w="2320" w:type="dxa"/>
            <w:gridSpan w:val="4"/>
            <w:vMerge/>
            <w:tcBorders>
              <w:top w:val="nil"/>
              <w:left w:val="nil"/>
              <w:bottom w:val="nil"/>
              <w:right w:val="single" w:sz="8" w:space="0" w:color="000000"/>
            </w:tcBorders>
            <w:vAlign w:val="center"/>
            <w:hideMark/>
          </w:tcPr>
          <w:p w14:paraId="2DE1DBD9" w14:textId="77777777" w:rsidR="000A08F4" w:rsidRPr="00D30847" w:rsidRDefault="000A08F4" w:rsidP="008D17AC">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4CBBF277" w14:textId="7ED5124A" w:rsidR="000A08F4" w:rsidRPr="00D30847" w:rsidRDefault="002371A1" w:rsidP="008D17AC">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2. </w:t>
            </w:r>
            <w:r w:rsidR="000F611B" w:rsidRPr="00D30847">
              <w:rPr>
                <w:rFonts w:ascii="Arial" w:eastAsia="Times New Roman" w:hAnsi="Arial" w:cs="Arial"/>
                <w:sz w:val="12"/>
                <w:szCs w:val="12"/>
                <w:lang w:val="en-GB" w:eastAsia="mk-MK"/>
              </w:rPr>
              <w:t xml:space="preserve">Revision of the existing </w:t>
            </w:r>
            <w:r w:rsidR="00BE1CE0" w:rsidRPr="00D30847">
              <w:rPr>
                <w:rFonts w:ascii="Arial" w:eastAsia="Times New Roman" w:hAnsi="Arial" w:cs="Arial"/>
                <w:sz w:val="12"/>
                <w:szCs w:val="12"/>
                <w:lang w:val="en-GB" w:eastAsia="mk-MK"/>
              </w:rPr>
              <w:t>bylaws</w:t>
            </w:r>
            <w:r w:rsidR="000F611B" w:rsidRPr="00D30847">
              <w:rPr>
                <w:rFonts w:ascii="Arial" w:eastAsia="Times New Roman" w:hAnsi="Arial" w:cs="Arial"/>
                <w:sz w:val="12"/>
                <w:szCs w:val="12"/>
                <w:lang w:val="en-GB" w:eastAsia="mk-MK"/>
              </w:rPr>
              <w:t xml:space="preserve"> and detecting the need for the adoption of a new bylaws for accounting of budgets and budget users</w:t>
            </w:r>
          </w:p>
        </w:tc>
        <w:tc>
          <w:tcPr>
            <w:tcW w:w="1194" w:type="dxa"/>
            <w:gridSpan w:val="2"/>
            <w:shd w:val="clear" w:color="000000" w:fill="FFFF99"/>
            <w:vAlign w:val="center"/>
            <w:hideMark/>
          </w:tcPr>
          <w:p w14:paraId="6151A8E1" w14:textId="77777777" w:rsidR="000A08F4" w:rsidRPr="00D30847" w:rsidRDefault="000A08F4" w:rsidP="008D17A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DC30FD" w:rsidRPr="00D30847">
              <w:rPr>
                <w:rFonts w:ascii="Arial" w:eastAsia="Times New Roman" w:hAnsi="Arial" w:cs="Arial"/>
                <w:sz w:val="12"/>
                <w:szCs w:val="12"/>
                <w:lang w:val="en-GB" w:eastAsia="mk-MK"/>
              </w:rPr>
              <w:t>5</w:t>
            </w:r>
          </w:p>
        </w:tc>
        <w:tc>
          <w:tcPr>
            <w:tcW w:w="1418" w:type="dxa"/>
            <w:gridSpan w:val="3"/>
            <w:shd w:val="clear" w:color="000000" w:fill="FFFF99"/>
            <w:vAlign w:val="center"/>
            <w:hideMark/>
          </w:tcPr>
          <w:p w14:paraId="14C89DED" w14:textId="05E01E49" w:rsidR="000A08F4" w:rsidRPr="00D30847" w:rsidRDefault="00F90378" w:rsidP="008D17A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Financial System Department</w:t>
            </w:r>
          </w:p>
        </w:tc>
        <w:tc>
          <w:tcPr>
            <w:tcW w:w="1644" w:type="dxa"/>
            <w:gridSpan w:val="3"/>
            <w:shd w:val="clear" w:color="000000" w:fill="FFFF99"/>
            <w:vAlign w:val="center"/>
            <w:hideMark/>
          </w:tcPr>
          <w:p w14:paraId="6F5F4CEF" w14:textId="679DF968" w:rsidR="000A08F4"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shd w:val="clear" w:color="000000" w:fill="FFFF99"/>
            <w:vAlign w:val="center"/>
            <w:hideMark/>
          </w:tcPr>
          <w:p w14:paraId="361763BD" w14:textId="7E902496" w:rsidR="000A08F4" w:rsidRPr="00D30847" w:rsidRDefault="000A08F4" w:rsidP="008D17AC">
            <w:pPr>
              <w:spacing w:after="0" w:line="240" w:lineRule="auto"/>
              <w:jc w:val="center"/>
              <w:rPr>
                <w:rFonts w:ascii="Arial" w:eastAsia="Times New Roman" w:hAnsi="Arial" w:cs="Arial"/>
                <w:sz w:val="12"/>
                <w:szCs w:val="12"/>
                <w:lang w:val="en-GB" w:eastAsia="mk-MK"/>
              </w:rPr>
            </w:pPr>
          </w:p>
        </w:tc>
        <w:tc>
          <w:tcPr>
            <w:tcW w:w="1842" w:type="dxa"/>
            <w:gridSpan w:val="4"/>
            <w:shd w:val="clear" w:color="000000" w:fill="FFFF99"/>
            <w:vAlign w:val="center"/>
            <w:hideMark/>
          </w:tcPr>
          <w:p w14:paraId="3A5A0754" w14:textId="7AD89296" w:rsidR="000A08F4" w:rsidRPr="00D30847" w:rsidRDefault="000A08F4" w:rsidP="008D17AC">
            <w:pPr>
              <w:spacing w:after="0" w:line="240" w:lineRule="auto"/>
              <w:jc w:val="center"/>
              <w:rPr>
                <w:rFonts w:ascii="Arial" w:eastAsia="Times New Roman" w:hAnsi="Arial" w:cs="Arial"/>
                <w:sz w:val="12"/>
                <w:szCs w:val="12"/>
                <w:lang w:val="en-GB" w:eastAsia="mk-MK"/>
              </w:rPr>
            </w:pPr>
          </w:p>
        </w:tc>
        <w:tc>
          <w:tcPr>
            <w:tcW w:w="1506" w:type="dxa"/>
            <w:gridSpan w:val="4"/>
            <w:shd w:val="clear" w:color="000000" w:fill="FFFF99"/>
            <w:vAlign w:val="center"/>
            <w:hideMark/>
          </w:tcPr>
          <w:p w14:paraId="2AD7E7CD" w14:textId="0C04AD43" w:rsidR="000A08F4" w:rsidRPr="00D30847" w:rsidRDefault="000A08F4" w:rsidP="00407B01">
            <w:pPr>
              <w:spacing w:after="0" w:line="240" w:lineRule="auto"/>
              <w:jc w:val="center"/>
              <w:rPr>
                <w:rFonts w:ascii="Arial" w:eastAsia="Times New Roman" w:hAnsi="Arial" w:cs="Arial"/>
                <w:sz w:val="12"/>
                <w:szCs w:val="12"/>
                <w:lang w:val="en-GB" w:eastAsia="mk-MK"/>
              </w:rPr>
            </w:pPr>
          </w:p>
        </w:tc>
      </w:tr>
      <w:tr w:rsidR="000F611B" w:rsidRPr="00D30847" w14:paraId="0F649CAB" w14:textId="77777777" w:rsidTr="00FD4DDE">
        <w:trPr>
          <w:gridBefore w:val="3"/>
          <w:gridAfter w:val="1"/>
          <w:wBefore w:w="37" w:type="dxa"/>
          <w:wAfter w:w="52" w:type="dxa"/>
          <w:trHeight w:val="214"/>
          <w:jc w:val="center"/>
        </w:trPr>
        <w:tc>
          <w:tcPr>
            <w:tcW w:w="13501" w:type="dxa"/>
            <w:gridSpan w:val="28"/>
            <w:tcBorders>
              <w:top w:val="nil"/>
              <w:left w:val="nil"/>
              <w:bottom w:val="nil"/>
              <w:right w:val="nil"/>
            </w:tcBorders>
            <w:shd w:val="clear" w:color="000000" w:fill="1F3864"/>
            <w:vAlign w:val="center"/>
          </w:tcPr>
          <w:tbl>
            <w:tblPr>
              <w:tblW w:w="136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416"/>
              <w:gridCol w:w="1795"/>
              <w:gridCol w:w="1210"/>
              <w:gridCol w:w="1437"/>
              <w:gridCol w:w="1666"/>
              <w:gridCol w:w="1781"/>
              <w:gridCol w:w="1867"/>
              <w:gridCol w:w="1526"/>
            </w:tblGrid>
            <w:tr w:rsidR="000F611B" w:rsidRPr="00D30847" w14:paraId="7D6DF83C" w14:textId="77777777" w:rsidTr="00F63E96">
              <w:trPr>
                <w:trHeight w:val="261"/>
                <w:jc w:val="center"/>
              </w:trPr>
              <w:tc>
                <w:tcPr>
                  <w:tcW w:w="13698" w:type="dxa"/>
                  <w:gridSpan w:val="8"/>
                  <w:tcBorders>
                    <w:top w:val="single" w:sz="4" w:space="0" w:color="auto"/>
                    <w:left w:val="single" w:sz="4" w:space="0" w:color="auto"/>
                    <w:bottom w:val="single" w:sz="4" w:space="0" w:color="auto"/>
                    <w:right w:val="single" w:sz="4" w:space="0" w:color="auto"/>
                  </w:tcBorders>
                  <w:shd w:val="clear" w:color="auto" w:fill="9BD2ED"/>
                  <w:vAlign w:val="center"/>
                </w:tcPr>
                <w:p w14:paraId="3F6E16D0" w14:textId="02EBB841" w:rsidR="000F611B" w:rsidRPr="00D30847" w:rsidRDefault="00F63E96" w:rsidP="00637A09">
                  <w:pPr>
                    <w:spacing w:after="0" w:line="240" w:lineRule="auto"/>
                    <w:jc w:val="both"/>
                    <w:rPr>
                      <w:rFonts w:eastAsia="MS PGothic" w:cs="Calibri"/>
                      <w:sz w:val="20"/>
                      <w:szCs w:val="20"/>
                      <w:lang w:val="en-GB" w:eastAsia="zh-CN"/>
                    </w:rPr>
                  </w:pPr>
                  <w:r w:rsidRPr="00D30847">
                    <w:rPr>
                      <w:rFonts w:ascii="Arial" w:eastAsia="Times New Roman" w:hAnsi="Arial" w:cs="Arial"/>
                      <w:b/>
                      <w:bCs/>
                      <w:sz w:val="12"/>
                      <w:szCs w:val="12"/>
                      <w:lang w:val="en-GB" w:eastAsia="mk-MK"/>
                    </w:rPr>
                    <w:t xml:space="preserve"> </w:t>
                  </w:r>
                  <w:r w:rsidR="000F611B" w:rsidRPr="00D30847">
                    <w:rPr>
                      <w:rFonts w:ascii="Arial" w:eastAsia="Times New Roman" w:hAnsi="Arial" w:cs="Arial"/>
                      <w:b/>
                      <w:bCs/>
                      <w:sz w:val="12"/>
                      <w:szCs w:val="12"/>
                      <w:lang w:val="en-GB" w:eastAsia="mk-MK"/>
                    </w:rPr>
                    <w:t>Measure 2. :   Strengthening the accounting system of budgets and budget users by building of capacities of accountants employed in the public sector</w:t>
                  </w:r>
                </w:p>
              </w:tc>
            </w:tr>
            <w:tr w:rsidR="00F63E96" w:rsidRPr="00D30847" w14:paraId="47BE9036" w14:textId="77777777" w:rsidTr="00F63E96">
              <w:trPr>
                <w:trHeight w:val="546"/>
                <w:jc w:val="center"/>
              </w:trPr>
              <w:tc>
                <w:tcPr>
                  <w:tcW w:w="2416" w:type="dxa"/>
                  <w:vMerge w:val="restart"/>
                  <w:tcBorders>
                    <w:top w:val="single" w:sz="4" w:space="0" w:color="auto"/>
                    <w:left w:val="nil"/>
                    <w:bottom w:val="nil"/>
                    <w:right w:val="single" w:sz="4" w:space="0" w:color="auto"/>
                  </w:tcBorders>
                  <w:shd w:val="clear" w:color="auto" w:fill="FFFFFF" w:themeFill="background1"/>
                  <w:vAlign w:val="center"/>
                </w:tcPr>
                <w:p w14:paraId="7ED90B5B" w14:textId="77777777" w:rsidR="00F63E96" w:rsidRPr="00D30847" w:rsidRDefault="00F63E96" w:rsidP="000F611B">
                  <w:pPr>
                    <w:spacing w:after="0" w:line="240" w:lineRule="auto"/>
                    <w:jc w:val="both"/>
                    <w:rPr>
                      <w:rFonts w:ascii="Arial" w:eastAsia="Times New Roman" w:hAnsi="Arial" w:cs="Arial"/>
                      <w:b/>
                      <w:bCs/>
                      <w:sz w:val="12"/>
                      <w:szCs w:val="12"/>
                      <w:lang w:val="en-GB" w:eastAsia="mk-MK"/>
                    </w:rPr>
                  </w:pPr>
                </w:p>
              </w:tc>
              <w:tc>
                <w:tcPr>
                  <w:tcW w:w="1795" w:type="dxa"/>
                  <w:tcBorders>
                    <w:top w:val="single" w:sz="4" w:space="0" w:color="auto"/>
                    <w:left w:val="single" w:sz="4" w:space="0" w:color="auto"/>
                    <w:bottom w:val="single" w:sz="4" w:space="0" w:color="auto"/>
                    <w:right w:val="single" w:sz="4" w:space="0" w:color="auto"/>
                  </w:tcBorders>
                  <w:shd w:val="clear" w:color="000000" w:fill="FFFF99"/>
                  <w:vAlign w:val="center"/>
                </w:tcPr>
                <w:p w14:paraId="6795A21C" w14:textId="77777777" w:rsidR="00F63E96" w:rsidRPr="00D30847" w:rsidRDefault="00F63E96" w:rsidP="000F611B">
                  <w:pPr>
                    <w:spacing w:after="0" w:line="240" w:lineRule="auto"/>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Performance Indicator</w:t>
                  </w:r>
                </w:p>
              </w:tc>
              <w:tc>
                <w:tcPr>
                  <w:tcW w:w="1210" w:type="dxa"/>
                  <w:tcBorders>
                    <w:top w:val="single" w:sz="4" w:space="0" w:color="auto"/>
                    <w:left w:val="single" w:sz="4" w:space="0" w:color="auto"/>
                    <w:bottom w:val="single" w:sz="4" w:space="0" w:color="auto"/>
                    <w:right w:val="single" w:sz="4" w:space="0" w:color="auto"/>
                  </w:tcBorders>
                  <w:shd w:val="clear" w:color="000000" w:fill="FFFF99"/>
                  <w:vAlign w:val="center"/>
                </w:tcPr>
                <w:p w14:paraId="7278F658"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Data Source</w:t>
                  </w:r>
                </w:p>
              </w:tc>
              <w:tc>
                <w:tcPr>
                  <w:tcW w:w="1437" w:type="dxa"/>
                  <w:tcBorders>
                    <w:top w:val="single" w:sz="4" w:space="0" w:color="auto"/>
                    <w:left w:val="single" w:sz="4" w:space="0" w:color="auto"/>
                    <w:bottom w:val="single" w:sz="4" w:space="0" w:color="auto"/>
                    <w:right w:val="single" w:sz="4" w:space="0" w:color="auto"/>
                  </w:tcBorders>
                  <w:shd w:val="clear" w:color="000000" w:fill="FFFF99"/>
                  <w:vAlign w:val="center"/>
                </w:tcPr>
                <w:p w14:paraId="258F7692"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Baseline FY23</w:t>
                  </w:r>
                </w:p>
              </w:tc>
              <w:tc>
                <w:tcPr>
                  <w:tcW w:w="1666" w:type="dxa"/>
                  <w:tcBorders>
                    <w:top w:val="single" w:sz="4" w:space="0" w:color="auto"/>
                    <w:left w:val="single" w:sz="4" w:space="0" w:color="auto"/>
                    <w:bottom w:val="single" w:sz="4" w:space="0" w:color="auto"/>
                    <w:right w:val="single" w:sz="4" w:space="0" w:color="auto"/>
                  </w:tcBorders>
                  <w:shd w:val="clear" w:color="000000" w:fill="FFFF99"/>
                  <w:vAlign w:val="center"/>
                </w:tcPr>
                <w:p w14:paraId="0BC48866"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Target FY25</w:t>
                  </w:r>
                </w:p>
              </w:tc>
              <w:tc>
                <w:tcPr>
                  <w:tcW w:w="1781" w:type="dxa"/>
                  <w:tcBorders>
                    <w:top w:val="single" w:sz="4" w:space="0" w:color="auto"/>
                    <w:left w:val="single" w:sz="4" w:space="0" w:color="auto"/>
                    <w:bottom w:val="single" w:sz="4" w:space="0" w:color="auto"/>
                    <w:right w:val="single" w:sz="4" w:space="0" w:color="auto"/>
                  </w:tcBorders>
                  <w:shd w:val="clear" w:color="000000" w:fill="FFFF99"/>
                  <w:vAlign w:val="center"/>
                </w:tcPr>
                <w:p w14:paraId="0DB15DDD"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Target FY26</w:t>
                  </w:r>
                </w:p>
              </w:tc>
              <w:tc>
                <w:tcPr>
                  <w:tcW w:w="1867" w:type="dxa"/>
                  <w:tcBorders>
                    <w:top w:val="single" w:sz="4" w:space="0" w:color="auto"/>
                    <w:left w:val="single" w:sz="4" w:space="0" w:color="auto"/>
                    <w:bottom w:val="single" w:sz="4" w:space="0" w:color="auto"/>
                    <w:right w:val="single" w:sz="4" w:space="0" w:color="auto"/>
                  </w:tcBorders>
                  <w:shd w:val="clear" w:color="000000" w:fill="FFFF99"/>
                  <w:vAlign w:val="center"/>
                </w:tcPr>
                <w:p w14:paraId="686AB296"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Target FY27</w:t>
                  </w:r>
                </w:p>
              </w:tc>
              <w:tc>
                <w:tcPr>
                  <w:tcW w:w="1526" w:type="dxa"/>
                  <w:tcBorders>
                    <w:top w:val="single" w:sz="4" w:space="0" w:color="auto"/>
                    <w:left w:val="single" w:sz="4" w:space="0" w:color="auto"/>
                    <w:bottom w:val="single" w:sz="4" w:space="0" w:color="auto"/>
                    <w:right w:val="single" w:sz="4" w:space="0" w:color="auto"/>
                  </w:tcBorders>
                  <w:shd w:val="clear" w:color="000000" w:fill="FFFF99"/>
                  <w:vAlign w:val="center"/>
                </w:tcPr>
                <w:p w14:paraId="60521362"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Target FY28</w:t>
                  </w:r>
                </w:p>
              </w:tc>
            </w:tr>
            <w:tr w:rsidR="00F63E96" w:rsidRPr="00D30847" w14:paraId="5E321A4E" w14:textId="77777777" w:rsidTr="00F63E96">
              <w:trPr>
                <w:trHeight w:val="1393"/>
                <w:jc w:val="center"/>
              </w:trPr>
              <w:tc>
                <w:tcPr>
                  <w:tcW w:w="2416" w:type="dxa"/>
                  <w:vMerge/>
                  <w:tcBorders>
                    <w:top w:val="nil"/>
                    <w:left w:val="nil"/>
                    <w:bottom w:val="nil"/>
                    <w:right w:val="single" w:sz="4" w:space="0" w:color="auto"/>
                  </w:tcBorders>
                  <w:shd w:val="clear" w:color="auto" w:fill="FFFFFF" w:themeFill="background1"/>
                  <w:vAlign w:val="center"/>
                </w:tcPr>
                <w:p w14:paraId="74AF39E3" w14:textId="77777777" w:rsidR="00F63E96" w:rsidRPr="00D30847" w:rsidRDefault="00F63E96" w:rsidP="000F611B">
                  <w:pPr>
                    <w:spacing w:after="0" w:line="240" w:lineRule="auto"/>
                    <w:jc w:val="both"/>
                    <w:rPr>
                      <w:rFonts w:ascii="Arial" w:eastAsia="Times New Roman" w:hAnsi="Arial" w:cs="Arial"/>
                      <w:b/>
                      <w:bCs/>
                      <w:sz w:val="12"/>
                      <w:szCs w:val="12"/>
                      <w:lang w:val="en-GB" w:eastAsia="mk-MK"/>
                    </w:rPr>
                  </w:pPr>
                </w:p>
              </w:tc>
              <w:tc>
                <w:tcPr>
                  <w:tcW w:w="1795" w:type="dxa"/>
                  <w:tcBorders>
                    <w:top w:val="single" w:sz="4" w:space="0" w:color="auto"/>
                    <w:left w:val="single" w:sz="4" w:space="0" w:color="auto"/>
                    <w:bottom w:val="single" w:sz="4" w:space="0" w:color="auto"/>
                    <w:right w:val="single" w:sz="4" w:space="0" w:color="auto"/>
                  </w:tcBorders>
                  <w:shd w:val="clear" w:color="000000" w:fill="FFFF99"/>
                  <w:vAlign w:val="center"/>
                </w:tcPr>
                <w:p w14:paraId="014CA43E" w14:textId="77777777" w:rsidR="00F63E96" w:rsidRPr="00D30847" w:rsidRDefault="00F63E96" w:rsidP="000F611B">
                  <w:pP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Percentage of accountants employed in the public sector who will </w:t>
                  </w:r>
                  <w:proofErr w:type="spellStart"/>
                  <w:r w:rsidRPr="00D30847">
                    <w:rPr>
                      <w:rFonts w:ascii="Arial" w:eastAsia="Times New Roman" w:hAnsi="Arial" w:cs="Arial"/>
                      <w:sz w:val="12"/>
                      <w:szCs w:val="12"/>
                      <w:lang w:val="en-GB" w:eastAsia="mk-MK"/>
                    </w:rPr>
                    <w:t>attent</w:t>
                  </w:r>
                  <w:proofErr w:type="spellEnd"/>
                  <w:r w:rsidRPr="00D30847">
                    <w:rPr>
                      <w:rFonts w:ascii="Arial" w:eastAsia="Times New Roman" w:hAnsi="Arial" w:cs="Arial"/>
                      <w:sz w:val="12"/>
                      <w:szCs w:val="12"/>
                      <w:lang w:val="en-GB" w:eastAsia="mk-MK"/>
                    </w:rPr>
                    <w:t xml:space="preserve"> appropriate training for legal framework of ​​accounting of budgets and budget users in order to ensure better financial reporting</w:t>
                  </w:r>
                </w:p>
                <w:p w14:paraId="74458BDA" w14:textId="77777777" w:rsidR="00F63E96" w:rsidRPr="00D30847" w:rsidRDefault="00F63E96" w:rsidP="000F611B">
                  <w:pPr>
                    <w:spacing w:after="0" w:line="240" w:lineRule="auto"/>
                    <w:rPr>
                      <w:rFonts w:ascii="Arial" w:eastAsia="Times New Roman" w:hAnsi="Arial" w:cs="Arial"/>
                      <w:sz w:val="12"/>
                      <w:szCs w:val="12"/>
                      <w:lang w:val="en-GB" w:eastAsia="mk-MK"/>
                    </w:rPr>
                  </w:pPr>
                </w:p>
              </w:tc>
              <w:tc>
                <w:tcPr>
                  <w:tcW w:w="1210" w:type="dxa"/>
                  <w:tcBorders>
                    <w:top w:val="single" w:sz="4" w:space="0" w:color="auto"/>
                    <w:left w:val="single" w:sz="4" w:space="0" w:color="auto"/>
                    <w:bottom w:val="single" w:sz="4" w:space="0" w:color="auto"/>
                    <w:right w:val="single" w:sz="4" w:space="0" w:color="auto"/>
                  </w:tcBorders>
                  <w:shd w:val="clear" w:color="000000" w:fill="FFFF99"/>
                  <w:vAlign w:val="center"/>
                </w:tcPr>
                <w:p w14:paraId="2B132648"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p>
              </w:tc>
              <w:tc>
                <w:tcPr>
                  <w:tcW w:w="1437" w:type="dxa"/>
                  <w:tcBorders>
                    <w:top w:val="single" w:sz="4" w:space="0" w:color="auto"/>
                    <w:left w:val="single" w:sz="4" w:space="0" w:color="auto"/>
                    <w:bottom w:val="single" w:sz="4" w:space="0" w:color="auto"/>
                    <w:right w:val="single" w:sz="4" w:space="0" w:color="auto"/>
                  </w:tcBorders>
                  <w:shd w:val="clear" w:color="000000" w:fill="FFFF99"/>
                  <w:vAlign w:val="center"/>
                </w:tcPr>
                <w:p w14:paraId="18B04F62"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p>
              </w:tc>
              <w:tc>
                <w:tcPr>
                  <w:tcW w:w="1666" w:type="dxa"/>
                  <w:tcBorders>
                    <w:top w:val="single" w:sz="4" w:space="0" w:color="auto"/>
                    <w:left w:val="single" w:sz="4" w:space="0" w:color="auto"/>
                    <w:bottom w:val="single" w:sz="4" w:space="0" w:color="auto"/>
                    <w:right w:val="single" w:sz="4" w:space="0" w:color="auto"/>
                  </w:tcBorders>
                  <w:shd w:val="clear" w:color="000000" w:fill="FFFF99"/>
                </w:tcPr>
                <w:p w14:paraId="3EE2110F" w14:textId="55C01FFE" w:rsidR="00F63E96" w:rsidRPr="00D30847" w:rsidRDefault="00F63E96" w:rsidP="000F611B">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10% of accountants employed in the public sector who will </w:t>
                  </w:r>
                  <w:r w:rsidR="002F500A" w:rsidRPr="00D30847">
                    <w:rPr>
                      <w:rFonts w:ascii="Arial" w:eastAsia="Times New Roman" w:hAnsi="Arial" w:cs="Arial"/>
                      <w:sz w:val="12"/>
                      <w:szCs w:val="12"/>
                      <w:lang w:val="en-GB" w:eastAsia="mk-MK"/>
                    </w:rPr>
                    <w:t>attend</w:t>
                  </w:r>
                  <w:r w:rsidRPr="00D30847">
                    <w:rPr>
                      <w:rFonts w:ascii="Arial" w:eastAsia="Times New Roman" w:hAnsi="Arial" w:cs="Arial"/>
                      <w:sz w:val="12"/>
                      <w:szCs w:val="12"/>
                      <w:lang w:val="en-GB" w:eastAsia="mk-MK"/>
                    </w:rPr>
                    <w:t xml:space="preserve"> appropriate training for legal framework of ​​accounting of budgets and budget users</w:t>
                  </w:r>
                </w:p>
              </w:tc>
              <w:tc>
                <w:tcPr>
                  <w:tcW w:w="1781" w:type="dxa"/>
                  <w:tcBorders>
                    <w:top w:val="single" w:sz="4" w:space="0" w:color="auto"/>
                    <w:left w:val="single" w:sz="4" w:space="0" w:color="auto"/>
                    <w:bottom w:val="single" w:sz="4" w:space="0" w:color="auto"/>
                    <w:right w:val="single" w:sz="4" w:space="0" w:color="auto"/>
                  </w:tcBorders>
                  <w:shd w:val="clear" w:color="000000" w:fill="FFFF99"/>
                </w:tcPr>
                <w:p w14:paraId="01B5379B" w14:textId="2D69841B" w:rsidR="00F63E96" w:rsidRPr="00D30847" w:rsidRDefault="00F63E96" w:rsidP="000F611B">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30% of accountants employed in the public sector who will </w:t>
                  </w:r>
                  <w:r w:rsidR="002F500A" w:rsidRPr="00D30847">
                    <w:rPr>
                      <w:rFonts w:ascii="Arial" w:eastAsia="Times New Roman" w:hAnsi="Arial" w:cs="Arial"/>
                      <w:sz w:val="12"/>
                      <w:szCs w:val="12"/>
                      <w:lang w:val="en-GB" w:eastAsia="mk-MK"/>
                    </w:rPr>
                    <w:t>attend</w:t>
                  </w:r>
                  <w:r w:rsidRPr="00D30847">
                    <w:rPr>
                      <w:rFonts w:ascii="Arial" w:eastAsia="Times New Roman" w:hAnsi="Arial" w:cs="Arial"/>
                      <w:sz w:val="12"/>
                      <w:szCs w:val="12"/>
                      <w:lang w:val="en-GB" w:eastAsia="mk-MK"/>
                    </w:rPr>
                    <w:t xml:space="preserve"> appropriate training for legal framework of ​​accounting of budgets and budget users</w:t>
                  </w:r>
                </w:p>
              </w:tc>
              <w:tc>
                <w:tcPr>
                  <w:tcW w:w="1867" w:type="dxa"/>
                  <w:tcBorders>
                    <w:top w:val="single" w:sz="4" w:space="0" w:color="auto"/>
                    <w:left w:val="single" w:sz="4" w:space="0" w:color="auto"/>
                    <w:bottom w:val="single" w:sz="4" w:space="0" w:color="auto"/>
                    <w:right w:val="single" w:sz="4" w:space="0" w:color="auto"/>
                  </w:tcBorders>
                  <w:shd w:val="clear" w:color="000000" w:fill="FFFF99"/>
                </w:tcPr>
                <w:p w14:paraId="2022EFE8" w14:textId="030BEF40" w:rsidR="00F63E96" w:rsidRPr="00D30847" w:rsidRDefault="00F63E96" w:rsidP="000F611B">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50% of accountants employed in the public sector who will </w:t>
                  </w:r>
                  <w:r w:rsidR="002F500A" w:rsidRPr="00D30847">
                    <w:rPr>
                      <w:rFonts w:ascii="Arial" w:eastAsia="Times New Roman" w:hAnsi="Arial" w:cs="Arial"/>
                      <w:sz w:val="12"/>
                      <w:szCs w:val="12"/>
                      <w:lang w:val="en-GB" w:eastAsia="mk-MK"/>
                    </w:rPr>
                    <w:t>attend</w:t>
                  </w:r>
                  <w:r w:rsidRPr="00D30847">
                    <w:rPr>
                      <w:rFonts w:ascii="Arial" w:eastAsia="Times New Roman" w:hAnsi="Arial" w:cs="Arial"/>
                      <w:sz w:val="12"/>
                      <w:szCs w:val="12"/>
                      <w:lang w:val="en-GB" w:eastAsia="mk-MK"/>
                    </w:rPr>
                    <w:t xml:space="preserve"> appropriate training for legal framework of ​​accounting of budgets and budget users</w:t>
                  </w:r>
                </w:p>
              </w:tc>
              <w:tc>
                <w:tcPr>
                  <w:tcW w:w="1526" w:type="dxa"/>
                  <w:tcBorders>
                    <w:top w:val="single" w:sz="4" w:space="0" w:color="auto"/>
                    <w:left w:val="single" w:sz="4" w:space="0" w:color="auto"/>
                    <w:bottom w:val="single" w:sz="4" w:space="0" w:color="auto"/>
                    <w:right w:val="single" w:sz="4" w:space="0" w:color="auto"/>
                  </w:tcBorders>
                  <w:shd w:val="clear" w:color="000000" w:fill="FFFF99"/>
                </w:tcPr>
                <w:p w14:paraId="775A4C68" w14:textId="49499E6C" w:rsidR="00F63E96" w:rsidRPr="00D30847" w:rsidRDefault="00F63E96" w:rsidP="000F611B">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100 % of accountants employed in the public sector who will </w:t>
                  </w:r>
                  <w:r w:rsidR="002F500A" w:rsidRPr="00D30847">
                    <w:rPr>
                      <w:rFonts w:ascii="Arial" w:eastAsia="Times New Roman" w:hAnsi="Arial" w:cs="Arial"/>
                      <w:sz w:val="12"/>
                      <w:szCs w:val="12"/>
                      <w:lang w:val="en-GB" w:eastAsia="mk-MK"/>
                    </w:rPr>
                    <w:t>attend</w:t>
                  </w:r>
                  <w:r w:rsidRPr="00D30847">
                    <w:rPr>
                      <w:rFonts w:ascii="Arial" w:eastAsia="Times New Roman" w:hAnsi="Arial" w:cs="Arial"/>
                      <w:sz w:val="12"/>
                      <w:szCs w:val="12"/>
                      <w:lang w:val="en-GB" w:eastAsia="mk-MK"/>
                    </w:rPr>
                    <w:t xml:space="preserve"> appropriate training for legal framework of ​​accounting of budgets and budget users</w:t>
                  </w:r>
                </w:p>
              </w:tc>
            </w:tr>
            <w:tr w:rsidR="00F63E96" w:rsidRPr="00D30847" w14:paraId="56951F32" w14:textId="77777777" w:rsidTr="00F63E96">
              <w:trPr>
                <w:trHeight w:val="304"/>
                <w:jc w:val="center"/>
              </w:trPr>
              <w:tc>
                <w:tcPr>
                  <w:tcW w:w="2416" w:type="dxa"/>
                  <w:vMerge/>
                  <w:tcBorders>
                    <w:top w:val="nil"/>
                    <w:left w:val="nil"/>
                    <w:bottom w:val="nil"/>
                    <w:right w:val="single" w:sz="4" w:space="0" w:color="auto"/>
                  </w:tcBorders>
                  <w:shd w:val="clear" w:color="auto" w:fill="FFFFFF" w:themeFill="background1"/>
                  <w:vAlign w:val="center"/>
                </w:tcPr>
                <w:p w14:paraId="43280B29" w14:textId="77777777" w:rsidR="00F63E96" w:rsidRPr="00D30847" w:rsidRDefault="00F63E96" w:rsidP="000F611B">
                  <w:pPr>
                    <w:spacing w:after="0" w:line="240" w:lineRule="auto"/>
                    <w:jc w:val="both"/>
                    <w:rPr>
                      <w:rFonts w:ascii="Arial" w:eastAsia="Times New Roman" w:hAnsi="Arial" w:cs="Arial"/>
                      <w:b/>
                      <w:bCs/>
                      <w:sz w:val="12"/>
                      <w:szCs w:val="12"/>
                      <w:lang w:val="en-GB" w:eastAsia="mk-MK"/>
                    </w:rPr>
                  </w:pPr>
                </w:p>
              </w:tc>
              <w:tc>
                <w:tcPr>
                  <w:tcW w:w="1795" w:type="dxa"/>
                  <w:tcBorders>
                    <w:top w:val="single" w:sz="4" w:space="0" w:color="auto"/>
                    <w:left w:val="single" w:sz="4" w:space="0" w:color="auto"/>
                    <w:bottom w:val="single" w:sz="4" w:space="0" w:color="auto"/>
                    <w:right w:val="single" w:sz="4" w:space="0" w:color="auto"/>
                  </w:tcBorders>
                  <w:shd w:val="clear" w:color="auto" w:fill="9BD2ED"/>
                  <w:vAlign w:val="center"/>
                </w:tcPr>
                <w:p w14:paraId="72410227" w14:textId="77777777" w:rsidR="00F63E96" w:rsidRPr="00D30847" w:rsidRDefault="00F63E96" w:rsidP="001368D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Activities</w:t>
                  </w:r>
                </w:p>
              </w:tc>
              <w:tc>
                <w:tcPr>
                  <w:tcW w:w="1210" w:type="dxa"/>
                  <w:tcBorders>
                    <w:top w:val="single" w:sz="4" w:space="0" w:color="auto"/>
                    <w:left w:val="single" w:sz="4" w:space="0" w:color="auto"/>
                    <w:bottom w:val="single" w:sz="4" w:space="0" w:color="auto"/>
                    <w:right w:val="single" w:sz="4" w:space="0" w:color="auto"/>
                  </w:tcBorders>
                  <w:shd w:val="clear" w:color="auto" w:fill="9BD2ED"/>
                  <w:vAlign w:val="center"/>
                </w:tcPr>
                <w:p w14:paraId="42FC7F57" w14:textId="77777777" w:rsidR="00F63E96" w:rsidRPr="00D30847" w:rsidRDefault="00F63E96" w:rsidP="001368D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Implementation period</w:t>
                  </w:r>
                </w:p>
              </w:tc>
              <w:tc>
                <w:tcPr>
                  <w:tcW w:w="1437" w:type="dxa"/>
                  <w:tcBorders>
                    <w:top w:val="single" w:sz="4" w:space="0" w:color="auto"/>
                    <w:left w:val="single" w:sz="4" w:space="0" w:color="auto"/>
                    <w:bottom w:val="single" w:sz="4" w:space="0" w:color="auto"/>
                    <w:right w:val="single" w:sz="4" w:space="0" w:color="auto"/>
                  </w:tcBorders>
                  <w:shd w:val="clear" w:color="auto" w:fill="9BD2ED"/>
                  <w:vAlign w:val="center"/>
                </w:tcPr>
                <w:p w14:paraId="6BADF91B" w14:textId="77777777" w:rsidR="00F63E96" w:rsidRPr="00D30847" w:rsidRDefault="00F63E96" w:rsidP="001368D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Responsible institution</w:t>
                  </w:r>
                </w:p>
              </w:tc>
              <w:tc>
                <w:tcPr>
                  <w:tcW w:w="1666" w:type="dxa"/>
                  <w:tcBorders>
                    <w:top w:val="single" w:sz="4" w:space="0" w:color="auto"/>
                    <w:left w:val="single" w:sz="4" w:space="0" w:color="auto"/>
                    <w:bottom w:val="single" w:sz="4" w:space="0" w:color="auto"/>
                    <w:right w:val="single" w:sz="4" w:space="0" w:color="auto"/>
                  </w:tcBorders>
                  <w:shd w:val="clear" w:color="auto" w:fill="9BD2ED"/>
                  <w:vAlign w:val="center"/>
                </w:tcPr>
                <w:p w14:paraId="0C3A6C1C" w14:textId="77777777" w:rsidR="00F63E96" w:rsidRPr="00D30847" w:rsidRDefault="00F63E96" w:rsidP="001368D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Other partners</w:t>
                  </w:r>
                </w:p>
              </w:tc>
              <w:tc>
                <w:tcPr>
                  <w:tcW w:w="1781" w:type="dxa"/>
                  <w:tcBorders>
                    <w:top w:val="single" w:sz="4" w:space="0" w:color="auto"/>
                    <w:left w:val="single" w:sz="4" w:space="0" w:color="auto"/>
                    <w:bottom w:val="single" w:sz="4" w:space="0" w:color="auto"/>
                    <w:right w:val="single" w:sz="4" w:space="0" w:color="auto"/>
                  </w:tcBorders>
                  <w:shd w:val="clear" w:color="auto" w:fill="9BD2ED"/>
                  <w:vAlign w:val="center"/>
                </w:tcPr>
                <w:p w14:paraId="385225D8" w14:textId="77777777" w:rsidR="00F63E96" w:rsidRPr="00D30847" w:rsidRDefault="00F63E96" w:rsidP="001368D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Costs</w:t>
                  </w:r>
                </w:p>
              </w:tc>
              <w:tc>
                <w:tcPr>
                  <w:tcW w:w="1867" w:type="dxa"/>
                  <w:tcBorders>
                    <w:top w:val="single" w:sz="4" w:space="0" w:color="auto"/>
                    <w:left w:val="single" w:sz="4" w:space="0" w:color="auto"/>
                    <w:bottom w:val="single" w:sz="4" w:space="0" w:color="auto"/>
                    <w:right w:val="single" w:sz="4" w:space="0" w:color="auto"/>
                  </w:tcBorders>
                  <w:shd w:val="clear" w:color="auto" w:fill="9BD2ED"/>
                  <w:vAlign w:val="center"/>
                </w:tcPr>
                <w:p w14:paraId="4282A7BC" w14:textId="77777777" w:rsidR="00F63E96" w:rsidRPr="00D30847" w:rsidRDefault="00F63E96" w:rsidP="001368D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Source of financing</w:t>
                  </w:r>
                </w:p>
              </w:tc>
              <w:tc>
                <w:tcPr>
                  <w:tcW w:w="1526" w:type="dxa"/>
                  <w:tcBorders>
                    <w:top w:val="single" w:sz="4" w:space="0" w:color="auto"/>
                    <w:left w:val="single" w:sz="4" w:space="0" w:color="auto"/>
                    <w:bottom w:val="single" w:sz="4" w:space="0" w:color="auto"/>
                    <w:right w:val="single" w:sz="4" w:space="0" w:color="auto"/>
                  </w:tcBorders>
                  <w:shd w:val="clear" w:color="auto" w:fill="9BD2ED"/>
                  <w:vAlign w:val="center"/>
                </w:tcPr>
                <w:p w14:paraId="2969B017" w14:textId="77777777" w:rsidR="00F63E96" w:rsidRPr="00D30847" w:rsidRDefault="00F63E96" w:rsidP="001368D6">
                  <w:pPr>
                    <w:spacing w:after="0" w:line="240" w:lineRule="auto"/>
                    <w:jc w:val="center"/>
                    <w:rPr>
                      <w:rFonts w:ascii="Arial" w:eastAsia="Times New Roman" w:hAnsi="Arial" w:cs="Arial"/>
                      <w:b/>
                      <w:bCs/>
                      <w:sz w:val="12"/>
                      <w:szCs w:val="12"/>
                      <w:lang w:val="en-GB" w:eastAsia="mk-MK"/>
                    </w:rPr>
                  </w:pPr>
                </w:p>
              </w:tc>
            </w:tr>
            <w:tr w:rsidR="00F63E96" w:rsidRPr="00D30847" w14:paraId="29DEBF00" w14:textId="77777777" w:rsidTr="00F63E96">
              <w:trPr>
                <w:trHeight w:val="546"/>
                <w:jc w:val="center"/>
              </w:trPr>
              <w:tc>
                <w:tcPr>
                  <w:tcW w:w="2416" w:type="dxa"/>
                  <w:vMerge/>
                  <w:tcBorders>
                    <w:top w:val="nil"/>
                    <w:left w:val="nil"/>
                    <w:bottom w:val="nil"/>
                    <w:right w:val="single" w:sz="4" w:space="0" w:color="auto"/>
                  </w:tcBorders>
                  <w:shd w:val="clear" w:color="auto" w:fill="FFFFFF" w:themeFill="background1"/>
                  <w:vAlign w:val="center"/>
                </w:tcPr>
                <w:p w14:paraId="31DAADE3" w14:textId="77777777" w:rsidR="00F63E96" w:rsidRPr="00D30847" w:rsidRDefault="00F63E96" w:rsidP="000F611B">
                  <w:pPr>
                    <w:spacing w:after="0" w:line="240" w:lineRule="auto"/>
                    <w:jc w:val="both"/>
                    <w:rPr>
                      <w:rFonts w:ascii="Arial" w:eastAsia="Times New Roman" w:hAnsi="Arial" w:cs="Arial"/>
                      <w:b/>
                      <w:bCs/>
                      <w:sz w:val="12"/>
                      <w:szCs w:val="12"/>
                      <w:lang w:val="en-GB" w:eastAsia="mk-MK"/>
                    </w:rPr>
                  </w:pPr>
                </w:p>
              </w:tc>
              <w:tc>
                <w:tcPr>
                  <w:tcW w:w="1795" w:type="dxa"/>
                  <w:tcBorders>
                    <w:top w:val="single" w:sz="4" w:space="0" w:color="auto"/>
                    <w:left w:val="single" w:sz="4" w:space="0" w:color="auto"/>
                    <w:bottom w:val="single" w:sz="4" w:space="0" w:color="auto"/>
                    <w:right w:val="single" w:sz="4" w:space="0" w:color="auto"/>
                  </w:tcBorders>
                  <w:shd w:val="clear" w:color="000000" w:fill="FFFF99"/>
                  <w:vAlign w:val="center"/>
                </w:tcPr>
                <w:p w14:paraId="2D4DA672" w14:textId="67315B23" w:rsidR="00F63E96" w:rsidRPr="00D30847" w:rsidRDefault="00F63E96" w:rsidP="000F611B">
                  <w:pPr>
                    <w:tabs>
                      <w:tab w:val="left" w:pos="175"/>
                    </w:tabs>
                    <w:spacing w:after="0" w:line="252"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1.Training for accountants employed in the public sector for to the legal framework for accounting of budgets and budget users</w:t>
                  </w:r>
                </w:p>
                <w:p w14:paraId="16F73A1C" w14:textId="77777777" w:rsidR="00F63E96" w:rsidRPr="00D30847" w:rsidRDefault="00F63E96" w:rsidP="000F611B">
                  <w:pPr>
                    <w:spacing w:after="0" w:line="240" w:lineRule="auto"/>
                    <w:rPr>
                      <w:rFonts w:ascii="Arial" w:eastAsia="Times New Roman" w:hAnsi="Arial" w:cs="Arial"/>
                      <w:sz w:val="12"/>
                      <w:szCs w:val="12"/>
                      <w:lang w:val="en-GB" w:eastAsia="mk-MK"/>
                    </w:rPr>
                  </w:pPr>
                </w:p>
              </w:tc>
              <w:tc>
                <w:tcPr>
                  <w:tcW w:w="1210" w:type="dxa"/>
                  <w:tcBorders>
                    <w:top w:val="single" w:sz="4" w:space="0" w:color="auto"/>
                    <w:left w:val="single" w:sz="4" w:space="0" w:color="auto"/>
                    <w:bottom w:val="single" w:sz="4" w:space="0" w:color="auto"/>
                    <w:right w:val="single" w:sz="4" w:space="0" w:color="auto"/>
                  </w:tcBorders>
                  <w:shd w:val="clear" w:color="000000" w:fill="FFFF99"/>
                </w:tcPr>
                <w:p w14:paraId="257CFDB8"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June 2025</w:t>
                  </w:r>
                </w:p>
                <w:p w14:paraId="471E4280"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December 2028</w:t>
                  </w:r>
                </w:p>
              </w:tc>
              <w:tc>
                <w:tcPr>
                  <w:tcW w:w="1437" w:type="dxa"/>
                  <w:tcBorders>
                    <w:top w:val="single" w:sz="4" w:space="0" w:color="auto"/>
                    <w:left w:val="single" w:sz="4" w:space="0" w:color="auto"/>
                    <w:bottom w:val="single" w:sz="4" w:space="0" w:color="auto"/>
                    <w:right w:val="single" w:sz="4" w:space="0" w:color="auto"/>
                  </w:tcBorders>
                  <w:shd w:val="clear" w:color="000000" w:fill="FFFF99"/>
                </w:tcPr>
                <w:p w14:paraId="6EEA0D5A"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p>
              </w:tc>
              <w:tc>
                <w:tcPr>
                  <w:tcW w:w="1666" w:type="dxa"/>
                  <w:tcBorders>
                    <w:top w:val="single" w:sz="4" w:space="0" w:color="auto"/>
                    <w:left w:val="single" w:sz="4" w:space="0" w:color="auto"/>
                    <w:bottom w:val="single" w:sz="4" w:space="0" w:color="auto"/>
                    <w:right w:val="single" w:sz="4" w:space="0" w:color="auto"/>
                  </w:tcBorders>
                  <w:shd w:val="clear" w:color="000000" w:fill="FFFF99"/>
                  <w:vAlign w:val="center"/>
                </w:tcPr>
                <w:p w14:paraId="240F2245"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p>
              </w:tc>
              <w:tc>
                <w:tcPr>
                  <w:tcW w:w="1781" w:type="dxa"/>
                  <w:tcBorders>
                    <w:top w:val="single" w:sz="4" w:space="0" w:color="auto"/>
                    <w:left w:val="single" w:sz="4" w:space="0" w:color="auto"/>
                    <w:bottom w:val="single" w:sz="4" w:space="0" w:color="auto"/>
                    <w:right w:val="single" w:sz="4" w:space="0" w:color="auto"/>
                  </w:tcBorders>
                  <w:shd w:val="clear" w:color="000000" w:fill="FFFF99"/>
                  <w:vAlign w:val="center"/>
                </w:tcPr>
                <w:p w14:paraId="73A26C2F"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p>
              </w:tc>
              <w:tc>
                <w:tcPr>
                  <w:tcW w:w="1867" w:type="dxa"/>
                  <w:tcBorders>
                    <w:top w:val="single" w:sz="4" w:space="0" w:color="auto"/>
                    <w:left w:val="single" w:sz="4" w:space="0" w:color="auto"/>
                    <w:bottom w:val="single" w:sz="4" w:space="0" w:color="auto"/>
                    <w:right w:val="single" w:sz="4" w:space="0" w:color="auto"/>
                  </w:tcBorders>
                  <w:shd w:val="clear" w:color="000000" w:fill="FFFF99"/>
                  <w:vAlign w:val="center"/>
                </w:tcPr>
                <w:p w14:paraId="391D2CFA"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p>
              </w:tc>
              <w:tc>
                <w:tcPr>
                  <w:tcW w:w="1526" w:type="dxa"/>
                  <w:tcBorders>
                    <w:top w:val="single" w:sz="4" w:space="0" w:color="auto"/>
                    <w:left w:val="single" w:sz="4" w:space="0" w:color="auto"/>
                    <w:bottom w:val="single" w:sz="4" w:space="0" w:color="auto"/>
                    <w:right w:val="single" w:sz="4" w:space="0" w:color="auto"/>
                  </w:tcBorders>
                  <w:shd w:val="clear" w:color="000000" w:fill="FFFF99"/>
                  <w:vAlign w:val="center"/>
                </w:tcPr>
                <w:p w14:paraId="2F534DDC"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p>
              </w:tc>
            </w:tr>
            <w:tr w:rsidR="00F63E96" w:rsidRPr="00D30847" w14:paraId="58EEABE7" w14:textId="77777777" w:rsidTr="00F63E96">
              <w:trPr>
                <w:trHeight w:val="546"/>
                <w:jc w:val="center"/>
              </w:trPr>
              <w:tc>
                <w:tcPr>
                  <w:tcW w:w="2416" w:type="dxa"/>
                  <w:vMerge/>
                  <w:tcBorders>
                    <w:top w:val="nil"/>
                    <w:left w:val="nil"/>
                    <w:bottom w:val="nil"/>
                    <w:right w:val="single" w:sz="4" w:space="0" w:color="auto"/>
                  </w:tcBorders>
                  <w:shd w:val="clear" w:color="auto" w:fill="FFFFFF" w:themeFill="background1"/>
                  <w:vAlign w:val="center"/>
                </w:tcPr>
                <w:p w14:paraId="615220D0" w14:textId="77777777" w:rsidR="00F63E96" w:rsidRPr="00D30847" w:rsidRDefault="00F63E96" w:rsidP="000F611B">
                  <w:pPr>
                    <w:spacing w:after="0" w:line="240" w:lineRule="auto"/>
                    <w:jc w:val="both"/>
                    <w:rPr>
                      <w:rFonts w:ascii="Arial" w:eastAsia="Times New Roman" w:hAnsi="Arial" w:cs="Arial"/>
                      <w:b/>
                      <w:bCs/>
                      <w:sz w:val="12"/>
                      <w:szCs w:val="12"/>
                      <w:lang w:val="en-GB" w:eastAsia="mk-MK"/>
                    </w:rPr>
                  </w:pPr>
                </w:p>
              </w:tc>
              <w:tc>
                <w:tcPr>
                  <w:tcW w:w="1795" w:type="dxa"/>
                  <w:tcBorders>
                    <w:top w:val="single" w:sz="4" w:space="0" w:color="auto"/>
                    <w:left w:val="single" w:sz="4" w:space="0" w:color="auto"/>
                    <w:bottom w:val="single" w:sz="4" w:space="0" w:color="auto"/>
                    <w:right w:val="single" w:sz="4" w:space="0" w:color="auto"/>
                  </w:tcBorders>
                  <w:shd w:val="clear" w:color="000000" w:fill="FFFF99"/>
                  <w:vAlign w:val="center"/>
                </w:tcPr>
                <w:p w14:paraId="26C1C626" w14:textId="7DA12852" w:rsidR="00F63E96" w:rsidRPr="00D30847" w:rsidRDefault="00F63E96" w:rsidP="000F611B">
                  <w:pPr>
                    <w:tabs>
                      <w:tab w:val="left" w:pos="175"/>
                    </w:tabs>
                    <w:spacing w:after="0" w:line="252"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2.Training for accountants employed in the public sector for to the by-laws for accounting of budgets and budget users</w:t>
                  </w:r>
                </w:p>
                <w:p w14:paraId="72DB5992" w14:textId="77777777" w:rsidR="00F63E96" w:rsidRPr="00D30847" w:rsidRDefault="00F63E96" w:rsidP="000F611B">
                  <w:pPr>
                    <w:spacing w:after="0" w:line="240" w:lineRule="auto"/>
                    <w:rPr>
                      <w:rFonts w:ascii="Arial" w:eastAsia="Times New Roman" w:hAnsi="Arial" w:cs="Arial"/>
                      <w:sz w:val="12"/>
                      <w:szCs w:val="12"/>
                      <w:lang w:val="en-GB" w:eastAsia="mk-MK"/>
                    </w:rPr>
                  </w:pPr>
                </w:p>
              </w:tc>
              <w:tc>
                <w:tcPr>
                  <w:tcW w:w="1210" w:type="dxa"/>
                  <w:tcBorders>
                    <w:top w:val="single" w:sz="4" w:space="0" w:color="auto"/>
                    <w:left w:val="single" w:sz="4" w:space="0" w:color="auto"/>
                    <w:bottom w:val="single" w:sz="4" w:space="0" w:color="auto"/>
                    <w:right w:val="single" w:sz="4" w:space="0" w:color="auto"/>
                  </w:tcBorders>
                  <w:shd w:val="clear" w:color="000000" w:fill="FFFF99"/>
                  <w:vAlign w:val="center"/>
                </w:tcPr>
                <w:p w14:paraId="640837F6"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June 2025</w:t>
                  </w:r>
                </w:p>
                <w:p w14:paraId="2A57D75F"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December 2028</w:t>
                  </w:r>
                </w:p>
              </w:tc>
              <w:tc>
                <w:tcPr>
                  <w:tcW w:w="1437" w:type="dxa"/>
                  <w:tcBorders>
                    <w:top w:val="single" w:sz="4" w:space="0" w:color="auto"/>
                    <w:left w:val="single" w:sz="4" w:space="0" w:color="auto"/>
                    <w:bottom w:val="single" w:sz="4" w:space="0" w:color="auto"/>
                    <w:right w:val="single" w:sz="4" w:space="0" w:color="auto"/>
                  </w:tcBorders>
                  <w:shd w:val="clear" w:color="000000" w:fill="FFFF99"/>
                  <w:vAlign w:val="center"/>
                </w:tcPr>
                <w:p w14:paraId="06EE2CC9"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p>
              </w:tc>
              <w:tc>
                <w:tcPr>
                  <w:tcW w:w="1666" w:type="dxa"/>
                  <w:tcBorders>
                    <w:top w:val="single" w:sz="4" w:space="0" w:color="auto"/>
                    <w:left w:val="single" w:sz="4" w:space="0" w:color="auto"/>
                    <w:bottom w:val="single" w:sz="4" w:space="0" w:color="auto"/>
                    <w:right w:val="single" w:sz="4" w:space="0" w:color="auto"/>
                  </w:tcBorders>
                  <w:shd w:val="clear" w:color="000000" w:fill="FFFF99"/>
                  <w:vAlign w:val="center"/>
                </w:tcPr>
                <w:p w14:paraId="7A38C341"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p>
              </w:tc>
              <w:tc>
                <w:tcPr>
                  <w:tcW w:w="1781" w:type="dxa"/>
                  <w:tcBorders>
                    <w:top w:val="single" w:sz="4" w:space="0" w:color="auto"/>
                    <w:left w:val="single" w:sz="4" w:space="0" w:color="auto"/>
                    <w:bottom w:val="single" w:sz="4" w:space="0" w:color="auto"/>
                    <w:right w:val="single" w:sz="4" w:space="0" w:color="auto"/>
                  </w:tcBorders>
                  <w:shd w:val="clear" w:color="000000" w:fill="FFFF99"/>
                  <w:vAlign w:val="center"/>
                </w:tcPr>
                <w:p w14:paraId="6EA78334"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p>
              </w:tc>
              <w:tc>
                <w:tcPr>
                  <w:tcW w:w="1867" w:type="dxa"/>
                  <w:tcBorders>
                    <w:top w:val="single" w:sz="4" w:space="0" w:color="auto"/>
                    <w:left w:val="single" w:sz="4" w:space="0" w:color="auto"/>
                    <w:bottom w:val="single" w:sz="4" w:space="0" w:color="auto"/>
                    <w:right w:val="single" w:sz="4" w:space="0" w:color="auto"/>
                  </w:tcBorders>
                  <w:shd w:val="clear" w:color="000000" w:fill="FFFF99"/>
                  <w:vAlign w:val="center"/>
                </w:tcPr>
                <w:p w14:paraId="2B6165FE"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p>
              </w:tc>
              <w:tc>
                <w:tcPr>
                  <w:tcW w:w="1526" w:type="dxa"/>
                  <w:tcBorders>
                    <w:top w:val="single" w:sz="4" w:space="0" w:color="auto"/>
                    <w:left w:val="single" w:sz="4" w:space="0" w:color="auto"/>
                    <w:bottom w:val="single" w:sz="4" w:space="0" w:color="auto"/>
                    <w:right w:val="single" w:sz="4" w:space="0" w:color="auto"/>
                  </w:tcBorders>
                  <w:shd w:val="clear" w:color="000000" w:fill="FFFF99"/>
                  <w:vAlign w:val="center"/>
                </w:tcPr>
                <w:p w14:paraId="52927DBD" w14:textId="77777777" w:rsidR="00F63E96" w:rsidRPr="00D30847" w:rsidRDefault="00F63E96" w:rsidP="000F611B">
                  <w:pPr>
                    <w:spacing w:after="0" w:line="240" w:lineRule="auto"/>
                    <w:jc w:val="center"/>
                    <w:rPr>
                      <w:rFonts w:ascii="Arial" w:eastAsia="Times New Roman" w:hAnsi="Arial" w:cs="Arial"/>
                      <w:sz w:val="12"/>
                      <w:szCs w:val="12"/>
                      <w:lang w:val="en-GB" w:eastAsia="mk-MK"/>
                    </w:rPr>
                  </w:pPr>
                </w:p>
              </w:tc>
            </w:tr>
          </w:tbl>
          <w:p w14:paraId="10CC79AD" w14:textId="77777777" w:rsidR="000F611B" w:rsidRPr="00D30847" w:rsidRDefault="000F611B" w:rsidP="00485BAA">
            <w:pPr>
              <w:spacing w:after="0" w:line="240" w:lineRule="auto"/>
              <w:jc w:val="both"/>
              <w:rPr>
                <w:rFonts w:ascii="Arial" w:eastAsia="Times New Roman" w:hAnsi="Arial" w:cs="Arial"/>
                <w:b/>
                <w:bCs/>
                <w:color w:val="FFFFFF"/>
                <w:sz w:val="12"/>
                <w:szCs w:val="12"/>
                <w:lang w:val="en-GB" w:eastAsia="mk-MK"/>
              </w:rPr>
            </w:pPr>
          </w:p>
        </w:tc>
      </w:tr>
      <w:tr w:rsidR="00082B88" w:rsidRPr="00D30847" w14:paraId="4DF6B167"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50"/>
        </w:trPr>
        <w:tc>
          <w:tcPr>
            <w:tcW w:w="13580" w:type="dxa"/>
            <w:gridSpan w:val="31"/>
            <w:tcBorders>
              <w:top w:val="single" w:sz="4" w:space="0" w:color="auto"/>
              <w:left w:val="single" w:sz="4" w:space="0" w:color="auto"/>
              <w:bottom w:val="single" w:sz="4" w:space="0" w:color="auto"/>
              <w:right w:val="single" w:sz="4" w:space="0" w:color="auto"/>
            </w:tcBorders>
            <w:shd w:val="clear" w:color="000000" w:fill="1F3864"/>
            <w:hideMark/>
          </w:tcPr>
          <w:p w14:paraId="674E9D55" w14:textId="77777777" w:rsidR="00082B88" w:rsidRPr="00D30847" w:rsidRDefault="00082B88" w:rsidP="00800970">
            <w:pPr>
              <w:spacing w:after="0" w:line="240" w:lineRule="auto"/>
              <w:rPr>
                <w:rFonts w:eastAsia="Times New Roman" w:cs="Calibri"/>
                <w:b/>
                <w:bCs/>
                <w:color w:val="FFFFFF"/>
                <w:sz w:val="12"/>
                <w:szCs w:val="12"/>
                <w:lang w:val="en-GB" w:eastAsia="mk-MK"/>
              </w:rPr>
            </w:pPr>
            <w:r w:rsidRPr="00D30847">
              <w:rPr>
                <w:rFonts w:ascii="Arial" w:eastAsia="Times New Roman" w:hAnsi="Arial" w:cs="Arial"/>
                <w:b/>
                <w:bCs/>
                <w:color w:val="FFFFFF"/>
                <w:sz w:val="12"/>
                <w:szCs w:val="12"/>
                <w:lang w:val="en-GB" w:eastAsia="mk-MK"/>
              </w:rPr>
              <w:t>Pillar III. Planning and budget</w:t>
            </w:r>
          </w:p>
        </w:tc>
      </w:tr>
      <w:tr w:rsidR="00082B88" w:rsidRPr="00D30847" w14:paraId="0B946A8B"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169"/>
        </w:trPr>
        <w:tc>
          <w:tcPr>
            <w:tcW w:w="13580" w:type="dxa"/>
            <w:gridSpan w:val="31"/>
            <w:tcBorders>
              <w:top w:val="single" w:sz="4" w:space="0" w:color="auto"/>
              <w:left w:val="single" w:sz="4" w:space="0" w:color="auto"/>
              <w:bottom w:val="single" w:sz="4" w:space="0" w:color="auto"/>
              <w:right w:val="single" w:sz="4" w:space="0" w:color="auto"/>
            </w:tcBorders>
            <w:shd w:val="clear" w:color="000000" w:fill="1F3864"/>
            <w:vAlign w:val="center"/>
            <w:hideMark/>
          </w:tcPr>
          <w:p w14:paraId="0C008900" w14:textId="77777777" w:rsidR="00082B88" w:rsidRPr="00D30847" w:rsidRDefault="00082B88" w:rsidP="00800970">
            <w:pPr>
              <w:spacing w:after="0" w:line="240" w:lineRule="auto"/>
              <w:rPr>
                <w:rFonts w:eastAsia="Times New Roman" w:cs="Calibri"/>
                <w:b/>
                <w:bCs/>
                <w:color w:val="FFFFFF"/>
                <w:sz w:val="12"/>
                <w:szCs w:val="12"/>
                <w:lang w:val="en-GB" w:eastAsia="mk-MK"/>
              </w:rPr>
            </w:pPr>
            <w:r w:rsidRPr="00D30847">
              <w:rPr>
                <w:rFonts w:ascii="Arial" w:eastAsia="Times New Roman" w:hAnsi="Arial" w:cs="Arial"/>
                <w:b/>
                <w:bCs/>
                <w:color w:val="FFFFFF"/>
                <w:sz w:val="12"/>
                <w:szCs w:val="12"/>
                <w:lang w:val="en-GB" w:eastAsia="mk-MK"/>
              </w:rPr>
              <w:t xml:space="preserve">PRIORITY </w:t>
            </w:r>
            <w:r w:rsidRPr="00D30847">
              <w:rPr>
                <w:rFonts w:eastAsia="Times New Roman" w:cs="Calibri"/>
                <w:b/>
                <w:bCs/>
                <w:color w:val="FFFFFF"/>
                <w:sz w:val="12"/>
                <w:szCs w:val="12"/>
                <w:lang w:val="en-GB" w:eastAsia="mk-MK"/>
              </w:rPr>
              <w:t xml:space="preserve"> 4. </w:t>
            </w:r>
            <w:r w:rsidRPr="00D30847">
              <w:rPr>
                <w:rFonts w:ascii="Arial" w:eastAsia="Times New Roman" w:hAnsi="Arial" w:cs="Arial"/>
                <w:b/>
                <w:bCs/>
                <w:color w:val="FFFFFF"/>
                <w:sz w:val="12"/>
                <w:szCs w:val="12"/>
                <w:lang w:val="en-GB" w:eastAsia="mk-MK"/>
              </w:rPr>
              <w:t>Public finance management at local level</w:t>
            </w:r>
          </w:p>
        </w:tc>
      </w:tr>
      <w:tr w:rsidR="00082B88" w:rsidRPr="00D30847" w14:paraId="223107D2"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70"/>
        </w:trPr>
        <w:tc>
          <w:tcPr>
            <w:tcW w:w="2525" w:type="dxa"/>
            <w:gridSpan w:val="7"/>
            <w:tcBorders>
              <w:top w:val="single" w:sz="4" w:space="0" w:color="auto"/>
              <w:left w:val="single" w:sz="4" w:space="0" w:color="auto"/>
              <w:bottom w:val="single" w:sz="4" w:space="0" w:color="auto"/>
              <w:right w:val="single" w:sz="4" w:space="0" w:color="auto"/>
            </w:tcBorders>
            <w:shd w:val="clear" w:color="000000" w:fill="9BD2ED"/>
            <w:hideMark/>
          </w:tcPr>
          <w:p w14:paraId="57C80A0C" w14:textId="77777777" w:rsidR="00082B88" w:rsidRPr="00D30847" w:rsidRDefault="00082B88" w:rsidP="00800970">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Outcome(s)</w:t>
            </w:r>
          </w:p>
        </w:tc>
        <w:tc>
          <w:tcPr>
            <w:tcW w:w="1605" w:type="dxa"/>
            <w:gridSpan w:val="2"/>
            <w:tcBorders>
              <w:top w:val="single" w:sz="4" w:space="0" w:color="auto"/>
              <w:left w:val="single" w:sz="4" w:space="0" w:color="auto"/>
              <w:bottom w:val="single" w:sz="4" w:space="0" w:color="auto"/>
              <w:right w:val="single" w:sz="4" w:space="0" w:color="auto"/>
            </w:tcBorders>
            <w:shd w:val="clear" w:color="000000" w:fill="9BD2ED"/>
            <w:hideMark/>
          </w:tcPr>
          <w:p w14:paraId="30364700" w14:textId="77777777" w:rsidR="00082B88" w:rsidRPr="00D30847" w:rsidRDefault="00082B88" w:rsidP="00800970">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w:t>
            </w:r>
          </w:p>
        </w:tc>
        <w:tc>
          <w:tcPr>
            <w:tcW w:w="1375" w:type="dxa"/>
            <w:gridSpan w:val="5"/>
            <w:tcBorders>
              <w:top w:val="single" w:sz="4" w:space="0" w:color="auto"/>
              <w:left w:val="single" w:sz="4" w:space="0" w:color="auto"/>
              <w:bottom w:val="single" w:sz="4" w:space="0" w:color="auto"/>
              <w:right w:val="single" w:sz="4" w:space="0" w:color="auto"/>
            </w:tcBorders>
            <w:shd w:val="clear" w:color="000000" w:fill="9BD2ED"/>
            <w:hideMark/>
          </w:tcPr>
          <w:p w14:paraId="2D4EA045" w14:textId="77777777" w:rsidR="00082B88" w:rsidRPr="00D30847" w:rsidRDefault="00082B88" w:rsidP="00800970">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 Source</w:t>
            </w:r>
          </w:p>
        </w:tc>
        <w:tc>
          <w:tcPr>
            <w:tcW w:w="1325" w:type="dxa"/>
            <w:gridSpan w:val="2"/>
            <w:tcBorders>
              <w:top w:val="single" w:sz="4" w:space="0" w:color="auto"/>
              <w:left w:val="single" w:sz="4" w:space="0" w:color="auto"/>
              <w:bottom w:val="single" w:sz="4" w:space="0" w:color="auto"/>
              <w:right w:val="single" w:sz="4" w:space="0" w:color="auto"/>
            </w:tcBorders>
            <w:shd w:val="clear" w:color="000000" w:fill="9BD2ED"/>
            <w:hideMark/>
          </w:tcPr>
          <w:p w14:paraId="3C6745AB" w14:textId="77777777" w:rsidR="00082B88" w:rsidRPr="00D30847" w:rsidRDefault="00082B88" w:rsidP="00800970">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FY23</w:t>
            </w:r>
          </w:p>
        </w:tc>
        <w:tc>
          <w:tcPr>
            <w:tcW w:w="1652" w:type="dxa"/>
            <w:gridSpan w:val="4"/>
            <w:tcBorders>
              <w:top w:val="single" w:sz="4" w:space="0" w:color="auto"/>
              <w:left w:val="single" w:sz="4" w:space="0" w:color="auto"/>
              <w:bottom w:val="single" w:sz="4" w:space="0" w:color="auto"/>
              <w:right w:val="single" w:sz="4" w:space="0" w:color="auto"/>
            </w:tcBorders>
            <w:shd w:val="clear" w:color="000000" w:fill="9BD2ED"/>
            <w:hideMark/>
          </w:tcPr>
          <w:p w14:paraId="60E8795A" w14:textId="77777777" w:rsidR="00082B88" w:rsidRPr="00D30847" w:rsidRDefault="00082B88" w:rsidP="00800970">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FY25</w:t>
            </w:r>
          </w:p>
        </w:tc>
        <w:tc>
          <w:tcPr>
            <w:tcW w:w="1813" w:type="dxa"/>
            <w:gridSpan w:val="4"/>
            <w:tcBorders>
              <w:top w:val="single" w:sz="4" w:space="0" w:color="auto"/>
              <w:left w:val="single" w:sz="4" w:space="0" w:color="auto"/>
              <w:bottom w:val="single" w:sz="4" w:space="0" w:color="auto"/>
              <w:right w:val="single" w:sz="4" w:space="0" w:color="auto"/>
            </w:tcBorders>
            <w:shd w:val="clear" w:color="000000" w:fill="9BD2ED"/>
            <w:hideMark/>
          </w:tcPr>
          <w:p w14:paraId="51844F6E" w14:textId="77777777" w:rsidR="00082B88" w:rsidRPr="00D30847" w:rsidRDefault="00082B88" w:rsidP="00800970">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FY26</w:t>
            </w:r>
          </w:p>
        </w:tc>
        <w:tc>
          <w:tcPr>
            <w:tcW w:w="1872" w:type="dxa"/>
            <w:gridSpan w:val="5"/>
            <w:tcBorders>
              <w:top w:val="single" w:sz="4" w:space="0" w:color="auto"/>
              <w:left w:val="single" w:sz="4" w:space="0" w:color="auto"/>
              <w:bottom w:val="single" w:sz="4" w:space="0" w:color="auto"/>
              <w:right w:val="single" w:sz="4" w:space="0" w:color="auto"/>
            </w:tcBorders>
            <w:shd w:val="clear" w:color="000000" w:fill="9BD2ED"/>
            <w:hideMark/>
          </w:tcPr>
          <w:p w14:paraId="5BE811B7" w14:textId="77777777" w:rsidR="00082B88" w:rsidRPr="00D30847" w:rsidRDefault="00082B88" w:rsidP="00800970">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FY27</w:t>
            </w:r>
          </w:p>
        </w:tc>
        <w:tc>
          <w:tcPr>
            <w:tcW w:w="1413" w:type="dxa"/>
            <w:gridSpan w:val="2"/>
            <w:tcBorders>
              <w:top w:val="single" w:sz="4" w:space="0" w:color="auto"/>
              <w:left w:val="single" w:sz="4" w:space="0" w:color="auto"/>
              <w:bottom w:val="single" w:sz="4" w:space="0" w:color="auto"/>
              <w:right w:val="single" w:sz="4" w:space="0" w:color="auto"/>
            </w:tcBorders>
            <w:shd w:val="clear" w:color="000000" w:fill="9BD2ED"/>
            <w:hideMark/>
          </w:tcPr>
          <w:p w14:paraId="70FC82C1" w14:textId="77777777" w:rsidR="00082B88" w:rsidRPr="00D30847" w:rsidRDefault="00082B88" w:rsidP="00800970">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FY28</w:t>
            </w:r>
          </w:p>
        </w:tc>
      </w:tr>
      <w:tr w:rsidR="00082B88" w:rsidRPr="00D30847" w14:paraId="77A70CBB"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780"/>
        </w:trPr>
        <w:tc>
          <w:tcPr>
            <w:tcW w:w="2525" w:type="dxa"/>
            <w:gridSpan w:val="7"/>
            <w:vMerge w:val="restart"/>
            <w:tcBorders>
              <w:top w:val="single" w:sz="4" w:space="0" w:color="auto"/>
              <w:left w:val="single" w:sz="4" w:space="0" w:color="auto"/>
              <w:right w:val="single" w:sz="4" w:space="0" w:color="auto"/>
            </w:tcBorders>
            <w:shd w:val="clear" w:color="000000" w:fill="FFFF99"/>
            <w:vAlign w:val="center"/>
            <w:hideMark/>
          </w:tcPr>
          <w:p w14:paraId="4E05D7BC"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Stable and responsible financial operations and strengthened financial discipline, better transparency and accountability at the local level</w:t>
            </w:r>
          </w:p>
        </w:tc>
        <w:tc>
          <w:tcPr>
            <w:tcW w:w="1605"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513215F9" w14:textId="77777777" w:rsidR="00082B88" w:rsidRPr="00D30847" w:rsidRDefault="00082B88" w:rsidP="00800970">
            <w:pPr>
              <w:spacing w:after="0" w:line="240" w:lineRule="auto"/>
              <w:rPr>
                <w:rFonts w:eastAsia="Times New Roman" w:cs="Calibri"/>
                <w:sz w:val="12"/>
                <w:szCs w:val="12"/>
                <w:lang w:val="en-GB" w:eastAsia="mk-MK"/>
              </w:rPr>
            </w:pPr>
            <w:r w:rsidRPr="00D30847">
              <w:rPr>
                <w:rFonts w:eastAsia="Times New Roman" w:cs="Calibri"/>
                <w:sz w:val="12"/>
                <w:szCs w:val="12"/>
                <w:lang w:val="en-GB" w:eastAsia="mk-MK"/>
              </w:rPr>
              <w:t>Percentage of revenue realization</w:t>
            </w:r>
          </w:p>
        </w:tc>
        <w:tc>
          <w:tcPr>
            <w:tcW w:w="1375" w:type="dxa"/>
            <w:gridSpan w:val="5"/>
            <w:tcBorders>
              <w:top w:val="single" w:sz="4" w:space="0" w:color="auto"/>
              <w:left w:val="single" w:sz="4" w:space="0" w:color="auto"/>
              <w:bottom w:val="single" w:sz="4" w:space="0" w:color="auto"/>
              <w:right w:val="single" w:sz="4" w:space="0" w:color="auto"/>
            </w:tcBorders>
            <w:shd w:val="clear" w:color="000000" w:fill="FFFF99"/>
            <w:vAlign w:val="center"/>
            <w:hideMark/>
          </w:tcPr>
          <w:p w14:paraId="0981C0A9"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MF - Department for budgets and funds</w:t>
            </w:r>
          </w:p>
        </w:tc>
        <w:tc>
          <w:tcPr>
            <w:tcW w:w="1325"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51C8C6A5"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89,2 %</w:t>
            </w:r>
          </w:p>
        </w:tc>
        <w:tc>
          <w:tcPr>
            <w:tcW w:w="1652" w:type="dxa"/>
            <w:gridSpan w:val="4"/>
            <w:tcBorders>
              <w:top w:val="single" w:sz="4" w:space="0" w:color="auto"/>
              <w:left w:val="single" w:sz="4" w:space="0" w:color="auto"/>
              <w:bottom w:val="single" w:sz="4" w:space="0" w:color="auto"/>
              <w:right w:val="single" w:sz="4" w:space="0" w:color="auto"/>
            </w:tcBorders>
            <w:shd w:val="clear" w:color="000000" w:fill="FFFF99"/>
            <w:vAlign w:val="center"/>
            <w:hideMark/>
          </w:tcPr>
          <w:p w14:paraId="1E798B13"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90,5%</w:t>
            </w:r>
          </w:p>
        </w:tc>
        <w:tc>
          <w:tcPr>
            <w:tcW w:w="1813" w:type="dxa"/>
            <w:gridSpan w:val="4"/>
            <w:tcBorders>
              <w:top w:val="single" w:sz="4" w:space="0" w:color="auto"/>
              <w:left w:val="single" w:sz="4" w:space="0" w:color="auto"/>
              <w:bottom w:val="single" w:sz="4" w:space="0" w:color="auto"/>
              <w:right w:val="single" w:sz="4" w:space="0" w:color="auto"/>
            </w:tcBorders>
            <w:shd w:val="clear" w:color="000000" w:fill="FFFF99"/>
            <w:vAlign w:val="center"/>
            <w:hideMark/>
          </w:tcPr>
          <w:p w14:paraId="37D9174B"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92%</w:t>
            </w:r>
          </w:p>
        </w:tc>
        <w:tc>
          <w:tcPr>
            <w:tcW w:w="1872" w:type="dxa"/>
            <w:gridSpan w:val="5"/>
            <w:tcBorders>
              <w:top w:val="single" w:sz="4" w:space="0" w:color="auto"/>
              <w:left w:val="single" w:sz="4" w:space="0" w:color="auto"/>
              <w:bottom w:val="single" w:sz="4" w:space="0" w:color="auto"/>
              <w:right w:val="single" w:sz="4" w:space="0" w:color="auto"/>
            </w:tcBorders>
            <w:shd w:val="clear" w:color="000000" w:fill="FFFF99"/>
            <w:vAlign w:val="center"/>
            <w:hideMark/>
          </w:tcPr>
          <w:p w14:paraId="1E5F655A"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93,5%</w:t>
            </w:r>
          </w:p>
        </w:tc>
        <w:tc>
          <w:tcPr>
            <w:tcW w:w="1413"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4CBFDDA6"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95%</w:t>
            </w:r>
          </w:p>
        </w:tc>
      </w:tr>
      <w:tr w:rsidR="00082B88" w:rsidRPr="00D30847" w14:paraId="03E56C72"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780"/>
        </w:trPr>
        <w:tc>
          <w:tcPr>
            <w:tcW w:w="2525" w:type="dxa"/>
            <w:gridSpan w:val="7"/>
            <w:vMerge/>
            <w:tcBorders>
              <w:left w:val="single" w:sz="4" w:space="0" w:color="auto"/>
              <w:bottom w:val="single" w:sz="4" w:space="0" w:color="auto"/>
              <w:right w:val="single" w:sz="4" w:space="0" w:color="auto"/>
            </w:tcBorders>
            <w:shd w:val="clear" w:color="000000" w:fill="FFFF99"/>
            <w:vAlign w:val="center"/>
          </w:tcPr>
          <w:p w14:paraId="5EA0638F" w14:textId="77777777" w:rsidR="00082B88" w:rsidRPr="00D30847" w:rsidRDefault="00082B88" w:rsidP="00800970">
            <w:pPr>
              <w:spacing w:after="0" w:line="240" w:lineRule="auto"/>
              <w:jc w:val="center"/>
              <w:rPr>
                <w:rFonts w:eastAsia="Times New Roman" w:cs="Calibri"/>
                <w:sz w:val="12"/>
                <w:szCs w:val="12"/>
                <w:lang w:val="en-GB" w:eastAsia="mk-MK"/>
              </w:rPr>
            </w:pPr>
          </w:p>
        </w:tc>
        <w:tc>
          <w:tcPr>
            <w:tcW w:w="1605" w:type="dxa"/>
            <w:gridSpan w:val="2"/>
            <w:tcBorders>
              <w:top w:val="single" w:sz="4" w:space="0" w:color="auto"/>
              <w:left w:val="single" w:sz="4" w:space="0" w:color="auto"/>
              <w:bottom w:val="single" w:sz="4" w:space="0" w:color="auto"/>
              <w:right w:val="single" w:sz="4" w:space="0" w:color="auto"/>
            </w:tcBorders>
            <w:shd w:val="clear" w:color="000000" w:fill="FFFF99"/>
            <w:vAlign w:val="center"/>
          </w:tcPr>
          <w:p w14:paraId="4A184814" w14:textId="77777777" w:rsidR="00082B88" w:rsidRPr="00D30847" w:rsidRDefault="00082B88" w:rsidP="00800970">
            <w:pPr>
              <w:spacing w:after="0" w:line="240" w:lineRule="auto"/>
              <w:rPr>
                <w:rFonts w:eastAsia="Times New Roman" w:cs="Calibri"/>
                <w:sz w:val="12"/>
                <w:szCs w:val="12"/>
                <w:lang w:val="en-GB" w:eastAsia="mk-MK"/>
              </w:rPr>
            </w:pPr>
            <w:r w:rsidRPr="00D30847">
              <w:rPr>
                <w:rFonts w:eastAsia="Times New Roman" w:cs="Calibri"/>
                <w:sz w:val="12"/>
                <w:szCs w:val="12"/>
                <w:lang w:val="en-GB" w:eastAsia="mk-MK"/>
              </w:rPr>
              <w:t>Percentage of municipalities that have published financial documents (annual, semi-annual and quarterly reports) on their websites</w:t>
            </w:r>
          </w:p>
        </w:tc>
        <w:tc>
          <w:tcPr>
            <w:tcW w:w="1375" w:type="dxa"/>
            <w:gridSpan w:val="5"/>
            <w:tcBorders>
              <w:top w:val="single" w:sz="4" w:space="0" w:color="auto"/>
              <w:left w:val="single" w:sz="4" w:space="0" w:color="auto"/>
              <w:bottom w:val="single" w:sz="4" w:space="0" w:color="auto"/>
              <w:right w:val="single" w:sz="4" w:space="0" w:color="auto"/>
            </w:tcBorders>
            <w:shd w:val="clear" w:color="000000" w:fill="FFFF99"/>
            <w:vAlign w:val="center"/>
          </w:tcPr>
          <w:p w14:paraId="20920D05"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MF - Department for budgets and funds</w:t>
            </w:r>
          </w:p>
        </w:tc>
        <w:tc>
          <w:tcPr>
            <w:tcW w:w="1325" w:type="dxa"/>
            <w:gridSpan w:val="2"/>
            <w:tcBorders>
              <w:top w:val="single" w:sz="4" w:space="0" w:color="auto"/>
              <w:left w:val="single" w:sz="4" w:space="0" w:color="auto"/>
              <w:bottom w:val="single" w:sz="4" w:space="0" w:color="auto"/>
              <w:right w:val="single" w:sz="4" w:space="0" w:color="auto"/>
            </w:tcBorders>
            <w:shd w:val="clear" w:color="000000" w:fill="FFFF99"/>
            <w:vAlign w:val="center"/>
          </w:tcPr>
          <w:p w14:paraId="1E0A45EC"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75%</w:t>
            </w:r>
          </w:p>
        </w:tc>
        <w:tc>
          <w:tcPr>
            <w:tcW w:w="1652" w:type="dxa"/>
            <w:gridSpan w:val="4"/>
            <w:tcBorders>
              <w:top w:val="single" w:sz="4" w:space="0" w:color="auto"/>
              <w:left w:val="single" w:sz="4" w:space="0" w:color="auto"/>
              <w:bottom w:val="single" w:sz="4" w:space="0" w:color="auto"/>
              <w:right w:val="single" w:sz="4" w:space="0" w:color="auto"/>
            </w:tcBorders>
            <w:shd w:val="clear" w:color="000000" w:fill="FFFF99"/>
            <w:vAlign w:val="center"/>
          </w:tcPr>
          <w:p w14:paraId="0B291EB1"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80%</w:t>
            </w:r>
          </w:p>
        </w:tc>
        <w:tc>
          <w:tcPr>
            <w:tcW w:w="1813" w:type="dxa"/>
            <w:gridSpan w:val="4"/>
            <w:tcBorders>
              <w:top w:val="single" w:sz="4" w:space="0" w:color="auto"/>
              <w:left w:val="single" w:sz="4" w:space="0" w:color="auto"/>
              <w:bottom w:val="single" w:sz="4" w:space="0" w:color="auto"/>
              <w:right w:val="single" w:sz="4" w:space="0" w:color="auto"/>
            </w:tcBorders>
            <w:shd w:val="clear" w:color="000000" w:fill="FFFF99"/>
            <w:vAlign w:val="center"/>
          </w:tcPr>
          <w:p w14:paraId="438B295E"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85%</w:t>
            </w:r>
          </w:p>
        </w:tc>
        <w:tc>
          <w:tcPr>
            <w:tcW w:w="1872" w:type="dxa"/>
            <w:gridSpan w:val="5"/>
            <w:tcBorders>
              <w:top w:val="single" w:sz="4" w:space="0" w:color="auto"/>
              <w:left w:val="single" w:sz="4" w:space="0" w:color="auto"/>
              <w:bottom w:val="single" w:sz="4" w:space="0" w:color="auto"/>
              <w:right w:val="single" w:sz="4" w:space="0" w:color="auto"/>
            </w:tcBorders>
            <w:shd w:val="clear" w:color="000000" w:fill="FFFF99"/>
            <w:vAlign w:val="center"/>
          </w:tcPr>
          <w:p w14:paraId="4CBED669"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87%</w:t>
            </w:r>
          </w:p>
        </w:tc>
        <w:tc>
          <w:tcPr>
            <w:tcW w:w="1413" w:type="dxa"/>
            <w:gridSpan w:val="2"/>
            <w:tcBorders>
              <w:top w:val="single" w:sz="4" w:space="0" w:color="auto"/>
              <w:left w:val="single" w:sz="4" w:space="0" w:color="auto"/>
              <w:bottom w:val="single" w:sz="4" w:space="0" w:color="auto"/>
              <w:right w:val="single" w:sz="4" w:space="0" w:color="auto"/>
            </w:tcBorders>
            <w:shd w:val="clear" w:color="000000" w:fill="FFFF99"/>
            <w:vAlign w:val="center"/>
          </w:tcPr>
          <w:p w14:paraId="50345D20"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90%</w:t>
            </w:r>
          </w:p>
        </w:tc>
      </w:tr>
      <w:tr w:rsidR="00082B88" w:rsidRPr="00D30847" w14:paraId="63E1F842"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70"/>
        </w:trPr>
        <w:tc>
          <w:tcPr>
            <w:tcW w:w="13580" w:type="dxa"/>
            <w:gridSpan w:val="31"/>
            <w:tcBorders>
              <w:top w:val="single" w:sz="4" w:space="0" w:color="auto"/>
              <w:left w:val="single" w:sz="8" w:space="0" w:color="auto"/>
              <w:bottom w:val="single" w:sz="8" w:space="0" w:color="auto"/>
              <w:right w:val="single" w:sz="4" w:space="0" w:color="auto"/>
            </w:tcBorders>
            <w:shd w:val="clear" w:color="000000" w:fill="9BD2ED"/>
            <w:vAlign w:val="center"/>
            <w:hideMark/>
          </w:tcPr>
          <w:p w14:paraId="137E0066" w14:textId="77777777" w:rsidR="00082B88" w:rsidRPr="00D30847" w:rsidRDefault="00082B88" w:rsidP="00800970">
            <w:pPr>
              <w:spacing w:after="0" w:line="240" w:lineRule="auto"/>
              <w:rPr>
                <w:rFonts w:eastAsia="Times New Roman" w:cs="Calibri"/>
                <w:b/>
                <w:bCs/>
                <w:sz w:val="12"/>
                <w:szCs w:val="12"/>
                <w:lang w:val="en-GB" w:eastAsia="mk-MK"/>
              </w:rPr>
            </w:pPr>
            <w:r w:rsidRPr="00D30847">
              <w:rPr>
                <w:rFonts w:eastAsia="Times New Roman" w:cs="Calibri"/>
                <w:b/>
                <w:bCs/>
                <w:sz w:val="12"/>
                <w:szCs w:val="12"/>
                <w:lang w:val="en-GB" w:eastAsia="mk-MK"/>
              </w:rPr>
              <w:lastRenderedPageBreak/>
              <w:t>MEASURE 1. Improving budget planning of local self-government units</w:t>
            </w:r>
          </w:p>
        </w:tc>
      </w:tr>
      <w:tr w:rsidR="00082B88" w:rsidRPr="00D30847" w14:paraId="2D4EDBFC"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70"/>
        </w:trPr>
        <w:tc>
          <w:tcPr>
            <w:tcW w:w="2525" w:type="dxa"/>
            <w:gridSpan w:val="7"/>
            <w:tcBorders>
              <w:top w:val="nil"/>
              <w:left w:val="nil"/>
              <w:bottom w:val="nil"/>
              <w:right w:val="nil"/>
            </w:tcBorders>
            <w:shd w:val="clear" w:color="auto" w:fill="auto"/>
            <w:vAlign w:val="center"/>
            <w:hideMark/>
          </w:tcPr>
          <w:p w14:paraId="6EFDE672" w14:textId="77777777" w:rsidR="00082B88" w:rsidRPr="00D30847" w:rsidRDefault="00082B88" w:rsidP="00800970">
            <w:pPr>
              <w:spacing w:after="0" w:line="240" w:lineRule="auto"/>
              <w:rPr>
                <w:rFonts w:eastAsia="Times New Roman" w:cs="Calibri"/>
                <w:b/>
                <w:bCs/>
                <w:sz w:val="12"/>
                <w:szCs w:val="12"/>
                <w:lang w:val="en-GB" w:eastAsia="mk-MK"/>
              </w:rPr>
            </w:pPr>
          </w:p>
        </w:tc>
        <w:tc>
          <w:tcPr>
            <w:tcW w:w="1605" w:type="dxa"/>
            <w:gridSpan w:val="2"/>
            <w:tcBorders>
              <w:left w:val="single" w:sz="8" w:space="0" w:color="000000"/>
            </w:tcBorders>
            <w:shd w:val="clear" w:color="000000" w:fill="9BD2ED"/>
            <w:vAlign w:val="center"/>
            <w:hideMark/>
          </w:tcPr>
          <w:p w14:paraId="1D7EA7E4"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Performance Indicator</w:t>
            </w:r>
          </w:p>
        </w:tc>
        <w:tc>
          <w:tcPr>
            <w:tcW w:w="1375" w:type="dxa"/>
            <w:gridSpan w:val="5"/>
            <w:shd w:val="clear" w:color="000000" w:fill="9BD2ED"/>
            <w:vAlign w:val="center"/>
            <w:hideMark/>
          </w:tcPr>
          <w:p w14:paraId="1EFB8EB3"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Data Source</w:t>
            </w:r>
          </w:p>
        </w:tc>
        <w:tc>
          <w:tcPr>
            <w:tcW w:w="1325" w:type="dxa"/>
            <w:gridSpan w:val="2"/>
            <w:shd w:val="clear" w:color="000000" w:fill="9BD2ED"/>
            <w:vAlign w:val="center"/>
            <w:hideMark/>
          </w:tcPr>
          <w:p w14:paraId="339E3DB3"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Baseline FY23</w:t>
            </w:r>
          </w:p>
        </w:tc>
        <w:tc>
          <w:tcPr>
            <w:tcW w:w="1652" w:type="dxa"/>
            <w:gridSpan w:val="4"/>
            <w:shd w:val="clear" w:color="000000" w:fill="9BD2ED"/>
            <w:vAlign w:val="center"/>
            <w:hideMark/>
          </w:tcPr>
          <w:p w14:paraId="58B1B93E"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Target FY25</w:t>
            </w:r>
          </w:p>
        </w:tc>
        <w:tc>
          <w:tcPr>
            <w:tcW w:w="1813" w:type="dxa"/>
            <w:gridSpan w:val="4"/>
            <w:shd w:val="clear" w:color="000000" w:fill="9BD2ED"/>
            <w:vAlign w:val="center"/>
            <w:hideMark/>
          </w:tcPr>
          <w:p w14:paraId="351C68B9"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Target FY26</w:t>
            </w:r>
          </w:p>
        </w:tc>
        <w:tc>
          <w:tcPr>
            <w:tcW w:w="1872" w:type="dxa"/>
            <w:gridSpan w:val="5"/>
            <w:shd w:val="clear" w:color="000000" w:fill="9BD2ED"/>
            <w:vAlign w:val="center"/>
            <w:hideMark/>
          </w:tcPr>
          <w:p w14:paraId="1DEA5BF3"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Target FY27</w:t>
            </w:r>
          </w:p>
        </w:tc>
        <w:tc>
          <w:tcPr>
            <w:tcW w:w="1413" w:type="dxa"/>
            <w:gridSpan w:val="2"/>
            <w:shd w:val="clear" w:color="000000" w:fill="9BD2ED"/>
            <w:vAlign w:val="center"/>
            <w:hideMark/>
          </w:tcPr>
          <w:p w14:paraId="42D62B7B"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Target FY28</w:t>
            </w:r>
          </w:p>
        </w:tc>
      </w:tr>
      <w:tr w:rsidR="00F16C64" w:rsidRPr="00D30847" w14:paraId="08C6C744"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764"/>
        </w:trPr>
        <w:tc>
          <w:tcPr>
            <w:tcW w:w="2525" w:type="dxa"/>
            <w:gridSpan w:val="7"/>
            <w:tcBorders>
              <w:top w:val="nil"/>
              <w:left w:val="nil"/>
              <w:bottom w:val="nil"/>
              <w:right w:val="nil"/>
            </w:tcBorders>
            <w:shd w:val="clear" w:color="auto" w:fill="auto"/>
            <w:vAlign w:val="center"/>
            <w:hideMark/>
          </w:tcPr>
          <w:p w14:paraId="455A2545" w14:textId="77777777" w:rsidR="00F16C64" w:rsidRPr="00D30847" w:rsidRDefault="00F16C64" w:rsidP="00F16C64">
            <w:pPr>
              <w:spacing w:after="0" w:line="240" w:lineRule="auto"/>
              <w:jc w:val="center"/>
              <w:rPr>
                <w:rFonts w:eastAsia="Times New Roman" w:cs="Calibri"/>
                <w:b/>
                <w:bCs/>
                <w:sz w:val="12"/>
                <w:szCs w:val="12"/>
                <w:lang w:val="en-GB" w:eastAsia="mk-MK"/>
              </w:rPr>
            </w:pPr>
          </w:p>
        </w:tc>
        <w:tc>
          <w:tcPr>
            <w:tcW w:w="1605" w:type="dxa"/>
            <w:gridSpan w:val="2"/>
            <w:tcBorders>
              <w:top w:val="single" w:sz="4" w:space="0" w:color="auto"/>
              <w:left w:val="single" w:sz="8" w:space="0" w:color="000000"/>
              <w:bottom w:val="single" w:sz="8" w:space="0" w:color="000000"/>
              <w:right w:val="single" w:sz="8" w:space="0" w:color="000000"/>
            </w:tcBorders>
            <w:shd w:val="clear" w:color="000000" w:fill="FFFF99"/>
            <w:vAlign w:val="center"/>
            <w:hideMark/>
          </w:tcPr>
          <w:p w14:paraId="2E548FED" w14:textId="77777777" w:rsidR="00F16C64" w:rsidRPr="00D30847" w:rsidRDefault="00F16C64" w:rsidP="00F16C64">
            <w:pPr>
              <w:spacing w:after="0" w:line="240" w:lineRule="auto"/>
              <w:rPr>
                <w:rFonts w:eastAsia="Times New Roman" w:cs="Calibri"/>
                <w:sz w:val="12"/>
                <w:szCs w:val="12"/>
                <w:lang w:val="en-GB" w:eastAsia="mk-MK"/>
              </w:rPr>
            </w:pPr>
            <w:r w:rsidRPr="00D30847">
              <w:rPr>
                <w:rFonts w:eastAsia="Times New Roman" w:cs="Calibri"/>
                <w:sz w:val="12"/>
                <w:szCs w:val="12"/>
                <w:lang w:val="en-GB" w:eastAsia="mk-MK"/>
              </w:rPr>
              <w:t>New Law on Financing of Local Self-Government Units</w:t>
            </w:r>
          </w:p>
        </w:tc>
        <w:tc>
          <w:tcPr>
            <w:tcW w:w="1375" w:type="dxa"/>
            <w:gridSpan w:val="5"/>
            <w:tcBorders>
              <w:top w:val="single" w:sz="4" w:space="0" w:color="auto"/>
              <w:left w:val="nil"/>
              <w:bottom w:val="single" w:sz="8" w:space="0" w:color="000000"/>
              <w:right w:val="single" w:sz="8" w:space="0" w:color="000000"/>
            </w:tcBorders>
            <w:shd w:val="clear" w:color="000000" w:fill="FFFF99"/>
            <w:vAlign w:val="center"/>
            <w:hideMark/>
          </w:tcPr>
          <w:p w14:paraId="7D2231FD" w14:textId="77777777"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MF - Department for budgets and funds</w:t>
            </w:r>
          </w:p>
        </w:tc>
        <w:tc>
          <w:tcPr>
            <w:tcW w:w="1325" w:type="dxa"/>
            <w:gridSpan w:val="2"/>
            <w:tcBorders>
              <w:top w:val="single" w:sz="4" w:space="0" w:color="auto"/>
              <w:left w:val="nil"/>
              <w:bottom w:val="single" w:sz="8" w:space="0" w:color="000000"/>
              <w:right w:val="single" w:sz="8" w:space="0" w:color="000000"/>
            </w:tcBorders>
            <w:shd w:val="clear" w:color="000000" w:fill="FFFF99"/>
            <w:vAlign w:val="center"/>
            <w:hideMark/>
          </w:tcPr>
          <w:p w14:paraId="23E4AE46" w14:textId="77777777" w:rsidR="00F16C64" w:rsidRPr="00D30847" w:rsidRDefault="00F16C64" w:rsidP="00F16C64">
            <w:pPr>
              <w:spacing w:after="0" w:line="240" w:lineRule="auto"/>
              <w:rPr>
                <w:rFonts w:eastAsia="Times New Roman" w:cs="Calibri"/>
                <w:sz w:val="12"/>
                <w:szCs w:val="12"/>
                <w:lang w:val="en-GB" w:eastAsia="mk-MK"/>
              </w:rPr>
            </w:pPr>
            <w:r w:rsidRPr="00D30847">
              <w:rPr>
                <w:rFonts w:eastAsia="Times New Roman" w:cs="Calibri"/>
                <w:sz w:val="12"/>
                <w:szCs w:val="12"/>
                <w:lang w:val="en-GB" w:eastAsia="mk-MK"/>
              </w:rPr>
              <w:t>Law on Financing of Local Self-Government Units</w:t>
            </w:r>
          </w:p>
        </w:tc>
        <w:tc>
          <w:tcPr>
            <w:tcW w:w="1652" w:type="dxa"/>
            <w:gridSpan w:val="4"/>
            <w:tcBorders>
              <w:top w:val="single" w:sz="4" w:space="0" w:color="auto"/>
              <w:left w:val="nil"/>
              <w:bottom w:val="single" w:sz="8" w:space="0" w:color="000000"/>
              <w:right w:val="single" w:sz="8" w:space="0" w:color="000000"/>
            </w:tcBorders>
            <w:shd w:val="clear" w:color="000000" w:fill="FFFF99"/>
            <w:vAlign w:val="center"/>
            <w:hideMark/>
          </w:tcPr>
          <w:p w14:paraId="16FE748C" w14:textId="051F0C7B"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 xml:space="preserve">Draft - Law on Financing of Local Self-Government Units </w:t>
            </w:r>
          </w:p>
        </w:tc>
        <w:tc>
          <w:tcPr>
            <w:tcW w:w="1813" w:type="dxa"/>
            <w:gridSpan w:val="4"/>
            <w:tcBorders>
              <w:top w:val="single" w:sz="4" w:space="0" w:color="auto"/>
              <w:left w:val="nil"/>
              <w:bottom w:val="single" w:sz="8" w:space="0" w:color="000000"/>
              <w:right w:val="single" w:sz="4" w:space="0" w:color="auto"/>
            </w:tcBorders>
            <w:shd w:val="clear" w:color="000000" w:fill="FFFF99"/>
            <w:vAlign w:val="center"/>
            <w:hideMark/>
          </w:tcPr>
          <w:p w14:paraId="3AC9CC6B" w14:textId="770A1AD3"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New Law on Financing of Local Self-Government Units</w:t>
            </w:r>
            <w:r w:rsidRPr="00D30847" w:rsidDel="0002303B">
              <w:rPr>
                <w:rFonts w:eastAsia="Times New Roman" w:cs="Calibri"/>
                <w:sz w:val="12"/>
                <w:szCs w:val="12"/>
                <w:lang w:val="en-GB" w:eastAsia="mk-MK"/>
              </w:rPr>
              <w:t xml:space="preserve"> </w:t>
            </w:r>
          </w:p>
        </w:tc>
        <w:tc>
          <w:tcPr>
            <w:tcW w:w="1872" w:type="dxa"/>
            <w:gridSpan w:val="5"/>
            <w:tcBorders>
              <w:top w:val="single" w:sz="4" w:space="0" w:color="auto"/>
              <w:left w:val="single" w:sz="4" w:space="0" w:color="auto"/>
              <w:bottom w:val="single" w:sz="8" w:space="0" w:color="000000"/>
              <w:right w:val="single" w:sz="8" w:space="0" w:color="auto"/>
            </w:tcBorders>
            <w:shd w:val="clear" w:color="000000" w:fill="FFFF99"/>
            <w:vAlign w:val="center"/>
            <w:hideMark/>
          </w:tcPr>
          <w:p w14:paraId="6AB3E921" w14:textId="6CAF6B07"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w:t>
            </w:r>
          </w:p>
        </w:tc>
        <w:tc>
          <w:tcPr>
            <w:tcW w:w="1413" w:type="dxa"/>
            <w:gridSpan w:val="2"/>
            <w:tcBorders>
              <w:top w:val="single" w:sz="4" w:space="0" w:color="auto"/>
              <w:left w:val="nil"/>
              <w:bottom w:val="single" w:sz="8" w:space="0" w:color="000000"/>
              <w:right w:val="single" w:sz="8" w:space="0" w:color="000000"/>
            </w:tcBorders>
            <w:shd w:val="clear" w:color="000000" w:fill="FFFF99"/>
            <w:vAlign w:val="center"/>
            <w:hideMark/>
          </w:tcPr>
          <w:p w14:paraId="1303830A" w14:textId="2DB81EE6"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w:t>
            </w:r>
          </w:p>
        </w:tc>
      </w:tr>
      <w:tr w:rsidR="00F16C64" w:rsidRPr="00D30847" w14:paraId="3D8FD018"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619"/>
        </w:trPr>
        <w:tc>
          <w:tcPr>
            <w:tcW w:w="2525" w:type="dxa"/>
            <w:gridSpan w:val="7"/>
            <w:tcBorders>
              <w:top w:val="nil"/>
              <w:left w:val="nil"/>
              <w:bottom w:val="nil"/>
              <w:right w:val="nil"/>
            </w:tcBorders>
            <w:shd w:val="clear" w:color="auto" w:fill="auto"/>
            <w:vAlign w:val="center"/>
            <w:hideMark/>
          </w:tcPr>
          <w:p w14:paraId="4CD72AC2" w14:textId="77777777" w:rsidR="00F16C64" w:rsidRPr="00D30847" w:rsidRDefault="00F16C64" w:rsidP="00F16C64">
            <w:pPr>
              <w:spacing w:after="0" w:line="240" w:lineRule="auto"/>
              <w:jc w:val="center"/>
              <w:rPr>
                <w:rFonts w:eastAsia="Times New Roman" w:cs="Calibri"/>
                <w:sz w:val="12"/>
                <w:szCs w:val="12"/>
                <w:lang w:val="en-GB" w:eastAsia="mk-MK"/>
              </w:rPr>
            </w:pPr>
          </w:p>
        </w:tc>
        <w:tc>
          <w:tcPr>
            <w:tcW w:w="1605" w:type="dxa"/>
            <w:gridSpan w:val="2"/>
            <w:tcBorders>
              <w:top w:val="nil"/>
              <w:left w:val="single" w:sz="8" w:space="0" w:color="000000"/>
              <w:bottom w:val="single" w:sz="4" w:space="0" w:color="auto"/>
              <w:right w:val="single" w:sz="8" w:space="0" w:color="000000"/>
            </w:tcBorders>
            <w:shd w:val="clear" w:color="000000" w:fill="FFFF99"/>
            <w:vAlign w:val="center"/>
            <w:hideMark/>
          </w:tcPr>
          <w:p w14:paraId="75903103" w14:textId="77777777" w:rsidR="00F16C64" w:rsidRPr="00D30847" w:rsidRDefault="00F16C64" w:rsidP="00F16C64">
            <w:pPr>
              <w:spacing w:after="0" w:line="240" w:lineRule="auto"/>
              <w:rPr>
                <w:rFonts w:eastAsia="Times New Roman" w:cs="Calibri"/>
                <w:sz w:val="12"/>
                <w:szCs w:val="12"/>
                <w:lang w:val="en-GB" w:eastAsia="mk-MK"/>
              </w:rPr>
            </w:pPr>
            <w:r w:rsidRPr="00D30847">
              <w:rPr>
                <w:rFonts w:eastAsia="Times New Roman" w:cs="Calibri"/>
                <w:sz w:val="12"/>
                <w:szCs w:val="12"/>
                <w:lang w:val="en-GB" w:eastAsia="mk-MK"/>
              </w:rPr>
              <w:t>New bylaws arising from the new Law</w:t>
            </w:r>
          </w:p>
        </w:tc>
        <w:tc>
          <w:tcPr>
            <w:tcW w:w="1375" w:type="dxa"/>
            <w:gridSpan w:val="5"/>
            <w:tcBorders>
              <w:top w:val="nil"/>
              <w:left w:val="nil"/>
              <w:bottom w:val="single" w:sz="4" w:space="0" w:color="auto"/>
              <w:right w:val="single" w:sz="8" w:space="0" w:color="000000"/>
            </w:tcBorders>
            <w:shd w:val="clear" w:color="000000" w:fill="FFFF99"/>
            <w:vAlign w:val="center"/>
            <w:hideMark/>
          </w:tcPr>
          <w:p w14:paraId="37B52671" w14:textId="77777777"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MF - Department for budgets and funds</w:t>
            </w:r>
          </w:p>
        </w:tc>
        <w:tc>
          <w:tcPr>
            <w:tcW w:w="1325" w:type="dxa"/>
            <w:gridSpan w:val="2"/>
            <w:tcBorders>
              <w:top w:val="nil"/>
              <w:left w:val="nil"/>
              <w:bottom w:val="single" w:sz="4" w:space="0" w:color="auto"/>
              <w:right w:val="single" w:sz="8" w:space="0" w:color="000000"/>
            </w:tcBorders>
            <w:shd w:val="clear" w:color="000000" w:fill="FFFF99"/>
            <w:vAlign w:val="center"/>
            <w:hideMark/>
          </w:tcPr>
          <w:p w14:paraId="3B909BB0" w14:textId="77777777" w:rsidR="00F16C64" w:rsidRPr="00D30847" w:rsidRDefault="00F16C64" w:rsidP="00F16C64">
            <w:pPr>
              <w:spacing w:after="0" w:line="240" w:lineRule="auto"/>
              <w:rPr>
                <w:rFonts w:eastAsia="Times New Roman" w:cs="Calibri"/>
                <w:sz w:val="12"/>
                <w:szCs w:val="12"/>
                <w:lang w:val="en-GB" w:eastAsia="mk-MK"/>
              </w:rPr>
            </w:pPr>
            <w:r w:rsidRPr="00D30847">
              <w:rPr>
                <w:rFonts w:eastAsia="Times New Roman" w:cs="Calibri"/>
                <w:sz w:val="12"/>
                <w:szCs w:val="12"/>
                <w:lang w:val="en-GB" w:eastAsia="mk-MK"/>
              </w:rPr>
              <w:t>Law on Financing of Local Self-Government Units</w:t>
            </w:r>
          </w:p>
        </w:tc>
        <w:tc>
          <w:tcPr>
            <w:tcW w:w="1652" w:type="dxa"/>
            <w:gridSpan w:val="4"/>
            <w:tcBorders>
              <w:top w:val="nil"/>
              <w:left w:val="nil"/>
              <w:bottom w:val="single" w:sz="4" w:space="0" w:color="auto"/>
              <w:right w:val="single" w:sz="8" w:space="0" w:color="000000"/>
            </w:tcBorders>
            <w:shd w:val="clear" w:color="000000" w:fill="FFFF99"/>
            <w:vAlign w:val="center"/>
            <w:hideMark/>
          </w:tcPr>
          <w:p w14:paraId="35B17239" w14:textId="791B471C"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w:t>
            </w:r>
          </w:p>
        </w:tc>
        <w:tc>
          <w:tcPr>
            <w:tcW w:w="1813" w:type="dxa"/>
            <w:gridSpan w:val="4"/>
            <w:tcBorders>
              <w:top w:val="nil"/>
              <w:left w:val="nil"/>
              <w:bottom w:val="single" w:sz="4" w:space="0" w:color="auto"/>
              <w:right w:val="single" w:sz="4" w:space="0" w:color="auto"/>
            </w:tcBorders>
            <w:shd w:val="clear" w:color="000000" w:fill="FFFF99"/>
            <w:vAlign w:val="center"/>
            <w:hideMark/>
          </w:tcPr>
          <w:p w14:paraId="7377D2E4" w14:textId="2F432D24"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New bylaws</w:t>
            </w:r>
          </w:p>
        </w:tc>
        <w:tc>
          <w:tcPr>
            <w:tcW w:w="1872" w:type="dxa"/>
            <w:gridSpan w:val="5"/>
            <w:tcBorders>
              <w:top w:val="nil"/>
              <w:left w:val="single" w:sz="4" w:space="0" w:color="auto"/>
              <w:bottom w:val="single" w:sz="4" w:space="0" w:color="auto"/>
              <w:right w:val="single" w:sz="8" w:space="0" w:color="000000"/>
            </w:tcBorders>
            <w:shd w:val="clear" w:color="000000" w:fill="FFFF99"/>
            <w:vAlign w:val="center"/>
            <w:hideMark/>
          </w:tcPr>
          <w:p w14:paraId="56E25B07" w14:textId="6D550008"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w:t>
            </w:r>
          </w:p>
        </w:tc>
        <w:tc>
          <w:tcPr>
            <w:tcW w:w="1413" w:type="dxa"/>
            <w:gridSpan w:val="2"/>
            <w:tcBorders>
              <w:top w:val="nil"/>
              <w:left w:val="nil"/>
              <w:bottom w:val="single" w:sz="4" w:space="0" w:color="auto"/>
              <w:right w:val="single" w:sz="8" w:space="0" w:color="000000"/>
            </w:tcBorders>
            <w:shd w:val="clear" w:color="000000" w:fill="FFFF99"/>
            <w:vAlign w:val="center"/>
            <w:hideMark/>
          </w:tcPr>
          <w:p w14:paraId="44CB1274" w14:textId="2191817A"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w:t>
            </w:r>
          </w:p>
        </w:tc>
      </w:tr>
      <w:tr w:rsidR="00F16C64" w:rsidRPr="00D30847" w14:paraId="681D2C9E"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620"/>
        </w:trPr>
        <w:tc>
          <w:tcPr>
            <w:tcW w:w="2525" w:type="dxa"/>
            <w:gridSpan w:val="7"/>
            <w:tcBorders>
              <w:top w:val="nil"/>
              <w:left w:val="nil"/>
              <w:bottom w:val="nil"/>
              <w:right w:val="nil"/>
            </w:tcBorders>
            <w:shd w:val="clear" w:color="auto" w:fill="auto"/>
            <w:vAlign w:val="center"/>
          </w:tcPr>
          <w:p w14:paraId="512F0E65" w14:textId="77777777" w:rsidR="00F16C64" w:rsidRPr="00D30847" w:rsidRDefault="00F16C64" w:rsidP="00F16C64">
            <w:pPr>
              <w:spacing w:after="0" w:line="240" w:lineRule="auto"/>
              <w:jc w:val="center"/>
              <w:rPr>
                <w:rFonts w:eastAsia="Times New Roman" w:cs="Calibri"/>
                <w:sz w:val="12"/>
                <w:szCs w:val="12"/>
                <w:lang w:val="en-GB" w:eastAsia="mk-MK"/>
              </w:rPr>
            </w:pPr>
          </w:p>
        </w:tc>
        <w:tc>
          <w:tcPr>
            <w:tcW w:w="1605" w:type="dxa"/>
            <w:gridSpan w:val="2"/>
            <w:tcBorders>
              <w:top w:val="nil"/>
              <w:left w:val="single" w:sz="8" w:space="0" w:color="000000"/>
              <w:bottom w:val="single" w:sz="4" w:space="0" w:color="auto"/>
              <w:right w:val="single" w:sz="8" w:space="0" w:color="000000"/>
            </w:tcBorders>
            <w:shd w:val="clear" w:color="000000" w:fill="FFFF99"/>
            <w:vAlign w:val="center"/>
          </w:tcPr>
          <w:p w14:paraId="15482531" w14:textId="77777777" w:rsidR="00F16C64" w:rsidRPr="00D30847" w:rsidRDefault="00F16C64" w:rsidP="00F16C64">
            <w:pPr>
              <w:spacing w:after="0" w:line="240" w:lineRule="auto"/>
              <w:rPr>
                <w:rFonts w:eastAsia="Times New Roman" w:cs="Calibri"/>
                <w:sz w:val="12"/>
                <w:szCs w:val="12"/>
                <w:lang w:val="en-GB" w:eastAsia="mk-MK"/>
              </w:rPr>
            </w:pPr>
            <w:r w:rsidRPr="00D30847">
              <w:rPr>
                <w:rFonts w:eastAsia="Times New Roman" w:cs="Calibri"/>
                <w:sz w:val="12"/>
                <w:szCs w:val="12"/>
                <w:lang w:val="en-GB" w:eastAsia="mk-MK"/>
              </w:rPr>
              <w:t>Medium-term budget planning</w:t>
            </w:r>
          </w:p>
        </w:tc>
        <w:tc>
          <w:tcPr>
            <w:tcW w:w="1375" w:type="dxa"/>
            <w:gridSpan w:val="5"/>
            <w:tcBorders>
              <w:top w:val="nil"/>
              <w:left w:val="nil"/>
              <w:bottom w:val="single" w:sz="4" w:space="0" w:color="auto"/>
              <w:right w:val="single" w:sz="8" w:space="0" w:color="000000"/>
            </w:tcBorders>
            <w:shd w:val="clear" w:color="000000" w:fill="FFFF99"/>
            <w:vAlign w:val="center"/>
          </w:tcPr>
          <w:p w14:paraId="0BC77CE1" w14:textId="77777777"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MF - Department for budgets and funds</w:t>
            </w:r>
          </w:p>
        </w:tc>
        <w:tc>
          <w:tcPr>
            <w:tcW w:w="1325" w:type="dxa"/>
            <w:gridSpan w:val="2"/>
            <w:tcBorders>
              <w:top w:val="nil"/>
              <w:left w:val="nil"/>
              <w:bottom w:val="single" w:sz="4" w:space="0" w:color="auto"/>
              <w:right w:val="single" w:sz="8" w:space="0" w:color="000000"/>
            </w:tcBorders>
            <w:shd w:val="clear" w:color="000000" w:fill="FFFF99"/>
            <w:vAlign w:val="center"/>
          </w:tcPr>
          <w:p w14:paraId="7F0E806D" w14:textId="77777777"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w:t>
            </w:r>
          </w:p>
        </w:tc>
        <w:tc>
          <w:tcPr>
            <w:tcW w:w="1652" w:type="dxa"/>
            <w:gridSpan w:val="4"/>
            <w:tcBorders>
              <w:top w:val="nil"/>
              <w:left w:val="nil"/>
              <w:bottom w:val="single" w:sz="4" w:space="0" w:color="auto"/>
              <w:right w:val="single" w:sz="8" w:space="0" w:color="000000"/>
            </w:tcBorders>
            <w:shd w:val="clear" w:color="000000" w:fill="FFFF99"/>
            <w:vAlign w:val="center"/>
          </w:tcPr>
          <w:p w14:paraId="6A61DABE" w14:textId="2C373D9B"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w:t>
            </w:r>
          </w:p>
        </w:tc>
        <w:tc>
          <w:tcPr>
            <w:tcW w:w="1813" w:type="dxa"/>
            <w:gridSpan w:val="4"/>
            <w:tcBorders>
              <w:top w:val="nil"/>
              <w:left w:val="nil"/>
              <w:bottom w:val="single" w:sz="4" w:space="0" w:color="auto"/>
              <w:right w:val="single" w:sz="4" w:space="0" w:color="auto"/>
            </w:tcBorders>
            <w:shd w:val="clear" w:color="000000" w:fill="FFFF99"/>
            <w:vAlign w:val="center"/>
          </w:tcPr>
          <w:p w14:paraId="4711A2AF" w14:textId="517A0FE9"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All municipalities had medium-term budget planning</w:t>
            </w:r>
          </w:p>
        </w:tc>
        <w:tc>
          <w:tcPr>
            <w:tcW w:w="1872" w:type="dxa"/>
            <w:gridSpan w:val="5"/>
            <w:tcBorders>
              <w:top w:val="nil"/>
              <w:left w:val="single" w:sz="4" w:space="0" w:color="auto"/>
              <w:bottom w:val="single" w:sz="4" w:space="0" w:color="auto"/>
              <w:right w:val="single" w:sz="8" w:space="0" w:color="000000"/>
            </w:tcBorders>
            <w:shd w:val="clear" w:color="000000" w:fill="FFFF99"/>
            <w:vAlign w:val="center"/>
          </w:tcPr>
          <w:p w14:paraId="0A9AF07D" w14:textId="5BE745C8"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All municipalities had medium-term budget planning</w:t>
            </w:r>
          </w:p>
        </w:tc>
        <w:tc>
          <w:tcPr>
            <w:tcW w:w="1413" w:type="dxa"/>
            <w:gridSpan w:val="2"/>
            <w:tcBorders>
              <w:top w:val="nil"/>
              <w:left w:val="nil"/>
              <w:bottom w:val="single" w:sz="4" w:space="0" w:color="auto"/>
              <w:right w:val="single" w:sz="8" w:space="0" w:color="000000"/>
            </w:tcBorders>
            <w:shd w:val="clear" w:color="000000" w:fill="FFFF99"/>
            <w:vAlign w:val="center"/>
          </w:tcPr>
          <w:p w14:paraId="7508A7E0" w14:textId="3AE3DCD2"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All municipalities had medium-term budget planning</w:t>
            </w:r>
          </w:p>
        </w:tc>
      </w:tr>
      <w:tr w:rsidR="00082B88" w:rsidRPr="00D30847" w14:paraId="3132FA20"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521"/>
        </w:trPr>
        <w:tc>
          <w:tcPr>
            <w:tcW w:w="2525" w:type="dxa"/>
            <w:gridSpan w:val="7"/>
            <w:tcBorders>
              <w:top w:val="nil"/>
              <w:left w:val="nil"/>
              <w:bottom w:val="nil"/>
              <w:right w:val="nil"/>
            </w:tcBorders>
            <w:shd w:val="clear" w:color="auto" w:fill="auto"/>
            <w:vAlign w:val="center"/>
          </w:tcPr>
          <w:p w14:paraId="42458722" w14:textId="77777777" w:rsidR="00082B88" w:rsidRPr="00D30847" w:rsidRDefault="00082B88" w:rsidP="00800970">
            <w:pPr>
              <w:spacing w:after="0" w:line="240" w:lineRule="auto"/>
              <w:jc w:val="center"/>
              <w:rPr>
                <w:rFonts w:eastAsia="Times New Roman" w:cs="Calibri"/>
                <w:sz w:val="12"/>
                <w:szCs w:val="12"/>
                <w:lang w:val="en-GB" w:eastAsia="mk-MK"/>
              </w:rPr>
            </w:pPr>
          </w:p>
        </w:tc>
        <w:tc>
          <w:tcPr>
            <w:tcW w:w="1605" w:type="dxa"/>
            <w:gridSpan w:val="2"/>
            <w:tcBorders>
              <w:top w:val="nil"/>
              <w:left w:val="single" w:sz="8" w:space="0" w:color="000000"/>
              <w:bottom w:val="single" w:sz="4" w:space="0" w:color="auto"/>
              <w:right w:val="single" w:sz="8" w:space="0" w:color="000000"/>
            </w:tcBorders>
            <w:shd w:val="clear" w:color="000000" w:fill="FFFF99"/>
            <w:vAlign w:val="center"/>
          </w:tcPr>
          <w:p w14:paraId="005E061C" w14:textId="77777777" w:rsidR="00082B88" w:rsidRPr="00D30847" w:rsidRDefault="00082B88" w:rsidP="00800970">
            <w:pPr>
              <w:spacing w:after="0" w:line="240" w:lineRule="auto"/>
              <w:rPr>
                <w:rFonts w:eastAsia="Times New Roman" w:cs="Calibri"/>
                <w:sz w:val="12"/>
                <w:szCs w:val="12"/>
                <w:lang w:val="en-GB" w:eastAsia="mk-MK"/>
              </w:rPr>
            </w:pPr>
            <w:r w:rsidRPr="00D30847">
              <w:rPr>
                <w:rFonts w:eastAsia="Times New Roman" w:cs="Calibri"/>
                <w:sz w:val="12"/>
                <w:szCs w:val="12"/>
                <w:lang w:val="en-GB" w:eastAsia="mk-MK"/>
              </w:rPr>
              <w:t>Number of trained employees in municipalities</w:t>
            </w:r>
          </w:p>
        </w:tc>
        <w:tc>
          <w:tcPr>
            <w:tcW w:w="1375" w:type="dxa"/>
            <w:gridSpan w:val="5"/>
            <w:tcBorders>
              <w:top w:val="nil"/>
              <w:left w:val="nil"/>
              <w:bottom w:val="single" w:sz="4" w:space="0" w:color="auto"/>
              <w:right w:val="single" w:sz="8" w:space="0" w:color="000000"/>
            </w:tcBorders>
            <w:shd w:val="clear" w:color="000000" w:fill="FFFF99"/>
            <w:vAlign w:val="center"/>
          </w:tcPr>
          <w:p w14:paraId="321D2316"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MF - Department for budgets and funds</w:t>
            </w:r>
          </w:p>
        </w:tc>
        <w:tc>
          <w:tcPr>
            <w:tcW w:w="1325" w:type="dxa"/>
            <w:gridSpan w:val="2"/>
            <w:tcBorders>
              <w:top w:val="nil"/>
              <w:left w:val="nil"/>
              <w:bottom w:val="single" w:sz="4" w:space="0" w:color="auto"/>
              <w:right w:val="single" w:sz="8" w:space="0" w:color="000000"/>
            </w:tcBorders>
            <w:shd w:val="clear" w:color="000000" w:fill="FFFF99"/>
            <w:vAlign w:val="center"/>
          </w:tcPr>
          <w:p w14:paraId="22D7BE57"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w:t>
            </w:r>
          </w:p>
        </w:tc>
        <w:tc>
          <w:tcPr>
            <w:tcW w:w="1652" w:type="dxa"/>
            <w:gridSpan w:val="4"/>
            <w:tcBorders>
              <w:top w:val="nil"/>
              <w:left w:val="nil"/>
              <w:bottom w:val="single" w:sz="4" w:space="0" w:color="auto"/>
              <w:right w:val="single" w:sz="8" w:space="0" w:color="000000"/>
            </w:tcBorders>
            <w:shd w:val="clear" w:color="000000" w:fill="FFFF99"/>
            <w:vAlign w:val="center"/>
          </w:tcPr>
          <w:p w14:paraId="49ADCC13"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81</w:t>
            </w:r>
          </w:p>
        </w:tc>
        <w:tc>
          <w:tcPr>
            <w:tcW w:w="1813" w:type="dxa"/>
            <w:gridSpan w:val="4"/>
            <w:tcBorders>
              <w:top w:val="nil"/>
              <w:left w:val="nil"/>
              <w:bottom w:val="single" w:sz="4" w:space="0" w:color="auto"/>
              <w:right w:val="single" w:sz="4" w:space="0" w:color="auto"/>
            </w:tcBorders>
            <w:shd w:val="clear" w:color="000000" w:fill="FFFF99"/>
            <w:vAlign w:val="center"/>
          </w:tcPr>
          <w:p w14:paraId="2B7ABEC9"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81</w:t>
            </w:r>
          </w:p>
        </w:tc>
        <w:tc>
          <w:tcPr>
            <w:tcW w:w="1872" w:type="dxa"/>
            <w:gridSpan w:val="5"/>
            <w:tcBorders>
              <w:top w:val="nil"/>
              <w:left w:val="single" w:sz="4" w:space="0" w:color="auto"/>
              <w:bottom w:val="single" w:sz="4" w:space="0" w:color="auto"/>
              <w:right w:val="single" w:sz="8" w:space="0" w:color="000000"/>
            </w:tcBorders>
            <w:shd w:val="clear" w:color="000000" w:fill="FFFF99"/>
            <w:vAlign w:val="center"/>
          </w:tcPr>
          <w:p w14:paraId="1EF5DC3E"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81</w:t>
            </w:r>
          </w:p>
        </w:tc>
        <w:tc>
          <w:tcPr>
            <w:tcW w:w="1413" w:type="dxa"/>
            <w:gridSpan w:val="2"/>
            <w:tcBorders>
              <w:top w:val="nil"/>
              <w:left w:val="nil"/>
              <w:bottom w:val="single" w:sz="4" w:space="0" w:color="auto"/>
              <w:right w:val="single" w:sz="8" w:space="0" w:color="000000"/>
            </w:tcBorders>
            <w:shd w:val="clear" w:color="000000" w:fill="FFFF99"/>
            <w:vAlign w:val="center"/>
          </w:tcPr>
          <w:p w14:paraId="590F0B57"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81</w:t>
            </w:r>
          </w:p>
        </w:tc>
      </w:tr>
      <w:tr w:rsidR="00082B88" w:rsidRPr="00D30847" w14:paraId="21D8C8C9"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70"/>
        </w:trPr>
        <w:tc>
          <w:tcPr>
            <w:tcW w:w="2525" w:type="dxa"/>
            <w:gridSpan w:val="7"/>
            <w:tcBorders>
              <w:top w:val="nil"/>
              <w:left w:val="nil"/>
              <w:bottom w:val="nil"/>
              <w:right w:val="nil"/>
            </w:tcBorders>
            <w:shd w:val="clear" w:color="auto" w:fill="auto"/>
            <w:vAlign w:val="center"/>
            <w:hideMark/>
          </w:tcPr>
          <w:p w14:paraId="0BB25839" w14:textId="77777777" w:rsidR="00082B88" w:rsidRPr="00D30847" w:rsidRDefault="00082B88" w:rsidP="00800970">
            <w:pPr>
              <w:spacing w:after="0" w:line="240" w:lineRule="auto"/>
              <w:rPr>
                <w:rFonts w:eastAsia="Times New Roman" w:cs="Calibri"/>
                <w:sz w:val="12"/>
                <w:szCs w:val="12"/>
                <w:lang w:val="en-GB" w:eastAsia="mk-MK"/>
              </w:rPr>
            </w:pPr>
          </w:p>
        </w:tc>
        <w:tc>
          <w:tcPr>
            <w:tcW w:w="1605" w:type="dxa"/>
            <w:gridSpan w:val="2"/>
            <w:tcBorders>
              <w:left w:val="single" w:sz="8" w:space="0" w:color="000000"/>
            </w:tcBorders>
            <w:shd w:val="clear" w:color="000000" w:fill="9BD2ED"/>
            <w:vAlign w:val="center"/>
            <w:hideMark/>
          </w:tcPr>
          <w:p w14:paraId="53EF37D5"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Activities</w:t>
            </w:r>
          </w:p>
        </w:tc>
        <w:tc>
          <w:tcPr>
            <w:tcW w:w="1375" w:type="dxa"/>
            <w:gridSpan w:val="5"/>
            <w:shd w:val="clear" w:color="000000" w:fill="9BD2ED"/>
            <w:vAlign w:val="center"/>
            <w:hideMark/>
          </w:tcPr>
          <w:p w14:paraId="1B3DB7E7"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Implementation period</w:t>
            </w:r>
          </w:p>
        </w:tc>
        <w:tc>
          <w:tcPr>
            <w:tcW w:w="1325" w:type="dxa"/>
            <w:gridSpan w:val="2"/>
            <w:shd w:val="clear" w:color="000000" w:fill="9BD2ED"/>
            <w:vAlign w:val="center"/>
            <w:hideMark/>
          </w:tcPr>
          <w:p w14:paraId="29C4E45F"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Responsible institution</w:t>
            </w:r>
          </w:p>
        </w:tc>
        <w:tc>
          <w:tcPr>
            <w:tcW w:w="1652" w:type="dxa"/>
            <w:gridSpan w:val="4"/>
            <w:shd w:val="clear" w:color="000000" w:fill="9BD2ED"/>
            <w:vAlign w:val="center"/>
            <w:hideMark/>
          </w:tcPr>
          <w:p w14:paraId="0179E6FC"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Other partners</w:t>
            </w:r>
          </w:p>
        </w:tc>
        <w:tc>
          <w:tcPr>
            <w:tcW w:w="1813" w:type="dxa"/>
            <w:gridSpan w:val="4"/>
            <w:shd w:val="clear" w:color="000000" w:fill="9BD2ED"/>
            <w:vAlign w:val="center"/>
            <w:hideMark/>
          </w:tcPr>
          <w:p w14:paraId="3C9EF630"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Costs</w:t>
            </w:r>
          </w:p>
        </w:tc>
        <w:tc>
          <w:tcPr>
            <w:tcW w:w="1872" w:type="dxa"/>
            <w:gridSpan w:val="5"/>
            <w:shd w:val="clear" w:color="000000" w:fill="9BD2ED"/>
            <w:vAlign w:val="center"/>
            <w:hideMark/>
          </w:tcPr>
          <w:p w14:paraId="39576276"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Source of financing</w:t>
            </w:r>
          </w:p>
        </w:tc>
        <w:tc>
          <w:tcPr>
            <w:tcW w:w="1413" w:type="dxa"/>
            <w:gridSpan w:val="2"/>
            <w:shd w:val="clear" w:color="000000" w:fill="9BD2ED"/>
            <w:vAlign w:val="center"/>
            <w:hideMark/>
          </w:tcPr>
          <w:p w14:paraId="686911B2"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 </w:t>
            </w:r>
          </w:p>
        </w:tc>
      </w:tr>
      <w:tr w:rsidR="00F16C64" w:rsidRPr="00D30847" w14:paraId="70126D20"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593"/>
        </w:trPr>
        <w:tc>
          <w:tcPr>
            <w:tcW w:w="2525" w:type="dxa"/>
            <w:gridSpan w:val="7"/>
            <w:tcBorders>
              <w:top w:val="nil"/>
              <w:left w:val="nil"/>
              <w:bottom w:val="nil"/>
              <w:right w:val="single" w:sz="4" w:space="0" w:color="auto"/>
            </w:tcBorders>
            <w:shd w:val="clear" w:color="auto" w:fill="auto"/>
            <w:vAlign w:val="center"/>
            <w:hideMark/>
          </w:tcPr>
          <w:p w14:paraId="149B88CF" w14:textId="77777777" w:rsidR="00F16C64" w:rsidRPr="00D30847" w:rsidRDefault="00F16C64" w:rsidP="00F16C64">
            <w:pPr>
              <w:spacing w:after="0" w:line="240" w:lineRule="auto"/>
              <w:jc w:val="both"/>
              <w:rPr>
                <w:rFonts w:eastAsia="Times New Roman" w:cs="Calibri"/>
                <w:sz w:val="12"/>
                <w:szCs w:val="12"/>
                <w:lang w:val="en-GB" w:eastAsia="mk-MK"/>
              </w:rPr>
            </w:pPr>
            <w:r w:rsidRPr="00D30847">
              <w:rPr>
                <w:rFonts w:eastAsia="Times New Roman" w:cs="Calibri"/>
                <w:sz w:val="12"/>
                <w:szCs w:val="12"/>
                <w:lang w:val="en-GB" w:eastAsia="mk-MK"/>
              </w:rPr>
              <w:t> </w:t>
            </w:r>
          </w:p>
        </w:tc>
        <w:tc>
          <w:tcPr>
            <w:tcW w:w="1605"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2DDC331C" w14:textId="77777777" w:rsidR="00F16C64" w:rsidRPr="00D30847" w:rsidRDefault="00F16C64" w:rsidP="00F16C64">
            <w:pPr>
              <w:spacing w:after="0" w:line="240" w:lineRule="auto"/>
              <w:rPr>
                <w:rFonts w:eastAsia="Times New Roman" w:cs="Calibri"/>
                <w:sz w:val="12"/>
                <w:szCs w:val="12"/>
                <w:lang w:val="en-GB" w:eastAsia="mk-MK"/>
              </w:rPr>
            </w:pPr>
            <w:r w:rsidRPr="00D30847">
              <w:rPr>
                <w:rFonts w:eastAsia="Times New Roman" w:cs="Calibri"/>
                <w:sz w:val="12"/>
                <w:szCs w:val="12"/>
                <w:lang w:val="en-GB" w:eastAsia="mk-MK"/>
              </w:rPr>
              <w:t>1. Adoption of a new Law on Financing of Local Self-Government Units</w:t>
            </w:r>
          </w:p>
        </w:tc>
        <w:tc>
          <w:tcPr>
            <w:tcW w:w="1375" w:type="dxa"/>
            <w:gridSpan w:val="5"/>
            <w:tcBorders>
              <w:top w:val="single" w:sz="4" w:space="0" w:color="auto"/>
              <w:left w:val="single" w:sz="4" w:space="0" w:color="auto"/>
              <w:bottom w:val="single" w:sz="4" w:space="0" w:color="auto"/>
              <w:right w:val="single" w:sz="4" w:space="0" w:color="auto"/>
            </w:tcBorders>
            <w:shd w:val="clear" w:color="000000" w:fill="FFFF99"/>
            <w:vAlign w:val="center"/>
            <w:hideMark/>
          </w:tcPr>
          <w:p w14:paraId="73A17EB4" w14:textId="2EE98BF7"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2025-2026</w:t>
            </w:r>
          </w:p>
        </w:tc>
        <w:tc>
          <w:tcPr>
            <w:tcW w:w="1325"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1586AED0" w14:textId="77777777"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MF</w:t>
            </w:r>
          </w:p>
        </w:tc>
        <w:tc>
          <w:tcPr>
            <w:tcW w:w="1652" w:type="dxa"/>
            <w:gridSpan w:val="4"/>
            <w:tcBorders>
              <w:top w:val="single" w:sz="4" w:space="0" w:color="auto"/>
              <w:left w:val="single" w:sz="4" w:space="0" w:color="auto"/>
              <w:bottom w:val="single" w:sz="4" w:space="0" w:color="auto"/>
              <w:right w:val="single" w:sz="4" w:space="0" w:color="auto"/>
            </w:tcBorders>
            <w:shd w:val="clear" w:color="000000" w:fill="FFFF99"/>
            <w:hideMark/>
          </w:tcPr>
          <w:p w14:paraId="6AED18EF" w14:textId="77777777"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Ministry of Local Self-Government,</w:t>
            </w:r>
          </w:p>
          <w:p w14:paraId="24E26B95" w14:textId="77777777"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Municipalities,</w:t>
            </w:r>
          </w:p>
          <w:p w14:paraId="1D45F631" w14:textId="77777777"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ZELS,</w:t>
            </w:r>
          </w:p>
          <w:p w14:paraId="20027F15" w14:textId="77777777"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UNDP</w:t>
            </w:r>
          </w:p>
          <w:p w14:paraId="1AD214D5" w14:textId="77777777" w:rsidR="00F16C64" w:rsidRPr="00D30847" w:rsidRDefault="00F16C64" w:rsidP="00F16C64">
            <w:pPr>
              <w:spacing w:after="0" w:line="240" w:lineRule="auto"/>
              <w:rPr>
                <w:rFonts w:eastAsia="Times New Roman" w:cs="Calibri"/>
                <w:sz w:val="12"/>
                <w:szCs w:val="12"/>
                <w:lang w:val="en-GB" w:eastAsia="mk-MK"/>
              </w:rPr>
            </w:pPr>
          </w:p>
        </w:tc>
        <w:tc>
          <w:tcPr>
            <w:tcW w:w="1813" w:type="dxa"/>
            <w:gridSpan w:val="4"/>
            <w:tcBorders>
              <w:top w:val="single" w:sz="4" w:space="0" w:color="auto"/>
              <w:left w:val="single" w:sz="4" w:space="0" w:color="auto"/>
              <w:bottom w:val="single" w:sz="4" w:space="0" w:color="auto"/>
              <w:right w:val="single" w:sz="4" w:space="0" w:color="auto"/>
            </w:tcBorders>
            <w:shd w:val="clear" w:color="000000" w:fill="FFFF99"/>
            <w:vAlign w:val="center"/>
            <w:hideMark/>
          </w:tcPr>
          <w:p w14:paraId="0875FECE" w14:textId="45CB186C" w:rsidR="00F16C64" w:rsidRPr="00D30847" w:rsidRDefault="00F16C64" w:rsidP="00F16C64">
            <w:pPr>
              <w:spacing w:after="0" w:line="240" w:lineRule="auto"/>
              <w:jc w:val="center"/>
              <w:rPr>
                <w:rFonts w:eastAsia="Times New Roman" w:cs="Calibri"/>
                <w:color w:val="FF0000"/>
                <w:sz w:val="12"/>
                <w:szCs w:val="12"/>
                <w:lang w:val="en-GB" w:eastAsia="mk-MK"/>
              </w:rPr>
            </w:pPr>
            <w:r w:rsidRPr="00D30847">
              <w:rPr>
                <w:rFonts w:eastAsia="Times New Roman" w:cs="Calibri"/>
                <w:sz w:val="12"/>
                <w:szCs w:val="12"/>
                <w:lang w:val="en-GB" w:eastAsia="mk-MK"/>
              </w:rPr>
              <w:t xml:space="preserve">20.000                                                       </w:t>
            </w:r>
          </w:p>
        </w:tc>
        <w:tc>
          <w:tcPr>
            <w:tcW w:w="1872" w:type="dxa"/>
            <w:gridSpan w:val="5"/>
            <w:tcBorders>
              <w:top w:val="single" w:sz="4" w:space="0" w:color="auto"/>
              <w:left w:val="single" w:sz="4" w:space="0" w:color="auto"/>
              <w:bottom w:val="single" w:sz="4" w:space="0" w:color="auto"/>
              <w:right w:val="single" w:sz="4" w:space="0" w:color="auto"/>
            </w:tcBorders>
            <w:shd w:val="clear" w:color="000000" w:fill="FFFF99"/>
            <w:vAlign w:val="center"/>
            <w:hideMark/>
          </w:tcPr>
          <w:p w14:paraId="37DCA30B" w14:textId="6F285635"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UNDP</w:t>
            </w:r>
          </w:p>
        </w:tc>
        <w:tc>
          <w:tcPr>
            <w:tcW w:w="1413"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26679D83" w14:textId="77777777"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 </w:t>
            </w:r>
          </w:p>
        </w:tc>
      </w:tr>
      <w:tr w:rsidR="00F16C64" w:rsidRPr="00D30847" w14:paraId="5DDAC753"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890"/>
        </w:trPr>
        <w:tc>
          <w:tcPr>
            <w:tcW w:w="2525" w:type="dxa"/>
            <w:gridSpan w:val="7"/>
            <w:tcBorders>
              <w:top w:val="nil"/>
              <w:left w:val="nil"/>
              <w:bottom w:val="nil"/>
              <w:right w:val="single" w:sz="8" w:space="0" w:color="000000"/>
            </w:tcBorders>
            <w:shd w:val="clear" w:color="auto" w:fill="auto"/>
            <w:vAlign w:val="center"/>
            <w:hideMark/>
          </w:tcPr>
          <w:p w14:paraId="0DF149DB" w14:textId="77777777" w:rsidR="00F16C64" w:rsidRPr="00D30847" w:rsidRDefault="00F16C64" w:rsidP="00F16C64">
            <w:pPr>
              <w:spacing w:after="0" w:line="240" w:lineRule="auto"/>
              <w:jc w:val="both"/>
              <w:rPr>
                <w:rFonts w:eastAsia="Times New Roman" w:cs="Calibri"/>
                <w:sz w:val="12"/>
                <w:szCs w:val="12"/>
                <w:lang w:val="en-GB" w:eastAsia="mk-MK"/>
              </w:rPr>
            </w:pPr>
            <w:r w:rsidRPr="00D30847">
              <w:rPr>
                <w:rFonts w:eastAsia="Times New Roman" w:cs="Calibri"/>
                <w:sz w:val="12"/>
                <w:szCs w:val="12"/>
                <w:lang w:val="en-GB" w:eastAsia="mk-MK"/>
              </w:rPr>
              <w:t> </w:t>
            </w:r>
          </w:p>
        </w:tc>
        <w:tc>
          <w:tcPr>
            <w:tcW w:w="1605" w:type="dxa"/>
            <w:gridSpan w:val="2"/>
            <w:tcBorders>
              <w:top w:val="single" w:sz="4" w:space="0" w:color="auto"/>
              <w:left w:val="nil"/>
              <w:bottom w:val="single" w:sz="4" w:space="0" w:color="auto"/>
              <w:right w:val="nil"/>
            </w:tcBorders>
            <w:shd w:val="clear" w:color="000000" w:fill="FFFF99"/>
            <w:vAlign w:val="center"/>
            <w:hideMark/>
          </w:tcPr>
          <w:p w14:paraId="7CAB1951" w14:textId="77777777" w:rsidR="00F16C64" w:rsidRPr="00D30847" w:rsidRDefault="00F16C64" w:rsidP="00F16C64">
            <w:pPr>
              <w:spacing w:after="0" w:line="240" w:lineRule="auto"/>
              <w:rPr>
                <w:rFonts w:eastAsia="Times New Roman" w:cs="Calibri"/>
                <w:sz w:val="12"/>
                <w:szCs w:val="12"/>
                <w:lang w:val="en-GB" w:eastAsia="mk-MK"/>
              </w:rPr>
            </w:pPr>
            <w:r w:rsidRPr="00D30847">
              <w:rPr>
                <w:rFonts w:eastAsia="Times New Roman" w:cs="Calibri"/>
                <w:sz w:val="12"/>
                <w:szCs w:val="12"/>
                <w:lang w:val="en-GB" w:eastAsia="mk-MK"/>
              </w:rPr>
              <w:t>2.Preparation of by-laws from the Law on Financing of Local Self-Government Units</w:t>
            </w:r>
          </w:p>
        </w:tc>
        <w:tc>
          <w:tcPr>
            <w:tcW w:w="1375" w:type="dxa"/>
            <w:gridSpan w:val="5"/>
            <w:tcBorders>
              <w:top w:val="single" w:sz="4" w:space="0" w:color="auto"/>
              <w:left w:val="single" w:sz="8" w:space="0" w:color="auto"/>
              <w:bottom w:val="single" w:sz="4" w:space="0" w:color="auto"/>
              <w:right w:val="single" w:sz="8" w:space="0" w:color="auto"/>
            </w:tcBorders>
            <w:shd w:val="clear" w:color="000000" w:fill="FFFF99"/>
            <w:vAlign w:val="center"/>
            <w:hideMark/>
          </w:tcPr>
          <w:p w14:paraId="4AF7328F" w14:textId="56A3FA63"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2026</w:t>
            </w:r>
          </w:p>
        </w:tc>
        <w:tc>
          <w:tcPr>
            <w:tcW w:w="1325" w:type="dxa"/>
            <w:gridSpan w:val="2"/>
            <w:tcBorders>
              <w:top w:val="single" w:sz="4" w:space="0" w:color="auto"/>
              <w:left w:val="nil"/>
              <w:bottom w:val="single" w:sz="4" w:space="0" w:color="auto"/>
              <w:right w:val="single" w:sz="8" w:space="0" w:color="auto"/>
            </w:tcBorders>
            <w:shd w:val="clear" w:color="000000" w:fill="FFFF99"/>
            <w:vAlign w:val="center"/>
            <w:hideMark/>
          </w:tcPr>
          <w:p w14:paraId="085B74CA" w14:textId="77777777"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MF</w:t>
            </w:r>
          </w:p>
        </w:tc>
        <w:tc>
          <w:tcPr>
            <w:tcW w:w="1652" w:type="dxa"/>
            <w:gridSpan w:val="4"/>
            <w:tcBorders>
              <w:top w:val="single" w:sz="4" w:space="0" w:color="auto"/>
              <w:left w:val="nil"/>
              <w:bottom w:val="single" w:sz="4" w:space="0" w:color="auto"/>
              <w:right w:val="single" w:sz="8" w:space="0" w:color="auto"/>
            </w:tcBorders>
            <w:shd w:val="clear" w:color="000000" w:fill="FFFF99"/>
            <w:hideMark/>
          </w:tcPr>
          <w:p w14:paraId="379C1EE2" w14:textId="77777777"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Ministry of Local Self-Government,</w:t>
            </w:r>
          </w:p>
          <w:p w14:paraId="7B599219" w14:textId="77777777"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Municipalities,</w:t>
            </w:r>
          </w:p>
          <w:p w14:paraId="3646CCA8" w14:textId="77777777"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ZELS,</w:t>
            </w:r>
          </w:p>
          <w:p w14:paraId="5526215F" w14:textId="77777777"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UNDP</w:t>
            </w:r>
          </w:p>
        </w:tc>
        <w:tc>
          <w:tcPr>
            <w:tcW w:w="1813" w:type="dxa"/>
            <w:gridSpan w:val="4"/>
            <w:tcBorders>
              <w:top w:val="single" w:sz="4" w:space="0" w:color="auto"/>
              <w:left w:val="nil"/>
              <w:bottom w:val="single" w:sz="4" w:space="0" w:color="auto"/>
              <w:right w:val="single" w:sz="4" w:space="0" w:color="auto"/>
            </w:tcBorders>
            <w:shd w:val="clear" w:color="000000" w:fill="FFFF99"/>
            <w:vAlign w:val="center"/>
            <w:hideMark/>
          </w:tcPr>
          <w:p w14:paraId="32DB1945" w14:textId="052F2C63" w:rsidR="00F16C64" w:rsidRPr="00D30847" w:rsidRDefault="00F16C64" w:rsidP="00F16C64">
            <w:pPr>
              <w:spacing w:after="0" w:line="240" w:lineRule="auto"/>
              <w:jc w:val="center"/>
              <w:rPr>
                <w:rFonts w:eastAsia="Times New Roman" w:cs="Calibri"/>
                <w:color w:val="FF0000"/>
                <w:sz w:val="12"/>
                <w:szCs w:val="12"/>
                <w:lang w:val="en-GB" w:eastAsia="mk-MK"/>
              </w:rPr>
            </w:pPr>
            <w:r w:rsidRPr="00D30847">
              <w:rPr>
                <w:rFonts w:eastAsia="Times New Roman" w:cs="Calibri"/>
                <w:sz w:val="12"/>
                <w:szCs w:val="12"/>
                <w:lang w:val="en-GB" w:eastAsia="mk-MK"/>
              </w:rPr>
              <w:t xml:space="preserve">   5.000                                                    </w:t>
            </w:r>
          </w:p>
        </w:tc>
        <w:tc>
          <w:tcPr>
            <w:tcW w:w="1872" w:type="dxa"/>
            <w:gridSpan w:val="5"/>
            <w:tcBorders>
              <w:top w:val="single" w:sz="4" w:space="0" w:color="auto"/>
              <w:left w:val="single" w:sz="4" w:space="0" w:color="auto"/>
              <w:bottom w:val="single" w:sz="4" w:space="0" w:color="auto"/>
              <w:right w:val="single" w:sz="8" w:space="0" w:color="000000"/>
            </w:tcBorders>
            <w:shd w:val="clear" w:color="000000" w:fill="FFFF99"/>
            <w:vAlign w:val="center"/>
            <w:hideMark/>
          </w:tcPr>
          <w:p w14:paraId="3B00DDE7" w14:textId="59ECF8B9"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UNDP</w:t>
            </w:r>
          </w:p>
        </w:tc>
        <w:tc>
          <w:tcPr>
            <w:tcW w:w="1413" w:type="dxa"/>
            <w:gridSpan w:val="2"/>
            <w:tcBorders>
              <w:top w:val="single" w:sz="4" w:space="0" w:color="auto"/>
              <w:left w:val="nil"/>
              <w:bottom w:val="single" w:sz="4" w:space="0" w:color="auto"/>
              <w:right w:val="single" w:sz="8" w:space="0" w:color="000000"/>
            </w:tcBorders>
            <w:shd w:val="clear" w:color="000000" w:fill="FFFF99"/>
            <w:vAlign w:val="center"/>
            <w:hideMark/>
          </w:tcPr>
          <w:p w14:paraId="2B4DAC61" w14:textId="77777777"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 </w:t>
            </w:r>
          </w:p>
        </w:tc>
      </w:tr>
      <w:tr w:rsidR="00F16C64" w:rsidRPr="00D30847" w14:paraId="59046BFF"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593"/>
        </w:trPr>
        <w:tc>
          <w:tcPr>
            <w:tcW w:w="2525" w:type="dxa"/>
            <w:gridSpan w:val="7"/>
            <w:tcBorders>
              <w:top w:val="nil"/>
              <w:left w:val="nil"/>
              <w:bottom w:val="nil"/>
              <w:right w:val="single" w:sz="8" w:space="0" w:color="000000"/>
            </w:tcBorders>
            <w:shd w:val="clear" w:color="auto" w:fill="auto"/>
            <w:vAlign w:val="center"/>
          </w:tcPr>
          <w:p w14:paraId="2D1D9CEF" w14:textId="77777777" w:rsidR="00F16C64" w:rsidRPr="00D30847" w:rsidRDefault="00F16C64" w:rsidP="00F16C64">
            <w:pPr>
              <w:spacing w:after="0" w:line="240" w:lineRule="auto"/>
              <w:jc w:val="both"/>
              <w:rPr>
                <w:rFonts w:eastAsia="Times New Roman" w:cs="Calibri"/>
                <w:sz w:val="12"/>
                <w:szCs w:val="12"/>
                <w:lang w:val="en-GB" w:eastAsia="mk-MK"/>
              </w:rPr>
            </w:pPr>
          </w:p>
          <w:p w14:paraId="641A583C" w14:textId="77777777" w:rsidR="00F16C64" w:rsidRPr="00D30847" w:rsidRDefault="00F16C64" w:rsidP="00F16C64">
            <w:pPr>
              <w:spacing w:after="0" w:line="240" w:lineRule="auto"/>
              <w:jc w:val="both"/>
              <w:rPr>
                <w:rFonts w:eastAsia="Times New Roman" w:cs="Calibri"/>
                <w:sz w:val="12"/>
                <w:szCs w:val="12"/>
                <w:lang w:val="en-GB" w:eastAsia="mk-MK"/>
              </w:rPr>
            </w:pPr>
          </w:p>
        </w:tc>
        <w:tc>
          <w:tcPr>
            <w:tcW w:w="1605" w:type="dxa"/>
            <w:gridSpan w:val="2"/>
            <w:tcBorders>
              <w:top w:val="single" w:sz="4" w:space="0" w:color="auto"/>
              <w:left w:val="nil"/>
              <w:bottom w:val="single" w:sz="4" w:space="0" w:color="auto"/>
              <w:right w:val="nil"/>
            </w:tcBorders>
            <w:shd w:val="clear" w:color="000000" w:fill="FFFF99"/>
            <w:vAlign w:val="center"/>
          </w:tcPr>
          <w:p w14:paraId="61B7E6B6" w14:textId="77777777" w:rsidR="00F16C64" w:rsidRPr="00D30847" w:rsidRDefault="00F16C64" w:rsidP="00F16C64">
            <w:pPr>
              <w:spacing w:after="0" w:line="240" w:lineRule="auto"/>
              <w:rPr>
                <w:rFonts w:eastAsia="Times New Roman" w:cs="Calibri"/>
                <w:sz w:val="12"/>
                <w:szCs w:val="12"/>
                <w:lang w:val="en-GB" w:eastAsia="mk-MK"/>
              </w:rPr>
            </w:pPr>
            <w:r w:rsidRPr="00D30847">
              <w:rPr>
                <w:rFonts w:eastAsia="Times New Roman" w:cs="Calibri"/>
                <w:sz w:val="12"/>
                <w:szCs w:val="12"/>
                <w:lang w:val="en-GB" w:eastAsia="mk-MK"/>
              </w:rPr>
              <w:t>3. Medium-term budget planning</w:t>
            </w:r>
          </w:p>
        </w:tc>
        <w:tc>
          <w:tcPr>
            <w:tcW w:w="1375" w:type="dxa"/>
            <w:gridSpan w:val="5"/>
            <w:tcBorders>
              <w:top w:val="single" w:sz="4" w:space="0" w:color="auto"/>
              <w:left w:val="single" w:sz="8" w:space="0" w:color="auto"/>
              <w:bottom w:val="single" w:sz="4" w:space="0" w:color="auto"/>
              <w:right w:val="single" w:sz="8" w:space="0" w:color="auto"/>
            </w:tcBorders>
            <w:shd w:val="clear" w:color="000000" w:fill="FFFF99"/>
            <w:vAlign w:val="center"/>
          </w:tcPr>
          <w:p w14:paraId="671ACA0D" w14:textId="2C630F10"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2026-2028</w:t>
            </w:r>
          </w:p>
        </w:tc>
        <w:tc>
          <w:tcPr>
            <w:tcW w:w="1325" w:type="dxa"/>
            <w:gridSpan w:val="2"/>
            <w:tcBorders>
              <w:top w:val="single" w:sz="4" w:space="0" w:color="auto"/>
              <w:left w:val="nil"/>
              <w:bottom w:val="single" w:sz="4" w:space="0" w:color="auto"/>
              <w:right w:val="single" w:sz="8" w:space="0" w:color="auto"/>
            </w:tcBorders>
            <w:shd w:val="clear" w:color="000000" w:fill="FFFF99"/>
            <w:vAlign w:val="center"/>
          </w:tcPr>
          <w:p w14:paraId="09C6512F" w14:textId="77777777"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MF</w:t>
            </w:r>
          </w:p>
        </w:tc>
        <w:tc>
          <w:tcPr>
            <w:tcW w:w="1652" w:type="dxa"/>
            <w:gridSpan w:val="4"/>
            <w:tcBorders>
              <w:top w:val="single" w:sz="4" w:space="0" w:color="auto"/>
              <w:left w:val="nil"/>
              <w:bottom w:val="single" w:sz="4" w:space="0" w:color="auto"/>
              <w:right w:val="single" w:sz="8" w:space="0" w:color="auto"/>
            </w:tcBorders>
            <w:shd w:val="clear" w:color="000000" w:fill="FFFF99"/>
          </w:tcPr>
          <w:p w14:paraId="1825203D" w14:textId="77777777" w:rsidR="00F16C64" w:rsidRPr="00D30847" w:rsidRDefault="00F16C64" w:rsidP="00F16C64">
            <w:pPr>
              <w:spacing w:after="0" w:line="240" w:lineRule="auto"/>
              <w:jc w:val="center"/>
              <w:rPr>
                <w:rFonts w:eastAsia="Times New Roman" w:cs="Calibri"/>
                <w:sz w:val="12"/>
                <w:szCs w:val="12"/>
                <w:lang w:val="en-GB" w:eastAsia="mk-MK"/>
              </w:rPr>
            </w:pPr>
          </w:p>
          <w:p w14:paraId="6352856C" w14:textId="77777777" w:rsidR="00F16C64" w:rsidRPr="00D30847" w:rsidRDefault="00F16C64" w:rsidP="00F16C64">
            <w:pPr>
              <w:spacing w:after="0" w:line="240" w:lineRule="auto"/>
              <w:jc w:val="center"/>
              <w:rPr>
                <w:rFonts w:eastAsia="Times New Roman" w:cs="Calibri"/>
                <w:sz w:val="12"/>
                <w:szCs w:val="12"/>
                <w:lang w:val="en-GB" w:eastAsia="mk-MK"/>
              </w:rPr>
            </w:pPr>
          </w:p>
          <w:p w14:paraId="6820EEBC" w14:textId="46F2FF0F" w:rsidR="00F16C64" w:rsidRPr="00D30847" w:rsidRDefault="00F16C64" w:rsidP="00F16C64">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Municipalities,</w:t>
            </w:r>
          </w:p>
        </w:tc>
        <w:tc>
          <w:tcPr>
            <w:tcW w:w="1813" w:type="dxa"/>
            <w:gridSpan w:val="4"/>
            <w:tcBorders>
              <w:top w:val="single" w:sz="4" w:space="0" w:color="auto"/>
              <w:left w:val="nil"/>
              <w:bottom w:val="single" w:sz="4" w:space="0" w:color="auto"/>
              <w:right w:val="single" w:sz="4" w:space="0" w:color="auto"/>
            </w:tcBorders>
            <w:shd w:val="clear" w:color="000000" w:fill="FFFF99"/>
            <w:vAlign w:val="center"/>
          </w:tcPr>
          <w:p w14:paraId="52738F2B" w14:textId="639814B9" w:rsidR="00F16C64" w:rsidRPr="00D30847" w:rsidRDefault="00F16C64" w:rsidP="00F16C64">
            <w:pPr>
              <w:spacing w:after="0" w:line="240" w:lineRule="auto"/>
              <w:jc w:val="center"/>
              <w:rPr>
                <w:rFonts w:eastAsia="Times New Roman" w:cs="Calibri"/>
                <w:sz w:val="12"/>
                <w:szCs w:val="12"/>
                <w:lang w:val="en-GB" w:eastAsia="mk-MK"/>
              </w:rPr>
            </w:pPr>
          </w:p>
        </w:tc>
        <w:tc>
          <w:tcPr>
            <w:tcW w:w="1872" w:type="dxa"/>
            <w:gridSpan w:val="5"/>
            <w:tcBorders>
              <w:top w:val="single" w:sz="4" w:space="0" w:color="auto"/>
              <w:left w:val="single" w:sz="4" w:space="0" w:color="auto"/>
              <w:bottom w:val="single" w:sz="4" w:space="0" w:color="auto"/>
              <w:right w:val="single" w:sz="8" w:space="0" w:color="000000"/>
            </w:tcBorders>
            <w:shd w:val="clear" w:color="000000" w:fill="FFFF99"/>
            <w:vAlign w:val="center"/>
          </w:tcPr>
          <w:p w14:paraId="0C20EB96" w14:textId="3137590C" w:rsidR="00F16C64" w:rsidRPr="00D30847" w:rsidRDefault="00F16C64" w:rsidP="00F16C64">
            <w:pPr>
              <w:spacing w:after="0" w:line="240" w:lineRule="auto"/>
              <w:jc w:val="center"/>
              <w:rPr>
                <w:rFonts w:eastAsia="Times New Roman" w:cs="Calibri"/>
                <w:sz w:val="12"/>
                <w:szCs w:val="12"/>
                <w:lang w:val="en-GB" w:eastAsia="mk-MK"/>
              </w:rPr>
            </w:pPr>
          </w:p>
        </w:tc>
        <w:tc>
          <w:tcPr>
            <w:tcW w:w="1413" w:type="dxa"/>
            <w:gridSpan w:val="2"/>
            <w:tcBorders>
              <w:top w:val="single" w:sz="4" w:space="0" w:color="auto"/>
              <w:left w:val="nil"/>
              <w:bottom w:val="single" w:sz="4" w:space="0" w:color="auto"/>
              <w:right w:val="single" w:sz="8" w:space="0" w:color="000000"/>
            </w:tcBorders>
            <w:shd w:val="clear" w:color="000000" w:fill="FFFF99"/>
            <w:vAlign w:val="center"/>
          </w:tcPr>
          <w:p w14:paraId="65FA93C9" w14:textId="77777777" w:rsidR="00F16C64" w:rsidRPr="00D30847" w:rsidRDefault="00F16C64" w:rsidP="00F16C64">
            <w:pPr>
              <w:spacing w:after="0" w:line="240" w:lineRule="auto"/>
              <w:jc w:val="center"/>
              <w:rPr>
                <w:rFonts w:eastAsia="Times New Roman" w:cs="Calibri"/>
                <w:sz w:val="12"/>
                <w:szCs w:val="12"/>
                <w:lang w:val="en-GB" w:eastAsia="mk-MK"/>
              </w:rPr>
            </w:pPr>
          </w:p>
        </w:tc>
      </w:tr>
      <w:tr w:rsidR="00082B88" w:rsidRPr="00D30847" w14:paraId="6ADDC71A"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890"/>
        </w:trPr>
        <w:tc>
          <w:tcPr>
            <w:tcW w:w="2525" w:type="dxa"/>
            <w:gridSpan w:val="7"/>
            <w:tcBorders>
              <w:top w:val="nil"/>
              <w:left w:val="nil"/>
              <w:bottom w:val="nil"/>
              <w:right w:val="single" w:sz="8" w:space="0" w:color="000000"/>
            </w:tcBorders>
            <w:shd w:val="clear" w:color="auto" w:fill="auto"/>
            <w:vAlign w:val="center"/>
          </w:tcPr>
          <w:p w14:paraId="19AFF7A5" w14:textId="77777777" w:rsidR="00082B88" w:rsidRPr="00D30847" w:rsidRDefault="00082B88" w:rsidP="00800970">
            <w:pPr>
              <w:spacing w:after="0" w:line="240" w:lineRule="auto"/>
              <w:jc w:val="both"/>
              <w:rPr>
                <w:rFonts w:eastAsia="Times New Roman" w:cs="Calibri"/>
                <w:sz w:val="12"/>
                <w:szCs w:val="12"/>
                <w:lang w:val="en-GB" w:eastAsia="mk-MK"/>
              </w:rPr>
            </w:pPr>
          </w:p>
        </w:tc>
        <w:tc>
          <w:tcPr>
            <w:tcW w:w="1605" w:type="dxa"/>
            <w:gridSpan w:val="2"/>
            <w:tcBorders>
              <w:top w:val="single" w:sz="4" w:space="0" w:color="auto"/>
              <w:left w:val="nil"/>
              <w:bottom w:val="single" w:sz="4" w:space="0" w:color="auto"/>
              <w:right w:val="nil"/>
            </w:tcBorders>
            <w:shd w:val="clear" w:color="000000" w:fill="FFFF99"/>
            <w:vAlign w:val="center"/>
          </w:tcPr>
          <w:p w14:paraId="0EBC3EE6" w14:textId="77777777" w:rsidR="00082B88" w:rsidRPr="00D30847" w:rsidRDefault="00082B88" w:rsidP="00800970">
            <w:pPr>
              <w:spacing w:after="0" w:line="240" w:lineRule="auto"/>
              <w:rPr>
                <w:rFonts w:eastAsia="Times New Roman" w:cs="Calibri"/>
                <w:sz w:val="12"/>
                <w:szCs w:val="12"/>
                <w:lang w:val="en-GB" w:eastAsia="mk-MK"/>
              </w:rPr>
            </w:pPr>
            <w:r w:rsidRPr="00D30847">
              <w:rPr>
                <w:rFonts w:eastAsia="Times New Roman" w:cs="Calibri"/>
                <w:sz w:val="12"/>
                <w:szCs w:val="12"/>
                <w:lang w:val="en-GB" w:eastAsia="mk-MK"/>
              </w:rPr>
              <w:t>4. Trainings to strengthen the capacities of municipal employees for realistic planning of municipal revenues and expenditures</w:t>
            </w:r>
          </w:p>
        </w:tc>
        <w:tc>
          <w:tcPr>
            <w:tcW w:w="1375" w:type="dxa"/>
            <w:gridSpan w:val="5"/>
            <w:tcBorders>
              <w:top w:val="single" w:sz="4" w:space="0" w:color="auto"/>
              <w:left w:val="single" w:sz="8" w:space="0" w:color="auto"/>
              <w:bottom w:val="single" w:sz="4" w:space="0" w:color="auto"/>
              <w:right w:val="single" w:sz="8" w:space="0" w:color="auto"/>
            </w:tcBorders>
            <w:shd w:val="clear" w:color="000000" w:fill="FFFF99"/>
            <w:vAlign w:val="center"/>
          </w:tcPr>
          <w:p w14:paraId="66C5BBBE"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2025-2028</w:t>
            </w:r>
          </w:p>
        </w:tc>
        <w:tc>
          <w:tcPr>
            <w:tcW w:w="1325" w:type="dxa"/>
            <w:gridSpan w:val="2"/>
            <w:tcBorders>
              <w:top w:val="single" w:sz="4" w:space="0" w:color="auto"/>
              <w:left w:val="nil"/>
              <w:bottom w:val="single" w:sz="4" w:space="0" w:color="auto"/>
              <w:right w:val="single" w:sz="8" w:space="0" w:color="auto"/>
            </w:tcBorders>
            <w:shd w:val="clear" w:color="000000" w:fill="FFFF99"/>
            <w:vAlign w:val="center"/>
          </w:tcPr>
          <w:p w14:paraId="4AC05F16"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MF</w:t>
            </w:r>
          </w:p>
        </w:tc>
        <w:tc>
          <w:tcPr>
            <w:tcW w:w="1652" w:type="dxa"/>
            <w:gridSpan w:val="4"/>
            <w:tcBorders>
              <w:top w:val="single" w:sz="4" w:space="0" w:color="auto"/>
              <w:left w:val="nil"/>
              <w:bottom w:val="single" w:sz="4" w:space="0" w:color="auto"/>
              <w:right w:val="single" w:sz="8" w:space="0" w:color="auto"/>
            </w:tcBorders>
            <w:shd w:val="clear" w:color="000000" w:fill="FFFF99"/>
          </w:tcPr>
          <w:p w14:paraId="510C9A85" w14:textId="77777777" w:rsidR="00082B88" w:rsidRPr="00D30847" w:rsidRDefault="00082B88" w:rsidP="00800970">
            <w:pPr>
              <w:spacing w:after="0" w:line="240" w:lineRule="auto"/>
              <w:jc w:val="center"/>
              <w:rPr>
                <w:rFonts w:eastAsia="Times New Roman" w:cs="Calibri"/>
                <w:sz w:val="12"/>
                <w:szCs w:val="12"/>
                <w:lang w:val="en-GB" w:eastAsia="mk-MK"/>
              </w:rPr>
            </w:pPr>
          </w:p>
          <w:p w14:paraId="6B90BDC0" w14:textId="77777777" w:rsidR="00082B88" w:rsidRPr="00D30847" w:rsidRDefault="00082B88" w:rsidP="00800970">
            <w:pPr>
              <w:spacing w:after="0" w:line="240" w:lineRule="auto"/>
              <w:jc w:val="center"/>
              <w:rPr>
                <w:rFonts w:eastAsia="Times New Roman" w:cs="Calibri"/>
                <w:sz w:val="12"/>
                <w:szCs w:val="12"/>
                <w:lang w:val="en-GB" w:eastAsia="mk-MK"/>
              </w:rPr>
            </w:pPr>
          </w:p>
          <w:p w14:paraId="2ACC5BFF"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Municipalities,</w:t>
            </w:r>
          </w:p>
          <w:p w14:paraId="7CF2192E" w14:textId="77777777" w:rsidR="00082B88" w:rsidRPr="00D30847" w:rsidRDefault="00082B88" w:rsidP="00800970">
            <w:pPr>
              <w:ind w:firstLine="720"/>
              <w:rPr>
                <w:rFonts w:eastAsia="Times New Roman" w:cs="Calibri"/>
                <w:sz w:val="12"/>
                <w:szCs w:val="12"/>
                <w:lang w:val="en-GB" w:eastAsia="mk-MK"/>
              </w:rPr>
            </w:pPr>
          </w:p>
        </w:tc>
        <w:tc>
          <w:tcPr>
            <w:tcW w:w="1813" w:type="dxa"/>
            <w:gridSpan w:val="4"/>
            <w:tcBorders>
              <w:top w:val="single" w:sz="4" w:space="0" w:color="auto"/>
              <w:left w:val="nil"/>
              <w:bottom w:val="single" w:sz="4" w:space="0" w:color="auto"/>
              <w:right w:val="single" w:sz="4" w:space="0" w:color="auto"/>
            </w:tcBorders>
            <w:shd w:val="clear" w:color="000000" w:fill="FFFF99"/>
            <w:vAlign w:val="center"/>
          </w:tcPr>
          <w:p w14:paraId="6EBCE7DA" w14:textId="5E45D1A3" w:rsidR="00082B88" w:rsidRPr="00D30847" w:rsidRDefault="00DD3484"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2.000</w:t>
            </w:r>
          </w:p>
        </w:tc>
        <w:tc>
          <w:tcPr>
            <w:tcW w:w="1872" w:type="dxa"/>
            <w:gridSpan w:val="5"/>
            <w:tcBorders>
              <w:top w:val="single" w:sz="4" w:space="0" w:color="auto"/>
              <w:left w:val="single" w:sz="4" w:space="0" w:color="auto"/>
              <w:bottom w:val="single" w:sz="4" w:space="0" w:color="auto"/>
              <w:right w:val="single" w:sz="8" w:space="0" w:color="000000"/>
            </w:tcBorders>
            <w:shd w:val="clear" w:color="000000" w:fill="FFFF99"/>
            <w:vAlign w:val="center"/>
          </w:tcPr>
          <w:p w14:paraId="601796FF"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Budget of RNM</w:t>
            </w:r>
          </w:p>
          <w:p w14:paraId="040897C5" w14:textId="77777777" w:rsidR="00082B88" w:rsidRPr="00D30847" w:rsidRDefault="00082B88" w:rsidP="00800970">
            <w:pPr>
              <w:spacing w:after="0" w:line="240" w:lineRule="auto"/>
              <w:jc w:val="center"/>
              <w:rPr>
                <w:rFonts w:eastAsia="Times New Roman" w:cs="Calibri"/>
                <w:sz w:val="12"/>
                <w:szCs w:val="12"/>
                <w:lang w:val="en-GB" w:eastAsia="mk-MK"/>
              </w:rPr>
            </w:pPr>
          </w:p>
        </w:tc>
        <w:tc>
          <w:tcPr>
            <w:tcW w:w="1413" w:type="dxa"/>
            <w:gridSpan w:val="2"/>
            <w:tcBorders>
              <w:top w:val="single" w:sz="4" w:space="0" w:color="auto"/>
              <w:left w:val="nil"/>
              <w:bottom w:val="single" w:sz="4" w:space="0" w:color="auto"/>
              <w:right w:val="single" w:sz="8" w:space="0" w:color="000000"/>
            </w:tcBorders>
            <w:shd w:val="clear" w:color="000000" w:fill="FFFF99"/>
            <w:vAlign w:val="center"/>
          </w:tcPr>
          <w:p w14:paraId="58B31FF4" w14:textId="77777777" w:rsidR="00082B88" w:rsidRPr="00D30847" w:rsidRDefault="00082B88" w:rsidP="00800970">
            <w:pPr>
              <w:spacing w:after="0" w:line="240" w:lineRule="auto"/>
              <w:jc w:val="center"/>
              <w:rPr>
                <w:rFonts w:eastAsia="Times New Roman" w:cs="Calibri"/>
                <w:sz w:val="12"/>
                <w:szCs w:val="12"/>
                <w:lang w:val="en-GB" w:eastAsia="mk-MK"/>
              </w:rPr>
            </w:pPr>
          </w:p>
        </w:tc>
      </w:tr>
      <w:tr w:rsidR="00082B88" w:rsidRPr="00D30847" w14:paraId="0ECC080F"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70"/>
        </w:trPr>
        <w:tc>
          <w:tcPr>
            <w:tcW w:w="13580" w:type="dxa"/>
            <w:gridSpan w:val="31"/>
            <w:tcBorders>
              <w:top w:val="single" w:sz="8" w:space="0" w:color="auto"/>
              <w:left w:val="single" w:sz="8" w:space="0" w:color="auto"/>
              <w:bottom w:val="single" w:sz="8" w:space="0" w:color="auto"/>
              <w:right w:val="single" w:sz="4" w:space="0" w:color="auto"/>
            </w:tcBorders>
            <w:shd w:val="clear" w:color="000000" w:fill="9BD2ED"/>
            <w:vAlign w:val="center"/>
            <w:hideMark/>
          </w:tcPr>
          <w:p w14:paraId="592C2D20" w14:textId="4F357074" w:rsidR="00082B88" w:rsidRPr="00D30847" w:rsidRDefault="00082B88" w:rsidP="00800970">
            <w:pPr>
              <w:spacing w:after="0" w:line="240" w:lineRule="auto"/>
              <w:rPr>
                <w:rFonts w:eastAsia="Times New Roman" w:cs="Calibri"/>
                <w:b/>
                <w:bCs/>
                <w:sz w:val="12"/>
                <w:szCs w:val="12"/>
                <w:lang w:val="en-GB" w:eastAsia="mk-MK"/>
              </w:rPr>
            </w:pPr>
            <w:r w:rsidRPr="00D30847">
              <w:rPr>
                <w:rFonts w:eastAsia="Times New Roman" w:cs="Calibri"/>
                <w:b/>
                <w:bCs/>
                <w:sz w:val="12"/>
                <w:szCs w:val="12"/>
                <w:lang w:val="en-GB" w:eastAsia="mk-MK"/>
              </w:rPr>
              <w:t xml:space="preserve">MEASURE </w:t>
            </w:r>
            <w:r w:rsidR="00DB2C0A" w:rsidRPr="00D30847">
              <w:rPr>
                <w:rFonts w:eastAsia="Times New Roman" w:cs="Calibri"/>
                <w:b/>
                <w:bCs/>
                <w:sz w:val="12"/>
                <w:szCs w:val="12"/>
                <w:lang w:val="en-GB" w:eastAsia="mk-MK"/>
              </w:rPr>
              <w:t>2. Financial discipline, better</w:t>
            </w:r>
            <w:r w:rsidRPr="00D30847">
              <w:rPr>
                <w:rFonts w:eastAsia="Times New Roman" w:cs="Calibri"/>
                <w:b/>
                <w:bCs/>
                <w:sz w:val="12"/>
                <w:szCs w:val="12"/>
                <w:lang w:val="en-GB" w:eastAsia="mk-MK"/>
              </w:rPr>
              <w:t xml:space="preserve"> transparency and accountability of local government</w:t>
            </w:r>
          </w:p>
        </w:tc>
      </w:tr>
      <w:tr w:rsidR="00082B88" w:rsidRPr="00D30847" w14:paraId="42B730E0"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70"/>
        </w:trPr>
        <w:tc>
          <w:tcPr>
            <w:tcW w:w="2525" w:type="dxa"/>
            <w:gridSpan w:val="7"/>
            <w:tcBorders>
              <w:top w:val="nil"/>
              <w:left w:val="nil"/>
              <w:bottom w:val="nil"/>
              <w:right w:val="single" w:sz="4" w:space="0" w:color="auto"/>
            </w:tcBorders>
            <w:shd w:val="clear" w:color="auto" w:fill="auto"/>
            <w:vAlign w:val="center"/>
            <w:hideMark/>
          </w:tcPr>
          <w:p w14:paraId="445DDC59" w14:textId="77777777" w:rsidR="00082B88" w:rsidRPr="00D30847" w:rsidRDefault="00082B88" w:rsidP="00800970">
            <w:pPr>
              <w:spacing w:after="0" w:line="240" w:lineRule="auto"/>
              <w:rPr>
                <w:rFonts w:eastAsia="Times New Roman" w:cs="Calibri"/>
                <w:b/>
                <w:bCs/>
                <w:sz w:val="12"/>
                <w:szCs w:val="12"/>
                <w:lang w:val="en-GB" w:eastAsia="mk-MK"/>
              </w:rPr>
            </w:pPr>
          </w:p>
        </w:tc>
        <w:tc>
          <w:tcPr>
            <w:tcW w:w="1605" w:type="dxa"/>
            <w:gridSpan w:val="2"/>
            <w:tcBorders>
              <w:top w:val="single" w:sz="4" w:space="0" w:color="auto"/>
              <w:left w:val="single" w:sz="4" w:space="0" w:color="auto"/>
              <w:bottom w:val="single" w:sz="4" w:space="0" w:color="auto"/>
              <w:right w:val="single" w:sz="4" w:space="0" w:color="auto"/>
            </w:tcBorders>
            <w:shd w:val="clear" w:color="000000" w:fill="9BD2ED"/>
            <w:vAlign w:val="center"/>
            <w:hideMark/>
          </w:tcPr>
          <w:p w14:paraId="5FDB2550"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Performance Indicator</w:t>
            </w:r>
          </w:p>
        </w:tc>
        <w:tc>
          <w:tcPr>
            <w:tcW w:w="1375" w:type="dxa"/>
            <w:gridSpan w:val="5"/>
            <w:tcBorders>
              <w:top w:val="single" w:sz="4" w:space="0" w:color="auto"/>
              <w:left w:val="single" w:sz="4" w:space="0" w:color="auto"/>
              <w:bottom w:val="single" w:sz="4" w:space="0" w:color="auto"/>
              <w:right w:val="single" w:sz="4" w:space="0" w:color="auto"/>
            </w:tcBorders>
            <w:shd w:val="clear" w:color="000000" w:fill="9BD2ED"/>
            <w:vAlign w:val="center"/>
            <w:hideMark/>
          </w:tcPr>
          <w:p w14:paraId="753345E0"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Data Source</w:t>
            </w:r>
          </w:p>
        </w:tc>
        <w:tc>
          <w:tcPr>
            <w:tcW w:w="1325" w:type="dxa"/>
            <w:gridSpan w:val="2"/>
            <w:tcBorders>
              <w:top w:val="single" w:sz="4" w:space="0" w:color="auto"/>
              <w:left w:val="single" w:sz="4" w:space="0" w:color="auto"/>
              <w:bottom w:val="single" w:sz="4" w:space="0" w:color="auto"/>
              <w:right w:val="single" w:sz="4" w:space="0" w:color="auto"/>
            </w:tcBorders>
            <w:shd w:val="clear" w:color="000000" w:fill="9BD2ED"/>
            <w:vAlign w:val="center"/>
            <w:hideMark/>
          </w:tcPr>
          <w:p w14:paraId="4B0C9E15"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Baseline FY23</w:t>
            </w:r>
          </w:p>
        </w:tc>
        <w:tc>
          <w:tcPr>
            <w:tcW w:w="1652" w:type="dxa"/>
            <w:gridSpan w:val="4"/>
            <w:tcBorders>
              <w:top w:val="single" w:sz="4" w:space="0" w:color="auto"/>
              <w:left w:val="single" w:sz="4" w:space="0" w:color="auto"/>
              <w:bottom w:val="single" w:sz="4" w:space="0" w:color="auto"/>
              <w:right w:val="single" w:sz="4" w:space="0" w:color="auto"/>
            </w:tcBorders>
            <w:shd w:val="clear" w:color="000000" w:fill="9BD2ED"/>
            <w:vAlign w:val="center"/>
            <w:hideMark/>
          </w:tcPr>
          <w:p w14:paraId="3E196146"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Target FY25</w:t>
            </w:r>
          </w:p>
        </w:tc>
        <w:tc>
          <w:tcPr>
            <w:tcW w:w="1813" w:type="dxa"/>
            <w:gridSpan w:val="4"/>
            <w:tcBorders>
              <w:top w:val="single" w:sz="4" w:space="0" w:color="auto"/>
              <w:left w:val="single" w:sz="4" w:space="0" w:color="auto"/>
              <w:bottom w:val="single" w:sz="4" w:space="0" w:color="auto"/>
              <w:right w:val="single" w:sz="4" w:space="0" w:color="auto"/>
            </w:tcBorders>
            <w:shd w:val="clear" w:color="000000" w:fill="9BD2ED"/>
            <w:vAlign w:val="center"/>
            <w:hideMark/>
          </w:tcPr>
          <w:p w14:paraId="6EB58581"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Target FY26</w:t>
            </w:r>
          </w:p>
        </w:tc>
        <w:tc>
          <w:tcPr>
            <w:tcW w:w="1872" w:type="dxa"/>
            <w:gridSpan w:val="5"/>
            <w:tcBorders>
              <w:top w:val="single" w:sz="4" w:space="0" w:color="auto"/>
              <w:left w:val="single" w:sz="4" w:space="0" w:color="auto"/>
              <w:bottom w:val="single" w:sz="4" w:space="0" w:color="auto"/>
              <w:right w:val="single" w:sz="4" w:space="0" w:color="auto"/>
            </w:tcBorders>
            <w:shd w:val="clear" w:color="000000" w:fill="9BD2ED"/>
            <w:vAlign w:val="center"/>
            <w:hideMark/>
          </w:tcPr>
          <w:p w14:paraId="44CFA637"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Target FY27</w:t>
            </w:r>
          </w:p>
        </w:tc>
        <w:tc>
          <w:tcPr>
            <w:tcW w:w="1413" w:type="dxa"/>
            <w:gridSpan w:val="2"/>
            <w:tcBorders>
              <w:top w:val="single" w:sz="4" w:space="0" w:color="auto"/>
              <w:left w:val="single" w:sz="4" w:space="0" w:color="auto"/>
              <w:bottom w:val="single" w:sz="4" w:space="0" w:color="auto"/>
              <w:right w:val="single" w:sz="4" w:space="0" w:color="auto"/>
            </w:tcBorders>
            <w:shd w:val="clear" w:color="000000" w:fill="9BD2ED"/>
            <w:vAlign w:val="center"/>
            <w:hideMark/>
          </w:tcPr>
          <w:p w14:paraId="6D286BA9"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Target FY28</w:t>
            </w:r>
          </w:p>
        </w:tc>
      </w:tr>
      <w:tr w:rsidR="00082B88" w:rsidRPr="00D30847" w14:paraId="7F308272"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1290"/>
        </w:trPr>
        <w:tc>
          <w:tcPr>
            <w:tcW w:w="2525" w:type="dxa"/>
            <w:gridSpan w:val="7"/>
            <w:tcBorders>
              <w:top w:val="nil"/>
              <w:left w:val="nil"/>
              <w:bottom w:val="nil"/>
              <w:right w:val="single" w:sz="4" w:space="0" w:color="auto"/>
            </w:tcBorders>
            <w:shd w:val="clear" w:color="auto" w:fill="auto"/>
            <w:vAlign w:val="center"/>
            <w:hideMark/>
          </w:tcPr>
          <w:p w14:paraId="08DACC3B" w14:textId="77777777" w:rsidR="00082B88" w:rsidRPr="00D30847" w:rsidRDefault="00082B88" w:rsidP="00800970">
            <w:pPr>
              <w:spacing w:after="0" w:line="240" w:lineRule="auto"/>
              <w:jc w:val="center"/>
              <w:rPr>
                <w:rFonts w:eastAsia="Times New Roman" w:cs="Calibri"/>
                <w:b/>
                <w:bCs/>
                <w:sz w:val="12"/>
                <w:szCs w:val="12"/>
                <w:lang w:val="en-GB" w:eastAsia="mk-MK"/>
              </w:rPr>
            </w:pPr>
          </w:p>
        </w:tc>
        <w:tc>
          <w:tcPr>
            <w:tcW w:w="1605" w:type="dxa"/>
            <w:gridSpan w:val="2"/>
            <w:tcBorders>
              <w:top w:val="single" w:sz="4" w:space="0" w:color="auto"/>
              <w:left w:val="single" w:sz="4" w:space="0" w:color="auto"/>
              <w:bottom w:val="single" w:sz="4" w:space="0" w:color="auto"/>
              <w:right w:val="single" w:sz="8" w:space="0" w:color="000000"/>
            </w:tcBorders>
            <w:shd w:val="clear" w:color="000000" w:fill="FFFF99"/>
            <w:vAlign w:val="center"/>
            <w:hideMark/>
          </w:tcPr>
          <w:p w14:paraId="4CD9B884" w14:textId="77777777" w:rsidR="00082B88" w:rsidRPr="00D30847" w:rsidRDefault="00082B88" w:rsidP="00800970">
            <w:pPr>
              <w:spacing w:after="0" w:line="240" w:lineRule="auto"/>
              <w:rPr>
                <w:rFonts w:eastAsia="Times New Roman" w:cs="Calibri"/>
                <w:sz w:val="12"/>
                <w:szCs w:val="12"/>
                <w:lang w:val="en-GB" w:eastAsia="mk-MK"/>
              </w:rPr>
            </w:pPr>
            <w:r w:rsidRPr="00D30847">
              <w:rPr>
                <w:rFonts w:eastAsia="Times New Roman" w:cs="Calibri"/>
                <w:sz w:val="12"/>
                <w:szCs w:val="12"/>
                <w:lang w:val="en-GB" w:eastAsia="mk-MK"/>
              </w:rPr>
              <w:t>Financial instability procedures adopted</w:t>
            </w:r>
          </w:p>
        </w:tc>
        <w:tc>
          <w:tcPr>
            <w:tcW w:w="1375" w:type="dxa"/>
            <w:gridSpan w:val="5"/>
            <w:tcBorders>
              <w:top w:val="single" w:sz="4" w:space="0" w:color="auto"/>
              <w:left w:val="nil"/>
              <w:bottom w:val="single" w:sz="4" w:space="0" w:color="auto"/>
              <w:right w:val="single" w:sz="8" w:space="0" w:color="000000"/>
            </w:tcBorders>
            <w:shd w:val="clear" w:color="000000" w:fill="FFFF99"/>
            <w:vAlign w:val="center"/>
            <w:hideMark/>
          </w:tcPr>
          <w:p w14:paraId="57888BEC"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MF - Department for budgets and funds</w:t>
            </w:r>
          </w:p>
        </w:tc>
        <w:tc>
          <w:tcPr>
            <w:tcW w:w="1325" w:type="dxa"/>
            <w:gridSpan w:val="2"/>
            <w:tcBorders>
              <w:top w:val="single" w:sz="4" w:space="0" w:color="auto"/>
              <w:left w:val="nil"/>
              <w:bottom w:val="single" w:sz="4" w:space="0" w:color="auto"/>
              <w:right w:val="single" w:sz="8" w:space="0" w:color="000000"/>
            </w:tcBorders>
            <w:shd w:val="clear" w:color="000000" w:fill="FFFF99"/>
            <w:vAlign w:val="center"/>
            <w:hideMark/>
          </w:tcPr>
          <w:p w14:paraId="2C6CD31F"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w:t>
            </w:r>
          </w:p>
        </w:tc>
        <w:tc>
          <w:tcPr>
            <w:tcW w:w="1652" w:type="dxa"/>
            <w:gridSpan w:val="4"/>
            <w:tcBorders>
              <w:top w:val="single" w:sz="4" w:space="0" w:color="auto"/>
              <w:left w:val="nil"/>
              <w:bottom w:val="single" w:sz="4" w:space="0" w:color="auto"/>
              <w:right w:val="single" w:sz="8" w:space="0" w:color="000000"/>
            </w:tcBorders>
            <w:shd w:val="clear" w:color="000000" w:fill="FFFF99"/>
            <w:vAlign w:val="center"/>
            <w:hideMark/>
          </w:tcPr>
          <w:p w14:paraId="65EC25CD"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Proposal for financial instability procedures</w:t>
            </w:r>
          </w:p>
        </w:tc>
        <w:tc>
          <w:tcPr>
            <w:tcW w:w="1813" w:type="dxa"/>
            <w:gridSpan w:val="4"/>
            <w:tcBorders>
              <w:top w:val="single" w:sz="4" w:space="0" w:color="auto"/>
              <w:left w:val="nil"/>
              <w:bottom w:val="single" w:sz="4" w:space="0" w:color="auto"/>
              <w:right w:val="single" w:sz="4" w:space="0" w:color="auto"/>
            </w:tcBorders>
            <w:shd w:val="clear" w:color="000000" w:fill="FFFF99"/>
            <w:vAlign w:val="center"/>
            <w:hideMark/>
          </w:tcPr>
          <w:p w14:paraId="2F7305A3"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Financial instability procedures adopted</w:t>
            </w:r>
          </w:p>
        </w:tc>
        <w:tc>
          <w:tcPr>
            <w:tcW w:w="1872" w:type="dxa"/>
            <w:gridSpan w:val="5"/>
            <w:tcBorders>
              <w:top w:val="single" w:sz="4" w:space="0" w:color="auto"/>
              <w:left w:val="single" w:sz="4" w:space="0" w:color="auto"/>
              <w:bottom w:val="single" w:sz="4" w:space="0" w:color="auto"/>
              <w:right w:val="single" w:sz="8" w:space="0" w:color="000000"/>
            </w:tcBorders>
            <w:shd w:val="clear" w:color="000000" w:fill="FFFF99"/>
            <w:vAlign w:val="center"/>
            <w:hideMark/>
          </w:tcPr>
          <w:p w14:paraId="6AAC01B9"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w:t>
            </w:r>
          </w:p>
        </w:tc>
        <w:tc>
          <w:tcPr>
            <w:tcW w:w="1413" w:type="dxa"/>
            <w:gridSpan w:val="2"/>
            <w:tcBorders>
              <w:top w:val="single" w:sz="4" w:space="0" w:color="auto"/>
              <w:left w:val="nil"/>
              <w:bottom w:val="single" w:sz="4" w:space="0" w:color="auto"/>
              <w:right w:val="single" w:sz="4" w:space="0" w:color="auto"/>
            </w:tcBorders>
            <w:shd w:val="clear" w:color="000000" w:fill="FFFF99"/>
            <w:vAlign w:val="center"/>
            <w:hideMark/>
          </w:tcPr>
          <w:p w14:paraId="63CB094C"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w:t>
            </w:r>
          </w:p>
        </w:tc>
      </w:tr>
      <w:tr w:rsidR="00082B88" w:rsidRPr="00D30847" w14:paraId="0B34E4F5"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880"/>
        </w:trPr>
        <w:tc>
          <w:tcPr>
            <w:tcW w:w="2525" w:type="dxa"/>
            <w:gridSpan w:val="7"/>
            <w:tcBorders>
              <w:top w:val="nil"/>
              <w:left w:val="nil"/>
              <w:bottom w:val="nil"/>
              <w:right w:val="single" w:sz="4" w:space="0" w:color="auto"/>
            </w:tcBorders>
            <w:shd w:val="clear" w:color="auto" w:fill="auto"/>
            <w:vAlign w:val="center"/>
          </w:tcPr>
          <w:p w14:paraId="03094774" w14:textId="77777777" w:rsidR="00082B88" w:rsidRPr="00D30847" w:rsidRDefault="00082B88" w:rsidP="00800970">
            <w:pPr>
              <w:spacing w:after="0" w:line="240" w:lineRule="auto"/>
              <w:jc w:val="center"/>
              <w:rPr>
                <w:rFonts w:eastAsia="Times New Roman" w:cs="Calibri"/>
                <w:b/>
                <w:bCs/>
                <w:sz w:val="12"/>
                <w:szCs w:val="12"/>
                <w:lang w:val="en-GB" w:eastAsia="mk-MK"/>
              </w:rPr>
            </w:pPr>
          </w:p>
        </w:tc>
        <w:tc>
          <w:tcPr>
            <w:tcW w:w="1605" w:type="dxa"/>
            <w:gridSpan w:val="2"/>
            <w:tcBorders>
              <w:top w:val="single" w:sz="4" w:space="0" w:color="auto"/>
              <w:left w:val="single" w:sz="4" w:space="0" w:color="auto"/>
              <w:bottom w:val="single" w:sz="4" w:space="0" w:color="auto"/>
              <w:right w:val="single" w:sz="4" w:space="0" w:color="auto"/>
            </w:tcBorders>
            <w:shd w:val="clear" w:color="000000" w:fill="FFFF99"/>
            <w:vAlign w:val="center"/>
          </w:tcPr>
          <w:p w14:paraId="1606E052" w14:textId="77777777" w:rsidR="00082B88" w:rsidRPr="00D30847" w:rsidRDefault="00082B88" w:rsidP="00800970">
            <w:pPr>
              <w:spacing w:after="0" w:line="240" w:lineRule="auto"/>
              <w:rPr>
                <w:rFonts w:eastAsia="Times New Roman" w:cs="Calibri"/>
                <w:sz w:val="12"/>
                <w:szCs w:val="12"/>
                <w:lang w:val="en-GB" w:eastAsia="mk-MK"/>
              </w:rPr>
            </w:pPr>
            <w:r w:rsidRPr="00D30847">
              <w:rPr>
                <w:rFonts w:eastAsia="Times New Roman" w:cs="Calibri"/>
                <w:sz w:val="12"/>
                <w:szCs w:val="12"/>
                <w:lang w:val="en-GB" w:eastAsia="mk-MK"/>
              </w:rPr>
              <w:t>Number of municipalities out of the total number of municipalities (81) that have published financial documents (annual, semi-annual and quarterly reports) on their websites</w:t>
            </w:r>
          </w:p>
        </w:tc>
        <w:tc>
          <w:tcPr>
            <w:tcW w:w="1375" w:type="dxa"/>
            <w:gridSpan w:val="5"/>
            <w:tcBorders>
              <w:top w:val="single" w:sz="4" w:space="0" w:color="auto"/>
              <w:left w:val="single" w:sz="4" w:space="0" w:color="auto"/>
              <w:bottom w:val="single" w:sz="4" w:space="0" w:color="auto"/>
              <w:right w:val="single" w:sz="4" w:space="0" w:color="auto"/>
            </w:tcBorders>
            <w:shd w:val="clear" w:color="000000" w:fill="FFFF99"/>
            <w:vAlign w:val="center"/>
          </w:tcPr>
          <w:p w14:paraId="20D85F98"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Municipal websites</w:t>
            </w:r>
          </w:p>
        </w:tc>
        <w:tc>
          <w:tcPr>
            <w:tcW w:w="1325" w:type="dxa"/>
            <w:gridSpan w:val="2"/>
            <w:tcBorders>
              <w:top w:val="single" w:sz="4" w:space="0" w:color="auto"/>
              <w:left w:val="single" w:sz="4" w:space="0" w:color="auto"/>
              <w:bottom w:val="single" w:sz="4" w:space="0" w:color="auto"/>
              <w:right w:val="single" w:sz="4" w:space="0" w:color="auto"/>
            </w:tcBorders>
            <w:shd w:val="clear" w:color="000000" w:fill="FFFF99"/>
            <w:vAlign w:val="center"/>
          </w:tcPr>
          <w:p w14:paraId="27D7FE5F"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70</w:t>
            </w:r>
          </w:p>
        </w:tc>
        <w:tc>
          <w:tcPr>
            <w:tcW w:w="1652" w:type="dxa"/>
            <w:gridSpan w:val="4"/>
            <w:tcBorders>
              <w:top w:val="single" w:sz="4" w:space="0" w:color="auto"/>
              <w:left w:val="single" w:sz="4" w:space="0" w:color="auto"/>
              <w:bottom w:val="single" w:sz="4" w:space="0" w:color="auto"/>
              <w:right w:val="single" w:sz="4" w:space="0" w:color="auto"/>
            </w:tcBorders>
            <w:shd w:val="clear" w:color="000000" w:fill="FFFF99"/>
            <w:vAlign w:val="center"/>
          </w:tcPr>
          <w:p w14:paraId="2446462D"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73</w:t>
            </w:r>
          </w:p>
        </w:tc>
        <w:tc>
          <w:tcPr>
            <w:tcW w:w="1813" w:type="dxa"/>
            <w:gridSpan w:val="4"/>
            <w:tcBorders>
              <w:top w:val="single" w:sz="4" w:space="0" w:color="auto"/>
              <w:left w:val="single" w:sz="4" w:space="0" w:color="auto"/>
              <w:bottom w:val="single" w:sz="4" w:space="0" w:color="auto"/>
              <w:right w:val="single" w:sz="4" w:space="0" w:color="auto"/>
            </w:tcBorders>
            <w:shd w:val="clear" w:color="000000" w:fill="FFFF99"/>
            <w:vAlign w:val="center"/>
          </w:tcPr>
          <w:p w14:paraId="36FEE0A6"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75</w:t>
            </w:r>
          </w:p>
        </w:tc>
        <w:tc>
          <w:tcPr>
            <w:tcW w:w="1872" w:type="dxa"/>
            <w:gridSpan w:val="5"/>
            <w:tcBorders>
              <w:top w:val="single" w:sz="4" w:space="0" w:color="auto"/>
              <w:left w:val="single" w:sz="4" w:space="0" w:color="auto"/>
              <w:bottom w:val="single" w:sz="4" w:space="0" w:color="auto"/>
              <w:right w:val="single" w:sz="4" w:space="0" w:color="auto"/>
            </w:tcBorders>
            <w:shd w:val="clear" w:color="000000" w:fill="FFFF99"/>
            <w:vAlign w:val="center"/>
          </w:tcPr>
          <w:p w14:paraId="6AFD11E6"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79</w:t>
            </w:r>
          </w:p>
        </w:tc>
        <w:tc>
          <w:tcPr>
            <w:tcW w:w="1413" w:type="dxa"/>
            <w:gridSpan w:val="2"/>
            <w:tcBorders>
              <w:top w:val="single" w:sz="4" w:space="0" w:color="auto"/>
              <w:left w:val="single" w:sz="4" w:space="0" w:color="auto"/>
              <w:bottom w:val="single" w:sz="4" w:space="0" w:color="auto"/>
              <w:right w:val="single" w:sz="4" w:space="0" w:color="auto"/>
            </w:tcBorders>
            <w:shd w:val="clear" w:color="000000" w:fill="FFFF99"/>
            <w:vAlign w:val="center"/>
          </w:tcPr>
          <w:p w14:paraId="09A49D58"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81</w:t>
            </w:r>
          </w:p>
        </w:tc>
      </w:tr>
      <w:tr w:rsidR="00082B88" w:rsidRPr="00D30847" w14:paraId="66C2A318"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270"/>
        </w:trPr>
        <w:tc>
          <w:tcPr>
            <w:tcW w:w="2525" w:type="dxa"/>
            <w:gridSpan w:val="7"/>
            <w:tcBorders>
              <w:top w:val="nil"/>
              <w:left w:val="nil"/>
              <w:bottom w:val="nil"/>
              <w:right w:val="single" w:sz="4" w:space="0" w:color="auto"/>
            </w:tcBorders>
            <w:shd w:val="clear" w:color="auto" w:fill="auto"/>
            <w:vAlign w:val="center"/>
            <w:hideMark/>
          </w:tcPr>
          <w:p w14:paraId="07403006" w14:textId="77777777" w:rsidR="00082B88" w:rsidRPr="00D30847" w:rsidRDefault="00082B88" w:rsidP="00800970">
            <w:pPr>
              <w:spacing w:after="0" w:line="240" w:lineRule="auto"/>
              <w:jc w:val="center"/>
              <w:rPr>
                <w:rFonts w:eastAsia="Times New Roman" w:cs="Calibri"/>
                <w:sz w:val="12"/>
                <w:szCs w:val="12"/>
                <w:lang w:val="en-GB" w:eastAsia="mk-MK"/>
              </w:rPr>
            </w:pPr>
          </w:p>
        </w:tc>
        <w:tc>
          <w:tcPr>
            <w:tcW w:w="1605" w:type="dxa"/>
            <w:gridSpan w:val="2"/>
            <w:tcBorders>
              <w:top w:val="single" w:sz="4" w:space="0" w:color="auto"/>
              <w:left w:val="single" w:sz="4" w:space="0" w:color="auto"/>
              <w:bottom w:val="single" w:sz="4" w:space="0" w:color="auto"/>
              <w:right w:val="single" w:sz="4" w:space="0" w:color="auto"/>
            </w:tcBorders>
            <w:shd w:val="clear" w:color="000000" w:fill="9BD2ED"/>
            <w:vAlign w:val="center"/>
            <w:hideMark/>
          </w:tcPr>
          <w:p w14:paraId="447EFF51"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Activities</w:t>
            </w:r>
          </w:p>
        </w:tc>
        <w:tc>
          <w:tcPr>
            <w:tcW w:w="1375" w:type="dxa"/>
            <w:gridSpan w:val="5"/>
            <w:tcBorders>
              <w:top w:val="single" w:sz="4" w:space="0" w:color="auto"/>
              <w:left w:val="single" w:sz="4" w:space="0" w:color="auto"/>
              <w:bottom w:val="single" w:sz="4" w:space="0" w:color="auto"/>
              <w:right w:val="single" w:sz="4" w:space="0" w:color="auto"/>
            </w:tcBorders>
            <w:shd w:val="clear" w:color="000000" w:fill="9BD2ED"/>
            <w:vAlign w:val="center"/>
            <w:hideMark/>
          </w:tcPr>
          <w:p w14:paraId="5715958D"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Implementation period</w:t>
            </w:r>
          </w:p>
        </w:tc>
        <w:tc>
          <w:tcPr>
            <w:tcW w:w="1325" w:type="dxa"/>
            <w:gridSpan w:val="2"/>
            <w:tcBorders>
              <w:top w:val="single" w:sz="4" w:space="0" w:color="auto"/>
              <w:left w:val="single" w:sz="4" w:space="0" w:color="auto"/>
              <w:bottom w:val="single" w:sz="4" w:space="0" w:color="auto"/>
              <w:right w:val="single" w:sz="4" w:space="0" w:color="auto"/>
            </w:tcBorders>
            <w:shd w:val="clear" w:color="000000" w:fill="9BD2ED"/>
            <w:vAlign w:val="center"/>
            <w:hideMark/>
          </w:tcPr>
          <w:p w14:paraId="721714DE"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Responsible institution</w:t>
            </w:r>
          </w:p>
        </w:tc>
        <w:tc>
          <w:tcPr>
            <w:tcW w:w="1652" w:type="dxa"/>
            <w:gridSpan w:val="4"/>
            <w:tcBorders>
              <w:top w:val="single" w:sz="4" w:space="0" w:color="auto"/>
              <w:left w:val="single" w:sz="4" w:space="0" w:color="auto"/>
              <w:bottom w:val="single" w:sz="4" w:space="0" w:color="auto"/>
              <w:right w:val="single" w:sz="4" w:space="0" w:color="auto"/>
            </w:tcBorders>
            <w:shd w:val="clear" w:color="000000" w:fill="9BD2ED"/>
            <w:vAlign w:val="center"/>
            <w:hideMark/>
          </w:tcPr>
          <w:p w14:paraId="7A886FE5"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Other partners</w:t>
            </w:r>
          </w:p>
        </w:tc>
        <w:tc>
          <w:tcPr>
            <w:tcW w:w="1813" w:type="dxa"/>
            <w:gridSpan w:val="4"/>
            <w:tcBorders>
              <w:top w:val="single" w:sz="4" w:space="0" w:color="auto"/>
              <w:left w:val="single" w:sz="4" w:space="0" w:color="auto"/>
              <w:bottom w:val="single" w:sz="4" w:space="0" w:color="auto"/>
              <w:right w:val="single" w:sz="4" w:space="0" w:color="auto"/>
            </w:tcBorders>
            <w:shd w:val="clear" w:color="000000" w:fill="9BD2ED"/>
            <w:vAlign w:val="center"/>
            <w:hideMark/>
          </w:tcPr>
          <w:p w14:paraId="5F39B015"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Costs</w:t>
            </w:r>
          </w:p>
        </w:tc>
        <w:tc>
          <w:tcPr>
            <w:tcW w:w="1872" w:type="dxa"/>
            <w:gridSpan w:val="5"/>
            <w:tcBorders>
              <w:top w:val="single" w:sz="4" w:space="0" w:color="auto"/>
              <w:left w:val="single" w:sz="4" w:space="0" w:color="auto"/>
              <w:bottom w:val="single" w:sz="4" w:space="0" w:color="auto"/>
              <w:right w:val="single" w:sz="4" w:space="0" w:color="auto"/>
            </w:tcBorders>
            <w:shd w:val="clear" w:color="000000" w:fill="9BD2ED"/>
            <w:vAlign w:val="center"/>
            <w:hideMark/>
          </w:tcPr>
          <w:p w14:paraId="4324F443"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Source of financing</w:t>
            </w:r>
          </w:p>
        </w:tc>
        <w:tc>
          <w:tcPr>
            <w:tcW w:w="1413" w:type="dxa"/>
            <w:gridSpan w:val="2"/>
            <w:tcBorders>
              <w:top w:val="single" w:sz="4" w:space="0" w:color="auto"/>
              <w:left w:val="single" w:sz="4" w:space="0" w:color="auto"/>
              <w:bottom w:val="single" w:sz="4" w:space="0" w:color="auto"/>
              <w:right w:val="single" w:sz="4" w:space="0" w:color="auto"/>
            </w:tcBorders>
            <w:shd w:val="clear" w:color="000000" w:fill="9BD2ED"/>
            <w:vAlign w:val="center"/>
            <w:hideMark/>
          </w:tcPr>
          <w:p w14:paraId="7BBB97FC" w14:textId="77777777" w:rsidR="00082B88" w:rsidRPr="00D30847" w:rsidRDefault="00082B88" w:rsidP="00800970">
            <w:pPr>
              <w:spacing w:after="0" w:line="240" w:lineRule="auto"/>
              <w:jc w:val="center"/>
              <w:rPr>
                <w:rFonts w:eastAsia="Times New Roman" w:cs="Calibri"/>
                <w:b/>
                <w:bCs/>
                <w:sz w:val="12"/>
                <w:szCs w:val="12"/>
                <w:lang w:val="en-GB" w:eastAsia="mk-MK"/>
              </w:rPr>
            </w:pPr>
            <w:r w:rsidRPr="00D30847">
              <w:rPr>
                <w:rFonts w:ascii="Arial" w:eastAsia="Times New Roman" w:hAnsi="Arial" w:cs="Arial"/>
                <w:b/>
                <w:bCs/>
                <w:sz w:val="12"/>
                <w:szCs w:val="12"/>
                <w:lang w:val="en-GB" w:eastAsia="mk-MK"/>
              </w:rPr>
              <w:t> </w:t>
            </w:r>
          </w:p>
        </w:tc>
      </w:tr>
      <w:tr w:rsidR="00082B88" w:rsidRPr="00D30847" w14:paraId="4FA73776"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467"/>
        </w:trPr>
        <w:tc>
          <w:tcPr>
            <w:tcW w:w="2525" w:type="dxa"/>
            <w:gridSpan w:val="7"/>
            <w:tcBorders>
              <w:top w:val="nil"/>
              <w:left w:val="nil"/>
              <w:bottom w:val="nil"/>
              <w:right w:val="single" w:sz="4" w:space="0" w:color="auto"/>
            </w:tcBorders>
            <w:shd w:val="clear" w:color="auto" w:fill="auto"/>
            <w:vAlign w:val="center"/>
            <w:hideMark/>
          </w:tcPr>
          <w:p w14:paraId="53F7B5FF" w14:textId="77777777" w:rsidR="00082B88" w:rsidRPr="00D30847" w:rsidRDefault="00082B88" w:rsidP="00800970">
            <w:pPr>
              <w:spacing w:after="0" w:line="240" w:lineRule="auto"/>
              <w:jc w:val="both"/>
              <w:rPr>
                <w:rFonts w:eastAsia="Times New Roman" w:cs="Calibri"/>
                <w:sz w:val="12"/>
                <w:szCs w:val="12"/>
                <w:lang w:val="en-GB" w:eastAsia="mk-MK"/>
              </w:rPr>
            </w:pPr>
            <w:r w:rsidRPr="00D30847">
              <w:rPr>
                <w:rFonts w:eastAsia="Times New Roman" w:cs="Calibri"/>
                <w:sz w:val="12"/>
                <w:szCs w:val="12"/>
                <w:lang w:val="en-GB" w:eastAsia="mk-MK"/>
              </w:rPr>
              <w:t> </w:t>
            </w:r>
          </w:p>
        </w:tc>
        <w:tc>
          <w:tcPr>
            <w:tcW w:w="1605"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610DCF27" w14:textId="77777777" w:rsidR="00082B88" w:rsidRPr="00D30847" w:rsidRDefault="00082B88" w:rsidP="00800970">
            <w:pPr>
              <w:spacing w:after="0" w:line="240" w:lineRule="auto"/>
              <w:rPr>
                <w:rFonts w:eastAsia="Times New Roman" w:cs="Calibri"/>
                <w:sz w:val="12"/>
                <w:szCs w:val="12"/>
                <w:lang w:val="en-GB" w:eastAsia="mk-MK"/>
              </w:rPr>
            </w:pPr>
            <w:r w:rsidRPr="00D30847">
              <w:rPr>
                <w:rFonts w:eastAsia="Times New Roman" w:cs="Calibri"/>
                <w:sz w:val="12"/>
                <w:szCs w:val="12"/>
                <w:lang w:val="en-GB" w:eastAsia="mk-MK"/>
              </w:rPr>
              <w:t xml:space="preserve"> 1. Preparation of a financial instability procedure;</w:t>
            </w:r>
          </w:p>
        </w:tc>
        <w:tc>
          <w:tcPr>
            <w:tcW w:w="1375" w:type="dxa"/>
            <w:gridSpan w:val="5"/>
            <w:tcBorders>
              <w:top w:val="single" w:sz="4" w:space="0" w:color="auto"/>
              <w:left w:val="single" w:sz="4" w:space="0" w:color="auto"/>
              <w:bottom w:val="single" w:sz="4" w:space="0" w:color="auto"/>
              <w:right w:val="single" w:sz="4" w:space="0" w:color="auto"/>
            </w:tcBorders>
            <w:shd w:val="clear" w:color="000000" w:fill="FFFF99"/>
            <w:vAlign w:val="center"/>
            <w:hideMark/>
          </w:tcPr>
          <w:p w14:paraId="69D0EB00"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2025-2026</w:t>
            </w:r>
          </w:p>
        </w:tc>
        <w:tc>
          <w:tcPr>
            <w:tcW w:w="1325"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0ED4450E"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 xml:space="preserve">MF </w:t>
            </w:r>
          </w:p>
        </w:tc>
        <w:tc>
          <w:tcPr>
            <w:tcW w:w="1652" w:type="dxa"/>
            <w:gridSpan w:val="4"/>
            <w:tcBorders>
              <w:top w:val="single" w:sz="4" w:space="0" w:color="auto"/>
              <w:left w:val="single" w:sz="4" w:space="0" w:color="auto"/>
              <w:bottom w:val="single" w:sz="4" w:space="0" w:color="auto"/>
              <w:right w:val="single" w:sz="4" w:space="0" w:color="auto"/>
            </w:tcBorders>
            <w:shd w:val="clear" w:color="000000" w:fill="FFFF99"/>
            <w:hideMark/>
          </w:tcPr>
          <w:p w14:paraId="0069ECB4" w14:textId="77777777" w:rsidR="00082B88" w:rsidRPr="00D30847" w:rsidRDefault="00082B88" w:rsidP="00800970">
            <w:pPr>
              <w:spacing w:after="0" w:line="240" w:lineRule="auto"/>
              <w:jc w:val="center"/>
              <w:rPr>
                <w:rFonts w:eastAsia="Times New Roman" w:cs="Calibri"/>
                <w:sz w:val="12"/>
                <w:szCs w:val="12"/>
                <w:lang w:val="en-GB" w:eastAsia="mk-MK"/>
              </w:rPr>
            </w:pPr>
          </w:p>
          <w:p w14:paraId="7AAA54DB" w14:textId="77777777" w:rsidR="00082B88" w:rsidRPr="00D30847" w:rsidRDefault="00082B88" w:rsidP="00800970">
            <w:pPr>
              <w:spacing w:after="0" w:line="240" w:lineRule="auto"/>
              <w:jc w:val="center"/>
              <w:rPr>
                <w:rFonts w:eastAsia="Times New Roman" w:cs="Calibri"/>
                <w:sz w:val="12"/>
                <w:szCs w:val="12"/>
                <w:lang w:val="en-GB" w:eastAsia="mk-MK"/>
              </w:rPr>
            </w:pPr>
          </w:p>
          <w:p w14:paraId="738660D9"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Municipalities,</w:t>
            </w:r>
          </w:p>
          <w:p w14:paraId="053E66D6" w14:textId="77777777" w:rsidR="00082B88" w:rsidRPr="00D30847" w:rsidRDefault="00082B88" w:rsidP="00800970">
            <w:pPr>
              <w:spacing w:after="0" w:line="240" w:lineRule="auto"/>
              <w:jc w:val="center"/>
              <w:rPr>
                <w:rFonts w:eastAsia="Times New Roman" w:cs="Calibri"/>
                <w:sz w:val="12"/>
                <w:szCs w:val="12"/>
                <w:lang w:val="en-GB" w:eastAsia="mk-MK"/>
              </w:rPr>
            </w:pPr>
          </w:p>
        </w:tc>
        <w:tc>
          <w:tcPr>
            <w:tcW w:w="1813" w:type="dxa"/>
            <w:gridSpan w:val="4"/>
            <w:tcBorders>
              <w:top w:val="single" w:sz="4" w:space="0" w:color="auto"/>
              <w:left w:val="single" w:sz="4" w:space="0" w:color="auto"/>
              <w:bottom w:val="single" w:sz="4" w:space="0" w:color="auto"/>
              <w:right w:val="single" w:sz="4" w:space="0" w:color="auto"/>
            </w:tcBorders>
            <w:shd w:val="clear" w:color="000000" w:fill="FFFF99"/>
            <w:vAlign w:val="center"/>
            <w:hideMark/>
          </w:tcPr>
          <w:p w14:paraId="45FBD8EA"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 xml:space="preserve">  /                                                       </w:t>
            </w:r>
          </w:p>
        </w:tc>
        <w:tc>
          <w:tcPr>
            <w:tcW w:w="1872" w:type="dxa"/>
            <w:gridSpan w:val="5"/>
            <w:tcBorders>
              <w:top w:val="single" w:sz="4" w:space="0" w:color="auto"/>
              <w:left w:val="single" w:sz="4" w:space="0" w:color="auto"/>
              <w:bottom w:val="single" w:sz="4" w:space="0" w:color="auto"/>
              <w:right w:val="single" w:sz="4" w:space="0" w:color="auto"/>
            </w:tcBorders>
            <w:shd w:val="clear" w:color="000000" w:fill="FFFF99"/>
            <w:vAlign w:val="center"/>
            <w:hideMark/>
          </w:tcPr>
          <w:p w14:paraId="1F2D2B89" w14:textId="0052C3B2" w:rsidR="00082B88" w:rsidRPr="00D30847" w:rsidRDefault="00082B88" w:rsidP="00800970">
            <w:pPr>
              <w:spacing w:after="0" w:line="240" w:lineRule="auto"/>
              <w:jc w:val="center"/>
              <w:rPr>
                <w:rFonts w:eastAsia="Times New Roman" w:cs="Calibri"/>
                <w:sz w:val="12"/>
                <w:szCs w:val="12"/>
                <w:lang w:val="en-GB" w:eastAsia="mk-MK"/>
              </w:rPr>
            </w:pPr>
          </w:p>
        </w:tc>
        <w:tc>
          <w:tcPr>
            <w:tcW w:w="1413"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14:paraId="22EBEB1B"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 /</w:t>
            </w:r>
          </w:p>
        </w:tc>
      </w:tr>
      <w:tr w:rsidR="00082B88" w:rsidRPr="00D30847" w14:paraId="4B1F5F2A" w14:textId="77777777" w:rsidTr="00FD4D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890"/>
        </w:trPr>
        <w:tc>
          <w:tcPr>
            <w:tcW w:w="2525" w:type="dxa"/>
            <w:gridSpan w:val="7"/>
            <w:tcBorders>
              <w:top w:val="nil"/>
              <w:left w:val="nil"/>
              <w:bottom w:val="nil"/>
              <w:right w:val="single" w:sz="4" w:space="0" w:color="auto"/>
            </w:tcBorders>
            <w:shd w:val="clear" w:color="auto" w:fill="auto"/>
            <w:vAlign w:val="center"/>
          </w:tcPr>
          <w:p w14:paraId="5D077CBD" w14:textId="77777777" w:rsidR="00082B88" w:rsidRPr="00D30847" w:rsidRDefault="00082B88" w:rsidP="00800970">
            <w:pPr>
              <w:spacing w:after="0" w:line="240" w:lineRule="auto"/>
              <w:jc w:val="both"/>
              <w:rPr>
                <w:rFonts w:eastAsia="Times New Roman" w:cs="Calibri"/>
                <w:sz w:val="12"/>
                <w:szCs w:val="12"/>
                <w:lang w:val="en-GB" w:eastAsia="mk-MK"/>
              </w:rPr>
            </w:pPr>
          </w:p>
        </w:tc>
        <w:tc>
          <w:tcPr>
            <w:tcW w:w="1605" w:type="dxa"/>
            <w:gridSpan w:val="2"/>
            <w:tcBorders>
              <w:top w:val="single" w:sz="4" w:space="0" w:color="auto"/>
              <w:left w:val="single" w:sz="4" w:space="0" w:color="auto"/>
              <w:bottom w:val="single" w:sz="4" w:space="0" w:color="auto"/>
              <w:right w:val="single" w:sz="4" w:space="0" w:color="auto"/>
            </w:tcBorders>
            <w:shd w:val="clear" w:color="000000" w:fill="FFFF99"/>
            <w:vAlign w:val="center"/>
          </w:tcPr>
          <w:p w14:paraId="03493475" w14:textId="3EC1BB46" w:rsidR="00082B88" w:rsidRPr="00D30847" w:rsidRDefault="00F16C64" w:rsidP="00800970">
            <w:pPr>
              <w:spacing w:after="0" w:line="240" w:lineRule="auto"/>
              <w:rPr>
                <w:rFonts w:eastAsia="Times New Roman" w:cs="Calibri"/>
                <w:sz w:val="12"/>
                <w:szCs w:val="12"/>
                <w:lang w:val="en-GB" w:eastAsia="mk-MK"/>
              </w:rPr>
            </w:pPr>
            <w:r w:rsidRPr="00D30847">
              <w:rPr>
                <w:rFonts w:eastAsia="Times New Roman" w:cs="Calibri"/>
                <w:sz w:val="12"/>
                <w:szCs w:val="12"/>
                <w:lang w:val="en-GB" w:eastAsia="mk-MK"/>
              </w:rPr>
              <w:t>2. Monitoring the transparency of municipalities</w:t>
            </w:r>
          </w:p>
        </w:tc>
        <w:tc>
          <w:tcPr>
            <w:tcW w:w="1375" w:type="dxa"/>
            <w:gridSpan w:val="5"/>
            <w:tcBorders>
              <w:top w:val="single" w:sz="4" w:space="0" w:color="auto"/>
              <w:left w:val="single" w:sz="4" w:space="0" w:color="auto"/>
              <w:bottom w:val="single" w:sz="4" w:space="0" w:color="auto"/>
              <w:right w:val="single" w:sz="4" w:space="0" w:color="auto"/>
            </w:tcBorders>
            <w:shd w:val="clear" w:color="000000" w:fill="FFFF99"/>
            <w:vAlign w:val="center"/>
          </w:tcPr>
          <w:p w14:paraId="2A6E1F28"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2025-2028</w:t>
            </w:r>
          </w:p>
        </w:tc>
        <w:tc>
          <w:tcPr>
            <w:tcW w:w="1325" w:type="dxa"/>
            <w:gridSpan w:val="2"/>
            <w:tcBorders>
              <w:top w:val="single" w:sz="4" w:space="0" w:color="auto"/>
              <w:left w:val="single" w:sz="4" w:space="0" w:color="auto"/>
              <w:bottom w:val="single" w:sz="4" w:space="0" w:color="auto"/>
              <w:right w:val="single" w:sz="4" w:space="0" w:color="auto"/>
            </w:tcBorders>
            <w:shd w:val="clear" w:color="000000" w:fill="FFFF99"/>
            <w:vAlign w:val="center"/>
          </w:tcPr>
          <w:p w14:paraId="5DAE1347"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 xml:space="preserve">MF </w:t>
            </w:r>
          </w:p>
        </w:tc>
        <w:tc>
          <w:tcPr>
            <w:tcW w:w="1652" w:type="dxa"/>
            <w:gridSpan w:val="4"/>
            <w:tcBorders>
              <w:top w:val="single" w:sz="4" w:space="0" w:color="auto"/>
              <w:left w:val="single" w:sz="4" w:space="0" w:color="auto"/>
              <w:bottom w:val="single" w:sz="4" w:space="0" w:color="auto"/>
              <w:right w:val="single" w:sz="4" w:space="0" w:color="auto"/>
            </w:tcBorders>
            <w:shd w:val="clear" w:color="000000" w:fill="FFFF99"/>
          </w:tcPr>
          <w:p w14:paraId="7A268227" w14:textId="77777777" w:rsidR="00082B88" w:rsidRPr="00D30847" w:rsidRDefault="00082B88" w:rsidP="00800970">
            <w:pPr>
              <w:spacing w:after="0" w:line="240" w:lineRule="auto"/>
              <w:jc w:val="center"/>
              <w:rPr>
                <w:rFonts w:eastAsia="Times New Roman" w:cs="Calibri"/>
                <w:sz w:val="12"/>
                <w:szCs w:val="12"/>
                <w:lang w:val="en-GB" w:eastAsia="mk-MK"/>
              </w:rPr>
            </w:pPr>
          </w:p>
          <w:p w14:paraId="325BF992" w14:textId="77777777" w:rsidR="00082B88" w:rsidRPr="00D30847" w:rsidRDefault="00082B88" w:rsidP="00800970">
            <w:pPr>
              <w:spacing w:after="0" w:line="240" w:lineRule="auto"/>
              <w:jc w:val="center"/>
              <w:rPr>
                <w:rFonts w:eastAsia="Times New Roman" w:cs="Calibri"/>
                <w:sz w:val="12"/>
                <w:szCs w:val="12"/>
                <w:lang w:val="en-GB" w:eastAsia="mk-MK"/>
              </w:rPr>
            </w:pPr>
          </w:p>
          <w:p w14:paraId="0D8222FE" w14:textId="77777777" w:rsidR="00082B88" w:rsidRPr="00D30847" w:rsidRDefault="00082B88" w:rsidP="00800970">
            <w:pPr>
              <w:spacing w:after="0" w:line="240" w:lineRule="auto"/>
              <w:jc w:val="center"/>
              <w:rPr>
                <w:rFonts w:eastAsia="Times New Roman" w:cs="Calibri"/>
                <w:sz w:val="12"/>
                <w:szCs w:val="12"/>
                <w:lang w:val="en-GB" w:eastAsia="mk-MK"/>
              </w:rPr>
            </w:pPr>
          </w:p>
          <w:p w14:paraId="548532A7"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Municipalities,</w:t>
            </w:r>
          </w:p>
          <w:p w14:paraId="14F51C58" w14:textId="77777777" w:rsidR="00082B88" w:rsidRPr="00D30847" w:rsidRDefault="00082B88" w:rsidP="00800970">
            <w:pPr>
              <w:spacing w:after="0" w:line="240" w:lineRule="auto"/>
              <w:jc w:val="center"/>
              <w:rPr>
                <w:rFonts w:eastAsia="Times New Roman" w:cs="Calibri"/>
                <w:sz w:val="12"/>
                <w:szCs w:val="12"/>
                <w:lang w:val="en-GB" w:eastAsia="mk-MK"/>
              </w:rPr>
            </w:pPr>
          </w:p>
        </w:tc>
        <w:tc>
          <w:tcPr>
            <w:tcW w:w="1813" w:type="dxa"/>
            <w:gridSpan w:val="4"/>
            <w:tcBorders>
              <w:top w:val="single" w:sz="4" w:space="0" w:color="auto"/>
              <w:left w:val="single" w:sz="4" w:space="0" w:color="auto"/>
              <w:bottom w:val="single" w:sz="4" w:space="0" w:color="auto"/>
              <w:right w:val="single" w:sz="4" w:space="0" w:color="auto"/>
            </w:tcBorders>
            <w:shd w:val="clear" w:color="000000" w:fill="FFFF99"/>
            <w:vAlign w:val="center"/>
          </w:tcPr>
          <w:p w14:paraId="1A4D101F"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w:t>
            </w:r>
          </w:p>
        </w:tc>
        <w:tc>
          <w:tcPr>
            <w:tcW w:w="1872" w:type="dxa"/>
            <w:gridSpan w:val="5"/>
            <w:tcBorders>
              <w:top w:val="single" w:sz="4" w:space="0" w:color="auto"/>
              <w:left w:val="single" w:sz="4" w:space="0" w:color="auto"/>
              <w:bottom w:val="single" w:sz="4" w:space="0" w:color="auto"/>
              <w:right w:val="single" w:sz="4" w:space="0" w:color="auto"/>
            </w:tcBorders>
            <w:shd w:val="clear" w:color="000000" w:fill="FFFF99"/>
            <w:vAlign w:val="center"/>
          </w:tcPr>
          <w:p w14:paraId="3E646AA7" w14:textId="77777777" w:rsidR="00082B88" w:rsidRPr="00D30847" w:rsidRDefault="00082B88" w:rsidP="00F45A74">
            <w:pPr>
              <w:spacing w:after="0" w:line="240" w:lineRule="auto"/>
              <w:jc w:val="center"/>
              <w:rPr>
                <w:rFonts w:eastAsia="Times New Roman" w:cs="Calibri"/>
                <w:sz w:val="12"/>
                <w:szCs w:val="12"/>
                <w:lang w:val="en-GB" w:eastAsia="mk-MK"/>
              </w:rPr>
            </w:pPr>
          </w:p>
        </w:tc>
        <w:tc>
          <w:tcPr>
            <w:tcW w:w="1413" w:type="dxa"/>
            <w:gridSpan w:val="2"/>
            <w:tcBorders>
              <w:top w:val="single" w:sz="4" w:space="0" w:color="auto"/>
              <w:left w:val="single" w:sz="4" w:space="0" w:color="auto"/>
              <w:bottom w:val="single" w:sz="4" w:space="0" w:color="auto"/>
              <w:right w:val="single" w:sz="4" w:space="0" w:color="auto"/>
            </w:tcBorders>
            <w:shd w:val="clear" w:color="000000" w:fill="FFFF99"/>
            <w:vAlign w:val="center"/>
          </w:tcPr>
          <w:p w14:paraId="2D5C5B17" w14:textId="77777777" w:rsidR="00082B88" w:rsidRPr="00D30847" w:rsidRDefault="00082B88" w:rsidP="00800970">
            <w:pPr>
              <w:spacing w:after="0" w:line="240" w:lineRule="auto"/>
              <w:jc w:val="center"/>
              <w:rPr>
                <w:rFonts w:eastAsia="Times New Roman" w:cs="Calibri"/>
                <w:sz w:val="12"/>
                <w:szCs w:val="12"/>
                <w:lang w:val="en-GB" w:eastAsia="mk-MK"/>
              </w:rPr>
            </w:pPr>
            <w:r w:rsidRPr="00D30847">
              <w:rPr>
                <w:rFonts w:eastAsia="Times New Roman" w:cs="Calibri"/>
                <w:sz w:val="12"/>
                <w:szCs w:val="12"/>
                <w:lang w:val="en-GB" w:eastAsia="mk-MK"/>
              </w:rPr>
              <w:t>/</w:t>
            </w:r>
          </w:p>
        </w:tc>
      </w:tr>
      <w:tr w:rsidR="00485BAA" w:rsidRPr="00D30847" w14:paraId="080B2984" w14:textId="77777777" w:rsidTr="00FD4DDE">
        <w:trPr>
          <w:gridBefore w:val="3"/>
          <w:gridAfter w:val="1"/>
          <w:wBefore w:w="37" w:type="dxa"/>
          <w:wAfter w:w="52" w:type="dxa"/>
          <w:trHeight w:val="214"/>
          <w:jc w:val="center"/>
        </w:trPr>
        <w:tc>
          <w:tcPr>
            <w:tcW w:w="13501" w:type="dxa"/>
            <w:gridSpan w:val="28"/>
            <w:shd w:val="clear" w:color="000000" w:fill="1F3864"/>
            <w:vAlign w:val="center"/>
            <w:hideMark/>
          </w:tcPr>
          <w:p w14:paraId="3525D939" w14:textId="045FF119"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PILLAR IV</w:t>
            </w:r>
            <w:r w:rsidR="00577A56" w:rsidRPr="00D30847">
              <w:rPr>
                <w:rFonts w:ascii="Arial" w:eastAsia="Times New Roman" w:hAnsi="Arial" w:cs="Arial"/>
                <w:b/>
                <w:bCs/>
                <w:color w:val="FFFFFF"/>
                <w:sz w:val="12"/>
                <w:szCs w:val="12"/>
                <w:lang w:val="en-GB" w:eastAsia="mk-MK"/>
              </w:rPr>
              <w:t>.</w:t>
            </w:r>
            <w:r w:rsidRPr="00D30847">
              <w:rPr>
                <w:rFonts w:ascii="Arial" w:eastAsia="Times New Roman" w:hAnsi="Arial" w:cs="Arial"/>
                <w:b/>
                <w:bCs/>
                <w:color w:val="FFFFFF"/>
                <w:sz w:val="12"/>
                <w:szCs w:val="12"/>
                <w:lang w:val="en-GB" w:eastAsia="mk-MK"/>
              </w:rPr>
              <w:t xml:space="preserve"> P</w:t>
            </w:r>
            <w:r w:rsidR="00F45A74" w:rsidRPr="00D30847">
              <w:rPr>
                <w:rFonts w:ascii="Arial" w:eastAsia="Times New Roman" w:hAnsi="Arial" w:cs="Arial"/>
                <w:b/>
                <w:bCs/>
                <w:color w:val="FFFFFF"/>
                <w:sz w:val="12"/>
                <w:szCs w:val="12"/>
                <w:lang w:val="en-GB" w:eastAsia="mk-MK"/>
              </w:rPr>
              <w:t>ubli</w:t>
            </w:r>
            <w:r w:rsidR="001368D6" w:rsidRPr="00D30847">
              <w:rPr>
                <w:rFonts w:ascii="Arial" w:eastAsia="Times New Roman" w:hAnsi="Arial" w:cs="Arial"/>
                <w:b/>
                <w:bCs/>
                <w:color w:val="FFFFFF"/>
                <w:sz w:val="12"/>
                <w:szCs w:val="12"/>
                <w:lang w:val="en-GB" w:eastAsia="mk-MK"/>
              </w:rPr>
              <w:t>c</w:t>
            </w:r>
            <w:r w:rsidRPr="00D30847">
              <w:rPr>
                <w:rFonts w:ascii="Arial" w:eastAsia="Times New Roman" w:hAnsi="Arial" w:cs="Arial"/>
                <w:b/>
                <w:bCs/>
                <w:color w:val="FFFFFF"/>
                <w:sz w:val="12"/>
                <w:szCs w:val="12"/>
                <w:lang w:val="en-GB" w:eastAsia="mk-MK"/>
              </w:rPr>
              <w:t xml:space="preserve"> P</w:t>
            </w:r>
            <w:r w:rsidR="00F45A74" w:rsidRPr="00D30847">
              <w:rPr>
                <w:rFonts w:ascii="Arial" w:eastAsia="Times New Roman" w:hAnsi="Arial" w:cs="Arial"/>
                <w:b/>
                <w:bCs/>
                <w:color w:val="FFFFFF"/>
                <w:sz w:val="12"/>
                <w:szCs w:val="12"/>
                <w:lang w:val="en-GB" w:eastAsia="mk-MK"/>
              </w:rPr>
              <w:t>rocurement</w:t>
            </w:r>
          </w:p>
        </w:tc>
      </w:tr>
      <w:tr w:rsidR="00485BAA" w:rsidRPr="00D30847" w14:paraId="6CB89331" w14:textId="77777777" w:rsidTr="00FD4DDE">
        <w:trPr>
          <w:gridBefore w:val="3"/>
          <w:gridAfter w:val="1"/>
          <w:wBefore w:w="37" w:type="dxa"/>
          <w:wAfter w:w="52" w:type="dxa"/>
          <w:trHeight w:val="255"/>
          <w:jc w:val="center"/>
        </w:trPr>
        <w:tc>
          <w:tcPr>
            <w:tcW w:w="13501" w:type="dxa"/>
            <w:gridSpan w:val="28"/>
            <w:shd w:val="clear" w:color="000000" w:fill="1F3864"/>
            <w:vAlign w:val="center"/>
            <w:hideMark/>
          </w:tcPr>
          <w:p w14:paraId="2F445D35" w14:textId="0E519D82"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PRIORITY 1. P</w:t>
            </w:r>
            <w:r w:rsidR="00F45A74" w:rsidRPr="00D30847">
              <w:rPr>
                <w:rFonts w:ascii="Arial" w:eastAsia="Times New Roman" w:hAnsi="Arial" w:cs="Arial"/>
                <w:b/>
                <w:bCs/>
                <w:color w:val="FFFFFF"/>
                <w:sz w:val="12"/>
                <w:szCs w:val="12"/>
                <w:lang w:val="en-GB" w:eastAsia="mk-MK"/>
              </w:rPr>
              <w:t>ublic</w:t>
            </w:r>
            <w:r w:rsidRPr="00D30847">
              <w:rPr>
                <w:rFonts w:ascii="Arial" w:eastAsia="Times New Roman" w:hAnsi="Arial" w:cs="Arial"/>
                <w:b/>
                <w:bCs/>
                <w:color w:val="FFFFFF"/>
                <w:sz w:val="12"/>
                <w:szCs w:val="12"/>
                <w:lang w:val="en-GB" w:eastAsia="mk-MK"/>
              </w:rPr>
              <w:t xml:space="preserve"> P</w:t>
            </w:r>
            <w:r w:rsidR="00F45A74" w:rsidRPr="00D30847">
              <w:rPr>
                <w:rFonts w:ascii="Arial" w:eastAsia="Times New Roman" w:hAnsi="Arial" w:cs="Arial"/>
                <w:b/>
                <w:bCs/>
                <w:color w:val="FFFFFF"/>
                <w:sz w:val="12"/>
                <w:szCs w:val="12"/>
                <w:lang w:val="en-GB" w:eastAsia="mk-MK"/>
              </w:rPr>
              <w:t>rocurement</w:t>
            </w:r>
            <w:r w:rsidRPr="00D30847">
              <w:rPr>
                <w:rFonts w:ascii="Arial" w:eastAsia="Times New Roman" w:hAnsi="Arial" w:cs="Arial"/>
                <w:b/>
                <w:bCs/>
                <w:color w:val="FFFFFF"/>
                <w:sz w:val="12"/>
                <w:szCs w:val="12"/>
                <w:lang w:val="en-GB" w:eastAsia="mk-MK"/>
              </w:rPr>
              <w:t xml:space="preserve"> P</w:t>
            </w:r>
            <w:r w:rsidR="00F45A74" w:rsidRPr="00D30847">
              <w:rPr>
                <w:rFonts w:ascii="Arial" w:eastAsia="Times New Roman" w:hAnsi="Arial" w:cs="Arial"/>
                <w:b/>
                <w:bCs/>
                <w:color w:val="FFFFFF"/>
                <w:sz w:val="12"/>
                <w:szCs w:val="12"/>
                <w:lang w:val="en-GB" w:eastAsia="mk-MK"/>
              </w:rPr>
              <w:t>olicy</w:t>
            </w:r>
          </w:p>
        </w:tc>
      </w:tr>
      <w:tr w:rsidR="00485BAA" w:rsidRPr="00D30847" w14:paraId="448C6520" w14:textId="77777777" w:rsidTr="00FD4DDE">
        <w:trPr>
          <w:gridBefore w:val="3"/>
          <w:gridAfter w:val="1"/>
          <w:wBefore w:w="37" w:type="dxa"/>
          <w:wAfter w:w="52" w:type="dxa"/>
          <w:trHeight w:val="241"/>
          <w:jc w:val="center"/>
        </w:trPr>
        <w:tc>
          <w:tcPr>
            <w:tcW w:w="2303" w:type="dxa"/>
            <w:gridSpan w:val="3"/>
            <w:shd w:val="clear" w:color="000000" w:fill="9BD2ED"/>
            <w:vAlign w:val="center"/>
            <w:hideMark/>
          </w:tcPr>
          <w:p w14:paraId="7FF3AFF0"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Outcome(s)</w:t>
            </w:r>
          </w:p>
        </w:tc>
        <w:tc>
          <w:tcPr>
            <w:tcW w:w="1836" w:type="dxa"/>
            <w:gridSpan w:val="5"/>
            <w:shd w:val="clear" w:color="000000" w:fill="9BD2ED"/>
            <w:vAlign w:val="center"/>
            <w:hideMark/>
          </w:tcPr>
          <w:p w14:paraId="42B1952E" w14:textId="216C5B7A"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CB33DB"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31B4DD74"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proofErr w:type="spellStart"/>
            <w:r w:rsidRPr="00D30847">
              <w:rPr>
                <w:rFonts w:ascii="Arial" w:eastAsia="Times New Roman" w:hAnsi="Arial" w:cs="Arial"/>
                <w:b/>
                <w:bCs/>
                <w:sz w:val="12"/>
                <w:szCs w:val="12"/>
                <w:lang w:val="en-GB" w:eastAsia="mk-MK"/>
              </w:rPr>
              <w:t>DataSource</w:t>
            </w:r>
            <w:proofErr w:type="spellEnd"/>
          </w:p>
        </w:tc>
        <w:tc>
          <w:tcPr>
            <w:tcW w:w="1418" w:type="dxa"/>
            <w:gridSpan w:val="3"/>
            <w:shd w:val="clear" w:color="000000" w:fill="9BD2ED"/>
            <w:vAlign w:val="center"/>
            <w:hideMark/>
          </w:tcPr>
          <w:p w14:paraId="02A07985" w14:textId="6C14323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9227FF"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616296A4" w14:textId="5DD7EF80"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9227FF"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1E39FBAE" w14:textId="400BFB4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9227FF"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3179147C" w14:textId="26B2F330"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9227FF"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0D139D76" w14:textId="3A28349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9227FF" w:rsidRPr="00D30847">
              <w:rPr>
                <w:rFonts w:ascii="Arial" w:eastAsia="Times New Roman" w:hAnsi="Arial" w:cs="Arial"/>
                <w:b/>
                <w:bCs/>
                <w:sz w:val="12"/>
                <w:szCs w:val="12"/>
                <w:lang w:val="en-GB" w:eastAsia="mk-MK"/>
              </w:rPr>
              <w:t>8</w:t>
            </w:r>
          </w:p>
        </w:tc>
      </w:tr>
      <w:tr w:rsidR="00275961" w:rsidRPr="00D30847" w14:paraId="1CF2930F" w14:textId="77777777" w:rsidTr="00FD4DDE">
        <w:trPr>
          <w:gridBefore w:val="3"/>
          <w:gridAfter w:val="1"/>
          <w:wBefore w:w="37" w:type="dxa"/>
          <w:wAfter w:w="52" w:type="dxa"/>
          <w:trHeight w:val="450"/>
          <w:jc w:val="center"/>
        </w:trPr>
        <w:tc>
          <w:tcPr>
            <w:tcW w:w="2303" w:type="dxa"/>
            <w:gridSpan w:val="3"/>
            <w:vMerge w:val="restart"/>
            <w:shd w:val="clear" w:color="000000" w:fill="FFFF99"/>
            <w:vAlign w:val="center"/>
            <w:hideMark/>
          </w:tcPr>
          <w:p w14:paraId="59104B60" w14:textId="47DB5D5A" w:rsidR="00275961" w:rsidRPr="00D30847" w:rsidRDefault="00275961"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Improved</w:t>
            </w:r>
            <w:r w:rsidR="00236E9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public</w:t>
            </w:r>
            <w:r w:rsidR="00236E9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procurement</w:t>
            </w:r>
            <w:r w:rsidR="00236E96"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process</w:t>
            </w:r>
            <w:r w:rsidR="009227FF" w:rsidRPr="00D30847">
              <w:rPr>
                <w:rFonts w:ascii="Arial" w:eastAsia="Times New Roman" w:hAnsi="Arial" w:cs="Arial"/>
                <w:sz w:val="12"/>
                <w:szCs w:val="12"/>
                <w:lang w:val="en-GB" w:eastAsia="mk-MK"/>
              </w:rPr>
              <w:t>es</w:t>
            </w:r>
            <w:r w:rsidRPr="00D30847">
              <w:rPr>
                <w:rFonts w:ascii="Arial" w:eastAsia="Times New Roman" w:hAnsi="Arial" w:cs="Arial"/>
                <w:sz w:val="12"/>
                <w:szCs w:val="12"/>
                <w:lang w:val="en-GB" w:eastAsia="mk-MK"/>
              </w:rPr>
              <w:t>.</w:t>
            </w:r>
          </w:p>
        </w:tc>
        <w:tc>
          <w:tcPr>
            <w:tcW w:w="1836" w:type="dxa"/>
            <w:gridSpan w:val="5"/>
            <w:shd w:val="clear" w:color="000000" w:fill="FFFF99"/>
            <w:vAlign w:val="center"/>
            <w:hideMark/>
          </w:tcPr>
          <w:p w14:paraId="6128780A" w14:textId="03D42C72" w:rsidR="00275961" w:rsidRPr="00D30847" w:rsidRDefault="00CB33DB"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w:t>
            </w:r>
            <w:r w:rsidR="00275961" w:rsidRPr="00D30847">
              <w:rPr>
                <w:rFonts w:ascii="Arial" w:eastAsia="Times New Roman" w:hAnsi="Arial" w:cs="Arial"/>
                <w:sz w:val="12"/>
                <w:szCs w:val="12"/>
                <w:lang w:val="en-GB" w:eastAsia="mk-MK"/>
              </w:rPr>
              <w:t>ercentage</w:t>
            </w:r>
            <w:r w:rsidR="00214BF8" w:rsidRPr="00D30847">
              <w:rPr>
                <w:rFonts w:ascii="Arial" w:eastAsia="Times New Roman" w:hAnsi="Arial" w:cs="Arial"/>
                <w:sz w:val="12"/>
                <w:szCs w:val="12"/>
                <w:lang w:val="en-GB" w:eastAsia="mk-MK"/>
              </w:rPr>
              <w:t xml:space="preserve"> of</w:t>
            </w:r>
            <w:r w:rsidRPr="00D30847">
              <w:rPr>
                <w:rFonts w:ascii="Arial" w:eastAsia="Times New Roman" w:hAnsi="Arial" w:cs="Arial"/>
                <w:sz w:val="12"/>
                <w:szCs w:val="12"/>
                <w:lang w:val="en-GB" w:eastAsia="mk-MK"/>
              </w:rPr>
              <w:t xml:space="preserve"> </w:t>
            </w:r>
            <w:r w:rsidR="00275961" w:rsidRPr="00D30847">
              <w:rPr>
                <w:rFonts w:ascii="Arial" w:eastAsia="Times New Roman" w:hAnsi="Arial" w:cs="Arial"/>
                <w:sz w:val="12"/>
                <w:szCs w:val="12"/>
                <w:lang w:val="en-GB" w:eastAsia="mk-MK"/>
              </w:rPr>
              <w:t>one</w:t>
            </w:r>
            <w:r w:rsidRPr="00D30847">
              <w:rPr>
                <w:rFonts w:ascii="Arial" w:eastAsia="Times New Roman" w:hAnsi="Arial" w:cs="Arial"/>
                <w:sz w:val="12"/>
                <w:szCs w:val="12"/>
                <w:lang w:val="en-GB" w:eastAsia="mk-MK"/>
              </w:rPr>
              <w:t xml:space="preserve"> </w:t>
            </w:r>
            <w:r w:rsidR="00275961" w:rsidRPr="00D30847">
              <w:rPr>
                <w:rFonts w:ascii="Arial" w:eastAsia="Times New Roman" w:hAnsi="Arial" w:cs="Arial"/>
                <w:sz w:val="12"/>
                <w:szCs w:val="12"/>
                <w:lang w:val="en-GB" w:eastAsia="mk-MK"/>
              </w:rPr>
              <w:t>bid</w:t>
            </w:r>
            <w:r w:rsidRPr="00D30847">
              <w:rPr>
                <w:rFonts w:ascii="Arial" w:eastAsia="Times New Roman" w:hAnsi="Arial" w:cs="Arial"/>
                <w:sz w:val="12"/>
                <w:szCs w:val="12"/>
                <w:lang w:val="en-GB" w:eastAsia="mk-MK"/>
              </w:rPr>
              <w:t xml:space="preserve"> </w:t>
            </w:r>
            <w:r w:rsidR="00275961" w:rsidRPr="00D30847">
              <w:rPr>
                <w:rFonts w:ascii="Arial" w:eastAsia="Times New Roman" w:hAnsi="Arial" w:cs="Arial"/>
                <w:sz w:val="12"/>
                <w:szCs w:val="12"/>
                <w:lang w:val="en-GB" w:eastAsia="mk-MK"/>
              </w:rPr>
              <w:t>tenders</w:t>
            </w:r>
          </w:p>
        </w:tc>
        <w:tc>
          <w:tcPr>
            <w:tcW w:w="1194" w:type="dxa"/>
            <w:gridSpan w:val="2"/>
            <w:shd w:val="clear" w:color="000000" w:fill="FFFF99"/>
            <w:vAlign w:val="center"/>
            <w:hideMark/>
          </w:tcPr>
          <w:p w14:paraId="6892137D" w14:textId="77777777" w:rsidR="00275961" w:rsidRPr="00D30847" w:rsidRDefault="00275961"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ESPP</w:t>
            </w:r>
          </w:p>
        </w:tc>
        <w:tc>
          <w:tcPr>
            <w:tcW w:w="1418" w:type="dxa"/>
            <w:gridSpan w:val="3"/>
            <w:shd w:val="clear" w:color="000000" w:fill="FFFF99"/>
            <w:vAlign w:val="center"/>
            <w:hideMark/>
          </w:tcPr>
          <w:p w14:paraId="470285EA" w14:textId="3376F2AE" w:rsidR="00275961" w:rsidRPr="00D30847" w:rsidRDefault="009227FF"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31</w:t>
            </w:r>
            <w:r w:rsidR="00275961" w:rsidRPr="00D30847">
              <w:rPr>
                <w:rFonts w:ascii="Arial" w:eastAsia="Times New Roman" w:hAnsi="Arial" w:cs="Arial"/>
                <w:sz w:val="12"/>
                <w:szCs w:val="12"/>
                <w:lang w:val="en-GB" w:eastAsia="mk-MK"/>
              </w:rPr>
              <w:t>%</w:t>
            </w:r>
          </w:p>
        </w:tc>
        <w:tc>
          <w:tcPr>
            <w:tcW w:w="1644" w:type="dxa"/>
            <w:gridSpan w:val="3"/>
            <w:shd w:val="clear" w:color="000000" w:fill="FFFF99"/>
            <w:vAlign w:val="center"/>
            <w:hideMark/>
          </w:tcPr>
          <w:p w14:paraId="46D8443D" w14:textId="6E7C7BB1" w:rsidR="00275961" w:rsidRPr="00D30847" w:rsidRDefault="006C3A9D" w:rsidP="00485BAA">
            <w:pPr>
              <w:spacing w:after="0" w:line="240" w:lineRule="auto"/>
              <w:jc w:val="both"/>
              <w:rPr>
                <w:rFonts w:ascii="Arial" w:eastAsia="Times New Roman" w:hAnsi="Arial" w:cs="Arial"/>
                <w:sz w:val="12"/>
                <w:szCs w:val="12"/>
                <w:lang w:val="en-GB" w:eastAsia="mk-MK"/>
              </w:rPr>
            </w:pPr>
            <w:r w:rsidRPr="00D30847">
              <w:rPr>
                <w:rFonts w:eastAsia="Times New Roman" w:cs="Calibri"/>
                <w:sz w:val="12"/>
                <w:szCs w:val="12"/>
                <w:lang w:val="en-GB" w:eastAsia="mk-MK"/>
              </w:rPr>
              <w:t>≤</w:t>
            </w:r>
            <w:r w:rsidR="009227FF" w:rsidRPr="00D30847">
              <w:rPr>
                <w:rFonts w:ascii="Arial" w:eastAsia="Times New Roman" w:hAnsi="Arial" w:cs="Arial"/>
                <w:sz w:val="12"/>
                <w:szCs w:val="12"/>
                <w:lang w:val="en-GB" w:eastAsia="mk-MK"/>
              </w:rPr>
              <w:t>30</w:t>
            </w:r>
            <w:r w:rsidR="00275961" w:rsidRPr="00D30847">
              <w:rPr>
                <w:rFonts w:ascii="Arial" w:eastAsia="Times New Roman" w:hAnsi="Arial" w:cs="Arial"/>
                <w:sz w:val="12"/>
                <w:szCs w:val="12"/>
                <w:lang w:val="en-GB" w:eastAsia="mk-MK"/>
              </w:rPr>
              <w:t xml:space="preserve"> %</w:t>
            </w:r>
          </w:p>
        </w:tc>
        <w:tc>
          <w:tcPr>
            <w:tcW w:w="1758" w:type="dxa"/>
            <w:gridSpan w:val="4"/>
            <w:shd w:val="clear" w:color="000000" w:fill="FFFF99"/>
            <w:vAlign w:val="center"/>
            <w:hideMark/>
          </w:tcPr>
          <w:p w14:paraId="71BEB704" w14:textId="24564777" w:rsidR="00275961" w:rsidRPr="00D30847" w:rsidRDefault="006C3A9D" w:rsidP="00485BAA">
            <w:pPr>
              <w:spacing w:after="0" w:line="240" w:lineRule="auto"/>
              <w:jc w:val="both"/>
              <w:rPr>
                <w:rFonts w:ascii="Arial" w:eastAsia="Times New Roman" w:hAnsi="Arial" w:cs="Arial"/>
                <w:sz w:val="12"/>
                <w:szCs w:val="12"/>
                <w:lang w:val="en-GB" w:eastAsia="mk-MK"/>
              </w:rPr>
            </w:pPr>
            <w:r w:rsidRPr="00D30847">
              <w:rPr>
                <w:rFonts w:eastAsia="Times New Roman" w:cs="Calibri"/>
                <w:sz w:val="12"/>
                <w:szCs w:val="12"/>
                <w:lang w:val="en-GB" w:eastAsia="mk-MK"/>
              </w:rPr>
              <w:t>≤</w:t>
            </w:r>
            <w:r w:rsidR="009227FF" w:rsidRPr="00D30847">
              <w:rPr>
                <w:rFonts w:ascii="Arial" w:eastAsia="Times New Roman" w:hAnsi="Arial" w:cs="Arial"/>
                <w:sz w:val="12"/>
                <w:szCs w:val="12"/>
                <w:lang w:val="en-GB" w:eastAsia="mk-MK"/>
              </w:rPr>
              <w:t>29</w:t>
            </w:r>
            <w:r w:rsidR="00275961" w:rsidRPr="00D30847">
              <w:rPr>
                <w:rFonts w:ascii="Arial" w:eastAsia="Times New Roman" w:hAnsi="Arial" w:cs="Arial"/>
                <w:sz w:val="12"/>
                <w:szCs w:val="12"/>
                <w:lang w:val="en-GB" w:eastAsia="mk-MK"/>
              </w:rPr>
              <w:t xml:space="preserve"> %</w:t>
            </w:r>
          </w:p>
        </w:tc>
        <w:tc>
          <w:tcPr>
            <w:tcW w:w="1842" w:type="dxa"/>
            <w:gridSpan w:val="4"/>
            <w:shd w:val="clear" w:color="000000" w:fill="FFFF99"/>
            <w:vAlign w:val="center"/>
            <w:hideMark/>
          </w:tcPr>
          <w:p w14:paraId="3C801302" w14:textId="7D4A383F" w:rsidR="00275961" w:rsidRPr="00D30847" w:rsidRDefault="006C3A9D" w:rsidP="00485BAA">
            <w:pPr>
              <w:spacing w:after="0" w:line="240" w:lineRule="auto"/>
              <w:jc w:val="both"/>
              <w:rPr>
                <w:rFonts w:ascii="Arial" w:eastAsia="Times New Roman" w:hAnsi="Arial" w:cs="Arial"/>
                <w:sz w:val="12"/>
                <w:szCs w:val="12"/>
                <w:lang w:val="en-GB" w:eastAsia="mk-MK"/>
              </w:rPr>
            </w:pPr>
            <w:r w:rsidRPr="00D30847">
              <w:rPr>
                <w:rFonts w:eastAsia="Times New Roman" w:cs="Calibri"/>
                <w:sz w:val="12"/>
                <w:szCs w:val="12"/>
                <w:lang w:val="en-GB" w:eastAsia="mk-MK"/>
              </w:rPr>
              <w:t>≤</w:t>
            </w:r>
            <w:r w:rsidR="009227FF" w:rsidRPr="00D30847">
              <w:rPr>
                <w:rFonts w:ascii="Arial" w:eastAsia="Times New Roman" w:hAnsi="Arial" w:cs="Arial"/>
                <w:sz w:val="12"/>
                <w:szCs w:val="12"/>
                <w:lang w:val="en-GB" w:eastAsia="mk-MK"/>
              </w:rPr>
              <w:t>28</w:t>
            </w:r>
            <w:r w:rsidR="00275961" w:rsidRPr="00D30847">
              <w:rPr>
                <w:rFonts w:ascii="Arial" w:eastAsia="Times New Roman" w:hAnsi="Arial" w:cs="Arial"/>
                <w:sz w:val="12"/>
                <w:szCs w:val="12"/>
                <w:lang w:val="en-GB" w:eastAsia="mk-MK"/>
              </w:rPr>
              <w:t xml:space="preserve"> %</w:t>
            </w:r>
          </w:p>
        </w:tc>
        <w:tc>
          <w:tcPr>
            <w:tcW w:w="1506" w:type="dxa"/>
            <w:gridSpan w:val="4"/>
            <w:shd w:val="clear" w:color="000000" w:fill="FFFF99"/>
            <w:vAlign w:val="center"/>
            <w:hideMark/>
          </w:tcPr>
          <w:p w14:paraId="186605A0" w14:textId="59A6C8CA" w:rsidR="00275961" w:rsidRPr="00D30847" w:rsidRDefault="006C3A9D" w:rsidP="00485BAA">
            <w:pPr>
              <w:spacing w:after="0" w:line="240" w:lineRule="auto"/>
              <w:jc w:val="both"/>
              <w:rPr>
                <w:rFonts w:ascii="Arial" w:eastAsia="Times New Roman" w:hAnsi="Arial" w:cs="Arial"/>
                <w:sz w:val="12"/>
                <w:szCs w:val="12"/>
                <w:lang w:val="en-GB" w:eastAsia="mk-MK"/>
              </w:rPr>
            </w:pPr>
            <w:r w:rsidRPr="00D30847">
              <w:rPr>
                <w:rFonts w:eastAsia="Times New Roman" w:cs="Calibri"/>
                <w:sz w:val="12"/>
                <w:szCs w:val="12"/>
                <w:lang w:val="en-GB" w:eastAsia="mk-MK"/>
              </w:rPr>
              <w:t>≤</w:t>
            </w:r>
            <w:r w:rsidR="009227FF" w:rsidRPr="00D30847">
              <w:rPr>
                <w:rFonts w:ascii="Arial" w:eastAsia="Times New Roman" w:hAnsi="Arial" w:cs="Arial"/>
                <w:sz w:val="12"/>
                <w:szCs w:val="12"/>
                <w:lang w:val="en-GB" w:eastAsia="mk-MK"/>
              </w:rPr>
              <w:t>27</w:t>
            </w:r>
            <w:r w:rsidR="00275961" w:rsidRPr="00D30847">
              <w:rPr>
                <w:rFonts w:ascii="Arial" w:eastAsia="Times New Roman" w:hAnsi="Arial" w:cs="Arial"/>
                <w:sz w:val="12"/>
                <w:szCs w:val="12"/>
                <w:lang w:val="en-GB" w:eastAsia="mk-MK"/>
              </w:rPr>
              <w:t xml:space="preserve"> %</w:t>
            </w:r>
          </w:p>
        </w:tc>
      </w:tr>
      <w:tr w:rsidR="00275961" w:rsidRPr="00D30847" w14:paraId="3A80F3DD" w14:textId="77777777" w:rsidTr="00FD4DDE">
        <w:trPr>
          <w:gridBefore w:val="3"/>
          <w:gridAfter w:val="1"/>
          <w:wBefore w:w="37" w:type="dxa"/>
          <w:wAfter w:w="52" w:type="dxa"/>
          <w:trHeight w:val="525"/>
          <w:jc w:val="center"/>
        </w:trPr>
        <w:tc>
          <w:tcPr>
            <w:tcW w:w="2303" w:type="dxa"/>
            <w:gridSpan w:val="3"/>
            <w:vMerge/>
            <w:vAlign w:val="center"/>
            <w:hideMark/>
          </w:tcPr>
          <w:p w14:paraId="21006850" w14:textId="77777777" w:rsidR="00275961" w:rsidRPr="00D30847" w:rsidRDefault="00275961" w:rsidP="00485BAA">
            <w:pPr>
              <w:spacing w:after="0" w:line="240" w:lineRule="auto"/>
              <w:rPr>
                <w:rFonts w:ascii="Arial" w:eastAsia="Times New Roman" w:hAnsi="Arial" w:cs="Arial"/>
                <w:sz w:val="12"/>
                <w:szCs w:val="12"/>
                <w:lang w:val="en-GB" w:eastAsia="mk-MK"/>
              </w:rPr>
            </w:pPr>
          </w:p>
        </w:tc>
        <w:tc>
          <w:tcPr>
            <w:tcW w:w="1836" w:type="dxa"/>
            <w:gridSpan w:val="5"/>
            <w:shd w:val="clear" w:color="000000" w:fill="FFFF99"/>
            <w:vAlign w:val="center"/>
            <w:hideMark/>
          </w:tcPr>
          <w:p w14:paraId="27AE91F1" w14:textId="5BC97DC3" w:rsidR="00275961" w:rsidRPr="00D30847" w:rsidRDefault="00CB33DB"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w:t>
            </w:r>
            <w:r w:rsidR="00275961" w:rsidRPr="00D30847">
              <w:rPr>
                <w:rFonts w:ascii="Arial" w:eastAsia="Times New Roman" w:hAnsi="Arial" w:cs="Arial"/>
                <w:sz w:val="12"/>
                <w:szCs w:val="12"/>
                <w:lang w:val="en-GB" w:eastAsia="mk-MK"/>
              </w:rPr>
              <w:t>ercentage</w:t>
            </w:r>
            <w:r w:rsidR="00214BF8" w:rsidRPr="00D30847">
              <w:rPr>
                <w:rFonts w:ascii="Arial" w:eastAsia="Times New Roman" w:hAnsi="Arial" w:cs="Arial"/>
                <w:sz w:val="12"/>
                <w:szCs w:val="12"/>
                <w:lang w:val="en-GB" w:eastAsia="mk-MK"/>
              </w:rPr>
              <w:t xml:space="preserve"> of</w:t>
            </w:r>
            <w:r w:rsidRPr="00D30847">
              <w:rPr>
                <w:rFonts w:ascii="Arial" w:eastAsia="Times New Roman" w:hAnsi="Arial" w:cs="Arial"/>
                <w:sz w:val="12"/>
                <w:szCs w:val="12"/>
                <w:lang w:val="en-GB" w:eastAsia="mk-MK"/>
              </w:rPr>
              <w:t xml:space="preserve"> </w:t>
            </w:r>
            <w:r w:rsidR="00275961" w:rsidRPr="00D30847">
              <w:rPr>
                <w:rFonts w:ascii="Arial" w:eastAsia="Times New Roman" w:hAnsi="Arial" w:cs="Arial"/>
                <w:sz w:val="12"/>
                <w:szCs w:val="12"/>
                <w:lang w:val="en-GB" w:eastAsia="mk-MK"/>
              </w:rPr>
              <w:t>cancelled</w:t>
            </w:r>
            <w:r w:rsidRPr="00D30847">
              <w:rPr>
                <w:rFonts w:ascii="Arial" w:eastAsia="Times New Roman" w:hAnsi="Arial" w:cs="Arial"/>
                <w:sz w:val="12"/>
                <w:szCs w:val="12"/>
                <w:lang w:val="en-GB" w:eastAsia="mk-MK"/>
              </w:rPr>
              <w:t xml:space="preserve"> </w:t>
            </w:r>
            <w:r w:rsidR="00275961" w:rsidRPr="00D30847">
              <w:rPr>
                <w:rFonts w:ascii="Arial" w:eastAsia="Times New Roman" w:hAnsi="Arial" w:cs="Arial"/>
                <w:sz w:val="12"/>
                <w:szCs w:val="12"/>
                <w:lang w:val="en-GB" w:eastAsia="mk-MK"/>
              </w:rPr>
              <w:t>procedures</w:t>
            </w:r>
          </w:p>
        </w:tc>
        <w:tc>
          <w:tcPr>
            <w:tcW w:w="1194" w:type="dxa"/>
            <w:gridSpan w:val="2"/>
            <w:shd w:val="clear" w:color="000000" w:fill="FFFF99"/>
            <w:vAlign w:val="center"/>
            <w:hideMark/>
          </w:tcPr>
          <w:p w14:paraId="6F218BF6" w14:textId="77777777" w:rsidR="00275961" w:rsidRPr="00D30847" w:rsidRDefault="00275961"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ESPP</w:t>
            </w:r>
          </w:p>
        </w:tc>
        <w:tc>
          <w:tcPr>
            <w:tcW w:w="1418" w:type="dxa"/>
            <w:gridSpan w:val="3"/>
            <w:shd w:val="clear" w:color="000000" w:fill="FFFF99"/>
            <w:vAlign w:val="center"/>
            <w:hideMark/>
          </w:tcPr>
          <w:p w14:paraId="75034C28" w14:textId="5F0374CE" w:rsidR="00275961" w:rsidRPr="00D30847" w:rsidRDefault="009227FF"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19</w:t>
            </w:r>
            <w:r w:rsidR="00275961" w:rsidRPr="00D30847">
              <w:rPr>
                <w:rFonts w:ascii="Arial" w:eastAsia="Times New Roman" w:hAnsi="Arial" w:cs="Arial"/>
                <w:sz w:val="12"/>
                <w:szCs w:val="12"/>
                <w:lang w:val="en-GB" w:eastAsia="mk-MK"/>
              </w:rPr>
              <w:t>%</w:t>
            </w:r>
          </w:p>
        </w:tc>
        <w:tc>
          <w:tcPr>
            <w:tcW w:w="1644" w:type="dxa"/>
            <w:gridSpan w:val="3"/>
            <w:shd w:val="clear" w:color="000000" w:fill="FFFF99"/>
            <w:vAlign w:val="center"/>
            <w:hideMark/>
          </w:tcPr>
          <w:p w14:paraId="1A8D9B09" w14:textId="273F3533" w:rsidR="00275961" w:rsidRPr="00D30847" w:rsidRDefault="00856790" w:rsidP="00485BAA">
            <w:pPr>
              <w:spacing w:after="0" w:line="240" w:lineRule="auto"/>
              <w:jc w:val="both"/>
              <w:rPr>
                <w:rFonts w:ascii="Arial" w:eastAsia="Times New Roman" w:hAnsi="Arial" w:cs="Arial"/>
                <w:sz w:val="12"/>
                <w:szCs w:val="12"/>
                <w:lang w:val="en-GB" w:eastAsia="mk-MK"/>
              </w:rPr>
            </w:pPr>
            <w:r w:rsidRPr="00D30847">
              <w:rPr>
                <w:rFonts w:eastAsia="Times New Roman" w:cs="Calibri"/>
                <w:sz w:val="12"/>
                <w:szCs w:val="12"/>
                <w:lang w:val="en-GB" w:eastAsia="mk-MK"/>
              </w:rPr>
              <w:t>≤</w:t>
            </w:r>
            <w:r w:rsidR="009227FF" w:rsidRPr="00D30847">
              <w:rPr>
                <w:rFonts w:ascii="Arial" w:eastAsia="Times New Roman" w:hAnsi="Arial" w:cs="Arial"/>
                <w:sz w:val="12"/>
                <w:szCs w:val="12"/>
                <w:lang w:val="en-GB" w:eastAsia="mk-MK"/>
              </w:rPr>
              <w:t>18.5</w:t>
            </w:r>
            <w:r w:rsidR="00275961" w:rsidRPr="00D30847">
              <w:rPr>
                <w:rFonts w:ascii="Arial" w:eastAsia="Times New Roman" w:hAnsi="Arial" w:cs="Arial"/>
                <w:sz w:val="12"/>
                <w:szCs w:val="12"/>
                <w:lang w:val="en-GB" w:eastAsia="mk-MK"/>
              </w:rPr>
              <w:t xml:space="preserve"> %</w:t>
            </w:r>
          </w:p>
        </w:tc>
        <w:tc>
          <w:tcPr>
            <w:tcW w:w="1758" w:type="dxa"/>
            <w:gridSpan w:val="4"/>
            <w:shd w:val="clear" w:color="000000" w:fill="FFFF99"/>
            <w:vAlign w:val="center"/>
            <w:hideMark/>
          </w:tcPr>
          <w:p w14:paraId="45816F87" w14:textId="0ACDF324" w:rsidR="00275961" w:rsidRPr="00D30847" w:rsidRDefault="00275961" w:rsidP="00485BA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w:t>
            </w:r>
            <w:r w:rsidR="009227FF" w:rsidRPr="00D30847">
              <w:rPr>
                <w:rFonts w:ascii="Arial" w:eastAsia="Times New Roman" w:hAnsi="Arial" w:cs="Arial"/>
                <w:sz w:val="12"/>
                <w:szCs w:val="12"/>
                <w:lang w:val="en-GB" w:eastAsia="mk-MK"/>
              </w:rPr>
              <w:t>18</w:t>
            </w:r>
            <w:r w:rsidRPr="00D30847">
              <w:rPr>
                <w:rFonts w:ascii="Arial" w:eastAsia="Times New Roman" w:hAnsi="Arial" w:cs="Arial"/>
                <w:sz w:val="12"/>
                <w:szCs w:val="12"/>
                <w:lang w:val="en-GB" w:eastAsia="mk-MK"/>
              </w:rPr>
              <w:t>,5 %</w:t>
            </w:r>
          </w:p>
        </w:tc>
        <w:tc>
          <w:tcPr>
            <w:tcW w:w="1842" w:type="dxa"/>
            <w:gridSpan w:val="4"/>
            <w:shd w:val="clear" w:color="000000" w:fill="FFFF99"/>
            <w:vAlign w:val="center"/>
            <w:hideMark/>
          </w:tcPr>
          <w:p w14:paraId="11A05DEB" w14:textId="7040F22B" w:rsidR="00275961" w:rsidRPr="00D30847" w:rsidRDefault="00856790" w:rsidP="00485BAA">
            <w:pPr>
              <w:spacing w:after="0" w:line="240" w:lineRule="auto"/>
              <w:jc w:val="both"/>
              <w:rPr>
                <w:rFonts w:ascii="Arial" w:eastAsia="Times New Roman" w:hAnsi="Arial" w:cs="Arial"/>
                <w:sz w:val="12"/>
                <w:szCs w:val="12"/>
                <w:lang w:val="en-GB" w:eastAsia="mk-MK"/>
              </w:rPr>
            </w:pPr>
            <w:r w:rsidRPr="00D30847">
              <w:rPr>
                <w:rFonts w:eastAsia="Times New Roman" w:cs="Calibri"/>
                <w:sz w:val="12"/>
                <w:szCs w:val="12"/>
                <w:lang w:val="en-GB" w:eastAsia="mk-MK"/>
              </w:rPr>
              <w:t>≤</w:t>
            </w:r>
            <w:r w:rsidR="009227FF" w:rsidRPr="00D30847">
              <w:rPr>
                <w:rFonts w:ascii="Arial" w:eastAsia="Times New Roman" w:hAnsi="Arial" w:cs="Arial"/>
                <w:sz w:val="12"/>
                <w:szCs w:val="12"/>
                <w:lang w:val="en-GB" w:eastAsia="mk-MK"/>
              </w:rPr>
              <w:t>18</w:t>
            </w:r>
            <w:r w:rsidR="00275961" w:rsidRPr="00D30847">
              <w:rPr>
                <w:rFonts w:ascii="Arial" w:eastAsia="Times New Roman" w:hAnsi="Arial" w:cs="Arial"/>
                <w:sz w:val="12"/>
                <w:szCs w:val="12"/>
                <w:lang w:val="en-GB" w:eastAsia="mk-MK"/>
              </w:rPr>
              <w:t xml:space="preserve"> %</w:t>
            </w:r>
          </w:p>
        </w:tc>
        <w:tc>
          <w:tcPr>
            <w:tcW w:w="1506" w:type="dxa"/>
            <w:gridSpan w:val="4"/>
            <w:shd w:val="clear" w:color="000000" w:fill="FFFF99"/>
            <w:vAlign w:val="center"/>
            <w:hideMark/>
          </w:tcPr>
          <w:p w14:paraId="503FCBF9" w14:textId="27BFDC26" w:rsidR="00275961" w:rsidRPr="00D30847" w:rsidRDefault="00856790" w:rsidP="00485BAA">
            <w:pPr>
              <w:spacing w:after="0" w:line="240" w:lineRule="auto"/>
              <w:rPr>
                <w:rFonts w:ascii="Arial" w:eastAsia="Times New Roman" w:hAnsi="Arial" w:cs="Arial"/>
                <w:sz w:val="12"/>
                <w:szCs w:val="12"/>
                <w:lang w:val="en-GB" w:eastAsia="mk-MK"/>
              </w:rPr>
            </w:pPr>
            <w:r w:rsidRPr="00D30847">
              <w:rPr>
                <w:rFonts w:eastAsia="Times New Roman" w:cs="Calibri"/>
                <w:sz w:val="12"/>
                <w:szCs w:val="12"/>
                <w:lang w:val="en-GB" w:eastAsia="mk-MK"/>
              </w:rPr>
              <w:t>≤</w:t>
            </w:r>
            <w:r w:rsidR="009227FF" w:rsidRPr="00D30847">
              <w:rPr>
                <w:rFonts w:ascii="Arial" w:eastAsia="Times New Roman" w:hAnsi="Arial" w:cs="Arial"/>
                <w:sz w:val="12"/>
                <w:szCs w:val="12"/>
                <w:lang w:val="en-GB" w:eastAsia="mk-MK"/>
              </w:rPr>
              <w:t>18</w:t>
            </w:r>
            <w:r w:rsidR="00275961" w:rsidRPr="00D30847">
              <w:rPr>
                <w:rFonts w:ascii="Arial" w:eastAsia="Times New Roman" w:hAnsi="Arial" w:cs="Arial"/>
                <w:sz w:val="12"/>
                <w:szCs w:val="12"/>
                <w:lang w:val="en-GB" w:eastAsia="mk-MK"/>
              </w:rPr>
              <w:t xml:space="preserve"> %</w:t>
            </w:r>
          </w:p>
        </w:tc>
      </w:tr>
      <w:tr w:rsidR="00485BAA" w:rsidRPr="00D30847" w14:paraId="2C755874" w14:textId="77777777" w:rsidTr="00FD4DDE">
        <w:trPr>
          <w:gridBefore w:val="3"/>
          <w:gridAfter w:val="1"/>
          <w:wBefore w:w="37" w:type="dxa"/>
          <w:wAfter w:w="52" w:type="dxa"/>
          <w:trHeight w:val="315"/>
          <w:jc w:val="center"/>
        </w:trPr>
        <w:tc>
          <w:tcPr>
            <w:tcW w:w="13501" w:type="dxa"/>
            <w:gridSpan w:val="28"/>
            <w:shd w:val="clear" w:color="000000" w:fill="9BD2ED"/>
            <w:vAlign w:val="center"/>
            <w:hideMark/>
          </w:tcPr>
          <w:p w14:paraId="30BBB757" w14:textId="23ED76B1" w:rsidR="00485BAA" w:rsidRPr="00D30847" w:rsidRDefault="00485BAA" w:rsidP="00485BAA">
            <w:pPr>
              <w:spacing w:after="0" w:line="240" w:lineRule="auto"/>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w:t>
            </w:r>
            <w:r w:rsidR="00577A56"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1. </w:t>
            </w:r>
            <w:r w:rsidR="00241538" w:rsidRPr="00D30847">
              <w:rPr>
                <w:rFonts w:ascii="Arial" w:eastAsia="Times New Roman" w:hAnsi="Arial" w:cs="Arial"/>
                <w:b/>
                <w:bCs/>
                <w:sz w:val="12"/>
                <w:szCs w:val="12"/>
                <w:lang w:val="en-GB" w:eastAsia="mk-MK"/>
              </w:rPr>
              <w:t>Improving the cooperation among the key institutions in the public procurement system</w:t>
            </w:r>
          </w:p>
        </w:tc>
      </w:tr>
      <w:tr w:rsidR="00485BAA" w:rsidRPr="00D30847" w14:paraId="25373C4F" w14:textId="77777777" w:rsidTr="00FD4DDE">
        <w:trPr>
          <w:gridBefore w:val="3"/>
          <w:gridAfter w:val="1"/>
          <w:wBefore w:w="37" w:type="dxa"/>
          <w:wAfter w:w="52" w:type="dxa"/>
          <w:trHeight w:val="241"/>
          <w:jc w:val="center"/>
        </w:trPr>
        <w:tc>
          <w:tcPr>
            <w:tcW w:w="2303" w:type="dxa"/>
            <w:gridSpan w:val="3"/>
            <w:vMerge w:val="restart"/>
            <w:tcBorders>
              <w:top w:val="nil"/>
              <w:left w:val="nil"/>
              <w:bottom w:val="nil"/>
              <w:right w:val="single" w:sz="8" w:space="0" w:color="000000"/>
            </w:tcBorders>
            <w:shd w:val="clear" w:color="auto" w:fill="auto"/>
            <w:vAlign w:val="center"/>
            <w:hideMark/>
          </w:tcPr>
          <w:p w14:paraId="2CCF176F"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1FC2C722" w14:textId="6F6F213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CB33DB"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0E5E139C" w14:textId="3DB8839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F368A1">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4A22FA40" w14:textId="272D2CDE"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9227FF"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3AE73407" w14:textId="0B1F02F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9227FF"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52C3D505" w14:textId="3FC167B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9227FF"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3DD010E9" w14:textId="79B3C059"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9227FF"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72258A4A" w14:textId="7FE7085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9227FF" w:rsidRPr="00D30847">
              <w:rPr>
                <w:rFonts w:ascii="Arial" w:eastAsia="Times New Roman" w:hAnsi="Arial" w:cs="Arial"/>
                <w:b/>
                <w:bCs/>
                <w:sz w:val="12"/>
                <w:szCs w:val="12"/>
                <w:lang w:val="en-GB" w:eastAsia="mk-MK"/>
              </w:rPr>
              <w:t>8</w:t>
            </w:r>
          </w:p>
        </w:tc>
      </w:tr>
      <w:tr w:rsidR="00485BAA" w:rsidRPr="00D30847" w14:paraId="619E3C3C" w14:textId="77777777" w:rsidTr="00FD4DDE">
        <w:trPr>
          <w:gridBefore w:val="3"/>
          <w:gridAfter w:val="1"/>
          <w:wBefore w:w="37" w:type="dxa"/>
          <w:wAfter w:w="52" w:type="dxa"/>
          <w:trHeight w:val="934"/>
          <w:jc w:val="center"/>
        </w:trPr>
        <w:tc>
          <w:tcPr>
            <w:tcW w:w="2303" w:type="dxa"/>
            <w:gridSpan w:val="3"/>
            <w:vMerge/>
            <w:tcBorders>
              <w:top w:val="nil"/>
              <w:left w:val="nil"/>
              <w:bottom w:val="nil"/>
              <w:right w:val="single" w:sz="8" w:space="0" w:color="000000"/>
            </w:tcBorders>
            <w:vAlign w:val="center"/>
            <w:hideMark/>
          </w:tcPr>
          <w:p w14:paraId="53116D41"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2CF5263E" w14:textId="77777777" w:rsidR="00241538" w:rsidRPr="00D30847" w:rsidRDefault="00241538" w:rsidP="00241538">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Held working meetings</w:t>
            </w:r>
          </w:p>
          <w:p w14:paraId="5E992630" w14:textId="4B0F81D8" w:rsidR="00485BAA" w:rsidRPr="00D30847" w:rsidRDefault="00485BAA" w:rsidP="00485BAA">
            <w:pPr>
              <w:spacing w:after="0" w:line="240" w:lineRule="auto"/>
              <w:rPr>
                <w:rFonts w:ascii="Arial" w:eastAsia="Times New Roman" w:hAnsi="Arial" w:cs="Arial"/>
                <w:sz w:val="12"/>
                <w:szCs w:val="12"/>
                <w:lang w:val="en-GB" w:eastAsia="mk-MK"/>
              </w:rPr>
            </w:pPr>
          </w:p>
        </w:tc>
        <w:tc>
          <w:tcPr>
            <w:tcW w:w="1194" w:type="dxa"/>
            <w:gridSpan w:val="2"/>
            <w:shd w:val="clear" w:color="000000" w:fill="FFFF99"/>
            <w:vAlign w:val="center"/>
            <w:hideMark/>
          </w:tcPr>
          <w:p w14:paraId="345AD588" w14:textId="1D7701F0" w:rsidR="00485BAA" w:rsidRPr="00D30847" w:rsidRDefault="00C174C0"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PPB</w:t>
            </w:r>
          </w:p>
        </w:tc>
        <w:tc>
          <w:tcPr>
            <w:tcW w:w="1418" w:type="dxa"/>
            <w:gridSpan w:val="3"/>
            <w:shd w:val="clear" w:color="000000" w:fill="FFFF99"/>
            <w:vAlign w:val="center"/>
            <w:hideMark/>
          </w:tcPr>
          <w:p w14:paraId="1BBE90EF" w14:textId="663E97B9" w:rsidR="00485BAA" w:rsidRPr="00D30847" w:rsidRDefault="00941F70"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Advisory</w:t>
            </w:r>
            <w:r w:rsidR="00F7037E"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group is established and official communication and cooperation was initiated</w:t>
            </w:r>
          </w:p>
        </w:tc>
        <w:tc>
          <w:tcPr>
            <w:tcW w:w="1644" w:type="dxa"/>
            <w:gridSpan w:val="3"/>
            <w:shd w:val="clear" w:color="000000" w:fill="FFFF99"/>
            <w:vAlign w:val="center"/>
            <w:hideMark/>
          </w:tcPr>
          <w:p w14:paraId="78CAE215" w14:textId="73620D6E" w:rsidR="00485BAA" w:rsidRPr="00D30847" w:rsidRDefault="00C174C0"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Held</w:t>
            </w:r>
            <w:r w:rsidR="00CB33DB"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at</w:t>
            </w:r>
            <w:r w:rsidR="00CB33DB"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least</w:t>
            </w:r>
            <w:r w:rsidR="00CB33DB"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2 meetings</w:t>
            </w:r>
          </w:p>
        </w:tc>
        <w:tc>
          <w:tcPr>
            <w:tcW w:w="1758" w:type="dxa"/>
            <w:gridSpan w:val="4"/>
            <w:shd w:val="clear" w:color="000000" w:fill="FFFF99"/>
            <w:vAlign w:val="center"/>
            <w:hideMark/>
          </w:tcPr>
          <w:p w14:paraId="1A5047DA" w14:textId="03114615" w:rsidR="00485BAA" w:rsidRPr="00D30847" w:rsidRDefault="0035363B" w:rsidP="00DF6C9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Held</w:t>
            </w:r>
            <w:r w:rsidR="00CB33DB"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at</w:t>
            </w:r>
            <w:r w:rsidR="00CB33DB"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least 2 meetings</w:t>
            </w:r>
          </w:p>
        </w:tc>
        <w:tc>
          <w:tcPr>
            <w:tcW w:w="1842" w:type="dxa"/>
            <w:gridSpan w:val="4"/>
            <w:shd w:val="clear" w:color="000000" w:fill="FFFF99"/>
            <w:vAlign w:val="center"/>
            <w:hideMark/>
          </w:tcPr>
          <w:p w14:paraId="14E1325E" w14:textId="2BDF58A6" w:rsidR="00485BAA" w:rsidRPr="00D30847" w:rsidRDefault="0035363B" w:rsidP="00DF6C9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Held</w:t>
            </w:r>
            <w:r w:rsidR="00CB33DB"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at</w:t>
            </w:r>
            <w:r w:rsidR="00CB33DB"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least 2 meetings</w:t>
            </w:r>
          </w:p>
        </w:tc>
        <w:tc>
          <w:tcPr>
            <w:tcW w:w="1506" w:type="dxa"/>
            <w:gridSpan w:val="4"/>
            <w:shd w:val="clear" w:color="000000" w:fill="FFFF99"/>
            <w:vAlign w:val="center"/>
            <w:hideMark/>
          </w:tcPr>
          <w:p w14:paraId="1E55EE28" w14:textId="0FCE0615" w:rsidR="00485BAA" w:rsidRPr="00D30847" w:rsidRDefault="0035363B" w:rsidP="00DF6C9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Held</w:t>
            </w:r>
            <w:r w:rsidR="00CB33DB"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at</w:t>
            </w:r>
            <w:r w:rsidR="00CB33DB"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least 2 meetings</w:t>
            </w:r>
          </w:p>
        </w:tc>
      </w:tr>
      <w:tr w:rsidR="00485BAA" w:rsidRPr="00D30847" w14:paraId="109D9F45" w14:textId="77777777" w:rsidTr="00FD4DDE">
        <w:trPr>
          <w:gridBefore w:val="3"/>
          <w:gridAfter w:val="1"/>
          <w:wBefore w:w="37" w:type="dxa"/>
          <w:wAfter w:w="52" w:type="dxa"/>
          <w:trHeight w:val="365"/>
          <w:jc w:val="center"/>
        </w:trPr>
        <w:tc>
          <w:tcPr>
            <w:tcW w:w="2303" w:type="dxa"/>
            <w:gridSpan w:val="3"/>
            <w:vMerge/>
            <w:tcBorders>
              <w:top w:val="nil"/>
              <w:left w:val="nil"/>
              <w:bottom w:val="nil"/>
              <w:right w:val="single" w:sz="8" w:space="0" w:color="000000"/>
            </w:tcBorders>
            <w:vAlign w:val="center"/>
            <w:hideMark/>
          </w:tcPr>
          <w:p w14:paraId="701F4FCD"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7C455A5D" w14:textId="1C98B9F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0BA89B66" w14:textId="7E0248AD"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8618D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5E5E4409" w14:textId="3CAE190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8618D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6164FF02" w14:textId="5B2BDC45"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8618D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7A97E596"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304FA0FB" w14:textId="43CAEE7C"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8618D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8618D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79DF8FD4"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485BAA" w:rsidRPr="00D30847" w14:paraId="51219C36" w14:textId="77777777" w:rsidTr="00FD4DDE">
        <w:trPr>
          <w:gridBefore w:val="3"/>
          <w:gridAfter w:val="1"/>
          <w:wBefore w:w="37" w:type="dxa"/>
          <w:wAfter w:w="52" w:type="dxa"/>
          <w:trHeight w:val="689"/>
          <w:jc w:val="center"/>
        </w:trPr>
        <w:tc>
          <w:tcPr>
            <w:tcW w:w="2303" w:type="dxa"/>
            <w:gridSpan w:val="3"/>
            <w:vMerge/>
            <w:tcBorders>
              <w:top w:val="nil"/>
              <w:left w:val="nil"/>
              <w:bottom w:val="nil"/>
              <w:right w:val="single" w:sz="8" w:space="0" w:color="000000"/>
            </w:tcBorders>
            <w:vAlign w:val="center"/>
            <w:hideMark/>
          </w:tcPr>
          <w:p w14:paraId="09F3D93C"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6CDFC3FF" w14:textId="79A49149" w:rsidR="00241538" w:rsidRPr="00D30847" w:rsidRDefault="00193232" w:rsidP="00241538">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r w:rsidR="00241538" w:rsidRPr="00D30847">
              <w:rPr>
                <w:rFonts w:ascii="Arial" w:eastAsia="Times New Roman" w:hAnsi="Arial" w:cs="Arial"/>
                <w:sz w:val="12"/>
                <w:szCs w:val="12"/>
                <w:lang w:val="en-GB" w:eastAsia="mk-MK"/>
              </w:rPr>
              <w:t>Regular communication and coordination of Advisory group of the key institutions in the procurement system</w:t>
            </w:r>
          </w:p>
          <w:p w14:paraId="6AE18AFE" w14:textId="035B9E97" w:rsidR="00485BAA" w:rsidRPr="00D30847" w:rsidRDefault="00485BAA" w:rsidP="00485BAA">
            <w:pPr>
              <w:spacing w:after="0" w:line="240" w:lineRule="auto"/>
              <w:rPr>
                <w:rFonts w:ascii="Arial" w:eastAsia="Times New Roman" w:hAnsi="Arial" w:cs="Arial"/>
                <w:sz w:val="12"/>
                <w:szCs w:val="12"/>
                <w:lang w:val="en-GB" w:eastAsia="mk-MK"/>
              </w:rPr>
            </w:pPr>
          </w:p>
        </w:tc>
        <w:tc>
          <w:tcPr>
            <w:tcW w:w="1194" w:type="dxa"/>
            <w:gridSpan w:val="2"/>
            <w:shd w:val="clear" w:color="000000" w:fill="FFFF99"/>
            <w:vAlign w:val="center"/>
            <w:hideMark/>
          </w:tcPr>
          <w:p w14:paraId="699E14F4" w14:textId="5D391008" w:rsidR="00485BAA" w:rsidRPr="00D30847" w:rsidRDefault="001F6E49"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2024-202</w:t>
            </w:r>
            <w:r w:rsidR="009227FF" w:rsidRPr="00D30847">
              <w:rPr>
                <w:rFonts w:ascii="Arial" w:eastAsia="Times New Roman" w:hAnsi="Arial" w:cs="Arial"/>
                <w:sz w:val="12"/>
                <w:szCs w:val="12"/>
                <w:lang w:val="en-GB" w:eastAsia="mk-MK"/>
              </w:rPr>
              <w:t>8</w:t>
            </w:r>
          </w:p>
        </w:tc>
        <w:tc>
          <w:tcPr>
            <w:tcW w:w="1418" w:type="dxa"/>
            <w:gridSpan w:val="3"/>
            <w:shd w:val="clear" w:color="000000" w:fill="FFFF99"/>
            <w:vAlign w:val="center"/>
            <w:hideMark/>
          </w:tcPr>
          <w:p w14:paraId="7096B705"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PPB</w:t>
            </w:r>
          </w:p>
        </w:tc>
        <w:tc>
          <w:tcPr>
            <w:tcW w:w="1644" w:type="dxa"/>
            <w:gridSpan w:val="3"/>
            <w:shd w:val="clear" w:color="000000" w:fill="FFFF99"/>
            <w:vAlign w:val="center"/>
            <w:hideMark/>
          </w:tcPr>
          <w:p w14:paraId="60F8279C" w14:textId="70C38741"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PPB,              </w:t>
            </w:r>
            <w:r w:rsidRPr="00D30847">
              <w:rPr>
                <w:rFonts w:ascii="Arial" w:eastAsia="Times New Roman" w:hAnsi="Arial" w:cs="Arial"/>
                <w:sz w:val="12"/>
                <w:szCs w:val="12"/>
                <w:lang w:val="en-GB" w:eastAsia="mk-MK"/>
              </w:rPr>
              <w:br/>
              <w:t xml:space="preserve">SA Commission, </w:t>
            </w:r>
            <w:r w:rsidRPr="00D30847">
              <w:rPr>
                <w:rFonts w:ascii="Arial" w:eastAsia="Times New Roman" w:hAnsi="Arial" w:cs="Arial"/>
                <w:sz w:val="12"/>
                <w:szCs w:val="12"/>
                <w:lang w:val="en-GB" w:eastAsia="mk-MK"/>
              </w:rPr>
              <w:br/>
              <w:t>SA Office,</w:t>
            </w:r>
            <w:r w:rsidRPr="00D30847">
              <w:rPr>
                <w:rFonts w:ascii="Arial" w:eastAsia="Times New Roman" w:hAnsi="Arial" w:cs="Arial"/>
                <w:sz w:val="12"/>
                <w:szCs w:val="12"/>
                <w:lang w:val="en-GB" w:eastAsia="mk-MK"/>
              </w:rPr>
              <w:br/>
              <w:t xml:space="preserve">SCP Corruption, SCP Competition, </w:t>
            </w:r>
            <w:r w:rsidRPr="00D30847">
              <w:rPr>
                <w:rFonts w:ascii="Arial" w:eastAsia="Times New Roman" w:hAnsi="Arial" w:cs="Arial"/>
                <w:sz w:val="12"/>
                <w:szCs w:val="12"/>
                <w:lang w:val="en-GB" w:eastAsia="mk-MK"/>
              </w:rPr>
              <w:br/>
              <w:t>ME</w:t>
            </w:r>
            <w:r w:rsidR="009227FF" w:rsidRPr="00D30847">
              <w:rPr>
                <w:rFonts w:ascii="Arial" w:eastAsia="Times New Roman" w:hAnsi="Arial" w:cs="Arial"/>
                <w:sz w:val="12"/>
                <w:szCs w:val="12"/>
                <w:lang w:val="en-GB" w:eastAsia="mk-MK"/>
              </w:rPr>
              <w:t>MMR</w:t>
            </w:r>
            <w:r w:rsidRPr="00D30847">
              <w:rPr>
                <w:rFonts w:ascii="Arial" w:eastAsia="Times New Roman" w:hAnsi="Arial" w:cs="Arial"/>
                <w:sz w:val="12"/>
                <w:szCs w:val="12"/>
                <w:lang w:val="en-GB" w:eastAsia="mk-MK"/>
              </w:rPr>
              <w:br/>
            </w:r>
          </w:p>
        </w:tc>
        <w:tc>
          <w:tcPr>
            <w:tcW w:w="1758" w:type="dxa"/>
            <w:gridSpan w:val="4"/>
            <w:shd w:val="clear" w:color="000000" w:fill="FFFF99"/>
            <w:vAlign w:val="center"/>
            <w:hideMark/>
          </w:tcPr>
          <w:p w14:paraId="2B1481FC"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hideMark/>
          </w:tcPr>
          <w:p w14:paraId="4CCB731E"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w:t>
            </w:r>
          </w:p>
        </w:tc>
        <w:tc>
          <w:tcPr>
            <w:tcW w:w="1506" w:type="dxa"/>
            <w:gridSpan w:val="4"/>
            <w:shd w:val="clear" w:color="000000" w:fill="FFFF99"/>
            <w:vAlign w:val="center"/>
            <w:hideMark/>
          </w:tcPr>
          <w:p w14:paraId="340C262F" w14:textId="70EBC968"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5223DD" w:rsidRPr="00D30847" w14:paraId="6A25CAFE" w14:textId="77777777" w:rsidTr="00FD4DDE">
        <w:trPr>
          <w:gridAfter w:val="1"/>
          <w:wAfter w:w="52" w:type="dxa"/>
          <w:trHeight w:val="232"/>
          <w:jc w:val="center"/>
        </w:trPr>
        <w:tc>
          <w:tcPr>
            <w:tcW w:w="13538" w:type="dxa"/>
            <w:gridSpan w:val="31"/>
            <w:shd w:val="clear" w:color="000000" w:fill="9BD2ED"/>
            <w:vAlign w:val="center"/>
            <w:hideMark/>
          </w:tcPr>
          <w:p w14:paraId="230DF968" w14:textId="7128F5EB" w:rsidR="005223DD" w:rsidRPr="00D30847" w:rsidRDefault="005223DD" w:rsidP="005742CC">
            <w:pPr>
              <w:spacing w:after="0" w:line="240" w:lineRule="auto"/>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lastRenderedPageBreak/>
              <w:t xml:space="preserve">Measure 2. </w:t>
            </w:r>
            <w:r w:rsidR="009227FF" w:rsidRPr="00D30847">
              <w:rPr>
                <w:rFonts w:ascii="Arial" w:eastAsia="Times New Roman" w:hAnsi="Arial" w:cs="Arial"/>
                <w:b/>
                <w:bCs/>
                <w:sz w:val="12"/>
                <w:szCs w:val="12"/>
                <w:lang w:val="en-GB" w:eastAsia="mk-MK"/>
              </w:rPr>
              <w:t>Improved implementation  of the Law on Public Procurement</w:t>
            </w:r>
          </w:p>
        </w:tc>
      </w:tr>
      <w:tr w:rsidR="005223DD" w:rsidRPr="00D30847" w14:paraId="43B59692" w14:textId="77777777" w:rsidTr="00FD4DDE">
        <w:trPr>
          <w:gridAfter w:val="1"/>
          <w:wAfter w:w="52" w:type="dxa"/>
          <w:trHeight w:val="405"/>
          <w:jc w:val="center"/>
        </w:trPr>
        <w:tc>
          <w:tcPr>
            <w:tcW w:w="2378" w:type="dxa"/>
            <w:gridSpan w:val="7"/>
            <w:vMerge w:val="restart"/>
            <w:tcBorders>
              <w:top w:val="nil"/>
              <w:left w:val="nil"/>
              <w:bottom w:val="nil"/>
              <w:right w:val="single" w:sz="8" w:space="0" w:color="000000"/>
            </w:tcBorders>
            <w:shd w:val="clear" w:color="auto" w:fill="auto"/>
            <w:vAlign w:val="center"/>
            <w:hideMark/>
          </w:tcPr>
          <w:p w14:paraId="46E965AA" w14:textId="77777777" w:rsidR="005223DD" w:rsidRPr="00D30847" w:rsidRDefault="00522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798" w:type="dxa"/>
            <w:gridSpan w:val="4"/>
            <w:tcBorders>
              <w:left w:val="single" w:sz="8" w:space="0" w:color="000000"/>
            </w:tcBorders>
            <w:shd w:val="clear" w:color="000000" w:fill="9BD2ED"/>
            <w:vAlign w:val="center"/>
            <w:hideMark/>
          </w:tcPr>
          <w:p w14:paraId="02EDFA1C" w14:textId="77777777"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w:t>
            </w:r>
          </w:p>
        </w:tc>
        <w:tc>
          <w:tcPr>
            <w:tcW w:w="1170" w:type="dxa"/>
            <w:shd w:val="clear" w:color="000000" w:fill="9BD2ED"/>
            <w:vAlign w:val="center"/>
            <w:hideMark/>
          </w:tcPr>
          <w:p w14:paraId="7EA0C55B" w14:textId="4385A8A8"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F368A1">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42" w:type="dxa"/>
            <w:gridSpan w:val="4"/>
            <w:shd w:val="clear" w:color="000000" w:fill="9BD2ED"/>
            <w:vAlign w:val="center"/>
            <w:hideMark/>
          </w:tcPr>
          <w:p w14:paraId="78C0354F" w14:textId="4B6F319B"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9227FF" w:rsidRPr="00D30847">
              <w:rPr>
                <w:rFonts w:ascii="Arial" w:eastAsia="Times New Roman" w:hAnsi="Arial" w:cs="Arial"/>
                <w:b/>
                <w:bCs/>
                <w:sz w:val="12"/>
                <w:szCs w:val="12"/>
                <w:lang w:val="en-GB" w:eastAsia="mk-MK"/>
              </w:rPr>
              <w:t>3</w:t>
            </w:r>
          </w:p>
        </w:tc>
        <w:tc>
          <w:tcPr>
            <w:tcW w:w="1620" w:type="dxa"/>
            <w:gridSpan w:val="2"/>
            <w:shd w:val="clear" w:color="000000" w:fill="9BD2ED"/>
            <w:vAlign w:val="center"/>
            <w:hideMark/>
          </w:tcPr>
          <w:p w14:paraId="00CA1535" w14:textId="03CEDD41"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9227FF" w:rsidRPr="00D30847">
              <w:rPr>
                <w:rFonts w:ascii="Arial" w:eastAsia="Times New Roman" w:hAnsi="Arial" w:cs="Arial"/>
                <w:b/>
                <w:bCs/>
                <w:sz w:val="12"/>
                <w:szCs w:val="12"/>
                <w:lang w:val="en-GB" w:eastAsia="mk-MK"/>
              </w:rPr>
              <w:t>5</w:t>
            </w:r>
          </w:p>
        </w:tc>
        <w:tc>
          <w:tcPr>
            <w:tcW w:w="1800" w:type="dxa"/>
            <w:gridSpan w:val="6"/>
            <w:shd w:val="clear" w:color="000000" w:fill="9BD2ED"/>
            <w:vAlign w:val="center"/>
            <w:hideMark/>
          </w:tcPr>
          <w:p w14:paraId="639C4F52" w14:textId="320AC734"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9227FF" w:rsidRPr="00D30847">
              <w:rPr>
                <w:rFonts w:ascii="Arial" w:eastAsia="Times New Roman" w:hAnsi="Arial" w:cs="Arial"/>
                <w:b/>
                <w:bCs/>
                <w:sz w:val="12"/>
                <w:szCs w:val="12"/>
                <w:lang w:val="en-GB" w:eastAsia="mk-MK"/>
              </w:rPr>
              <w:t>6</w:t>
            </w:r>
          </w:p>
        </w:tc>
        <w:tc>
          <w:tcPr>
            <w:tcW w:w="1890" w:type="dxa"/>
            <w:gridSpan w:val="5"/>
            <w:shd w:val="clear" w:color="000000" w:fill="9BD2ED"/>
            <w:vAlign w:val="center"/>
            <w:hideMark/>
          </w:tcPr>
          <w:p w14:paraId="7E9BD80D" w14:textId="6288DF65" w:rsidR="005223DD" w:rsidRPr="00D30847" w:rsidRDefault="005223DD" w:rsidP="005742CC">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9227FF" w:rsidRPr="00D30847">
              <w:rPr>
                <w:rFonts w:ascii="Arial" w:eastAsia="Times New Roman" w:hAnsi="Arial" w:cs="Arial"/>
                <w:b/>
                <w:bCs/>
                <w:sz w:val="12"/>
                <w:szCs w:val="12"/>
                <w:lang w:val="en-GB" w:eastAsia="mk-MK"/>
              </w:rPr>
              <w:t>7</w:t>
            </w:r>
          </w:p>
        </w:tc>
        <w:tc>
          <w:tcPr>
            <w:tcW w:w="1440" w:type="dxa"/>
            <w:gridSpan w:val="2"/>
            <w:shd w:val="clear" w:color="000000" w:fill="9BD2ED"/>
            <w:vAlign w:val="center"/>
            <w:hideMark/>
          </w:tcPr>
          <w:p w14:paraId="3BBC592B" w14:textId="37EF06CD"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9227FF" w:rsidRPr="00D30847">
              <w:rPr>
                <w:rFonts w:ascii="Arial" w:eastAsia="Times New Roman" w:hAnsi="Arial" w:cs="Arial"/>
                <w:b/>
                <w:bCs/>
                <w:sz w:val="12"/>
                <w:szCs w:val="12"/>
                <w:lang w:val="en-GB" w:eastAsia="mk-MK"/>
              </w:rPr>
              <w:t>8</w:t>
            </w:r>
          </w:p>
        </w:tc>
      </w:tr>
      <w:tr w:rsidR="00762D49" w:rsidRPr="00D30847" w14:paraId="495C600A" w14:textId="77777777" w:rsidTr="00FD4DDE">
        <w:trPr>
          <w:gridAfter w:val="1"/>
          <w:wAfter w:w="52" w:type="dxa"/>
          <w:trHeight w:val="405"/>
          <w:jc w:val="center"/>
        </w:trPr>
        <w:tc>
          <w:tcPr>
            <w:tcW w:w="2378" w:type="dxa"/>
            <w:gridSpan w:val="7"/>
            <w:vMerge/>
            <w:tcBorders>
              <w:top w:val="nil"/>
              <w:left w:val="nil"/>
              <w:bottom w:val="nil"/>
              <w:right w:val="single" w:sz="8" w:space="0" w:color="000000"/>
            </w:tcBorders>
            <w:shd w:val="clear" w:color="auto" w:fill="auto"/>
            <w:vAlign w:val="center"/>
          </w:tcPr>
          <w:p w14:paraId="36FD3E94" w14:textId="77777777" w:rsidR="00762D49" w:rsidRPr="00D30847" w:rsidRDefault="00762D49" w:rsidP="005742CC">
            <w:pPr>
              <w:spacing w:after="0" w:line="240" w:lineRule="auto"/>
              <w:jc w:val="center"/>
              <w:rPr>
                <w:rFonts w:ascii="Arial" w:eastAsia="Times New Roman" w:hAnsi="Arial" w:cs="Arial"/>
                <w:sz w:val="12"/>
                <w:szCs w:val="12"/>
                <w:lang w:val="en-GB" w:eastAsia="mk-MK"/>
              </w:rPr>
            </w:pPr>
          </w:p>
        </w:tc>
        <w:tc>
          <w:tcPr>
            <w:tcW w:w="1798" w:type="dxa"/>
            <w:gridSpan w:val="4"/>
            <w:tcBorders>
              <w:left w:val="single" w:sz="8" w:space="0" w:color="000000"/>
            </w:tcBorders>
            <w:shd w:val="clear" w:color="auto" w:fill="FFFF99"/>
            <w:vAlign w:val="center"/>
          </w:tcPr>
          <w:p w14:paraId="2C569732" w14:textId="4A48B60D" w:rsidR="00762D49" w:rsidRPr="00D30847" w:rsidRDefault="009227FF"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sz w:val="12"/>
                <w:szCs w:val="12"/>
                <w:lang w:val="en-GB" w:eastAsia="mk-MK"/>
              </w:rPr>
              <w:t>Use of auctions in Tenders</w:t>
            </w:r>
          </w:p>
        </w:tc>
        <w:tc>
          <w:tcPr>
            <w:tcW w:w="1170" w:type="dxa"/>
            <w:shd w:val="clear" w:color="auto" w:fill="FFFF99"/>
            <w:vAlign w:val="center"/>
          </w:tcPr>
          <w:p w14:paraId="10F3346E" w14:textId="5F159378" w:rsidR="00762D49" w:rsidRPr="00D30847" w:rsidRDefault="00762D49"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sz w:val="12"/>
                <w:szCs w:val="12"/>
                <w:lang w:val="en-GB" w:eastAsia="mk-MK"/>
              </w:rPr>
              <w:t>PPB</w:t>
            </w:r>
          </w:p>
        </w:tc>
        <w:tc>
          <w:tcPr>
            <w:tcW w:w="1442" w:type="dxa"/>
            <w:gridSpan w:val="4"/>
            <w:shd w:val="clear" w:color="auto" w:fill="FFFF99"/>
            <w:vAlign w:val="center"/>
          </w:tcPr>
          <w:p w14:paraId="5D2F1C94" w14:textId="42249DD6" w:rsidR="00762D49" w:rsidRPr="00D30847" w:rsidRDefault="009227FF"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sz w:val="12"/>
                <w:szCs w:val="12"/>
                <w:lang w:val="en-GB" w:eastAsia="mk-MK"/>
              </w:rPr>
              <w:t>62 %</w:t>
            </w:r>
          </w:p>
        </w:tc>
        <w:tc>
          <w:tcPr>
            <w:tcW w:w="1620" w:type="dxa"/>
            <w:gridSpan w:val="2"/>
            <w:shd w:val="clear" w:color="auto" w:fill="FFFF99"/>
            <w:vAlign w:val="center"/>
          </w:tcPr>
          <w:p w14:paraId="73683194" w14:textId="627CDCEC" w:rsidR="00762D49" w:rsidRPr="00D30847" w:rsidRDefault="004803DD" w:rsidP="005742CC">
            <w:pPr>
              <w:spacing w:after="0" w:line="240" w:lineRule="auto"/>
              <w:jc w:val="center"/>
              <w:rPr>
                <w:rFonts w:ascii="Arial" w:eastAsia="Times New Roman" w:hAnsi="Arial" w:cs="Arial"/>
                <w:b/>
                <w:bCs/>
                <w:sz w:val="12"/>
                <w:szCs w:val="12"/>
                <w:lang w:val="en-GB" w:eastAsia="mk-MK"/>
              </w:rPr>
            </w:pPr>
            <w:r w:rsidRPr="00D30847">
              <w:rPr>
                <w:sz w:val="12"/>
                <w:szCs w:val="12"/>
                <w:lang w:val="en-GB"/>
              </w:rPr>
              <w:t>Max. 40%</w:t>
            </w:r>
          </w:p>
        </w:tc>
        <w:tc>
          <w:tcPr>
            <w:tcW w:w="1800" w:type="dxa"/>
            <w:gridSpan w:val="6"/>
            <w:shd w:val="clear" w:color="auto" w:fill="FFFF99"/>
            <w:vAlign w:val="center"/>
          </w:tcPr>
          <w:p w14:paraId="7F42F678" w14:textId="6B343F85" w:rsidR="00762D49" w:rsidRPr="00D30847" w:rsidRDefault="004803DD" w:rsidP="00762D49">
            <w:pPr>
              <w:spacing w:after="0" w:line="240" w:lineRule="auto"/>
              <w:jc w:val="center"/>
              <w:rPr>
                <w:rFonts w:ascii="Arial" w:eastAsia="Times New Roman" w:hAnsi="Arial" w:cs="Arial"/>
                <w:b/>
                <w:bCs/>
                <w:sz w:val="12"/>
                <w:szCs w:val="12"/>
                <w:lang w:val="en-GB" w:eastAsia="mk-MK"/>
              </w:rPr>
            </w:pPr>
            <w:r w:rsidRPr="00D30847">
              <w:rPr>
                <w:sz w:val="12"/>
                <w:szCs w:val="12"/>
                <w:lang w:val="en-GB"/>
              </w:rPr>
              <w:t>Max. 40%</w:t>
            </w:r>
          </w:p>
        </w:tc>
        <w:tc>
          <w:tcPr>
            <w:tcW w:w="1890" w:type="dxa"/>
            <w:gridSpan w:val="5"/>
            <w:shd w:val="clear" w:color="auto" w:fill="FFFF99"/>
            <w:vAlign w:val="center"/>
          </w:tcPr>
          <w:p w14:paraId="46F6559A" w14:textId="4E75BFD6" w:rsidR="00762D49" w:rsidRPr="00D30847" w:rsidRDefault="004803DD" w:rsidP="00762D49">
            <w:pPr>
              <w:spacing w:after="0" w:line="240" w:lineRule="auto"/>
              <w:jc w:val="center"/>
              <w:rPr>
                <w:rFonts w:ascii="Arial" w:eastAsia="Times New Roman" w:hAnsi="Arial" w:cs="Arial"/>
                <w:b/>
                <w:bCs/>
                <w:sz w:val="12"/>
                <w:szCs w:val="12"/>
                <w:lang w:val="en-GB" w:eastAsia="mk-MK"/>
              </w:rPr>
            </w:pPr>
            <w:r w:rsidRPr="00D30847">
              <w:rPr>
                <w:sz w:val="12"/>
                <w:szCs w:val="12"/>
                <w:lang w:val="en-GB"/>
              </w:rPr>
              <w:t>Max. 35%</w:t>
            </w:r>
          </w:p>
        </w:tc>
        <w:tc>
          <w:tcPr>
            <w:tcW w:w="1440" w:type="dxa"/>
            <w:gridSpan w:val="2"/>
            <w:shd w:val="clear" w:color="auto" w:fill="FFFF99"/>
            <w:vAlign w:val="center"/>
          </w:tcPr>
          <w:p w14:paraId="733EC018" w14:textId="164D4B96" w:rsidR="00762D49" w:rsidRPr="00D30847" w:rsidRDefault="004803DD" w:rsidP="00762D49">
            <w:pPr>
              <w:spacing w:after="0" w:line="240" w:lineRule="auto"/>
              <w:jc w:val="center"/>
              <w:rPr>
                <w:rFonts w:ascii="Arial" w:eastAsia="Times New Roman" w:hAnsi="Arial" w:cs="Arial"/>
                <w:b/>
                <w:bCs/>
                <w:sz w:val="12"/>
                <w:szCs w:val="12"/>
                <w:lang w:val="en-GB" w:eastAsia="mk-MK"/>
              </w:rPr>
            </w:pPr>
            <w:r w:rsidRPr="00D30847">
              <w:rPr>
                <w:sz w:val="12"/>
                <w:szCs w:val="12"/>
                <w:lang w:val="en-GB"/>
              </w:rPr>
              <w:t>Max. 30%</w:t>
            </w:r>
          </w:p>
        </w:tc>
      </w:tr>
      <w:tr w:rsidR="005223DD" w:rsidRPr="00D30847" w14:paraId="1B504F8B" w14:textId="77777777" w:rsidTr="00FD4DDE">
        <w:trPr>
          <w:gridAfter w:val="1"/>
          <w:wAfter w:w="52" w:type="dxa"/>
          <w:trHeight w:val="430"/>
          <w:jc w:val="center"/>
        </w:trPr>
        <w:tc>
          <w:tcPr>
            <w:tcW w:w="2378" w:type="dxa"/>
            <w:gridSpan w:val="7"/>
            <w:vMerge/>
            <w:tcBorders>
              <w:top w:val="nil"/>
              <w:left w:val="nil"/>
              <w:bottom w:val="nil"/>
              <w:right w:val="single" w:sz="8" w:space="0" w:color="000000"/>
            </w:tcBorders>
            <w:vAlign w:val="center"/>
            <w:hideMark/>
          </w:tcPr>
          <w:p w14:paraId="285E319D" w14:textId="77777777" w:rsidR="005223DD" w:rsidRPr="00D30847" w:rsidRDefault="005223DD" w:rsidP="005742CC">
            <w:pPr>
              <w:spacing w:after="0" w:line="240" w:lineRule="auto"/>
              <w:rPr>
                <w:rFonts w:ascii="Arial" w:eastAsia="Times New Roman" w:hAnsi="Arial" w:cs="Arial"/>
                <w:sz w:val="12"/>
                <w:szCs w:val="12"/>
                <w:lang w:val="en-GB" w:eastAsia="mk-MK"/>
              </w:rPr>
            </w:pPr>
          </w:p>
        </w:tc>
        <w:tc>
          <w:tcPr>
            <w:tcW w:w="1798" w:type="dxa"/>
            <w:gridSpan w:val="4"/>
            <w:tcBorders>
              <w:left w:val="single" w:sz="8" w:space="0" w:color="000000"/>
            </w:tcBorders>
            <w:shd w:val="clear" w:color="000000" w:fill="FFFF99"/>
            <w:vAlign w:val="center"/>
            <w:hideMark/>
          </w:tcPr>
          <w:p w14:paraId="40A20DF4" w14:textId="2E5980FA" w:rsidR="005223DD" w:rsidRPr="00D30847" w:rsidRDefault="009227FF" w:rsidP="005742CC">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Use of E-market system</w:t>
            </w:r>
          </w:p>
        </w:tc>
        <w:tc>
          <w:tcPr>
            <w:tcW w:w="1170" w:type="dxa"/>
            <w:shd w:val="clear" w:color="000000" w:fill="FFFF99"/>
            <w:vAlign w:val="center"/>
            <w:hideMark/>
          </w:tcPr>
          <w:p w14:paraId="23FE3324" w14:textId="63DBA22E" w:rsidR="005223DD" w:rsidRPr="00D30847" w:rsidRDefault="00762D49"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PPB</w:t>
            </w:r>
          </w:p>
        </w:tc>
        <w:tc>
          <w:tcPr>
            <w:tcW w:w="1442" w:type="dxa"/>
            <w:gridSpan w:val="4"/>
            <w:shd w:val="clear" w:color="000000" w:fill="FFFF99"/>
            <w:vAlign w:val="center"/>
            <w:hideMark/>
          </w:tcPr>
          <w:p w14:paraId="69FCBC53" w14:textId="3AB5B53C" w:rsidR="005223DD" w:rsidRPr="00D30847" w:rsidRDefault="00480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259</w:t>
            </w:r>
          </w:p>
        </w:tc>
        <w:tc>
          <w:tcPr>
            <w:tcW w:w="1620" w:type="dxa"/>
            <w:gridSpan w:val="2"/>
            <w:shd w:val="clear" w:color="000000" w:fill="FFFF99"/>
            <w:vAlign w:val="center"/>
            <w:hideMark/>
          </w:tcPr>
          <w:p w14:paraId="1FD1AA99" w14:textId="67F6A466" w:rsidR="005223DD" w:rsidRPr="00D30847" w:rsidRDefault="004803DD" w:rsidP="005742CC">
            <w:pPr>
              <w:spacing w:after="0" w:line="240" w:lineRule="auto"/>
              <w:jc w:val="center"/>
              <w:rPr>
                <w:rFonts w:ascii="Arial" w:eastAsia="Times New Roman" w:hAnsi="Arial" w:cs="Arial"/>
                <w:sz w:val="12"/>
                <w:szCs w:val="12"/>
                <w:lang w:val="en-GB" w:eastAsia="mk-MK"/>
              </w:rPr>
            </w:pPr>
            <w:r w:rsidRPr="00D30847">
              <w:rPr>
                <w:sz w:val="12"/>
                <w:szCs w:val="12"/>
                <w:lang w:val="en-GB"/>
              </w:rPr>
              <w:t>Min. 500</w:t>
            </w:r>
          </w:p>
        </w:tc>
        <w:tc>
          <w:tcPr>
            <w:tcW w:w="1800" w:type="dxa"/>
            <w:gridSpan w:val="6"/>
            <w:shd w:val="clear" w:color="000000" w:fill="FFFF99"/>
            <w:vAlign w:val="center"/>
          </w:tcPr>
          <w:p w14:paraId="498A7F61" w14:textId="7C0DC294" w:rsidR="005223DD" w:rsidRPr="00D30847" w:rsidRDefault="004803DD" w:rsidP="005742CC">
            <w:pPr>
              <w:spacing w:after="0" w:line="240" w:lineRule="auto"/>
              <w:jc w:val="center"/>
              <w:rPr>
                <w:rFonts w:ascii="Arial" w:eastAsia="Times New Roman" w:hAnsi="Arial" w:cs="Arial"/>
                <w:sz w:val="12"/>
                <w:szCs w:val="12"/>
                <w:lang w:val="en-GB" w:eastAsia="mk-MK"/>
              </w:rPr>
            </w:pPr>
            <w:r w:rsidRPr="00D30847">
              <w:rPr>
                <w:sz w:val="12"/>
                <w:szCs w:val="12"/>
                <w:lang w:val="en-GB"/>
              </w:rPr>
              <w:t>Min. 800</w:t>
            </w:r>
          </w:p>
        </w:tc>
        <w:tc>
          <w:tcPr>
            <w:tcW w:w="1890" w:type="dxa"/>
            <w:gridSpan w:val="5"/>
            <w:shd w:val="clear" w:color="000000" w:fill="FFFF99"/>
            <w:vAlign w:val="center"/>
          </w:tcPr>
          <w:p w14:paraId="6145973C" w14:textId="36EEACB0" w:rsidR="005223DD" w:rsidRPr="00D30847" w:rsidRDefault="004803DD" w:rsidP="005742CC">
            <w:pPr>
              <w:spacing w:after="0" w:line="240" w:lineRule="auto"/>
              <w:jc w:val="center"/>
              <w:rPr>
                <w:rFonts w:ascii="Arial" w:eastAsia="Times New Roman" w:hAnsi="Arial" w:cs="Arial"/>
                <w:sz w:val="12"/>
                <w:szCs w:val="12"/>
                <w:lang w:val="en-GB" w:eastAsia="mk-MK"/>
              </w:rPr>
            </w:pPr>
            <w:r w:rsidRPr="00D30847">
              <w:rPr>
                <w:sz w:val="12"/>
                <w:szCs w:val="12"/>
                <w:lang w:val="en-GB"/>
              </w:rPr>
              <w:t>Min. 900</w:t>
            </w:r>
          </w:p>
        </w:tc>
        <w:tc>
          <w:tcPr>
            <w:tcW w:w="1440" w:type="dxa"/>
            <w:gridSpan w:val="2"/>
            <w:shd w:val="clear" w:color="000000" w:fill="FFFF99"/>
            <w:vAlign w:val="center"/>
          </w:tcPr>
          <w:p w14:paraId="45C7C152" w14:textId="7D63BEC4" w:rsidR="005223DD" w:rsidRPr="00D30847" w:rsidRDefault="004803DD" w:rsidP="005742CC">
            <w:pPr>
              <w:spacing w:after="0" w:line="240" w:lineRule="auto"/>
              <w:jc w:val="center"/>
              <w:rPr>
                <w:rFonts w:ascii="Arial" w:eastAsia="Times New Roman" w:hAnsi="Arial" w:cs="Arial"/>
                <w:sz w:val="12"/>
                <w:szCs w:val="12"/>
                <w:lang w:val="en-GB" w:eastAsia="mk-MK"/>
              </w:rPr>
            </w:pPr>
            <w:r w:rsidRPr="00D30847">
              <w:rPr>
                <w:sz w:val="12"/>
                <w:szCs w:val="12"/>
                <w:lang w:val="en-GB"/>
              </w:rPr>
              <w:t>Min. 1000</w:t>
            </w:r>
          </w:p>
        </w:tc>
      </w:tr>
      <w:tr w:rsidR="009227FF" w:rsidRPr="00D30847" w14:paraId="2D63C2C0" w14:textId="77777777" w:rsidTr="00FD4DDE">
        <w:trPr>
          <w:gridAfter w:val="1"/>
          <w:wAfter w:w="52" w:type="dxa"/>
          <w:trHeight w:val="934"/>
          <w:jc w:val="center"/>
        </w:trPr>
        <w:tc>
          <w:tcPr>
            <w:tcW w:w="2378" w:type="dxa"/>
            <w:gridSpan w:val="7"/>
            <w:vMerge/>
            <w:tcBorders>
              <w:top w:val="nil"/>
              <w:left w:val="nil"/>
              <w:bottom w:val="nil"/>
              <w:right w:val="single" w:sz="8" w:space="0" w:color="000000"/>
            </w:tcBorders>
            <w:vAlign w:val="center"/>
          </w:tcPr>
          <w:p w14:paraId="2F9DD9DD" w14:textId="77777777" w:rsidR="009227FF" w:rsidRPr="00D30847" w:rsidRDefault="009227FF" w:rsidP="005742CC">
            <w:pPr>
              <w:spacing w:after="0" w:line="240" w:lineRule="auto"/>
              <w:rPr>
                <w:rFonts w:ascii="Arial" w:eastAsia="Times New Roman" w:hAnsi="Arial" w:cs="Arial"/>
                <w:sz w:val="12"/>
                <w:szCs w:val="12"/>
                <w:lang w:val="en-GB" w:eastAsia="mk-MK"/>
              </w:rPr>
            </w:pPr>
          </w:p>
        </w:tc>
        <w:tc>
          <w:tcPr>
            <w:tcW w:w="1798" w:type="dxa"/>
            <w:gridSpan w:val="4"/>
            <w:tcBorders>
              <w:left w:val="single" w:sz="8" w:space="0" w:color="000000"/>
            </w:tcBorders>
            <w:shd w:val="clear" w:color="000000" w:fill="FFFF99"/>
            <w:vAlign w:val="center"/>
          </w:tcPr>
          <w:p w14:paraId="55BBCA5A" w14:textId="4ECCCCD8" w:rsidR="009227FF" w:rsidRPr="00D30847" w:rsidRDefault="009227FF" w:rsidP="005742CC">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Use of Most Economically Advantageous Tender [MEAT] criteria as best price-quality ratio or the cost-effectiveness approach for award, in value</w:t>
            </w:r>
          </w:p>
        </w:tc>
        <w:tc>
          <w:tcPr>
            <w:tcW w:w="1170" w:type="dxa"/>
            <w:shd w:val="clear" w:color="000000" w:fill="FFFF99"/>
            <w:vAlign w:val="center"/>
          </w:tcPr>
          <w:p w14:paraId="204EBB16" w14:textId="673CE349" w:rsidR="009227FF" w:rsidRPr="00D30847" w:rsidRDefault="009227FF"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PPB</w:t>
            </w:r>
          </w:p>
        </w:tc>
        <w:tc>
          <w:tcPr>
            <w:tcW w:w="1442" w:type="dxa"/>
            <w:gridSpan w:val="4"/>
            <w:shd w:val="clear" w:color="000000" w:fill="FFFF99"/>
            <w:vAlign w:val="center"/>
          </w:tcPr>
          <w:p w14:paraId="076BED0C" w14:textId="712B7646" w:rsidR="009227FF" w:rsidRPr="00D30847" w:rsidRDefault="00480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9.18%</w:t>
            </w:r>
          </w:p>
        </w:tc>
        <w:tc>
          <w:tcPr>
            <w:tcW w:w="1620" w:type="dxa"/>
            <w:gridSpan w:val="2"/>
            <w:shd w:val="clear" w:color="000000" w:fill="FFFF99"/>
            <w:vAlign w:val="center"/>
          </w:tcPr>
          <w:p w14:paraId="5271A5B9" w14:textId="355F60FB" w:rsidR="009227FF" w:rsidRPr="00D30847" w:rsidRDefault="004803DD" w:rsidP="005742CC">
            <w:pPr>
              <w:spacing w:after="0" w:line="240" w:lineRule="auto"/>
              <w:jc w:val="center"/>
              <w:rPr>
                <w:rFonts w:ascii="Arial" w:eastAsia="Times New Roman" w:hAnsi="Arial" w:cs="Arial"/>
                <w:sz w:val="12"/>
                <w:szCs w:val="12"/>
                <w:lang w:val="en-GB" w:eastAsia="mk-MK"/>
              </w:rPr>
            </w:pPr>
            <w:r w:rsidRPr="00D30847">
              <w:rPr>
                <w:sz w:val="12"/>
                <w:szCs w:val="12"/>
                <w:lang w:val="en-GB"/>
              </w:rPr>
              <w:t>Min. 15%</w:t>
            </w:r>
          </w:p>
        </w:tc>
        <w:tc>
          <w:tcPr>
            <w:tcW w:w="1800" w:type="dxa"/>
            <w:gridSpan w:val="6"/>
            <w:shd w:val="clear" w:color="000000" w:fill="FFFF99"/>
            <w:vAlign w:val="center"/>
          </w:tcPr>
          <w:p w14:paraId="6CEF852B" w14:textId="23B4226C" w:rsidR="009227FF" w:rsidRPr="00D30847" w:rsidRDefault="004803DD" w:rsidP="005742CC">
            <w:pPr>
              <w:spacing w:after="0" w:line="240" w:lineRule="auto"/>
              <w:jc w:val="center"/>
              <w:rPr>
                <w:rFonts w:ascii="Arial" w:eastAsia="Times New Roman" w:hAnsi="Arial" w:cs="Arial"/>
                <w:sz w:val="12"/>
                <w:szCs w:val="12"/>
                <w:lang w:val="en-GB" w:eastAsia="mk-MK"/>
              </w:rPr>
            </w:pPr>
            <w:r w:rsidRPr="00D30847">
              <w:rPr>
                <w:sz w:val="12"/>
                <w:szCs w:val="12"/>
                <w:lang w:val="en-GB"/>
              </w:rPr>
              <w:t>Min. 20%</w:t>
            </w:r>
          </w:p>
        </w:tc>
        <w:tc>
          <w:tcPr>
            <w:tcW w:w="1890" w:type="dxa"/>
            <w:gridSpan w:val="5"/>
            <w:shd w:val="clear" w:color="000000" w:fill="FFFF99"/>
            <w:vAlign w:val="center"/>
          </w:tcPr>
          <w:p w14:paraId="3BD4B018" w14:textId="4A6FE1B3" w:rsidR="009227FF" w:rsidRPr="00D30847" w:rsidRDefault="004803DD" w:rsidP="005742CC">
            <w:pPr>
              <w:spacing w:after="0" w:line="240" w:lineRule="auto"/>
              <w:jc w:val="center"/>
              <w:rPr>
                <w:rFonts w:ascii="Arial" w:eastAsia="Times New Roman" w:hAnsi="Arial" w:cs="Arial"/>
                <w:sz w:val="12"/>
                <w:szCs w:val="12"/>
                <w:lang w:val="en-GB" w:eastAsia="mk-MK"/>
              </w:rPr>
            </w:pPr>
            <w:r w:rsidRPr="00D30847">
              <w:rPr>
                <w:sz w:val="12"/>
                <w:szCs w:val="12"/>
                <w:lang w:val="en-GB"/>
              </w:rPr>
              <w:t>Min. 25%</w:t>
            </w:r>
          </w:p>
        </w:tc>
        <w:tc>
          <w:tcPr>
            <w:tcW w:w="1440" w:type="dxa"/>
            <w:gridSpan w:val="2"/>
            <w:shd w:val="clear" w:color="000000" w:fill="FFFF99"/>
            <w:vAlign w:val="center"/>
          </w:tcPr>
          <w:p w14:paraId="69744ABA" w14:textId="052FA844" w:rsidR="009227FF" w:rsidRPr="00D30847" w:rsidRDefault="004803DD" w:rsidP="005742CC">
            <w:pPr>
              <w:spacing w:after="0" w:line="240" w:lineRule="auto"/>
              <w:jc w:val="center"/>
              <w:rPr>
                <w:rFonts w:ascii="Arial" w:eastAsia="Times New Roman" w:hAnsi="Arial" w:cs="Arial"/>
                <w:sz w:val="12"/>
                <w:szCs w:val="12"/>
                <w:lang w:val="en-GB" w:eastAsia="mk-MK"/>
              </w:rPr>
            </w:pPr>
            <w:r w:rsidRPr="00D30847">
              <w:rPr>
                <w:sz w:val="12"/>
                <w:szCs w:val="12"/>
                <w:lang w:val="en-GB"/>
              </w:rPr>
              <w:t>Min. 25%</w:t>
            </w:r>
          </w:p>
        </w:tc>
      </w:tr>
      <w:tr w:rsidR="005223DD" w:rsidRPr="00D30847" w14:paraId="30761CA3" w14:textId="77777777" w:rsidTr="00FD4DDE">
        <w:trPr>
          <w:gridAfter w:val="1"/>
          <w:wAfter w:w="52" w:type="dxa"/>
          <w:trHeight w:val="295"/>
          <w:jc w:val="center"/>
        </w:trPr>
        <w:tc>
          <w:tcPr>
            <w:tcW w:w="2378" w:type="dxa"/>
            <w:gridSpan w:val="7"/>
            <w:vMerge/>
            <w:tcBorders>
              <w:top w:val="nil"/>
              <w:left w:val="nil"/>
              <w:bottom w:val="nil"/>
              <w:right w:val="single" w:sz="8" w:space="0" w:color="000000"/>
            </w:tcBorders>
            <w:vAlign w:val="center"/>
            <w:hideMark/>
          </w:tcPr>
          <w:p w14:paraId="7308386C" w14:textId="77777777" w:rsidR="005223DD" w:rsidRPr="00D30847" w:rsidRDefault="005223DD" w:rsidP="005742CC">
            <w:pPr>
              <w:spacing w:after="0" w:line="240" w:lineRule="auto"/>
              <w:rPr>
                <w:rFonts w:ascii="Arial" w:eastAsia="Times New Roman" w:hAnsi="Arial" w:cs="Arial"/>
                <w:sz w:val="12"/>
                <w:szCs w:val="12"/>
                <w:lang w:val="en-GB" w:eastAsia="mk-MK"/>
              </w:rPr>
            </w:pPr>
          </w:p>
        </w:tc>
        <w:tc>
          <w:tcPr>
            <w:tcW w:w="1798" w:type="dxa"/>
            <w:gridSpan w:val="4"/>
            <w:tcBorders>
              <w:left w:val="single" w:sz="8" w:space="0" w:color="000000"/>
            </w:tcBorders>
            <w:shd w:val="clear" w:color="000000" w:fill="9BD2ED"/>
            <w:vAlign w:val="center"/>
            <w:hideMark/>
          </w:tcPr>
          <w:p w14:paraId="1D697887" w14:textId="77777777"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70" w:type="dxa"/>
            <w:shd w:val="clear" w:color="000000" w:fill="9BD2ED"/>
            <w:vAlign w:val="center"/>
            <w:hideMark/>
          </w:tcPr>
          <w:p w14:paraId="72419F18" w14:textId="77777777"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 period</w:t>
            </w:r>
          </w:p>
        </w:tc>
        <w:tc>
          <w:tcPr>
            <w:tcW w:w="1442" w:type="dxa"/>
            <w:gridSpan w:val="4"/>
            <w:shd w:val="clear" w:color="000000" w:fill="9BD2ED"/>
            <w:vAlign w:val="center"/>
            <w:hideMark/>
          </w:tcPr>
          <w:p w14:paraId="5A814391" w14:textId="77777777"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 institution</w:t>
            </w:r>
          </w:p>
        </w:tc>
        <w:tc>
          <w:tcPr>
            <w:tcW w:w="1620" w:type="dxa"/>
            <w:gridSpan w:val="2"/>
            <w:shd w:val="clear" w:color="000000" w:fill="9BD2ED"/>
            <w:vAlign w:val="center"/>
            <w:hideMark/>
          </w:tcPr>
          <w:p w14:paraId="2C0A0897" w14:textId="77777777"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 partners</w:t>
            </w:r>
          </w:p>
        </w:tc>
        <w:tc>
          <w:tcPr>
            <w:tcW w:w="1800" w:type="dxa"/>
            <w:gridSpan w:val="6"/>
            <w:shd w:val="clear" w:color="000000" w:fill="9BD2ED"/>
            <w:vAlign w:val="center"/>
            <w:hideMark/>
          </w:tcPr>
          <w:p w14:paraId="17F84673" w14:textId="77777777"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90" w:type="dxa"/>
            <w:gridSpan w:val="5"/>
            <w:shd w:val="clear" w:color="000000" w:fill="9BD2ED"/>
            <w:vAlign w:val="center"/>
            <w:hideMark/>
          </w:tcPr>
          <w:p w14:paraId="2AB36918" w14:textId="77777777" w:rsidR="005223DD" w:rsidRPr="00D30847" w:rsidRDefault="005223DD" w:rsidP="005742CC">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 of financing</w:t>
            </w:r>
          </w:p>
        </w:tc>
        <w:tc>
          <w:tcPr>
            <w:tcW w:w="1440" w:type="dxa"/>
            <w:gridSpan w:val="2"/>
            <w:shd w:val="clear" w:color="000000" w:fill="9BD2ED"/>
            <w:vAlign w:val="center"/>
            <w:hideMark/>
          </w:tcPr>
          <w:p w14:paraId="3FD383DA" w14:textId="77777777"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5223DD" w:rsidRPr="00D30847" w14:paraId="5370C0DF" w14:textId="77777777" w:rsidTr="00FD4DDE">
        <w:trPr>
          <w:gridAfter w:val="1"/>
          <w:wAfter w:w="52" w:type="dxa"/>
          <w:trHeight w:val="689"/>
          <w:jc w:val="center"/>
        </w:trPr>
        <w:tc>
          <w:tcPr>
            <w:tcW w:w="2378" w:type="dxa"/>
            <w:gridSpan w:val="7"/>
            <w:vMerge/>
            <w:tcBorders>
              <w:top w:val="nil"/>
              <w:left w:val="nil"/>
              <w:bottom w:val="nil"/>
              <w:right w:val="single" w:sz="8" w:space="0" w:color="000000"/>
            </w:tcBorders>
            <w:vAlign w:val="center"/>
            <w:hideMark/>
          </w:tcPr>
          <w:p w14:paraId="3E3555E8" w14:textId="77777777" w:rsidR="005223DD" w:rsidRPr="00D30847" w:rsidRDefault="005223DD" w:rsidP="005742CC">
            <w:pPr>
              <w:spacing w:after="0" w:line="240" w:lineRule="auto"/>
              <w:rPr>
                <w:rFonts w:ascii="Arial" w:eastAsia="Times New Roman" w:hAnsi="Arial" w:cs="Arial"/>
                <w:sz w:val="12"/>
                <w:szCs w:val="12"/>
                <w:lang w:val="en-GB" w:eastAsia="mk-MK"/>
              </w:rPr>
            </w:pPr>
          </w:p>
        </w:tc>
        <w:tc>
          <w:tcPr>
            <w:tcW w:w="1798" w:type="dxa"/>
            <w:gridSpan w:val="4"/>
            <w:tcBorders>
              <w:left w:val="single" w:sz="8" w:space="0" w:color="000000"/>
            </w:tcBorders>
            <w:shd w:val="clear" w:color="000000" w:fill="FFFF99"/>
            <w:vAlign w:val="center"/>
            <w:hideMark/>
          </w:tcPr>
          <w:p w14:paraId="1F2D8411" w14:textId="19CCD427" w:rsidR="005223DD" w:rsidRPr="00D30847" w:rsidRDefault="005742CC" w:rsidP="005742CC">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r w:rsidR="004803DD" w:rsidRPr="00D30847">
              <w:rPr>
                <w:rFonts w:ascii="Arial" w:eastAsia="Times New Roman" w:hAnsi="Arial" w:cs="Arial"/>
                <w:sz w:val="12"/>
                <w:szCs w:val="12"/>
                <w:lang w:val="en-GB" w:eastAsia="mk-MK"/>
              </w:rPr>
              <w:t xml:space="preserve"> Development of guides and tools for support of contracting authorities in improved implementation of the Law on Public </w:t>
            </w:r>
            <w:r w:rsidR="00B04AA7" w:rsidRPr="00D30847">
              <w:rPr>
                <w:rFonts w:ascii="Arial" w:eastAsia="Times New Roman" w:hAnsi="Arial" w:cs="Arial"/>
                <w:sz w:val="12"/>
                <w:szCs w:val="12"/>
                <w:lang w:val="en-GB" w:eastAsia="mk-MK"/>
              </w:rPr>
              <w:t>Procurement</w:t>
            </w:r>
          </w:p>
        </w:tc>
        <w:tc>
          <w:tcPr>
            <w:tcW w:w="1170" w:type="dxa"/>
            <w:shd w:val="clear" w:color="000000" w:fill="FFFF99"/>
            <w:vAlign w:val="center"/>
            <w:hideMark/>
          </w:tcPr>
          <w:p w14:paraId="30305166" w14:textId="77777777" w:rsidR="005223DD" w:rsidRPr="00D30847" w:rsidRDefault="00522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2024-2025</w:t>
            </w:r>
          </w:p>
        </w:tc>
        <w:tc>
          <w:tcPr>
            <w:tcW w:w="1442" w:type="dxa"/>
            <w:gridSpan w:val="4"/>
            <w:shd w:val="clear" w:color="000000" w:fill="FFFF99"/>
            <w:vAlign w:val="center"/>
            <w:hideMark/>
          </w:tcPr>
          <w:p w14:paraId="48AF8BFF" w14:textId="77777777" w:rsidR="005223DD" w:rsidRPr="00D30847" w:rsidRDefault="00522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PPB</w:t>
            </w:r>
          </w:p>
        </w:tc>
        <w:tc>
          <w:tcPr>
            <w:tcW w:w="1620" w:type="dxa"/>
            <w:gridSpan w:val="2"/>
            <w:shd w:val="clear" w:color="000000" w:fill="FFFF99"/>
            <w:vAlign w:val="center"/>
            <w:hideMark/>
          </w:tcPr>
          <w:p w14:paraId="119A9C97" w14:textId="61F398A2" w:rsidR="005223DD" w:rsidRPr="00D30847" w:rsidRDefault="00522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br/>
            </w:r>
            <w:proofErr w:type="spellStart"/>
            <w:r w:rsidR="004803DD" w:rsidRPr="00D30847">
              <w:rPr>
                <w:rFonts w:ascii="Arial" w:eastAsia="Times New Roman" w:hAnsi="Arial" w:cs="Arial"/>
                <w:sz w:val="12"/>
                <w:szCs w:val="12"/>
                <w:lang w:val="en-GB" w:eastAsia="mk-MK"/>
              </w:rPr>
              <w:t>GoRNM</w:t>
            </w:r>
            <w:proofErr w:type="spellEnd"/>
          </w:p>
        </w:tc>
        <w:tc>
          <w:tcPr>
            <w:tcW w:w="1800" w:type="dxa"/>
            <w:gridSpan w:val="6"/>
            <w:shd w:val="clear" w:color="000000" w:fill="FFFF99"/>
            <w:vAlign w:val="center"/>
            <w:hideMark/>
          </w:tcPr>
          <w:p w14:paraId="7376165B" w14:textId="77777777" w:rsidR="005223DD" w:rsidRPr="00D30847" w:rsidRDefault="00522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90" w:type="dxa"/>
            <w:gridSpan w:val="5"/>
            <w:shd w:val="clear" w:color="000000" w:fill="FFFF99"/>
            <w:vAlign w:val="center"/>
            <w:hideMark/>
          </w:tcPr>
          <w:p w14:paraId="1444A888" w14:textId="77777777" w:rsidR="005223DD" w:rsidRPr="00D30847" w:rsidRDefault="00522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w:t>
            </w:r>
          </w:p>
        </w:tc>
        <w:tc>
          <w:tcPr>
            <w:tcW w:w="1440" w:type="dxa"/>
            <w:gridSpan w:val="2"/>
            <w:shd w:val="clear" w:color="000000" w:fill="FFFF99"/>
            <w:vAlign w:val="center"/>
            <w:hideMark/>
          </w:tcPr>
          <w:p w14:paraId="29022C78" w14:textId="2E5E40E1" w:rsidR="005223DD" w:rsidRPr="00D30847" w:rsidRDefault="00407B01"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r>
      <w:tr w:rsidR="005223DD" w:rsidRPr="00D30847" w14:paraId="5E0F8630" w14:textId="77777777" w:rsidTr="00FD4DDE">
        <w:trPr>
          <w:gridAfter w:val="1"/>
          <w:wAfter w:w="52" w:type="dxa"/>
          <w:trHeight w:val="295"/>
          <w:jc w:val="center"/>
        </w:trPr>
        <w:tc>
          <w:tcPr>
            <w:tcW w:w="13538" w:type="dxa"/>
            <w:gridSpan w:val="31"/>
            <w:shd w:val="clear" w:color="000000" w:fill="9BD2ED"/>
            <w:vAlign w:val="center"/>
            <w:hideMark/>
          </w:tcPr>
          <w:p w14:paraId="27A41D94" w14:textId="77777777" w:rsidR="005223DD" w:rsidRPr="00D30847" w:rsidRDefault="005223DD" w:rsidP="005742CC">
            <w:pPr>
              <w:spacing w:after="0" w:line="240" w:lineRule="auto"/>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Measure 3. Introducing new system for education within PPB</w:t>
            </w:r>
          </w:p>
        </w:tc>
      </w:tr>
      <w:tr w:rsidR="005223DD" w:rsidRPr="00D30847" w14:paraId="1271427C" w14:textId="77777777" w:rsidTr="00FD4DDE">
        <w:trPr>
          <w:gridAfter w:val="1"/>
          <w:wAfter w:w="52" w:type="dxa"/>
          <w:trHeight w:val="405"/>
          <w:jc w:val="center"/>
        </w:trPr>
        <w:tc>
          <w:tcPr>
            <w:tcW w:w="2378" w:type="dxa"/>
            <w:gridSpan w:val="7"/>
            <w:vMerge w:val="restart"/>
            <w:tcBorders>
              <w:top w:val="nil"/>
              <w:left w:val="nil"/>
              <w:bottom w:val="nil"/>
              <w:right w:val="single" w:sz="8" w:space="0" w:color="000000"/>
            </w:tcBorders>
            <w:shd w:val="clear" w:color="auto" w:fill="auto"/>
            <w:vAlign w:val="center"/>
            <w:hideMark/>
          </w:tcPr>
          <w:p w14:paraId="149BCDF6" w14:textId="77777777" w:rsidR="005223DD" w:rsidRPr="00D30847" w:rsidRDefault="00522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798" w:type="dxa"/>
            <w:gridSpan w:val="4"/>
            <w:tcBorders>
              <w:left w:val="single" w:sz="8" w:space="0" w:color="000000"/>
            </w:tcBorders>
            <w:shd w:val="clear" w:color="000000" w:fill="9BD2ED"/>
            <w:vAlign w:val="center"/>
            <w:hideMark/>
          </w:tcPr>
          <w:p w14:paraId="383906C6" w14:textId="77777777"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w:t>
            </w:r>
          </w:p>
        </w:tc>
        <w:tc>
          <w:tcPr>
            <w:tcW w:w="1170" w:type="dxa"/>
            <w:shd w:val="clear" w:color="000000" w:fill="9BD2ED"/>
            <w:vAlign w:val="center"/>
            <w:hideMark/>
          </w:tcPr>
          <w:p w14:paraId="7EC59A70" w14:textId="3D8DA1AD"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F368A1">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42" w:type="dxa"/>
            <w:gridSpan w:val="4"/>
            <w:shd w:val="clear" w:color="000000" w:fill="9BD2ED"/>
            <w:vAlign w:val="center"/>
            <w:hideMark/>
          </w:tcPr>
          <w:p w14:paraId="7DC2C9F2" w14:textId="59336F18"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4803DD" w:rsidRPr="00D30847">
              <w:rPr>
                <w:rFonts w:ascii="Arial" w:eastAsia="Times New Roman" w:hAnsi="Arial" w:cs="Arial"/>
                <w:b/>
                <w:bCs/>
                <w:sz w:val="12"/>
                <w:szCs w:val="12"/>
                <w:lang w:val="en-GB" w:eastAsia="mk-MK"/>
              </w:rPr>
              <w:t>3</w:t>
            </w:r>
          </w:p>
        </w:tc>
        <w:tc>
          <w:tcPr>
            <w:tcW w:w="1620" w:type="dxa"/>
            <w:gridSpan w:val="2"/>
            <w:shd w:val="clear" w:color="000000" w:fill="9BD2ED"/>
            <w:vAlign w:val="center"/>
            <w:hideMark/>
          </w:tcPr>
          <w:p w14:paraId="34CA5482" w14:textId="2539C94E"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4803DD" w:rsidRPr="00D30847">
              <w:rPr>
                <w:rFonts w:ascii="Arial" w:eastAsia="Times New Roman" w:hAnsi="Arial" w:cs="Arial"/>
                <w:b/>
                <w:bCs/>
                <w:sz w:val="12"/>
                <w:szCs w:val="12"/>
                <w:lang w:val="en-GB" w:eastAsia="mk-MK"/>
              </w:rPr>
              <w:t>5</w:t>
            </w:r>
          </w:p>
        </w:tc>
        <w:tc>
          <w:tcPr>
            <w:tcW w:w="1800" w:type="dxa"/>
            <w:gridSpan w:val="6"/>
            <w:shd w:val="clear" w:color="000000" w:fill="9BD2ED"/>
            <w:vAlign w:val="center"/>
            <w:hideMark/>
          </w:tcPr>
          <w:p w14:paraId="5118C1FD" w14:textId="34EC8A28"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4803DD" w:rsidRPr="00D30847">
              <w:rPr>
                <w:rFonts w:ascii="Arial" w:eastAsia="Times New Roman" w:hAnsi="Arial" w:cs="Arial"/>
                <w:b/>
                <w:bCs/>
                <w:sz w:val="12"/>
                <w:szCs w:val="12"/>
                <w:lang w:val="en-GB" w:eastAsia="mk-MK"/>
              </w:rPr>
              <w:t>6</w:t>
            </w:r>
          </w:p>
        </w:tc>
        <w:tc>
          <w:tcPr>
            <w:tcW w:w="1890" w:type="dxa"/>
            <w:gridSpan w:val="5"/>
            <w:shd w:val="clear" w:color="000000" w:fill="9BD2ED"/>
            <w:vAlign w:val="center"/>
            <w:hideMark/>
          </w:tcPr>
          <w:p w14:paraId="3DD6DAAE" w14:textId="717CEBAE" w:rsidR="005223DD" w:rsidRPr="00D30847" w:rsidRDefault="005223DD" w:rsidP="005742CC">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4803DD" w:rsidRPr="00D30847">
              <w:rPr>
                <w:rFonts w:ascii="Arial" w:eastAsia="Times New Roman" w:hAnsi="Arial" w:cs="Arial"/>
                <w:b/>
                <w:bCs/>
                <w:sz w:val="12"/>
                <w:szCs w:val="12"/>
                <w:lang w:val="en-GB" w:eastAsia="mk-MK"/>
              </w:rPr>
              <w:t>7</w:t>
            </w:r>
          </w:p>
        </w:tc>
        <w:tc>
          <w:tcPr>
            <w:tcW w:w="1440" w:type="dxa"/>
            <w:gridSpan w:val="2"/>
            <w:shd w:val="clear" w:color="000000" w:fill="9BD2ED"/>
            <w:vAlign w:val="center"/>
            <w:hideMark/>
          </w:tcPr>
          <w:p w14:paraId="769021E5" w14:textId="606A7988"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4803DD" w:rsidRPr="00D30847">
              <w:rPr>
                <w:rFonts w:ascii="Arial" w:eastAsia="Times New Roman" w:hAnsi="Arial" w:cs="Arial"/>
                <w:b/>
                <w:bCs/>
                <w:sz w:val="12"/>
                <w:szCs w:val="12"/>
                <w:lang w:val="en-GB" w:eastAsia="mk-MK"/>
              </w:rPr>
              <w:t>8</w:t>
            </w:r>
          </w:p>
        </w:tc>
      </w:tr>
      <w:tr w:rsidR="005223DD" w:rsidRPr="00D30847" w14:paraId="5BAEC971" w14:textId="77777777" w:rsidTr="00FD4DDE">
        <w:trPr>
          <w:gridAfter w:val="1"/>
          <w:wAfter w:w="52" w:type="dxa"/>
          <w:trHeight w:val="525"/>
          <w:jc w:val="center"/>
        </w:trPr>
        <w:tc>
          <w:tcPr>
            <w:tcW w:w="2378" w:type="dxa"/>
            <w:gridSpan w:val="7"/>
            <w:vMerge/>
            <w:tcBorders>
              <w:top w:val="nil"/>
              <w:left w:val="nil"/>
              <w:bottom w:val="nil"/>
              <w:right w:val="single" w:sz="8" w:space="0" w:color="000000"/>
            </w:tcBorders>
            <w:vAlign w:val="center"/>
            <w:hideMark/>
          </w:tcPr>
          <w:p w14:paraId="1E103EEE" w14:textId="77777777" w:rsidR="005223DD" w:rsidRPr="00D30847" w:rsidRDefault="005223DD" w:rsidP="005742CC">
            <w:pPr>
              <w:spacing w:after="0" w:line="240" w:lineRule="auto"/>
              <w:rPr>
                <w:rFonts w:ascii="Arial" w:eastAsia="Times New Roman" w:hAnsi="Arial" w:cs="Arial"/>
                <w:sz w:val="12"/>
                <w:szCs w:val="12"/>
                <w:lang w:val="en-GB" w:eastAsia="mk-MK"/>
              </w:rPr>
            </w:pPr>
          </w:p>
        </w:tc>
        <w:tc>
          <w:tcPr>
            <w:tcW w:w="1798" w:type="dxa"/>
            <w:gridSpan w:val="4"/>
            <w:tcBorders>
              <w:left w:val="single" w:sz="8" w:space="0" w:color="000000"/>
            </w:tcBorders>
            <w:shd w:val="clear" w:color="000000" w:fill="FFFF99"/>
            <w:vAlign w:val="center"/>
            <w:hideMark/>
          </w:tcPr>
          <w:p w14:paraId="704AE68E" w14:textId="103866DC" w:rsidR="005223DD" w:rsidRPr="00D30847" w:rsidRDefault="00FC63A0" w:rsidP="005742CC">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r w:rsidR="005223DD" w:rsidRPr="00D30847">
              <w:rPr>
                <w:rFonts w:ascii="Arial" w:eastAsia="Times New Roman" w:hAnsi="Arial" w:cs="Arial"/>
                <w:sz w:val="12"/>
                <w:szCs w:val="12"/>
                <w:lang w:val="en-GB" w:eastAsia="mk-MK"/>
              </w:rPr>
              <w:t>Established new system for education within PPB</w:t>
            </w:r>
          </w:p>
        </w:tc>
        <w:tc>
          <w:tcPr>
            <w:tcW w:w="1170" w:type="dxa"/>
            <w:shd w:val="clear" w:color="000000" w:fill="FFFF99"/>
            <w:vAlign w:val="center"/>
            <w:hideMark/>
          </w:tcPr>
          <w:p w14:paraId="047BDB56" w14:textId="77777777" w:rsidR="005223DD" w:rsidRPr="00D30847" w:rsidRDefault="00522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PPB</w:t>
            </w:r>
          </w:p>
        </w:tc>
        <w:tc>
          <w:tcPr>
            <w:tcW w:w="1442" w:type="dxa"/>
            <w:gridSpan w:val="4"/>
            <w:shd w:val="clear" w:color="000000" w:fill="FFFF99"/>
            <w:vAlign w:val="center"/>
            <w:hideMark/>
          </w:tcPr>
          <w:p w14:paraId="1E9A2E90" w14:textId="6FC5320A" w:rsidR="005223DD" w:rsidRPr="00D30847" w:rsidRDefault="005223DD" w:rsidP="005742CC">
            <w:pPr>
              <w:spacing w:after="0" w:line="240" w:lineRule="auto"/>
              <w:jc w:val="center"/>
              <w:rPr>
                <w:rFonts w:ascii="Arial" w:eastAsia="Times New Roman" w:hAnsi="Arial" w:cs="Arial"/>
                <w:sz w:val="12"/>
                <w:szCs w:val="12"/>
                <w:lang w:val="en-GB" w:eastAsia="mk-MK"/>
              </w:rPr>
            </w:pPr>
          </w:p>
        </w:tc>
        <w:tc>
          <w:tcPr>
            <w:tcW w:w="1620" w:type="dxa"/>
            <w:gridSpan w:val="2"/>
            <w:shd w:val="clear" w:color="000000" w:fill="FFFF99"/>
            <w:vAlign w:val="center"/>
            <w:hideMark/>
          </w:tcPr>
          <w:p w14:paraId="1BF90642" w14:textId="77777777" w:rsidR="005223DD" w:rsidRPr="00D30847" w:rsidRDefault="00522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00" w:type="dxa"/>
            <w:gridSpan w:val="6"/>
            <w:shd w:val="clear" w:color="000000" w:fill="FFFF99"/>
            <w:vAlign w:val="center"/>
            <w:hideMark/>
          </w:tcPr>
          <w:p w14:paraId="3B71D171" w14:textId="77777777" w:rsidR="005223DD" w:rsidRPr="00D30847" w:rsidRDefault="00522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90" w:type="dxa"/>
            <w:gridSpan w:val="5"/>
            <w:shd w:val="clear" w:color="000000" w:fill="FFFF99"/>
            <w:vAlign w:val="center"/>
            <w:hideMark/>
          </w:tcPr>
          <w:p w14:paraId="187CB020" w14:textId="77777777" w:rsidR="005223DD" w:rsidRPr="00D30847" w:rsidRDefault="00522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Established new system for education within PPB</w:t>
            </w:r>
          </w:p>
          <w:p w14:paraId="027D6776" w14:textId="77777777" w:rsidR="005223DD" w:rsidRPr="00D30847" w:rsidRDefault="005223DD" w:rsidP="005742CC">
            <w:pPr>
              <w:spacing w:after="0" w:line="240" w:lineRule="auto"/>
              <w:jc w:val="center"/>
              <w:rPr>
                <w:rFonts w:ascii="Arial" w:eastAsia="Times New Roman" w:hAnsi="Arial" w:cs="Arial"/>
                <w:sz w:val="12"/>
                <w:szCs w:val="12"/>
                <w:lang w:val="en-GB" w:eastAsia="mk-MK"/>
              </w:rPr>
            </w:pPr>
          </w:p>
        </w:tc>
        <w:tc>
          <w:tcPr>
            <w:tcW w:w="1440" w:type="dxa"/>
            <w:gridSpan w:val="2"/>
            <w:shd w:val="clear" w:color="000000" w:fill="FFFF99"/>
            <w:vAlign w:val="center"/>
            <w:hideMark/>
          </w:tcPr>
          <w:p w14:paraId="1FF6D750" w14:textId="77777777" w:rsidR="005223DD" w:rsidRPr="00D30847" w:rsidRDefault="00522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15 organized trainings according new established system for education within PPB  </w:t>
            </w:r>
          </w:p>
        </w:tc>
      </w:tr>
      <w:tr w:rsidR="005223DD" w:rsidRPr="00D30847" w14:paraId="271CDDAF" w14:textId="77777777" w:rsidTr="00FD4DDE">
        <w:trPr>
          <w:gridAfter w:val="1"/>
          <w:wAfter w:w="52" w:type="dxa"/>
          <w:trHeight w:val="365"/>
          <w:jc w:val="center"/>
        </w:trPr>
        <w:tc>
          <w:tcPr>
            <w:tcW w:w="2378" w:type="dxa"/>
            <w:gridSpan w:val="7"/>
            <w:vMerge/>
            <w:tcBorders>
              <w:top w:val="nil"/>
              <w:left w:val="nil"/>
              <w:bottom w:val="nil"/>
              <w:right w:val="single" w:sz="8" w:space="0" w:color="000000"/>
            </w:tcBorders>
            <w:vAlign w:val="center"/>
            <w:hideMark/>
          </w:tcPr>
          <w:p w14:paraId="5B72D96D" w14:textId="77777777" w:rsidR="005223DD" w:rsidRPr="00D30847" w:rsidRDefault="005223DD" w:rsidP="005742CC">
            <w:pPr>
              <w:spacing w:after="0" w:line="240" w:lineRule="auto"/>
              <w:rPr>
                <w:rFonts w:ascii="Arial" w:eastAsia="Times New Roman" w:hAnsi="Arial" w:cs="Arial"/>
                <w:sz w:val="12"/>
                <w:szCs w:val="12"/>
                <w:lang w:val="en-GB" w:eastAsia="mk-MK"/>
              </w:rPr>
            </w:pPr>
          </w:p>
        </w:tc>
        <w:tc>
          <w:tcPr>
            <w:tcW w:w="1798" w:type="dxa"/>
            <w:gridSpan w:val="4"/>
            <w:tcBorders>
              <w:left w:val="single" w:sz="8" w:space="0" w:color="000000"/>
            </w:tcBorders>
            <w:shd w:val="clear" w:color="000000" w:fill="9BD2ED"/>
            <w:vAlign w:val="center"/>
            <w:hideMark/>
          </w:tcPr>
          <w:p w14:paraId="600C2195" w14:textId="77777777"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70" w:type="dxa"/>
            <w:shd w:val="clear" w:color="000000" w:fill="9BD2ED"/>
            <w:vAlign w:val="center"/>
            <w:hideMark/>
          </w:tcPr>
          <w:p w14:paraId="4C713C0D" w14:textId="77777777"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 period</w:t>
            </w:r>
          </w:p>
        </w:tc>
        <w:tc>
          <w:tcPr>
            <w:tcW w:w="1442" w:type="dxa"/>
            <w:gridSpan w:val="4"/>
            <w:shd w:val="clear" w:color="000000" w:fill="9BD2ED"/>
            <w:vAlign w:val="center"/>
            <w:hideMark/>
          </w:tcPr>
          <w:p w14:paraId="2F19A048" w14:textId="77777777"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 institution</w:t>
            </w:r>
          </w:p>
        </w:tc>
        <w:tc>
          <w:tcPr>
            <w:tcW w:w="1620" w:type="dxa"/>
            <w:gridSpan w:val="2"/>
            <w:shd w:val="clear" w:color="000000" w:fill="9BD2ED"/>
            <w:vAlign w:val="center"/>
            <w:hideMark/>
          </w:tcPr>
          <w:p w14:paraId="0526B0AB" w14:textId="77777777"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 partners</w:t>
            </w:r>
          </w:p>
        </w:tc>
        <w:tc>
          <w:tcPr>
            <w:tcW w:w="1800" w:type="dxa"/>
            <w:gridSpan w:val="6"/>
            <w:shd w:val="clear" w:color="000000" w:fill="9BD2ED"/>
            <w:vAlign w:val="center"/>
            <w:hideMark/>
          </w:tcPr>
          <w:p w14:paraId="385440AD" w14:textId="77777777"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90" w:type="dxa"/>
            <w:gridSpan w:val="5"/>
            <w:shd w:val="clear" w:color="000000" w:fill="9BD2ED"/>
            <w:vAlign w:val="center"/>
            <w:hideMark/>
          </w:tcPr>
          <w:p w14:paraId="1341FB4D" w14:textId="77777777" w:rsidR="005223DD" w:rsidRPr="00D30847" w:rsidRDefault="005223DD" w:rsidP="005742CC">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 of financing</w:t>
            </w:r>
          </w:p>
        </w:tc>
        <w:tc>
          <w:tcPr>
            <w:tcW w:w="1440" w:type="dxa"/>
            <w:gridSpan w:val="2"/>
            <w:shd w:val="clear" w:color="000000" w:fill="9BD2ED"/>
            <w:vAlign w:val="center"/>
            <w:hideMark/>
          </w:tcPr>
          <w:p w14:paraId="65527344" w14:textId="77777777" w:rsidR="005223DD" w:rsidRPr="00D30847" w:rsidRDefault="005223DD" w:rsidP="005742CC">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5223DD" w:rsidRPr="00D30847" w14:paraId="378F49CE" w14:textId="77777777" w:rsidTr="00FD4DDE">
        <w:trPr>
          <w:gridAfter w:val="1"/>
          <w:wAfter w:w="52" w:type="dxa"/>
          <w:trHeight w:val="420"/>
          <w:jc w:val="center"/>
        </w:trPr>
        <w:tc>
          <w:tcPr>
            <w:tcW w:w="2378" w:type="dxa"/>
            <w:gridSpan w:val="7"/>
            <w:vMerge/>
            <w:tcBorders>
              <w:top w:val="nil"/>
              <w:left w:val="nil"/>
              <w:bottom w:val="nil"/>
              <w:right w:val="single" w:sz="8" w:space="0" w:color="000000"/>
            </w:tcBorders>
            <w:vAlign w:val="center"/>
            <w:hideMark/>
          </w:tcPr>
          <w:p w14:paraId="19713E38" w14:textId="77777777" w:rsidR="005223DD" w:rsidRPr="00D30847" w:rsidRDefault="005223DD" w:rsidP="005742CC">
            <w:pPr>
              <w:spacing w:after="0" w:line="240" w:lineRule="auto"/>
              <w:rPr>
                <w:rFonts w:ascii="Arial" w:eastAsia="Times New Roman" w:hAnsi="Arial" w:cs="Arial"/>
                <w:sz w:val="12"/>
                <w:szCs w:val="12"/>
                <w:lang w:val="en-GB" w:eastAsia="mk-MK"/>
              </w:rPr>
            </w:pPr>
          </w:p>
        </w:tc>
        <w:tc>
          <w:tcPr>
            <w:tcW w:w="1798" w:type="dxa"/>
            <w:gridSpan w:val="4"/>
            <w:tcBorders>
              <w:left w:val="single" w:sz="8" w:space="0" w:color="000000"/>
            </w:tcBorders>
            <w:shd w:val="clear" w:color="000000" w:fill="FFFF99"/>
            <w:vAlign w:val="center"/>
            <w:hideMark/>
          </w:tcPr>
          <w:p w14:paraId="286CB44D" w14:textId="19D2A984" w:rsidR="005223DD" w:rsidRPr="00D30847" w:rsidRDefault="00FC63A0" w:rsidP="005742CC">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r w:rsidR="004803DD" w:rsidRPr="00D30847">
              <w:rPr>
                <w:rFonts w:ascii="Arial" w:eastAsia="Times New Roman" w:hAnsi="Arial" w:cs="Arial"/>
                <w:sz w:val="12"/>
                <w:szCs w:val="12"/>
                <w:lang w:val="en-GB" w:eastAsia="mk-MK"/>
              </w:rPr>
              <w:t xml:space="preserve"> Analysing the possibilities for introducing new e - tools for education</w:t>
            </w:r>
          </w:p>
        </w:tc>
        <w:tc>
          <w:tcPr>
            <w:tcW w:w="1170" w:type="dxa"/>
            <w:shd w:val="clear" w:color="000000" w:fill="FFFF99"/>
            <w:vAlign w:val="center"/>
            <w:hideMark/>
          </w:tcPr>
          <w:p w14:paraId="6D4DAC29" w14:textId="75874582" w:rsidR="005223DD" w:rsidRPr="00D30847" w:rsidRDefault="00522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4803DD" w:rsidRPr="00D30847">
              <w:rPr>
                <w:rFonts w:ascii="Arial" w:eastAsia="Times New Roman" w:hAnsi="Arial" w:cs="Arial"/>
                <w:sz w:val="12"/>
                <w:szCs w:val="12"/>
                <w:lang w:val="en-GB" w:eastAsia="mk-MK"/>
              </w:rPr>
              <w:t>5</w:t>
            </w:r>
          </w:p>
        </w:tc>
        <w:tc>
          <w:tcPr>
            <w:tcW w:w="1442" w:type="dxa"/>
            <w:gridSpan w:val="4"/>
            <w:shd w:val="clear" w:color="000000" w:fill="FFFF99"/>
            <w:vAlign w:val="center"/>
            <w:hideMark/>
          </w:tcPr>
          <w:p w14:paraId="57D297F4" w14:textId="77777777" w:rsidR="005223DD" w:rsidRPr="00D30847" w:rsidRDefault="00522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PPB</w:t>
            </w:r>
          </w:p>
        </w:tc>
        <w:tc>
          <w:tcPr>
            <w:tcW w:w="1620" w:type="dxa"/>
            <w:gridSpan w:val="2"/>
            <w:shd w:val="clear" w:color="000000" w:fill="FFFF99"/>
            <w:vAlign w:val="center"/>
            <w:hideMark/>
          </w:tcPr>
          <w:p w14:paraId="451C5D9B" w14:textId="77777777" w:rsidR="005223DD" w:rsidRPr="00D30847" w:rsidRDefault="00522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00" w:type="dxa"/>
            <w:gridSpan w:val="6"/>
            <w:shd w:val="clear" w:color="000000" w:fill="FFFF99"/>
            <w:vAlign w:val="center"/>
            <w:hideMark/>
          </w:tcPr>
          <w:p w14:paraId="6C3FE7B6" w14:textId="77777777" w:rsidR="005223DD" w:rsidRPr="00D30847" w:rsidRDefault="00522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90" w:type="dxa"/>
            <w:gridSpan w:val="5"/>
            <w:shd w:val="clear" w:color="000000" w:fill="FFFF99"/>
            <w:vAlign w:val="center"/>
            <w:hideMark/>
          </w:tcPr>
          <w:p w14:paraId="6AA91A3D" w14:textId="77777777" w:rsidR="005223DD" w:rsidRPr="00D30847" w:rsidRDefault="00522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440" w:type="dxa"/>
            <w:gridSpan w:val="2"/>
            <w:shd w:val="clear" w:color="000000" w:fill="FFFF99"/>
            <w:vAlign w:val="center"/>
            <w:hideMark/>
          </w:tcPr>
          <w:p w14:paraId="7460905E" w14:textId="10A53E93" w:rsidR="005223DD" w:rsidRPr="00D30847" w:rsidRDefault="005223DD" w:rsidP="005742CC">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485BAA" w:rsidRPr="00D30847" w14:paraId="3401E0AF" w14:textId="77777777" w:rsidTr="00FD4DDE">
        <w:trPr>
          <w:gridBefore w:val="3"/>
          <w:gridAfter w:val="1"/>
          <w:wBefore w:w="37" w:type="dxa"/>
          <w:wAfter w:w="52" w:type="dxa"/>
          <w:trHeight w:val="205"/>
          <w:jc w:val="center"/>
        </w:trPr>
        <w:tc>
          <w:tcPr>
            <w:tcW w:w="13501" w:type="dxa"/>
            <w:gridSpan w:val="28"/>
            <w:shd w:val="clear" w:color="000000" w:fill="1F3864"/>
            <w:vAlign w:val="center"/>
            <w:hideMark/>
          </w:tcPr>
          <w:p w14:paraId="04E3D8D4" w14:textId="3F107CC1"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PILLAR IV</w:t>
            </w:r>
            <w:r w:rsidR="00577A56"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PUBLIC PROCUREMENT</w:t>
            </w:r>
          </w:p>
        </w:tc>
      </w:tr>
      <w:tr w:rsidR="00485BAA" w:rsidRPr="00D30847" w14:paraId="19E01EE0" w14:textId="77777777" w:rsidTr="00FD4DDE">
        <w:trPr>
          <w:gridBefore w:val="3"/>
          <w:gridAfter w:val="1"/>
          <w:wBefore w:w="37" w:type="dxa"/>
          <w:wAfter w:w="52" w:type="dxa"/>
          <w:trHeight w:val="259"/>
          <w:jc w:val="center"/>
        </w:trPr>
        <w:tc>
          <w:tcPr>
            <w:tcW w:w="13501" w:type="dxa"/>
            <w:gridSpan w:val="28"/>
            <w:shd w:val="clear" w:color="000000" w:fill="1F3864"/>
            <w:vAlign w:val="center"/>
            <w:hideMark/>
          </w:tcPr>
          <w:p w14:paraId="47155EBC" w14:textId="4F151483"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PRIORITY 2</w:t>
            </w:r>
            <w:r w:rsidR="00577A56"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Public</w:t>
            </w:r>
            <w:r w:rsidR="007A61CE"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Private</w:t>
            </w:r>
            <w:r w:rsidR="007A61CE"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Partnership (PPP</w:t>
            </w:r>
            <w:r w:rsidR="00153AEB">
              <w:rPr>
                <w:rFonts w:ascii="Arial" w:eastAsia="Times New Roman" w:hAnsi="Arial" w:cs="Arial"/>
                <w:b/>
                <w:bCs/>
                <w:color w:val="FFFFFF"/>
                <w:sz w:val="12"/>
                <w:szCs w:val="12"/>
                <w:lang w:val="en-GB" w:eastAsia="mk-MK"/>
              </w:rPr>
              <w:t xml:space="preserve">s) </w:t>
            </w:r>
            <w:r w:rsidR="008975AC" w:rsidRPr="00D30847">
              <w:rPr>
                <w:rFonts w:ascii="Arial" w:eastAsia="Times New Roman" w:hAnsi="Arial" w:cs="Arial"/>
                <w:b/>
                <w:bCs/>
                <w:color w:val="FFFFFF"/>
                <w:sz w:val="12"/>
                <w:szCs w:val="12"/>
                <w:lang w:val="en-GB" w:eastAsia="mk-MK"/>
              </w:rPr>
              <w:t>and</w:t>
            </w:r>
            <w:r w:rsidR="002F500A" w:rsidRPr="00D30847">
              <w:rPr>
                <w:rFonts w:ascii="Arial" w:eastAsia="Times New Roman" w:hAnsi="Arial" w:cs="Arial"/>
                <w:b/>
                <w:bCs/>
                <w:color w:val="FFFFFF"/>
                <w:sz w:val="12"/>
                <w:szCs w:val="12"/>
                <w:lang w:val="en-GB" w:eastAsia="mk-MK"/>
              </w:rPr>
              <w:t xml:space="preserve"> </w:t>
            </w:r>
            <w:r w:rsidR="008975AC" w:rsidRPr="00D30847">
              <w:rPr>
                <w:rFonts w:ascii="Arial" w:eastAsia="Times New Roman" w:hAnsi="Arial" w:cs="Arial"/>
                <w:b/>
                <w:bCs/>
                <w:color w:val="FFFFFF"/>
                <w:sz w:val="12"/>
                <w:szCs w:val="12"/>
                <w:lang w:val="en-GB" w:eastAsia="mk-MK"/>
              </w:rPr>
              <w:t>Concession</w:t>
            </w:r>
            <w:r w:rsidR="007A61CE" w:rsidRPr="00D30847">
              <w:rPr>
                <w:rFonts w:ascii="Arial" w:eastAsia="Times New Roman" w:hAnsi="Arial" w:cs="Arial"/>
                <w:b/>
                <w:bCs/>
                <w:color w:val="FFFFFF"/>
                <w:sz w:val="12"/>
                <w:szCs w:val="12"/>
                <w:lang w:val="en-GB" w:eastAsia="mk-MK"/>
              </w:rPr>
              <w:t xml:space="preserve"> </w:t>
            </w:r>
            <w:r w:rsidR="008975AC" w:rsidRPr="00D30847">
              <w:rPr>
                <w:rFonts w:ascii="Arial" w:eastAsia="Times New Roman" w:hAnsi="Arial" w:cs="Arial"/>
                <w:b/>
                <w:bCs/>
                <w:color w:val="FFFFFF"/>
                <w:sz w:val="12"/>
                <w:szCs w:val="12"/>
                <w:lang w:val="en-GB" w:eastAsia="mk-MK"/>
              </w:rPr>
              <w:t>on</w:t>
            </w:r>
            <w:r w:rsidR="007A61CE" w:rsidRPr="00D30847">
              <w:rPr>
                <w:rFonts w:ascii="Arial" w:eastAsia="Times New Roman" w:hAnsi="Arial" w:cs="Arial"/>
                <w:b/>
                <w:bCs/>
                <w:color w:val="FFFFFF"/>
                <w:sz w:val="12"/>
                <w:szCs w:val="12"/>
                <w:lang w:val="en-GB" w:eastAsia="mk-MK"/>
              </w:rPr>
              <w:t xml:space="preserve"> </w:t>
            </w:r>
            <w:r w:rsidR="008975AC" w:rsidRPr="00D30847">
              <w:rPr>
                <w:rFonts w:ascii="Arial" w:eastAsia="Times New Roman" w:hAnsi="Arial" w:cs="Arial"/>
                <w:b/>
                <w:bCs/>
                <w:color w:val="FFFFFF"/>
                <w:sz w:val="12"/>
                <w:szCs w:val="12"/>
                <w:lang w:val="en-GB" w:eastAsia="mk-MK"/>
              </w:rPr>
              <w:t>goods</w:t>
            </w:r>
            <w:r w:rsidR="007A61CE" w:rsidRPr="00D30847">
              <w:rPr>
                <w:rFonts w:ascii="Arial" w:eastAsia="Times New Roman" w:hAnsi="Arial" w:cs="Arial"/>
                <w:b/>
                <w:bCs/>
                <w:color w:val="FFFFFF"/>
                <w:sz w:val="12"/>
                <w:szCs w:val="12"/>
                <w:lang w:val="en-GB" w:eastAsia="mk-MK"/>
              </w:rPr>
              <w:t xml:space="preserve"> </w:t>
            </w:r>
            <w:r w:rsidR="008975AC" w:rsidRPr="00D30847">
              <w:rPr>
                <w:rFonts w:ascii="Arial" w:eastAsia="Times New Roman" w:hAnsi="Arial" w:cs="Arial"/>
                <w:b/>
                <w:bCs/>
                <w:color w:val="FFFFFF"/>
                <w:sz w:val="12"/>
                <w:szCs w:val="12"/>
                <w:lang w:val="en-GB" w:eastAsia="mk-MK"/>
              </w:rPr>
              <w:t>of</w:t>
            </w:r>
            <w:r w:rsidR="007A61CE" w:rsidRPr="00D30847">
              <w:rPr>
                <w:rFonts w:ascii="Arial" w:eastAsia="Times New Roman" w:hAnsi="Arial" w:cs="Arial"/>
                <w:b/>
                <w:bCs/>
                <w:color w:val="FFFFFF"/>
                <w:sz w:val="12"/>
                <w:szCs w:val="12"/>
                <w:lang w:val="en-GB" w:eastAsia="mk-MK"/>
              </w:rPr>
              <w:t xml:space="preserve"> </w:t>
            </w:r>
            <w:r w:rsidR="008975AC" w:rsidRPr="00D30847">
              <w:rPr>
                <w:rFonts w:ascii="Arial" w:eastAsia="Times New Roman" w:hAnsi="Arial" w:cs="Arial"/>
                <w:b/>
                <w:bCs/>
                <w:color w:val="FFFFFF"/>
                <w:sz w:val="12"/>
                <w:szCs w:val="12"/>
                <w:lang w:val="en-GB" w:eastAsia="mk-MK"/>
              </w:rPr>
              <w:t>general</w:t>
            </w:r>
            <w:r w:rsidR="007A61CE" w:rsidRPr="00D30847">
              <w:rPr>
                <w:rFonts w:ascii="Arial" w:eastAsia="Times New Roman" w:hAnsi="Arial" w:cs="Arial"/>
                <w:b/>
                <w:bCs/>
                <w:color w:val="FFFFFF"/>
                <w:sz w:val="12"/>
                <w:szCs w:val="12"/>
                <w:lang w:val="en-GB" w:eastAsia="mk-MK"/>
              </w:rPr>
              <w:t xml:space="preserve"> </w:t>
            </w:r>
            <w:r w:rsidR="008975AC" w:rsidRPr="00D30847">
              <w:rPr>
                <w:rFonts w:ascii="Arial" w:eastAsia="Times New Roman" w:hAnsi="Arial" w:cs="Arial"/>
                <w:b/>
                <w:bCs/>
                <w:color w:val="FFFFFF"/>
                <w:sz w:val="12"/>
                <w:szCs w:val="12"/>
                <w:lang w:val="en-GB" w:eastAsia="mk-MK"/>
              </w:rPr>
              <w:t>interest</w:t>
            </w:r>
          </w:p>
        </w:tc>
      </w:tr>
      <w:tr w:rsidR="00485BAA" w:rsidRPr="00D30847" w14:paraId="6A9149C4" w14:textId="77777777" w:rsidTr="00FD4DDE">
        <w:trPr>
          <w:gridBefore w:val="3"/>
          <w:gridAfter w:val="1"/>
          <w:wBefore w:w="37" w:type="dxa"/>
          <w:wAfter w:w="52" w:type="dxa"/>
          <w:trHeight w:val="315"/>
          <w:jc w:val="center"/>
        </w:trPr>
        <w:tc>
          <w:tcPr>
            <w:tcW w:w="2303" w:type="dxa"/>
            <w:gridSpan w:val="3"/>
            <w:shd w:val="clear" w:color="000000" w:fill="9BD2ED"/>
            <w:vAlign w:val="center"/>
            <w:hideMark/>
          </w:tcPr>
          <w:p w14:paraId="460D4347"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Outcome(s)</w:t>
            </w:r>
          </w:p>
        </w:tc>
        <w:tc>
          <w:tcPr>
            <w:tcW w:w="1836" w:type="dxa"/>
            <w:gridSpan w:val="5"/>
            <w:shd w:val="clear" w:color="000000" w:fill="9BD2ED"/>
            <w:vAlign w:val="center"/>
            <w:hideMark/>
          </w:tcPr>
          <w:p w14:paraId="05DAD4B6" w14:textId="13E0C1AA"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8618D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371EFC65" w14:textId="38AB04B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8618D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3AC583F6" w14:textId="1329242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863EBC">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466442F8" w14:textId="0DCC181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63EBC">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0F69EC54" w14:textId="6FE1644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63EBC">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6D9C09E3" w14:textId="64DD108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63EBC">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16342C39" w14:textId="1B491245"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63EBC">
              <w:rPr>
                <w:rFonts w:ascii="Arial" w:eastAsia="Times New Roman" w:hAnsi="Arial" w:cs="Arial"/>
                <w:b/>
                <w:bCs/>
                <w:sz w:val="12"/>
                <w:szCs w:val="12"/>
                <w:lang w:val="en-GB" w:eastAsia="mk-MK"/>
              </w:rPr>
              <w:t>8</w:t>
            </w:r>
          </w:p>
        </w:tc>
      </w:tr>
      <w:tr w:rsidR="00485BAA" w:rsidRPr="00D30847" w14:paraId="1CB53267" w14:textId="77777777" w:rsidTr="00FD4DDE">
        <w:trPr>
          <w:gridBefore w:val="3"/>
          <w:gridAfter w:val="1"/>
          <w:wBefore w:w="37" w:type="dxa"/>
          <w:wAfter w:w="52" w:type="dxa"/>
          <w:trHeight w:val="2176"/>
          <w:jc w:val="center"/>
        </w:trPr>
        <w:tc>
          <w:tcPr>
            <w:tcW w:w="2303" w:type="dxa"/>
            <w:gridSpan w:val="3"/>
            <w:shd w:val="clear" w:color="000000" w:fill="FFFF99"/>
            <w:hideMark/>
          </w:tcPr>
          <w:p w14:paraId="62C7D3D8" w14:textId="602E806F" w:rsidR="00485BAA" w:rsidRPr="00D30847" w:rsidRDefault="007A61CE"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Unification and digitalization of the process of awarding contracts for establishing public-private partnership, </w:t>
            </w:r>
            <w:r w:rsidRPr="008A4BE3">
              <w:rPr>
                <w:rFonts w:ascii="Arial" w:eastAsia="Times New Roman" w:hAnsi="Arial" w:cs="Arial"/>
                <w:sz w:val="12"/>
                <w:szCs w:val="12"/>
                <w:lang w:val="en-GB" w:eastAsia="mk-MK"/>
              </w:rPr>
              <w:t xml:space="preserve">increased transparency and efficiency in the implementation of the Law on Public-Private Partnership and strengthening and developing the capacities of the </w:t>
            </w:r>
            <w:r w:rsidR="008A4BE3" w:rsidRPr="008A4BE3">
              <w:rPr>
                <w:rFonts w:ascii="Arial" w:hAnsi="Arial" w:cs="Arial"/>
                <w:bCs/>
                <w:sz w:val="12"/>
                <w:szCs w:val="12"/>
                <w:lang w:val="sr-Latn-RS"/>
              </w:rPr>
              <w:t>Ministry o</w:t>
            </w:r>
            <w:r w:rsidR="008A4BE3" w:rsidRPr="008A4BE3">
              <w:rPr>
                <w:rFonts w:ascii="Arial" w:hAnsi="Arial" w:cs="Arial"/>
                <w:bCs/>
                <w:sz w:val="12"/>
                <w:szCs w:val="12"/>
                <w:lang w:val="en-US"/>
              </w:rPr>
              <w:t>f energy, mining and mineral resources</w:t>
            </w:r>
            <w:r w:rsidR="008A4BE3" w:rsidRPr="008A4BE3">
              <w:rPr>
                <w:rFonts w:ascii="Arial" w:hAnsi="Arial" w:cs="Arial"/>
                <w:bCs/>
                <w:sz w:val="12"/>
                <w:szCs w:val="12"/>
                <w:lang w:val="sr-Latn-RS"/>
              </w:rPr>
              <w:t xml:space="preserve"> </w:t>
            </w:r>
            <w:r w:rsidRPr="008A4BE3">
              <w:rPr>
                <w:rFonts w:ascii="Arial" w:eastAsia="Times New Roman" w:hAnsi="Arial" w:cs="Arial"/>
                <w:sz w:val="12"/>
                <w:szCs w:val="12"/>
                <w:lang w:val="en-GB" w:eastAsia="mk-MK"/>
              </w:rPr>
              <w:t>for consistent realization of competencies according to law.</w:t>
            </w:r>
          </w:p>
        </w:tc>
        <w:tc>
          <w:tcPr>
            <w:tcW w:w="1836" w:type="dxa"/>
            <w:gridSpan w:val="5"/>
            <w:shd w:val="clear" w:color="000000" w:fill="FFFF99"/>
            <w:hideMark/>
          </w:tcPr>
          <w:p w14:paraId="2716F809" w14:textId="6224DD2D" w:rsidR="00485BAA" w:rsidRPr="00D30847" w:rsidRDefault="007A61CE"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1)Number of concluded agreements for establishing a public-private partnership</w:t>
            </w:r>
            <w:r w:rsidRPr="00D30847">
              <w:rPr>
                <w:rFonts w:ascii="Arial" w:eastAsia="Times New Roman" w:hAnsi="Arial" w:cs="Arial"/>
                <w:sz w:val="12"/>
                <w:szCs w:val="12"/>
                <w:lang w:val="en-GB" w:eastAsia="mk-MK"/>
              </w:rPr>
              <w:br/>
              <w:t>2) Effective and consistent implementation of the obligations of the contracting parties in accordance with the agreements for establishment of public-private partnership.</w:t>
            </w:r>
          </w:p>
        </w:tc>
        <w:tc>
          <w:tcPr>
            <w:tcW w:w="1194" w:type="dxa"/>
            <w:gridSpan w:val="2"/>
            <w:shd w:val="clear" w:color="000000" w:fill="FFFF99"/>
            <w:vAlign w:val="center"/>
            <w:hideMark/>
          </w:tcPr>
          <w:p w14:paraId="373640B2" w14:textId="5BD55520"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ME</w:t>
            </w:r>
            <w:r w:rsidR="00863EBC">
              <w:rPr>
                <w:rFonts w:ascii="Arial" w:eastAsia="Times New Roman" w:hAnsi="Arial" w:cs="Arial"/>
                <w:sz w:val="12"/>
                <w:szCs w:val="12"/>
                <w:lang w:val="en-GB" w:eastAsia="mk-MK"/>
              </w:rPr>
              <w:t>MMR</w:t>
            </w:r>
          </w:p>
        </w:tc>
        <w:tc>
          <w:tcPr>
            <w:tcW w:w="1418" w:type="dxa"/>
            <w:gridSpan w:val="3"/>
            <w:shd w:val="clear" w:color="000000" w:fill="FFFF99"/>
            <w:hideMark/>
          </w:tcPr>
          <w:p w14:paraId="375CB4D2" w14:textId="52A05A28" w:rsidR="00485BAA" w:rsidRPr="00D30847" w:rsidRDefault="00485BAA" w:rsidP="00485BAA">
            <w:pPr>
              <w:spacing w:after="0" w:line="240" w:lineRule="auto"/>
              <w:rPr>
                <w:rFonts w:ascii="Arial" w:eastAsia="Times New Roman" w:hAnsi="Arial" w:cs="Arial"/>
                <w:sz w:val="12"/>
                <w:szCs w:val="12"/>
                <w:lang w:val="en-GB" w:eastAsia="mk-MK"/>
              </w:rPr>
            </w:pPr>
          </w:p>
        </w:tc>
        <w:tc>
          <w:tcPr>
            <w:tcW w:w="1644" w:type="dxa"/>
            <w:gridSpan w:val="3"/>
            <w:shd w:val="clear" w:color="000000" w:fill="FFFF99"/>
            <w:vAlign w:val="center"/>
            <w:hideMark/>
          </w:tcPr>
          <w:p w14:paraId="7A91B30E"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shd w:val="clear" w:color="000000" w:fill="FFFF99"/>
            <w:hideMark/>
          </w:tcPr>
          <w:p w14:paraId="428F06F6" w14:textId="2C85D668" w:rsidR="00485BAA" w:rsidRPr="00D30847" w:rsidRDefault="007A61CE"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Potential increase in the number of concluded contracts for public-private partnership by 5% compared to the number of contracts concluded in the year as a basis for monitoring</w:t>
            </w:r>
            <w:r w:rsidRPr="00D30847">
              <w:rPr>
                <w:rFonts w:ascii="Arial" w:eastAsia="Times New Roman" w:hAnsi="Arial" w:cs="Arial"/>
                <w:sz w:val="12"/>
                <w:szCs w:val="12"/>
                <w:lang w:val="en-GB" w:eastAsia="mk-MK"/>
              </w:rPr>
              <w:br/>
              <w:t>2) Potential reduction by 20% of concluded contracts for public-private partnership in which certain legal obstacles in the realization occurred, compared to the percentage of contracts concluded in the year as a basis for monitoring</w:t>
            </w:r>
          </w:p>
        </w:tc>
        <w:tc>
          <w:tcPr>
            <w:tcW w:w="1842" w:type="dxa"/>
            <w:gridSpan w:val="4"/>
            <w:shd w:val="clear" w:color="000000" w:fill="FFFF99"/>
            <w:hideMark/>
          </w:tcPr>
          <w:p w14:paraId="040AF459" w14:textId="2705DAEA" w:rsidR="00485BAA" w:rsidRPr="00D30847" w:rsidRDefault="007A61CE"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Potential increase in the number of concluded public-private partnership agreements by 5% compared to the previous year</w:t>
            </w:r>
            <w:r w:rsidRPr="00D30847">
              <w:rPr>
                <w:rFonts w:ascii="Arial" w:eastAsia="Times New Roman" w:hAnsi="Arial" w:cs="Arial"/>
                <w:sz w:val="12"/>
                <w:szCs w:val="12"/>
                <w:lang w:val="en-GB" w:eastAsia="mk-MK"/>
              </w:rPr>
              <w:br/>
              <w:t>2) Potential reduction by 10% of concluded public-private partnership agreements in which certain legal obstacles in the realization occurred, compared to the previous year</w:t>
            </w:r>
          </w:p>
        </w:tc>
        <w:tc>
          <w:tcPr>
            <w:tcW w:w="1506" w:type="dxa"/>
            <w:gridSpan w:val="4"/>
            <w:shd w:val="clear" w:color="000000" w:fill="FFFF99"/>
            <w:hideMark/>
          </w:tcPr>
          <w:p w14:paraId="334C99CE" w14:textId="5041115E" w:rsidR="00485BAA" w:rsidRPr="00D30847" w:rsidRDefault="007A61CE"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Potential increase in the number of concluded public-private partnership agreements by 5% compared to the previous year</w:t>
            </w:r>
            <w:r w:rsidRPr="00D30847">
              <w:rPr>
                <w:rFonts w:ascii="Arial" w:eastAsia="Times New Roman" w:hAnsi="Arial" w:cs="Arial"/>
                <w:sz w:val="12"/>
                <w:szCs w:val="12"/>
                <w:lang w:val="en-GB" w:eastAsia="mk-MK"/>
              </w:rPr>
              <w:br/>
              <w:t>2) Potential reduction by 10% of concluded public-private partnership agreements in which certain legal obstacles in the realization occurred, compared to the previous year</w:t>
            </w:r>
          </w:p>
        </w:tc>
      </w:tr>
      <w:tr w:rsidR="00485BAA" w:rsidRPr="00D30847" w14:paraId="437BB281" w14:textId="77777777" w:rsidTr="00FD4DDE">
        <w:trPr>
          <w:gridBefore w:val="3"/>
          <w:gridAfter w:val="1"/>
          <w:wBefore w:w="37" w:type="dxa"/>
          <w:wAfter w:w="52" w:type="dxa"/>
          <w:trHeight w:val="268"/>
          <w:jc w:val="center"/>
        </w:trPr>
        <w:tc>
          <w:tcPr>
            <w:tcW w:w="13501" w:type="dxa"/>
            <w:gridSpan w:val="28"/>
            <w:shd w:val="clear" w:color="000000" w:fill="9BD2ED"/>
            <w:vAlign w:val="center"/>
            <w:hideMark/>
          </w:tcPr>
          <w:p w14:paraId="6E5B6697" w14:textId="30991C20" w:rsidR="00485BAA" w:rsidRPr="00D30847" w:rsidRDefault="00485BAA" w:rsidP="00485BAA">
            <w:pPr>
              <w:spacing w:after="0" w:line="240" w:lineRule="auto"/>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lastRenderedPageBreak/>
              <w:t>M</w:t>
            </w:r>
            <w:r w:rsidR="00577A56"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1</w:t>
            </w:r>
            <w:r w:rsidR="00577A56" w:rsidRPr="00D30847">
              <w:rPr>
                <w:rFonts w:ascii="Arial" w:eastAsia="Times New Roman" w:hAnsi="Arial" w:cs="Arial"/>
                <w:b/>
                <w:bCs/>
                <w:sz w:val="12"/>
                <w:szCs w:val="12"/>
                <w:lang w:val="en-GB" w:eastAsia="mk-MK"/>
              </w:rPr>
              <w:t>.</w:t>
            </w:r>
            <w:r w:rsidRPr="00D30847">
              <w:rPr>
                <w:rFonts w:ascii="Arial" w:eastAsia="Times New Roman" w:hAnsi="Arial" w:cs="Arial"/>
                <w:b/>
                <w:bCs/>
                <w:sz w:val="12"/>
                <w:szCs w:val="12"/>
                <w:lang w:val="en-GB" w:eastAsia="mk-MK"/>
              </w:rPr>
              <w:t xml:space="preserve"> Establishment</w:t>
            </w:r>
            <w:r w:rsidR="007A61C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7A61C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the</w:t>
            </w:r>
            <w:r w:rsidR="007A61C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Unique</w:t>
            </w:r>
            <w:r w:rsidR="007A61C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Electronic</w:t>
            </w:r>
            <w:r w:rsidR="00AC339B"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Public</w:t>
            </w:r>
            <w:r w:rsidR="007A61C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Private</w:t>
            </w:r>
            <w:r w:rsidR="007A61C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Partnership</w:t>
            </w:r>
            <w:r w:rsidR="007A61C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System (UE</w:t>
            </w:r>
            <w:r w:rsidR="00AC339B" w:rsidRPr="00D30847">
              <w:rPr>
                <w:rFonts w:ascii="Arial" w:eastAsia="Times New Roman" w:hAnsi="Arial" w:cs="Arial"/>
                <w:b/>
                <w:bCs/>
                <w:sz w:val="12"/>
                <w:szCs w:val="12"/>
                <w:lang w:val="en-GB" w:eastAsia="mk-MK"/>
              </w:rPr>
              <w:t>S</w:t>
            </w:r>
            <w:r w:rsidRPr="00D30847">
              <w:rPr>
                <w:rFonts w:ascii="Arial" w:eastAsia="Times New Roman" w:hAnsi="Arial" w:cs="Arial"/>
                <w:b/>
                <w:bCs/>
                <w:sz w:val="12"/>
                <w:szCs w:val="12"/>
                <w:lang w:val="en-GB" w:eastAsia="mk-MK"/>
              </w:rPr>
              <w:t xml:space="preserve">PPP) </w:t>
            </w:r>
          </w:p>
        </w:tc>
      </w:tr>
      <w:tr w:rsidR="00485BAA" w:rsidRPr="00D30847" w14:paraId="19900DD5" w14:textId="77777777" w:rsidTr="00FD4DDE">
        <w:trPr>
          <w:gridBefore w:val="3"/>
          <w:gridAfter w:val="1"/>
          <w:wBefore w:w="37" w:type="dxa"/>
          <w:wAfter w:w="52" w:type="dxa"/>
          <w:trHeight w:val="269"/>
          <w:jc w:val="center"/>
        </w:trPr>
        <w:tc>
          <w:tcPr>
            <w:tcW w:w="2303" w:type="dxa"/>
            <w:gridSpan w:val="3"/>
            <w:vMerge w:val="restart"/>
            <w:tcBorders>
              <w:top w:val="nil"/>
              <w:left w:val="nil"/>
              <w:bottom w:val="nil"/>
              <w:right w:val="single" w:sz="8" w:space="0" w:color="000000"/>
            </w:tcBorders>
            <w:shd w:val="clear" w:color="auto" w:fill="auto"/>
            <w:vAlign w:val="center"/>
            <w:hideMark/>
          </w:tcPr>
          <w:p w14:paraId="7B7BDE3E"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5A09F97E" w14:textId="230A7E8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7A61CE"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4BB5321C" w14:textId="0A0C79E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F368A1">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01504620" w14:textId="13EA590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863EBC">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7F9EE6F4" w14:textId="20B2CD70"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63EBC">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0E0F1ABA" w14:textId="7934782A"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63EBC">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748108CA" w14:textId="3ADF50B4" w:rsidR="00485BAA" w:rsidRPr="00D30847" w:rsidRDefault="00485BAA" w:rsidP="00AC339B">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63EBC">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153B2891" w14:textId="29565F55"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863EBC">
              <w:rPr>
                <w:rFonts w:ascii="Arial" w:eastAsia="Times New Roman" w:hAnsi="Arial" w:cs="Arial"/>
                <w:b/>
                <w:bCs/>
                <w:sz w:val="12"/>
                <w:szCs w:val="12"/>
                <w:lang w:val="en-GB" w:eastAsia="mk-MK"/>
              </w:rPr>
              <w:t>8</w:t>
            </w:r>
          </w:p>
        </w:tc>
      </w:tr>
      <w:tr w:rsidR="00485BAA" w:rsidRPr="00D30847" w14:paraId="200A9500" w14:textId="77777777" w:rsidTr="00FD4DDE">
        <w:trPr>
          <w:gridBefore w:val="3"/>
          <w:gridAfter w:val="1"/>
          <w:wBefore w:w="37" w:type="dxa"/>
          <w:wAfter w:w="52" w:type="dxa"/>
          <w:trHeight w:val="2532"/>
          <w:jc w:val="center"/>
        </w:trPr>
        <w:tc>
          <w:tcPr>
            <w:tcW w:w="2303" w:type="dxa"/>
            <w:gridSpan w:val="3"/>
            <w:vMerge/>
            <w:tcBorders>
              <w:top w:val="nil"/>
              <w:left w:val="nil"/>
              <w:bottom w:val="nil"/>
              <w:right w:val="single" w:sz="8" w:space="0" w:color="000000"/>
            </w:tcBorders>
            <w:vAlign w:val="center"/>
            <w:hideMark/>
          </w:tcPr>
          <w:p w14:paraId="466F5EF9"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3EF1290B" w14:textId="77777777" w:rsidR="007A61CE" w:rsidRPr="00D30847" w:rsidRDefault="007A61CE" w:rsidP="007A61C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1)Commissioning of the UESPPP and the Register of awarded contracts for the establishment of a public-private partnership and its functionality</w:t>
            </w:r>
          </w:p>
          <w:p w14:paraId="44C05506" w14:textId="77777777" w:rsidR="007A61CE" w:rsidRPr="00D30847" w:rsidRDefault="007A61CE" w:rsidP="007A61C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br/>
              <w:t>2)percentage of PPP contracts whose progress in implementation is regularly reported to the system within the deadlines provided by the law</w:t>
            </w:r>
          </w:p>
          <w:p w14:paraId="19CFCE25" w14:textId="218AB2B4" w:rsidR="00485BAA" w:rsidRPr="00D30847" w:rsidRDefault="007A61CE" w:rsidP="007A61C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br/>
              <w:t>3)percentage of initiated procedures for awarding a contract for establishing a public-private partnership, which have not been completed</w:t>
            </w:r>
          </w:p>
        </w:tc>
        <w:tc>
          <w:tcPr>
            <w:tcW w:w="1194" w:type="dxa"/>
            <w:gridSpan w:val="2"/>
            <w:shd w:val="clear" w:color="000000" w:fill="FFFF99"/>
            <w:vAlign w:val="center"/>
            <w:hideMark/>
          </w:tcPr>
          <w:p w14:paraId="5424118B"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418" w:type="dxa"/>
            <w:gridSpan w:val="3"/>
            <w:shd w:val="clear" w:color="000000" w:fill="FFFF99"/>
            <w:vAlign w:val="center"/>
            <w:hideMark/>
          </w:tcPr>
          <w:p w14:paraId="2D9E608E" w14:textId="77777777" w:rsidR="007A61CE" w:rsidRPr="00D30847" w:rsidRDefault="007A61CE" w:rsidP="007A61C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0% of the public-private partnership agreements whose progress in the implementation is regularly reported in the system within the deadlines provided by law</w:t>
            </w:r>
          </w:p>
          <w:p w14:paraId="6CA1C666" w14:textId="45B7D275" w:rsidR="00485BAA" w:rsidRPr="00D30847" w:rsidRDefault="007A61CE" w:rsidP="007A61C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br/>
              <w:t xml:space="preserve">3)20% of the initiated procedures for awarding a contract for establishing a public-private partnership, which have not been completed </w:t>
            </w:r>
          </w:p>
        </w:tc>
        <w:tc>
          <w:tcPr>
            <w:tcW w:w="1644" w:type="dxa"/>
            <w:gridSpan w:val="3"/>
            <w:shd w:val="clear" w:color="000000" w:fill="FFFF99"/>
            <w:vAlign w:val="center"/>
            <w:hideMark/>
          </w:tcPr>
          <w:p w14:paraId="15453A42" w14:textId="77777777" w:rsidR="00485BAA" w:rsidRPr="00D30847" w:rsidRDefault="00806CE6" w:rsidP="00806CE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shd w:val="clear" w:color="000000" w:fill="FFFF99"/>
            <w:vAlign w:val="center"/>
            <w:hideMark/>
          </w:tcPr>
          <w:p w14:paraId="688B36FB" w14:textId="7EE49452" w:rsidR="007A61CE" w:rsidRPr="00D30847" w:rsidRDefault="007A61CE" w:rsidP="007A61C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1)Establishment of the UESPPP and start of </w:t>
            </w:r>
            <w:r w:rsidRPr="00AC5AF4">
              <w:rPr>
                <w:rFonts w:ascii="Arial" w:eastAsia="Times New Roman" w:hAnsi="Arial" w:cs="Arial"/>
                <w:sz w:val="12"/>
                <w:szCs w:val="12"/>
                <w:lang w:val="en-GB" w:eastAsia="mk-MK"/>
              </w:rPr>
              <w:t xml:space="preserve">implementation - </w:t>
            </w:r>
            <w:r w:rsidR="00AC5AF4" w:rsidRPr="00AC5AF4">
              <w:rPr>
                <w:rFonts w:ascii="Arial" w:hAnsi="Arial" w:cs="Arial"/>
                <w:bCs/>
                <w:sz w:val="12"/>
                <w:szCs w:val="12"/>
              </w:rPr>
              <w:t xml:space="preserve">Preparation of </w:t>
            </w:r>
            <w:r w:rsidRPr="00AC5AF4">
              <w:rPr>
                <w:rFonts w:ascii="Arial" w:eastAsia="Times New Roman" w:hAnsi="Arial" w:cs="Arial"/>
                <w:sz w:val="12"/>
                <w:szCs w:val="12"/>
                <w:lang w:val="en-GB" w:eastAsia="mk-MK"/>
              </w:rPr>
              <w:t>The software solution for the establishment of the UESPP and the Register of awarded contracts for the establishment of a public</w:t>
            </w:r>
            <w:r w:rsidRPr="00D30847">
              <w:rPr>
                <w:rFonts w:ascii="Arial" w:eastAsia="Times New Roman" w:hAnsi="Arial" w:cs="Arial"/>
                <w:sz w:val="12"/>
                <w:szCs w:val="12"/>
                <w:lang w:val="en-GB" w:eastAsia="mk-MK"/>
              </w:rPr>
              <w:t xml:space="preserve">-private partnership </w:t>
            </w:r>
          </w:p>
          <w:p w14:paraId="0A7BE0BD" w14:textId="72801D31" w:rsidR="00485BAA" w:rsidRPr="00D30847" w:rsidRDefault="007A61CE" w:rsidP="007A61CE">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50% of the public-private partnership agreements, which progress of the implementation is regularly reported in the system within the deadlines provided by law</w:t>
            </w:r>
            <w:r w:rsidRPr="00D30847">
              <w:rPr>
                <w:rFonts w:ascii="Arial" w:eastAsia="Times New Roman" w:hAnsi="Arial" w:cs="Arial"/>
                <w:sz w:val="12"/>
                <w:szCs w:val="12"/>
                <w:lang w:val="en-GB" w:eastAsia="mk-MK"/>
              </w:rPr>
              <w:br/>
              <w:t>3)Reduction by 10% of the initiated procedures for awarding a contract for establishing a public-private partnership, which are not completed, compared to the percentage of initiated but not completed procedures in the year as a basis for monitoring</w:t>
            </w:r>
          </w:p>
        </w:tc>
        <w:tc>
          <w:tcPr>
            <w:tcW w:w="1842" w:type="dxa"/>
            <w:gridSpan w:val="4"/>
            <w:shd w:val="clear" w:color="000000" w:fill="FFFF99"/>
            <w:vAlign w:val="center"/>
            <w:hideMark/>
          </w:tcPr>
          <w:p w14:paraId="29E32524" w14:textId="3B654970" w:rsidR="00E838F4" w:rsidRPr="00D30847" w:rsidRDefault="00E838F4" w:rsidP="00E838F4">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70% of the public-private partnership</w:t>
            </w:r>
            <w:r w:rsidR="00404D96" w:rsidRPr="00D30847">
              <w:rPr>
                <w:rFonts w:ascii="Arial" w:eastAsia="Times New Roman" w:hAnsi="Arial" w:cs="Arial"/>
                <w:sz w:val="12"/>
                <w:szCs w:val="12"/>
                <w:lang w:val="en-GB" w:eastAsia="mk-MK"/>
              </w:rPr>
              <w:t xml:space="preserve"> agreements, which progress of </w:t>
            </w:r>
            <w:r w:rsidRPr="00D30847">
              <w:rPr>
                <w:rFonts w:ascii="Arial" w:eastAsia="Times New Roman" w:hAnsi="Arial" w:cs="Arial"/>
                <w:sz w:val="12"/>
                <w:szCs w:val="12"/>
                <w:lang w:val="en-GB" w:eastAsia="mk-MK"/>
              </w:rPr>
              <w:t>implementation is regularly reported in the system within the deadlines provided by law</w:t>
            </w:r>
          </w:p>
          <w:p w14:paraId="13DA8497" w14:textId="0A14A5CE" w:rsidR="00485BAA" w:rsidRPr="00D30847" w:rsidRDefault="00E838F4" w:rsidP="00E838F4">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br/>
              <w:t>3) Reduction by 5% of the initiated procedures for awarding a contract for establishing a public-private partnership, which have not been completed, compared to the previous year</w:t>
            </w:r>
          </w:p>
        </w:tc>
        <w:tc>
          <w:tcPr>
            <w:tcW w:w="1506" w:type="dxa"/>
            <w:gridSpan w:val="4"/>
            <w:shd w:val="clear" w:color="000000" w:fill="FFFF99"/>
            <w:vAlign w:val="center"/>
            <w:hideMark/>
          </w:tcPr>
          <w:p w14:paraId="064855A7" w14:textId="6D2833DF" w:rsidR="00485BAA" w:rsidRPr="00D30847" w:rsidRDefault="00E838F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100% of the public-private partnership agreements, of which progress  in the implementation is regularly reported in the system within the deadlines provided by law</w:t>
            </w:r>
            <w:r w:rsidRPr="00D30847">
              <w:rPr>
                <w:rFonts w:ascii="Arial" w:eastAsia="Times New Roman" w:hAnsi="Arial" w:cs="Arial"/>
                <w:sz w:val="12"/>
                <w:szCs w:val="12"/>
                <w:lang w:val="en-GB" w:eastAsia="mk-MK"/>
              </w:rPr>
              <w:br/>
              <w:t>3) Reduction by 5% of the initiated procedures for awarding a contract for establishing a public-private partnership, which have not been completed, compared to the previous year</w:t>
            </w:r>
          </w:p>
        </w:tc>
      </w:tr>
      <w:tr w:rsidR="00485BAA" w:rsidRPr="00D30847" w14:paraId="656F5E55" w14:textId="77777777" w:rsidTr="00FD4DDE">
        <w:trPr>
          <w:gridBefore w:val="3"/>
          <w:gridAfter w:val="1"/>
          <w:wBefore w:w="37" w:type="dxa"/>
          <w:wAfter w:w="52" w:type="dxa"/>
          <w:trHeight w:val="259"/>
          <w:jc w:val="center"/>
        </w:trPr>
        <w:tc>
          <w:tcPr>
            <w:tcW w:w="2303" w:type="dxa"/>
            <w:gridSpan w:val="3"/>
            <w:vMerge/>
            <w:tcBorders>
              <w:top w:val="nil"/>
              <w:left w:val="nil"/>
              <w:bottom w:val="nil"/>
              <w:right w:val="single" w:sz="8" w:space="0" w:color="000000"/>
            </w:tcBorders>
            <w:vAlign w:val="center"/>
            <w:hideMark/>
          </w:tcPr>
          <w:p w14:paraId="5102F6B8"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79BFC2E3" w14:textId="3FBE8D7E"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4CA47AB2" w14:textId="3A5AEE18"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E838F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5D03DECC" w14:textId="4D6CE0C4"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E838F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788713AB" w14:textId="64F7951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E838F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710A85F9"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3BC28F3A" w14:textId="79D9E94D"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E838F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E838F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31FD81F5"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485BAA" w:rsidRPr="00D30847" w14:paraId="08766132" w14:textId="77777777" w:rsidTr="00FD4DDE">
        <w:trPr>
          <w:gridBefore w:val="3"/>
          <w:gridAfter w:val="1"/>
          <w:wBefore w:w="37" w:type="dxa"/>
          <w:wAfter w:w="52" w:type="dxa"/>
          <w:trHeight w:val="1098"/>
          <w:jc w:val="center"/>
        </w:trPr>
        <w:tc>
          <w:tcPr>
            <w:tcW w:w="2303" w:type="dxa"/>
            <w:gridSpan w:val="3"/>
            <w:vMerge/>
            <w:tcBorders>
              <w:top w:val="nil"/>
              <w:left w:val="nil"/>
              <w:bottom w:val="nil"/>
              <w:right w:val="single" w:sz="8" w:space="0" w:color="000000"/>
            </w:tcBorders>
            <w:vAlign w:val="center"/>
            <w:hideMark/>
          </w:tcPr>
          <w:p w14:paraId="7C82C3E8"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3FA2A41A" w14:textId="6E0B8C2C" w:rsidR="00485BAA" w:rsidRPr="00D30847" w:rsidRDefault="00E838F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Selection of an IT company for preparation of the Improving and upgrading the UESPPP and a Register of awarded contracts for the establishment of public-private partnership</w:t>
            </w:r>
          </w:p>
        </w:tc>
        <w:tc>
          <w:tcPr>
            <w:tcW w:w="1194" w:type="dxa"/>
            <w:gridSpan w:val="2"/>
            <w:shd w:val="clear" w:color="000000" w:fill="FFFF99"/>
            <w:vAlign w:val="center"/>
            <w:hideMark/>
          </w:tcPr>
          <w:p w14:paraId="5D7E46FF" w14:textId="55E5A4F8" w:rsidR="00485BAA" w:rsidRPr="00D30847" w:rsidRDefault="00607B2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863EBC">
              <w:rPr>
                <w:rFonts w:ascii="Arial" w:eastAsia="Times New Roman" w:hAnsi="Arial" w:cs="Arial"/>
                <w:sz w:val="12"/>
                <w:szCs w:val="12"/>
                <w:lang w:val="en-GB" w:eastAsia="mk-MK"/>
              </w:rPr>
              <w:t>5</w:t>
            </w:r>
          </w:p>
        </w:tc>
        <w:tc>
          <w:tcPr>
            <w:tcW w:w="1418" w:type="dxa"/>
            <w:gridSpan w:val="3"/>
            <w:shd w:val="clear" w:color="000000" w:fill="FFFF99"/>
            <w:vAlign w:val="center"/>
            <w:hideMark/>
          </w:tcPr>
          <w:p w14:paraId="50767E66" w14:textId="7E53B301" w:rsidR="00485BAA" w:rsidRPr="00D30847" w:rsidRDefault="00D5303C" w:rsidP="00485BAA">
            <w:pPr>
              <w:spacing w:after="0" w:line="240" w:lineRule="auto"/>
              <w:jc w:val="center"/>
              <w:rPr>
                <w:rFonts w:ascii="Arial" w:eastAsia="Times New Roman" w:hAnsi="Arial" w:cs="Arial"/>
                <w:sz w:val="12"/>
                <w:szCs w:val="12"/>
                <w:lang w:val="en-GB" w:eastAsia="mk-MK"/>
              </w:rPr>
            </w:pPr>
            <w:r w:rsidRPr="00D5303C">
              <w:rPr>
                <w:rFonts w:ascii="Arial" w:eastAsia="Times New Roman" w:hAnsi="Arial" w:cs="Arial"/>
                <w:sz w:val="12"/>
                <w:szCs w:val="12"/>
                <w:lang w:val="en-GB" w:eastAsia="mk-MK"/>
              </w:rPr>
              <w:t>MEMMR</w:t>
            </w:r>
          </w:p>
        </w:tc>
        <w:tc>
          <w:tcPr>
            <w:tcW w:w="1644" w:type="dxa"/>
            <w:gridSpan w:val="3"/>
            <w:shd w:val="clear" w:color="000000" w:fill="FFFF99"/>
            <w:vAlign w:val="center"/>
            <w:hideMark/>
          </w:tcPr>
          <w:p w14:paraId="6CDC001E" w14:textId="34557A94"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r w:rsidR="00407B01" w:rsidRPr="00D30847">
              <w:rPr>
                <w:rFonts w:ascii="Arial" w:eastAsia="Times New Roman" w:hAnsi="Arial" w:cs="Arial"/>
                <w:sz w:val="12"/>
                <w:szCs w:val="12"/>
                <w:lang w:val="en-GB" w:eastAsia="mk-MK"/>
              </w:rPr>
              <w:t>/</w:t>
            </w:r>
          </w:p>
        </w:tc>
        <w:tc>
          <w:tcPr>
            <w:tcW w:w="1758" w:type="dxa"/>
            <w:gridSpan w:val="4"/>
            <w:shd w:val="clear" w:color="000000" w:fill="FFFF99"/>
            <w:vAlign w:val="center"/>
            <w:hideMark/>
          </w:tcPr>
          <w:p w14:paraId="4EFD82C6" w14:textId="0763C4CC" w:rsidR="00485BAA" w:rsidRPr="00D30847" w:rsidRDefault="00093CDB" w:rsidP="00485BAA">
            <w:pPr>
              <w:spacing w:after="0" w:line="240" w:lineRule="auto"/>
              <w:jc w:val="center"/>
              <w:rPr>
                <w:rFonts w:ascii="Arial" w:eastAsia="Times New Roman" w:hAnsi="Arial" w:cs="Arial"/>
                <w:sz w:val="12"/>
                <w:szCs w:val="12"/>
                <w:lang w:val="en-GB" w:eastAsia="mk-MK"/>
              </w:rPr>
            </w:pPr>
            <w:r w:rsidRPr="00093CDB">
              <w:rPr>
                <w:rFonts w:ascii="Arial" w:eastAsia="Times New Roman" w:hAnsi="Arial" w:cs="Arial"/>
                <w:sz w:val="12"/>
                <w:szCs w:val="12"/>
                <w:lang w:val="en-GB" w:eastAsia="mk-MK"/>
              </w:rPr>
              <w:t>1,000,000</w:t>
            </w:r>
          </w:p>
        </w:tc>
        <w:tc>
          <w:tcPr>
            <w:tcW w:w="1842" w:type="dxa"/>
            <w:gridSpan w:val="4"/>
            <w:shd w:val="clear" w:color="000000" w:fill="FFFF99"/>
            <w:vAlign w:val="center"/>
            <w:hideMark/>
          </w:tcPr>
          <w:p w14:paraId="6E8EB3C7" w14:textId="2B018C3B" w:rsidR="00485BAA" w:rsidRPr="00D30847" w:rsidRDefault="00093CDB" w:rsidP="00485BAA">
            <w:pPr>
              <w:spacing w:after="0" w:line="240" w:lineRule="auto"/>
              <w:jc w:val="center"/>
              <w:rPr>
                <w:rFonts w:ascii="Arial" w:eastAsia="Times New Roman" w:hAnsi="Arial" w:cs="Arial"/>
                <w:sz w:val="12"/>
                <w:szCs w:val="12"/>
                <w:lang w:val="en-GB" w:eastAsia="mk-MK"/>
              </w:rPr>
            </w:pPr>
            <w:r w:rsidRPr="00093CDB">
              <w:rPr>
                <w:rFonts w:ascii="Arial" w:eastAsia="Times New Roman" w:hAnsi="Arial" w:cs="Arial"/>
                <w:sz w:val="12"/>
                <w:szCs w:val="12"/>
                <w:lang w:val="en-GB" w:eastAsia="mk-MK"/>
              </w:rPr>
              <w:t>Financing gap</w:t>
            </w:r>
          </w:p>
        </w:tc>
        <w:tc>
          <w:tcPr>
            <w:tcW w:w="1506" w:type="dxa"/>
            <w:gridSpan w:val="4"/>
            <w:shd w:val="clear" w:color="000000" w:fill="FFFF99"/>
            <w:vAlign w:val="center"/>
            <w:hideMark/>
          </w:tcPr>
          <w:p w14:paraId="7393CEED" w14:textId="64D27152" w:rsidR="00485BAA" w:rsidRPr="00D30847" w:rsidRDefault="00485BAA" w:rsidP="00485BAA">
            <w:pPr>
              <w:spacing w:after="0" w:line="240" w:lineRule="auto"/>
              <w:jc w:val="center"/>
              <w:rPr>
                <w:rFonts w:ascii="Arial" w:eastAsia="Times New Roman" w:hAnsi="Arial" w:cs="Arial"/>
                <w:sz w:val="12"/>
                <w:szCs w:val="12"/>
                <w:lang w:val="en-GB" w:eastAsia="mk-MK"/>
              </w:rPr>
            </w:pPr>
          </w:p>
        </w:tc>
      </w:tr>
      <w:tr w:rsidR="00485BAA" w:rsidRPr="00D30847" w14:paraId="50F265AE" w14:textId="77777777" w:rsidTr="00FD4DDE">
        <w:trPr>
          <w:gridBefore w:val="3"/>
          <w:gridAfter w:val="1"/>
          <w:wBefore w:w="37" w:type="dxa"/>
          <w:wAfter w:w="52" w:type="dxa"/>
          <w:trHeight w:val="1299"/>
          <w:jc w:val="center"/>
        </w:trPr>
        <w:tc>
          <w:tcPr>
            <w:tcW w:w="2303" w:type="dxa"/>
            <w:gridSpan w:val="3"/>
            <w:vMerge/>
            <w:tcBorders>
              <w:top w:val="nil"/>
              <w:left w:val="nil"/>
              <w:bottom w:val="nil"/>
              <w:right w:val="single" w:sz="8" w:space="0" w:color="000000"/>
            </w:tcBorders>
            <w:vAlign w:val="center"/>
            <w:hideMark/>
          </w:tcPr>
          <w:p w14:paraId="407B81D2"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5D303A24" w14:textId="64463D02" w:rsidR="00485BAA" w:rsidRPr="00D30847" w:rsidRDefault="00E838F4" w:rsidP="00EC5032">
            <w:pPr>
              <w:spacing w:after="0" w:line="240" w:lineRule="auto"/>
              <w:rPr>
                <w:rFonts w:ascii="Arial" w:eastAsia="Times New Roman" w:hAnsi="Arial" w:cs="Arial"/>
                <w:color w:val="FF0000"/>
                <w:sz w:val="12"/>
                <w:szCs w:val="12"/>
                <w:lang w:val="en-GB" w:eastAsia="mk-MK"/>
              </w:rPr>
            </w:pPr>
            <w:r w:rsidRPr="00D30847">
              <w:rPr>
                <w:rFonts w:ascii="Arial" w:eastAsia="Times New Roman" w:hAnsi="Arial" w:cs="Arial"/>
                <w:sz w:val="12"/>
                <w:szCs w:val="12"/>
                <w:lang w:val="en-GB" w:eastAsia="mk-MK"/>
              </w:rPr>
              <w:t>2. Preparation and implementation of the software solution for the establishment of public-private partnership and a Register of awarded contracts the establishment of public-private partnership</w:t>
            </w:r>
          </w:p>
        </w:tc>
        <w:tc>
          <w:tcPr>
            <w:tcW w:w="1194" w:type="dxa"/>
            <w:gridSpan w:val="2"/>
            <w:shd w:val="clear" w:color="000000" w:fill="FFFF99"/>
            <w:vAlign w:val="center"/>
            <w:hideMark/>
          </w:tcPr>
          <w:p w14:paraId="1E3363A7" w14:textId="1F3CF3F8"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D5303C">
              <w:rPr>
                <w:rFonts w:ascii="Arial" w:eastAsia="Times New Roman" w:hAnsi="Arial" w:cs="Arial"/>
                <w:sz w:val="12"/>
                <w:szCs w:val="12"/>
                <w:lang w:val="en-GB" w:eastAsia="mk-MK"/>
              </w:rPr>
              <w:t>5</w:t>
            </w:r>
            <w:r w:rsidRPr="00D30847">
              <w:rPr>
                <w:rFonts w:ascii="Arial" w:eastAsia="Times New Roman" w:hAnsi="Arial" w:cs="Arial"/>
                <w:sz w:val="12"/>
                <w:szCs w:val="12"/>
                <w:lang w:val="en-GB" w:eastAsia="mk-MK"/>
              </w:rPr>
              <w:t>-202</w:t>
            </w:r>
            <w:r w:rsidR="00D5303C">
              <w:rPr>
                <w:rFonts w:ascii="Arial" w:eastAsia="Times New Roman" w:hAnsi="Arial" w:cs="Arial"/>
                <w:sz w:val="12"/>
                <w:szCs w:val="12"/>
                <w:lang w:val="en-GB" w:eastAsia="mk-MK"/>
              </w:rPr>
              <w:t>6</w:t>
            </w:r>
          </w:p>
        </w:tc>
        <w:tc>
          <w:tcPr>
            <w:tcW w:w="1418" w:type="dxa"/>
            <w:gridSpan w:val="3"/>
            <w:shd w:val="clear" w:color="000000" w:fill="FFFF99"/>
            <w:vAlign w:val="center"/>
            <w:hideMark/>
          </w:tcPr>
          <w:p w14:paraId="3482B8B6" w14:textId="03626BC0" w:rsidR="00485BAA" w:rsidRPr="00D30847" w:rsidRDefault="00D5303C" w:rsidP="00485BAA">
            <w:pPr>
              <w:spacing w:after="0" w:line="240" w:lineRule="auto"/>
              <w:jc w:val="center"/>
              <w:rPr>
                <w:rFonts w:ascii="Arial" w:eastAsia="Times New Roman" w:hAnsi="Arial" w:cs="Arial"/>
                <w:sz w:val="12"/>
                <w:szCs w:val="12"/>
                <w:lang w:val="en-GB" w:eastAsia="mk-MK"/>
              </w:rPr>
            </w:pPr>
            <w:r w:rsidRPr="00D5303C">
              <w:rPr>
                <w:rFonts w:ascii="Arial" w:eastAsia="Times New Roman" w:hAnsi="Arial" w:cs="Arial"/>
                <w:sz w:val="12"/>
                <w:szCs w:val="12"/>
                <w:lang w:val="en-GB" w:eastAsia="mk-MK"/>
              </w:rPr>
              <w:t>MEMMR</w:t>
            </w:r>
          </w:p>
        </w:tc>
        <w:tc>
          <w:tcPr>
            <w:tcW w:w="1644" w:type="dxa"/>
            <w:gridSpan w:val="3"/>
            <w:shd w:val="clear" w:color="000000" w:fill="FFFF99"/>
            <w:noWrap/>
            <w:vAlign w:val="center"/>
            <w:hideMark/>
          </w:tcPr>
          <w:p w14:paraId="15F4FD0E" w14:textId="1DCDFF10"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PPB</w:t>
            </w:r>
            <w:r w:rsidR="00EF2AC4" w:rsidRPr="00D30847">
              <w:rPr>
                <w:rFonts w:ascii="Arial" w:eastAsia="Times New Roman" w:hAnsi="Arial" w:cs="Arial"/>
                <w:sz w:val="12"/>
                <w:szCs w:val="12"/>
                <w:lang w:val="en-GB" w:eastAsia="mk-MK"/>
              </w:rPr>
              <w:t>, M</w:t>
            </w:r>
            <w:r w:rsidR="009913B4">
              <w:rPr>
                <w:rFonts w:ascii="Arial" w:eastAsia="Times New Roman" w:hAnsi="Arial" w:cs="Arial"/>
                <w:sz w:val="12"/>
                <w:szCs w:val="12"/>
                <w:lang w:val="en-GB" w:eastAsia="mk-MK"/>
              </w:rPr>
              <w:t>o</w:t>
            </w:r>
            <w:r w:rsidR="00EF2AC4" w:rsidRPr="00D30847">
              <w:rPr>
                <w:rFonts w:ascii="Arial" w:eastAsia="Times New Roman" w:hAnsi="Arial" w:cs="Arial"/>
                <w:sz w:val="12"/>
                <w:szCs w:val="12"/>
                <w:lang w:val="en-GB" w:eastAsia="mk-MK"/>
              </w:rPr>
              <w:t>F</w:t>
            </w:r>
          </w:p>
        </w:tc>
        <w:tc>
          <w:tcPr>
            <w:tcW w:w="1758" w:type="dxa"/>
            <w:gridSpan w:val="4"/>
            <w:shd w:val="clear" w:color="000000" w:fill="FFFF99"/>
            <w:noWrap/>
            <w:vAlign w:val="center"/>
            <w:hideMark/>
          </w:tcPr>
          <w:p w14:paraId="729CBAE1" w14:textId="074762CE" w:rsidR="00485BAA" w:rsidRPr="00D30847" w:rsidRDefault="00093CDB" w:rsidP="00093CDB">
            <w:pPr>
              <w:spacing w:after="0" w:line="240" w:lineRule="auto"/>
              <w:jc w:val="center"/>
              <w:rPr>
                <w:rFonts w:ascii="Arial" w:eastAsia="Times New Roman" w:hAnsi="Arial" w:cs="Arial"/>
                <w:sz w:val="12"/>
                <w:szCs w:val="12"/>
                <w:lang w:val="en-GB" w:eastAsia="mk-MK"/>
              </w:rPr>
            </w:pPr>
            <w:r w:rsidRPr="00093CDB">
              <w:rPr>
                <w:rFonts w:ascii="Arial" w:eastAsia="Times New Roman" w:hAnsi="Arial" w:cs="Arial"/>
                <w:sz w:val="12"/>
                <w:szCs w:val="12"/>
                <w:lang w:val="en-GB" w:eastAsia="mk-MK"/>
              </w:rPr>
              <w:t>N/A</w:t>
            </w:r>
          </w:p>
        </w:tc>
        <w:tc>
          <w:tcPr>
            <w:tcW w:w="1842" w:type="dxa"/>
            <w:gridSpan w:val="4"/>
            <w:shd w:val="clear" w:color="000000" w:fill="FFFF99"/>
            <w:vAlign w:val="center"/>
            <w:hideMark/>
          </w:tcPr>
          <w:p w14:paraId="01BA3DCE" w14:textId="756D9057" w:rsidR="00485BAA" w:rsidRPr="00D30847" w:rsidRDefault="00485BAA" w:rsidP="00485BAA">
            <w:pPr>
              <w:spacing w:after="0" w:line="240" w:lineRule="auto"/>
              <w:jc w:val="center"/>
              <w:rPr>
                <w:rFonts w:ascii="Arial" w:eastAsia="Times New Roman" w:hAnsi="Arial" w:cs="Arial"/>
                <w:sz w:val="12"/>
                <w:szCs w:val="12"/>
                <w:lang w:val="en-GB" w:eastAsia="mk-MK"/>
              </w:rPr>
            </w:pPr>
          </w:p>
        </w:tc>
        <w:tc>
          <w:tcPr>
            <w:tcW w:w="1506" w:type="dxa"/>
            <w:gridSpan w:val="4"/>
            <w:shd w:val="clear" w:color="000000" w:fill="FFFF99"/>
            <w:vAlign w:val="center"/>
            <w:hideMark/>
          </w:tcPr>
          <w:p w14:paraId="60E1C93F" w14:textId="2E82D9CA" w:rsidR="00485BAA" w:rsidRPr="00D30847" w:rsidRDefault="00485BAA"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485BAA" w:rsidRPr="00D30847" w14:paraId="20C1222D" w14:textId="77777777" w:rsidTr="00FD4DDE">
        <w:trPr>
          <w:gridBefore w:val="3"/>
          <w:gridAfter w:val="1"/>
          <w:wBefore w:w="37" w:type="dxa"/>
          <w:wAfter w:w="52" w:type="dxa"/>
          <w:trHeight w:val="225"/>
          <w:jc w:val="center"/>
        </w:trPr>
        <w:tc>
          <w:tcPr>
            <w:tcW w:w="13501" w:type="dxa"/>
            <w:gridSpan w:val="28"/>
            <w:shd w:val="clear" w:color="000000" w:fill="9BD2ED"/>
            <w:vAlign w:val="center"/>
            <w:hideMark/>
          </w:tcPr>
          <w:p w14:paraId="7E33B559" w14:textId="5E4346AD" w:rsidR="00485BAA" w:rsidRPr="00D30847" w:rsidRDefault="00485BAA" w:rsidP="00485BAA">
            <w:pPr>
              <w:spacing w:after="0" w:line="240" w:lineRule="auto"/>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w:t>
            </w:r>
            <w:r w:rsidR="00577A56"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2</w:t>
            </w:r>
            <w:r w:rsidR="00577A56"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Completi</w:t>
            </w:r>
            <w:r w:rsidR="00E035AC">
              <w:rPr>
                <w:rFonts w:ascii="Arial" w:eastAsia="Times New Roman" w:hAnsi="Arial" w:cs="Arial"/>
                <w:b/>
                <w:bCs/>
                <w:sz w:val="12"/>
                <w:szCs w:val="12"/>
                <w:lang w:val="en-GB" w:eastAsia="mk-MK"/>
              </w:rPr>
              <w:t>ng</w:t>
            </w:r>
            <w:r w:rsidRPr="00D30847">
              <w:rPr>
                <w:rFonts w:ascii="Arial" w:eastAsia="Times New Roman" w:hAnsi="Arial" w:cs="Arial"/>
                <w:b/>
                <w:bCs/>
                <w:sz w:val="12"/>
                <w:szCs w:val="12"/>
                <w:lang w:val="en-GB" w:eastAsia="mk-MK"/>
              </w:rPr>
              <w:t xml:space="preserve"> of</w:t>
            </w:r>
            <w:r w:rsidR="00E838F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the</w:t>
            </w:r>
            <w:r w:rsidR="00E838F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legal</w:t>
            </w:r>
            <w:r w:rsidR="00E838F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and</w:t>
            </w:r>
            <w:r w:rsidR="00E838F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regulatory</w:t>
            </w:r>
            <w:r w:rsidR="00E838F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framework</w:t>
            </w:r>
            <w:r w:rsidR="00E838F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w:t>
            </w:r>
            <w:r w:rsidR="00E838F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the</w:t>
            </w:r>
            <w:r w:rsidR="00E838F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field</w:t>
            </w:r>
            <w:r w:rsidR="00E838F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E838F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public-private</w:t>
            </w:r>
            <w:r w:rsidR="00E838F4" w:rsidRPr="00D30847">
              <w:rPr>
                <w:rFonts w:ascii="Arial" w:eastAsia="Times New Roman" w:hAnsi="Arial" w:cs="Arial"/>
                <w:b/>
                <w:bCs/>
                <w:sz w:val="12"/>
                <w:szCs w:val="12"/>
                <w:lang w:val="en-GB" w:eastAsia="mk-MK"/>
              </w:rPr>
              <w:t xml:space="preserve"> </w:t>
            </w:r>
            <w:r w:rsidR="00404D96" w:rsidRPr="00D30847">
              <w:rPr>
                <w:rFonts w:ascii="Arial" w:eastAsia="Times New Roman" w:hAnsi="Arial" w:cs="Arial"/>
                <w:b/>
                <w:bCs/>
                <w:sz w:val="12"/>
                <w:szCs w:val="12"/>
                <w:lang w:val="en-GB" w:eastAsia="mk-MK"/>
              </w:rPr>
              <w:t>partnership</w:t>
            </w:r>
            <w:r w:rsidR="00E838F4" w:rsidRPr="00D30847">
              <w:rPr>
                <w:rFonts w:ascii="Arial" w:eastAsia="Times New Roman" w:hAnsi="Arial" w:cs="Arial"/>
                <w:b/>
                <w:bCs/>
                <w:sz w:val="12"/>
                <w:szCs w:val="12"/>
                <w:lang w:val="en-GB" w:eastAsia="mk-MK"/>
              </w:rPr>
              <w:t xml:space="preserve"> </w:t>
            </w:r>
            <w:r w:rsidR="00FD1F37" w:rsidRPr="00D30847">
              <w:rPr>
                <w:rFonts w:ascii="Arial" w:eastAsia="Times New Roman" w:hAnsi="Arial" w:cs="Arial"/>
                <w:b/>
                <w:bCs/>
                <w:sz w:val="12"/>
                <w:szCs w:val="12"/>
                <w:lang w:val="en-GB" w:eastAsia="mk-MK"/>
              </w:rPr>
              <w:t>and</w:t>
            </w:r>
            <w:r w:rsidR="00E838F4" w:rsidRPr="00D30847">
              <w:rPr>
                <w:rFonts w:ascii="Arial" w:eastAsia="Times New Roman" w:hAnsi="Arial" w:cs="Arial"/>
                <w:b/>
                <w:bCs/>
                <w:sz w:val="12"/>
                <w:szCs w:val="12"/>
                <w:lang w:val="en-GB" w:eastAsia="mk-MK"/>
              </w:rPr>
              <w:t xml:space="preserve"> </w:t>
            </w:r>
            <w:r w:rsidR="00FD1F37" w:rsidRPr="00D30847">
              <w:rPr>
                <w:rFonts w:ascii="Arial" w:eastAsia="Times New Roman" w:hAnsi="Arial" w:cs="Arial"/>
                <w:b/>
                <w:bCs/>
                <w:sz w:val="12"/>
                <w:szCs w:val="12"/>
                <w:lang w:val="en-GB" w:eastAsia="mk-MK"/>
              </w:rPr>
              <w:t>Concession</w:t>
            </w:r>
            <w:r w:rsidR="00E838F4" w:rsidRPr="00D30847">
              <w:rPr>
                <w:rFonts w:ascii="Arial" w:eastAsia="Times New Roman" w:hAnsi="Arial" w:cs="Arial"/>
                <w:b/>
                <w:bCs/>
                <w:sz w:val="12"/>
                <w:szCs w:val="12"/>
                <w:lang w:val="en-GB" w:eastAsia="mk-MK"/>
              </w:rPr>
              <w:t xml:space="preserve"> </w:t>
            </w:r>
            <w:r w:rsidR="00FD1F37" w:rsidRPr="00D30847">
              <w:rPr>
                <w:rFonts w:ascii="Arial" w:eastAsia="Times New Roman" w:hAnsi="Arial" w:cs="Arial"/>
                <w:b/>
                <w:bCs/>
                <w:sz w:val="12"/>
                <w:szCs w:val="12"/>
                <w:lang w:val="en-GB" w:eastAsia="mk-MK"/>
              </w:rPr>
              <w:t>on</w:t>
            </w:r>
            <w:r w:rsidR="00E838F4" w:rsidRPr="00D30847">
              <w:rPr>
                <w:rFonts w:ascii="Arial" w:eastAsia="Times New Roman" w:hAnsi="Arial" w:cs="Arial"/>
                <w:b/>
                <w:bCs/>
                <w:sz w:val="12"/>
                <w:szCs w:val="12"/>
                <w:lang w:val="en-GB" w:eastAsia="mk-MK"/>
              </w:rPr>
              <w:t xml:space="preserve"> </w:t>
            </w:r>
            <w:r w:rsidR="00FD1F37" w:rsidRPr="00D30847">
              <w:rPr>
                <w:rFonts w:ascii="Arial" w:eastAsia="Times New Roman" w:hAnsi="Arial" w:cs="Arial"/>
                <w:b/>
                <w:bCs/>
                <w:sz w:val="12"/>
                <w:szCs w:val="12"/>
                <w:lang w:val="en-GB" w:eastAsia="mk-MK"/>
              </w:rPr>
              <w:t>goods</w:t>
            </w:r>
            <w:r w:rsidR="00E838F4" w:rsidRPr="00D30847">
              <w:rPr>
                <w:rFonts w:ascii="Arial" w:eastAsia="Times New Roman" w:hAnsi="Arial" w:cs="Arial"/>
                <w:b/>
                <w:bCs/>
                <w:sz w:val="12"/>
                <w:szCs w:val="12"/>
                <w:lang w:val="en-GB" w:eastAsia="mk-MK"/>
              </w:rPr>
              <w:t xml:space="preserve"> </w:t>
            </w:r>
            <w:r w:rsidR="00FD1F37" w:rsidRPr="00D30847">
              <w:rPr>
                <w:rFonts w:ascii="Arial" w:eastAsia="Times New Roman" w:hAnsi="Arial" w:cs="Arial"/>
                <w:b/>
                <w:bCs/>
                <w:sz w:val="12"/>
                <w:szCs w:val="12"/>
                <w:lang w:val="en-GB" w:eastAsia="mk-MK"/>
              </w:rPr>
              <w:t>of</w:t>
            </w:r>
            <w:r w:rsidR="00E838F4" w:rsidRPr="00D30847">
              <w:rPr>
                <w:rFonts w:ascii="Arial" w:eastAsia="Times New Roman" w:hAnsi="Arial" w:cs="Arial"/>
                <w:b/>
                <w:bCs/>
                <w:sz w:val="12"/>
                <w:szCs w:val="12"/>
                <w:lang w:val="en-GB" w:eastAsia="mk-MK"/>
              </w:rPr>
              <w:t xml:space="preserve"> </w:t>
            </w:r>
            <w:r w:rsidR="00FD1F37" w:rsidRPr="00D30847">
              <w:rPr>
                <w:rFonts w:ascii="Arial" w:eastAsia="Times New Roman" w:hAnsi="Arial" w:cs="Arial"/>
                <w:b/>
                <w:bCs/>
                <w:sz w:val="12"/>
                <w:szCs w:val="12"/>
                <w:lang w:val="en-GB" w:eastAsia="mk-MK"/>
              </w:rPr>
              <w:t>general</w:t>
            </w:r>
            <w:r w:rsidR="00E838F4" w:rsidRPr="00D30847">
              <w:rPr>
                <w:rFonts w:ascii="Arial" w:eastAsia="Times New Roman" w:hAnsi="Arial" w:cs="Arial"/>
                <w:b/>
                <w:bCs/>
                <w:sz w:val="12"/>
                <w:szCs w:val="12"/>
                <w:lang w:val="en-GB" w:eastAsia="mk-MK"/>
              </w:rPr>
              <w:t xml:space="preserve"> </w:t>
            </w:r>
            <w:r w:rsidR="00FD1F37" w:rsidRPr="00D30847">
              <w:rPr>
                <w:rFonts w:ascii="Arial" w:eastAsia="Times New Roman" w:hAnsi="Arial" w:cs="Arial"/>
                <w:b/>
                <w:bCs/>
                <w:sz w:val="12"/>
                <w:szCs w:val="12"/>
                <w:lang w:val="en-GB" w:eastAsia="mk-MK"/>
              </w:rPr>
              <w:t>interest</w:t>
            </w:r>
          </w:p>
        </w:tc>
      </w:tr>
      <w:tr w:rsidR="00485BAA" w:rsidRPr="00D30847" w14:paraId="5A742C0C" w14:textId="77777777" w:rsidTr="00FD4DDE">
        <w:trPr>
          <w:gridBefore w:val="3"/>
          <w:gridAfter w:val="1"/>
          <w:wBefore w:w="37" w:type="dxa"/>
          <w:wAfter w:w="52" w:type="dxa"/>
          <w:trHeight w:val="129"/>
          <w:jc w:val="center"/>
        </w:trPr>
        <w:tc>
          <w:tcPr>
            <w:tcW w:w="2303" w:type="dxa"/>
            <w:gridSpan w:val="3"/>
            <w:vMerge w:val="restart"/>
            <w:tcBorders>
              <w:top w:val="nil"/>
              <w:left w:val="nil"/>
              <w:bottom w:val="nil"/>
              <w:right w:val="single" w:sz="8" w:space="0" w:color="000000"/>
            </w:tcBorders>
            <w:shd w:val="clear" w:color="000000" w:fill="FFFFFF"/>
            <w:vAlign w:val="center"/>
            <w:hideMark/>
          </w:tcPr>
          <w:p w14:paraId="2C48E227"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0318C8CA" w14:textId="1C10A28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E838F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68DB9FF5" w14:textId="2279B98A"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F368A1">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4C946B26" w14:textId="20F00F1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D5303C">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74DF65EC" w14:textId="1BE0AE88"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5303C">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3955F5C3" w14:textId="75E6E7D0"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5303C">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31C20A64" w14:textId="6ACD61C6" w:rsidR="00485BAA" w:rsidRPr="00D30847" w:rsidRDefault="00485BAA" w:rsidP="00AC339B">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5303C">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7C155BEA" w14:textId="298E33F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5303C">
              <w:rPr>
                <w:rFonts w:ascii="Arial" w:eastAsia="Times New Roman" w:hAnsi="Arial" w:cs="Arial"/>
                <w:b/>
                <w:bCs/>
                <w:sz w:val="12"/>
                <w:szCs w:val="12"/>
                <w:lang w:val="en-GB" w:eastAsia="mk-MK"/>
              </w:rPr>
              <w:t>8</w:t>
            </w:r>
          </w:p>
        </w:tc>
      </w:tr>
      <w:tr w:rsidR="00485BAA" w:rsidRPr="00D30847" w14:paraId="6A958731" w14:textId="77777777" w:rsidTr="00FD4DDE">
        <w:trPr>
          <w:gridBefore w:val="3"/>
          <w:gridAfter w:val="1"/>
          <w:wBefore w:w="37" w:type="dxa"/>
          <w:wAfter w:w="52" w:type="dxa"/>
          <w:trHeight w:val="2320"/>
          <w:jc w:val="center"/>
        </w:trPr>
        <w:tc>
          <w:tcPr>
            <w:tcW w:w="2303" w:type="dxa"/>
            <w:gridSpan w:val="3"/>
            <w:vMerge/>
            <w:tcBorders>
              <w:top w:val="nil"/>
              <w:left w:val="nil"/>
              <w:bottom w:val="nil"/>
              <w:right w:val="single" w:sz="8" w:space="0" w:color="000000"/>
            </w:tcBorders>
            <w:vAlign w:val="center"/>
            <w:hideMark/>
          </w:tcPr>
          <w:p w14:paraId="35CAB4EE"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5F7DF695" w14:textId="5A41E862" w:rsidR="00485BAA" w:rsidRPr="00E035AC" w:rsidRDefault="00E035AC" w:rsidP="006030B4">
            <w:pPr>
              <w:spacing w:after="0" w:line="240" w:lineRule="auto"/>
              <w:rPr>
                <w:rFonts w:ascii="Arial" w:eastAsia="Times New Roman" w:hAnsi="Arial" w:cs="Arial"/>
                <w:sz w:val="12"/>
                <w:szCs w:val="12"/>
                <w:lang w:val="en-GB" w:eastAsia="mk-MK"/>
              </w:rPr>
            </w:pPr>
            <w:r w:rsidRPr="00E035AC">
              <w:rPr>
                <w:rFonts w:ascii="Arial" w:hAnsi="Arial" w:cs="Arial"/>
                <w:bCs/>
                <w:sz w:val="12"/>
                <w:szCs w:val="12"/>
              </w:rPr>
              <w:t>Adoption of the bylaws by the Minister of  energy, mining and mineral resources and the Minister of finance</w:t>
            </w:r>
          </w:p>
        </w:tc>
        <w:tc>
          <w:tcPr>
            <w:tcW w:w="1194" w:type="dxa"/>
            <w:gridSpan w:val="2"/>
            <w:shd w:val="clear" w:color="000000" w:fill="FFFF99"/>
            <w:vAlign w:val="center"/>
            <w:hideMark/>
          </w:tcPr>
          <w:p w14:paraId="7E699149" w14:textId="5EB831C9" w:rsidR="00485BAA" w:rsidRPr="00D30847" w:rsidRDefault="00D5303C" w:rsidP="00485BAA">
            <w:pPr>
              <w:spacing w:after="0" w:line="240" w:lineRule="auto"/>
              <w:jc w:val="center"/>
              <w:rPr>
                <w:rFonts w:ascii="Arial" w:eastAsia="Times New Roman" w:hAnsi="Arial" w:cs="Arial"/>
                <w:sz w:val="12"/>
                <w:szCs w:val="12"/>
                <w:lang w:val="en-GB" w:eastAsia="mk-MK"/>
              </w:rPr>
            </w:pPr>
            <w:r w:rsidRPr="00D5303C">
              <w:rPr>
                <w:rFonts w:ascii="Arial" w:eastAsia="Times New Roman" w:hAnsi="Arial" w:cs="Arial"/>
                <w:sz w:val="12"/>
                <w:szCs w:val="12"/>
                <w:lang w:val="en-GB" w:eastAsia="mk-MK"/>
              </w:rPr>
              <w:t>MEMMR</w:t>
            </w:r>
          </w:p>
        </w:tc>
        <w:tc>
          <w:tcPr>
            <w:tcW w:w="1418" w:type="dxa"/>
            <w:gridSpan w:val="3"/>
            <w:shd w:val="clear" w:color="000000" w:fill="FFFF99"/>
            <w:vAlign w:val="center"/>
            <w:hideMark/>
          </w:tcPr>
          <w:p w14:paraId="32F79196" w14:textId="00425B83" w:rsidR="00485BAA" w:rsidRPr="00D30847" w:rsidRDefault="00485BAA" w:rsidP="00EF2AC4">
            <w:pPr>
              <w:spacing w:after="0" w:line="240" w:lineRule="auto"/>
              <w:rPr>
                <w:rFonts w:ascii="Arial" w:eastAsia="Times New Roman" w:hAnsi="Arial" w:cs="Arial"/>
                <w:sz w:val="12"/>
                <w:szCs w:val="12"/>
                <w:lang w:val="en-GB" w:eastAsia="mk-MK"/>
              </w:rPr>
            </w:pPr>
          </w:p>
        </w:tc>
        <w:tc>
          <w:tcPr>
            <w:tcW w:w="1644" w:type="dxa"/>
            <w:gridSpan w:val="3"/>
            <w:shd w:val="clear" w:color="000000" w:fill="FFFF99"/>
            <w:vAlign w:val="center"/>
            <w:hideMark/>
          </w:tcPr>
          <w:p w14:paraId="2B2BD5B6" w14:textId="0638212E" w:rsidR="00EF2AC4" w:rsidRPr="00D30847" w:rsidRDefault="0098508C"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w:t>
            </w:r>
          </w:p>
        </w:tc>
        <w:tc>
          <w:tcPr>
            <w:tcW w:w="1758" w:type="dxa"/>
            <w:gridSpan w:val="4"/>
            <w:shd w:val="clear" w:color="000000" w:fill="FFFF99"/>
            <w:vAlign w:val="center"/>
            <w:hideMark/>
          </w:tcPr>
          <w:p w14:paraId="758D839F" w14:textId="77777777" w:rsidR="006030B4" w:rsidRPr="00D30847" w:rsidRDefault="006030B4" w:rsidP="001368D6">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Publication of 13 bylaws in the Official Gazette of RNM which prescribe in more detail the rules for: Register of awarded contracts for establishing public-private partnership, UESPPP, criteria for preparation of PPP projects, Feasibility study, PPP agreements, planning reporting </w:t>
            </w:r>
            <w:proofErr w:type="spellStart"/>
            <w:r w:rsidRPr="00D30847">
              <w:rPr>
                <w:rFonts w:ascii="Arial" w:eastAsia="Times New Roman" w:hAnsi="Arial" w:cs="Arial"/>
                <w:sz w:val="12"/>
                <w:szCs w:val="12"/>
                <w:lang w:val="en-GB" w:eastAsia="mk-MK"/>
              </w:rPr>
              <w:t>e.t.c</w:t>
            </w:r>
            <w:proofErr w:type="spellEnd"/>
          </w:p>
          <w:p w14:paraId="1A158829" w14:textId="50FF6CB0" w:rsidR="00485BAA" w:rsidRPr="00D30847" w:rsidRDefault="006030B4" w:rsidP="001368D6">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Publication of 2 bylaws in the Official Gazette of RNM which will arise of the Law on Concession on goods of general interest</w:t>
            </w:r>
          </w:p>
        </w:tc>
        <w:tc>
          <w:tcPr>
            <w:tcW w:w="1842" w:type="dxa"/>
            <w:gridSpan w:val="4"/>
            <w:shd w:val="clear" w:color="000000" w:fill="FFFF99"/>
            <w:vAlign w:val="center"/>
            <w:hideMark/>
          </w:tcPr>
          <w:p w14:paraId="471555CD" w14:textId="5CB85305"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Implementation</w:t>
            </w:r>
            <w:r w:rsidR="006030B4"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w:t>
            </w:r>
            <w:r w:rsidR="006030B4"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the</w:t>
            </w:r>
            <w:r w:rsidR="006030B4"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bylaws</w:t>
            </w:r>
          </w:p>
        </w:tc>
        <w:tc>
          <w:tcPr>
            <w:tcW w:w="1506" w:type="dxa"/>
            <w:gridSpan w:val="4"/>
            <w:shd w:val="clear" w:color="000000" w:fill="FFFF99"/>
            <w:vAlign w:val="center"/>
            <w:hideMark/>
          </w:tcPr>
          <w:p w14:paraId="18896933" w14:textId="28429424" w:rsidR="00485BAA" w:rsidRPr="00D30847" w:rsidRDefault="00485BAA"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Implementation</w:t>
            </w:r>
            <w:r w:rsidR="006030B4"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w:t>
            </w:r>
            <w:r w:rsidR="006030B4"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the</w:t>
            </w:r>
            <w:r w:rsidR="006030B4"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bylaws</w:t>
            </w:r>
          </w:p>
        </w:tc>
      </w:tr>
      <w:tr w:rsidR="00485BAA" w:rsidRPr="00D30847" w14:paraId="4F2B00B6" w14:textId="77777777" w:rsidTr="00FD4DDE">
        <w:trPr>
          <w:gridBefore w:val="3"/>
          <w:gridAfter w:val="1"/>
          <w:wBefore w:w="37" w:type="dxa"/>
          <w:wAfter w:w="52" w:type="dxa"/>
          <w:trHeight w:val="264"/>
          <w:jc w:val="center"/>
        </w:trPr>
        <w:tc>
          <w:tcPr>
            <w:tcW w:w="2303" w:type="dxa"/>
            <w:gridSpan w:val="3"/>
            <w:vMerge/>
            <w:tcBorders>
              <w:top w:val="nil"/>
              <w:left w:val="nil"/>
              <w:bottom w:val="nil"/>
              <w:right w:val="single" w:sz="8" w:space="0" w:color="000000"/>
            </w:tcBorders>
            <w:vAlign w:val="center"/>
            <w:hideMark/>
          </w:tcPr>
          <w:p w14:paraId="05704F73"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40A4B0CA" w14:textId="1E497A1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091F1033" w14:textId="1D39E4F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6030B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07BD2DB4" w14:textId="5110F6C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6030B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7F8EF634" w14:textId="12D7E220"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6030B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2A88225A"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439A9B1B" w14:textId="536CB9F4"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6030B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6030B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1D3D2E6E"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485BAA" w:rsidRPr="00D30847" w14:paraId="0DCF4491" w14:textId="77777777" w:rsidTr="00FD4DDE">
        <w:trPr>
          <w:gridBefore w:val="3"/>
          <w:gridAfter w:val="1"/>
          <w:wBefore w:w="37" w:type="dxa"/>
          <w:wAfter w:w="52" w:type="dxa"/>
          <w:trHeight w:val="406"/>
          <w:jc w:val="center"/>
        </w:trPr>
        <w:tc>
          <w:tcPr>
            <w:tcW w:w="2303" w:type="dxa"/>
            <w:gridSpan w:val="3"/>
            <w:vMerge/>
            <w:tcBorders>
              <w:top w:val="nil"/>
              <w:left w:val="nil"/>
              <w:bottom w:val="nil"/>
              <w:right w:val="single" w:sz="8" w:space="0" w:color="000000"/>
            </w:tcBorders>
            <w:vAlign w:val="center"/>
            <w:hideMark/>
          </w:tcPr>
          <w:p w14:paraId="3FC71C49"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5494F203" w14:textId="10A331BB" w:rsidR="00485BAA" w:rsidRPr="00D30847" w:rsidRDefault="00485BAA"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r w:rsidR="00624EC9" w:rsidRPr="00D30847">
              <w:rPr>
                <w:rFonts w:ascii="Arial" w:eastAsia="Times New Roman" w:hAnsi="Arial" w:cs="Arial"/>
                <w:sz w:val="12"/>
                <w:szCs w:val="12"/>
                <w:lang w:val="en-GB" w:eastAsia="mk-MK"/>
              </w:rPr>
              <w:t>.</w:t>
            </w:r>
            <w:r w:rsidR="006A55CA" w:rsidRPr="00D30847">
              <w:rPr>
                <w:rFonts w:ascii="Arial" w:eastAsia="Times New Roman" w:hAnsi="Arial" w:cs="Arial"/>
                <w:sz w:val="12"/>
                <w:szCs w:val="12"/>
                <w:lang w:val="en-GB" w:eastAsia="mk-MK"/>
              </w:rPr>
              <w:t xml:space="preserve">Preparation and adoption of 13 bylaws that will arise from the Law on Public Private Partnership and preparation of the </w:t>
            </w:r>
            <w:r w:rsidR="00404D96" w:rsidRPr="00D30847">
              <w:rPr>
                <w:rFonts w:ascii="Arial" w:eastAsia="Times New Roman" w:hAnsi="Arial" w:cs="Arial"/>
                <w:sz w:val="12"/>
                <w:szCs w:val="12"/>
                <w:lang w:val="en-GB" w:eastAsia="mk-MK"/>
              </w:rPr>
              <w:t>Guideline</w:t>
            </w:r>
            <w:r w:rsidR="006A55CA" w:rsidRPr="00D30847">
              <w:rPr>
                <w:rFonts w:ascii="Arial" w:eastAsia="Times New Roman" w:hAnsi="Arial" w:cs="Arial"/>
                <w:sz w:val="12"/>
                <w:szCs w:val="12"/>
                <w:lang w:val="en-GB" w:eastAsia="mk-MK"/>
              </w:rPr>
              <w:t xml:space="preserve"> with </w:t>
            </w:r>
            <w:r w:rsidR="00404D96" w:rsidRPr="00D30847">
              <w:rPr>
                <w:rFonts w:ascii="Arial" w:eastAsia="Times New Roman" w:hAnsi="Arial" w:cs="Arial"/>
                <w:sz w:val="12"/>
                <w:szCs w:val="12"/>
                <w:lang w:val="en-GB" w:eastAsia="mk-MK"/>
              </w:rPr>
              <w:t>examples</w:t>
            </w:r>
            <w:r w:rsidR="006A55CA" w:rsidRPr="00D30847">
              <w:rPr>
                <w:rFonts w:ascii="Arial" w:eastAsia="Times New Roman" w:hAnsi="Arial" w:cs="Arial"/>
                <w:sz w:val="12"/>
                <w:szCs w:val="12"/>
                <w:lang w:val="en-GB" w:eastAsia="mk-MK"/>
              </w:rPr>
              <w:t xml:space="preserve"> of PPP </w:t>
            </w:r>
            <w:r w:rsidR="00404D96" w:rsidRPr="00D30847">
              <w:rPr>
                <w:rFonts w:ascii="Arial" w:eastAsia="Times New Roman" w:hAnsi="Arial" w:cs="Arial"/>
                <w:sz w:val="12"/>
                <w:szCs w:val="12"/>
                <w:lang w:val="en-GB" w:eastAsia="mk-MK"/>
              </w:rPr>
              <w:t>projects</w:t>
            </w:r>
          </w:p>
        </w:tc>
        <w:tc>
          <w:tcPr>
            <w:tcW w:w="1194" w:type="dxa"/>
            <w:gridSpan w:val="2"/>
            <w:shd w:val="clear" w:color="000000" w:fill="FFFF99"/>
            <w:vAlign w:val="center"/>
            <w:hideMark/>
          </w:tcPr>
          <w:p w14:paraId="71154098" w14:textId="7E4DB0E0"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D5303C">
              <w:rPr>
                <w:rFonts w:ascii="Arial" w:eastAsia="Times New Roman" w:hAnsi="Arial" w:cs="Arial"/>
                <w:sz w:val="12"/>
                <w:szCs w:val="12"/>
                <w:lang w:val="en-GB" w:eastAsia="mk-MK"/>
              </w:rPr>
              <w:t>5</w:t>
            </w:r>
            <w:r w:rsidR="0098508C" w:rsidRPr="00D30847">
              <w:rPr>
                <w:rFonts w:ascii="Arial" w:eastAsia="Times New Roman" w:hAnsi="Arial" w:cs="Arial"/>
                <w:sz w:val="12"/>
                <w:szCs w:val="12"/>
                <w:lang w:val="en-GB" w:eastAsia="mk-MK"/>
              </w:rPr>
              <w:t>-202</w:t>
            </w:r>
            <w:r w:rsidR="00D5303C">
              <w:rPr>
                <w:rFonts w:ascii="Arial" w:eastAsia="Times New Roman" w:hAnsi="Arial" w:cs="Arial"/>
                <w:sz w:val="12"/>
                <w:szCs w:val="12"/>
                <w:lang w:val="en-GB" w:eastAsia="mk-MK"/>
              </w:rPr>
              <w:t>6</w:t>
            </w:r>
          </w:p>
        </w:tc>
        <w:tc>
          <w:tcPr>
            <w:tcW w:w="1418" w:type="dxa"/>
            <w:gridSpan w:val="3"/>
            <w:shd w:val="clear" w:color="000000" w:fill="FFFF99"/>
            <w:vAlign w:val="center"/>
            <w:hideMark/>
          </w:tcPr>
          <w:p w14:paraId="575BE973" w14:textId="5CED03CC" w:rsidR="00485BAA" w:rsidRPr="00D30847" w:rsidRDefault="00D5303C" w:rsidP="00485BAA">
            <w:pPr>
              <w:spacing w:after="0" w:line="240" w:lineRule="auto"/>
              <w:jc w:val="center"/>
              <w:rPr>
                <w:rFonts w:ascii="Arial" w:eastAsia="Times New Roman" w:hAnsi="Arial" w:cs="Arial"/>
                <w:sz w:val="12"/>
                <w:szCs w:val="12"/>
                <w:lang w:val="en-GB" w:eastAsia="mk-MK"/>
              </w:rPr>
            </w:pPr>
            <w:r w:rsidRPr="00D5303C">
              <w:rPr>
                <w:rFonts w:ascii="Arial" w:eastAsia="Times New Roman" w:hAnsi="Arial" w:cs="Arial"/>
                <w:sz w:val="12"/>
                <w:szCs w:val="12"/>
                <w:lang w:val="en-GB" w:eastAsia="mk-MK"/>
              </w:rPr>
              <w:t>MEMMR</w:t>
            </w:r>
          </w:p>
        </w:tc>
        <w:tc>
          <w:tcPr>
            <w:tcW w:w="1644" w:type="dxa"/>
            <w:gridSpan w:val="3"/>
            <w:shd w:val="clear" w:color="000000" w:fill="FFFF99"/>
            <w:vAlign w:val="center"/>
            <w:hideMark/>
          </w:tcPr>
          <w:p w14:paraId="58C582F1" w14:textId="77777777" w:rsidR="00D5303C" w:rsidRPr="00D5303C" w:rsidRDefault="00D5303C" w:rsidP="00D5303C">
            <w:pPr>
              <w:spacing w:after="0" w:line="240" w:lineRule="auto"/>
              <w:jc w:val="center"/>
              <w:rPr>
                <w:rFonts w:ascii="Arial" w:eastAsia="Times New Roman" w:hAnsi="Arial" w:cs="Arial"/>
                <w:sz w:val="12"/>
                <w:szCs w:val="12"/>
                <w:lang w:val="en-GB" w:eastAsia="mk-MK"/>
              </w:rPr>
            </w:pPr>
            <w:r w:rsidRPr="00D5303C">
              <w:rPr>
                <w:rFonts w:ascii="Arial" w:eastAsia="Times New Roman" w:hAnsi="Arial" w:cs="Arial"/>
                <w:sz w:val="12"/>
                <w:szCs w:val="12"/>
                <w:lang w:val="en-GB" w:eastAsia="mk-MK"/>
              </w:rPr>
              <w:t>Working group for preparation of the bylaws</w:t>
            </w:r>
          </w:p>
          <w:p w14:paraId="7C17BFB5" w14:textId="2C3D3331" w:rsidR="00485BAA" w:rsidRPr="00D30847" w:rsidRDefault="00D5303C" w:rsidP="00D5303C">
            <w:pPr>
              <w:spacing w:after="0" w:line="240" w:lineRule="auto"/>
              <w:jc w:val="center"/>
              <w:rPr>
                <w:rFonts w:ascii="Arial" w:eastAsia="Times New Roman" w:hAnsi="Arial" w:cs="Arial"/>
                <w:sz w:val="12"/>
                <w:szCs w:val="12"/>
                <w:lang w:val="en-GB" w:eastAsia="mk-MK"/>
              </w:rPr>
            </w:pPr>
            <w:r w:rsidRPr="00D5303C">
              <w:rPr>
                <w:rFonts w:ascii="Arial" w:eastAsia="Times New Roman" w:hAnsi="Arial" w:cs="Arial"/>
                <w:sz w:val="12"/>
                <w:szCs w:val="12"/>
                <w:lang w:val="en-GB" w:eastAsia="mk-MK"/>
              </w:rPr>
              <w:t>Technical assistance from donors or hiring consultants</w:t>
            </w:r>
          </w:p>
        </w:tc>
        <w:tc>
          <w:tcPr>
            <w:tcW w:w="1758" w:type="dxa"/>
            <w:gridSpan w:val="4"/>
            <w:shd w:val="clear" w:color="000000" w:fill="FFFF99"/>
            <w:vAlign w:val="center"/>
            <w:hideMark/>
          </w:tcPr>
          <w:p w14:paraId="36228847" w14:textId="2B0A377E" w:rsidR="00485BAA" w:rsidRPr="00D30847" w:rsidRDefault="0098508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EUR 22,000</w:t>
            </w:r>
          </w:p>
        </w:tc>
        <w:tc>
          <w:tcPr>
            <w:tcW w:w="1842" w:type="dxa"/>
            <w:gridSpan w:val="4"/>
            <w:shd w:val="clear" w:color="000000" w:fill="FFFF99"/>
            <w:vAlign w:val="center"/>
            <w:hideMark/>
          </w:tcPr>
          <w:p w14:paraId="65D2D9A4" w14:textId="482B93A3"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r w:rsidR="00636EC7">
              <w:rPr>
                <w:rFonts w:ascii="Arial" w:eastAsia="Times New Roman" w:hAnsi="Arial" w:cs="Arial"/>
                <w:sz w:val="12"/>
                <w:szCs w:val="12"/>
                <w:lang w:val="en-GB" w:eastAsia="mk-MK"/>
              </w:rPr>
              <w:t>Financing Gap</w:t>
            </w:r>
          </w:p>
        </w:tc>
        <w:tc>
          <w:tcPr>
            <w:tcW w:w="1506" w:type="dxa"/>
            <w:gridSpan w:val="4"/>
            <w:shd w:val="clear" w:color="000000" w:fill="FFFF99"/>
            <w:vAlign w:val="center"/>
            <w:hideMark/>
          </w:tcPr>
          <w:p w14:paraId="64F45E37" w14:textId="35DB0606"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485BAA" w:rsidRPr="00D30847" w14:paraId="65BD3E92" w14:textId="77777777" w:rsidTr="00FD4DDE">
        <w:trPr>
          <w:gridBefore w:val="3"/>
          <w:gridAfter w:val="1"/>
          <w:wBefore w:w="37" w:type="dxa"/>
          <w:wAfter w:w="52" w:type="dxa"/>
          <w:trHeight w:val="398"/>
          <w:jc w:val="center"/>
        </w:trPr>
        <w:tc>
          <w:tcPr>
            <w:tcW w:w="2303" w:type="dxa"/>
            <w:gridSpan w:val="3"/>
            <w:vMerge/>
            <w:tcBorders>
              <w:top w:val="nil"/>
              <w:left w:val="nil"/>
              <w:bottom w:val="nil"/>
              <w:right w:val="single" w:sz="8" w:space="0" w:color="000000"/>
            </w:tcBorders>
            <w:vAlign w:val="center"/>
            <w:hideMark/>
          </w:tcPr>
          <w:p w14:paraId="63862752"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2C9F5AEB" w14:textId="5FB79CBD" w:rsidR="00485BAA" w:rsidRPr="00D30847" w:rsidRDefault="00485BAA"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w:t>
            </w:r>
            <w:r w:rsidR="006A55CA" w:rsidRPr="00D30847">
              <w:rPr>
                <w:rFonts w:ascii="Arial" w:eastAsia="Times New Roman" w:hAnsi="Arial" w:cs="Arial"/>
                <w:sz w:val="12"/>
                <w:szCs w:val="12"/>
                <w:lang w:val="en-GB" w:eastAsia="mk-MK"/>
              </w:rPr>
              <w:t xml:space="preserve">.  Preparation and adoption of </w:t>
            </w:r>
            <w:r w:rsidR="00982A68">
              <w:rPr>
                <w:rFonts w:ascii="Arial" w:eastAsia="Times New Roman" w:hAnsi="Arial" w:cs="Arial"/>
                <w:sz w:val="12"/>
                <w:szCs w:val="12"/>
                <w:lang w:val="en-GB" w:eastAsia="mk-MK"/>
              </w:rPr>
              <w:t>2</w:t>
            </w:r>
            <w:r w:rsidR="006A55CA" w:rsidRPr="00D30847">
              <w:rPr>
                <w:rFonts w:ascii="Arial" w:eastAsia="Times New Roman" w:hAnsi="Arial" w:cs="Arial"/>
                <w:sz w:val="12"/>
                <w:szCs w:val="12"/>
                <w:lang w:val="en-GB" w:eastAsia="mk-MK"/>
              </w:rPr>
              <w:t xml:space="preserve"> bylaws that will arise from the f the Law on Concession on goods of general interest</w:t>
            </w:r>
          </w:p>
        </w:tc>
        <w:tc>
          <w:tcPr>
            <w:tcW w:w="1194" w:type="dxa"/>
            <w:gridSpan w:val="2"/>
            <w:shd w:val="clear" w:color="000000" w:fill="FFFF99"/>
            <w:vAlign w:val="center"/>
            <w:hideMark/>
          </w:tcPr>
          <w:p w14:paraId="786FB2F3" w14:textId="3745522D"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D5303C">
              <w:rPr>
                <w:rFonts w:ascii="Arial" w:eastAsia="Times New Roman" w:hAnsi="Arial" w:cs="Arial"/>
                <w:sz w:val="12"/>
                <w:szCs w:val="12"/>
                <w:lang w:val="en-GB" w:eastAsia="mk-MK"/>
              </w:rPr>
              <w:t>5</w:t>
            </w:r>
            <w:r w:rsidRPr="00D30847">
              <w:rPr>
                <w:rFonts w:ascii="Arial" w:eastAsia="Times New Roman" w:hAnsi="Arial" w:cs="Arial"/>
                <w:sz w:val="12"/>
                <w:szCs w:val="12"/>
                <w:lang w:val="en-GB" w:eastAsia="mk-MK"/>
              </w:rPr>
              <w:t>-202</w:t>
            </w:r>
            <w:r w:rsidR="00D5303C">
              <w:rPr>
                <w:rFonts w:ascii="Arial" w:eastAsia="Times New Roman" w:hAnsi="Arial" w:cs="Arial"/>
                <w:sz w:val="12"/>
                <w:szCs w:val="12"/>
                <w:lang w:val="en-GB" w:eastAsia="mk-MK"/>
              </w:rPr>
              <w:t>6</w:t>
            </w:r>
          </w:p>
        </w:tc>
        <w:tc>
          <w:tcPr>
            <w:tcW w:w="1418" w:type="dxa"/>
            <w:gridSpan w:val="3"/>
            <w:shd w:val="clear" w:color="000000" w:fill="FFFF99"/>
            <w:vAlign w:val="center"/>
            <w:hideMark/>
          </w:tcPr>
          <w:p w14:paraId="7030FC5A" w14:textId="561F5D89" w:rsidR="00485BAA" w:rsidRPr="00D30847" w:rsidRDefault="0098508C" w:rsidP="0028413D">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p>
        </w:tc>
        <w:tc>
          <w:tcPr>
            <w:tcW w:w="1644" w:type="dxa"/>
            <w:gridSpan w:val="3"/>
            <w:shd w:val="clear" w:color="000000" w:fill="FFFF99"/>
            <w:noWrap/>
            <w:vAlign w:val="center"/>
            <w:hideMark/>
          </w:tcPr>
          <w:p w14:paraId="224DEE13"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roofErr w:type="spellStart"/>
            <w:r w:rsidR="0028413D" w:rsidRPr="00D30847">
              <w:rPr>
                <w:rFonts w:ascii="Arial" w:eastAsia="Times New Roman" w:hAnsi="Arial" w:cs="Arial"/>
                <w:sz w:val="12"/>
                <w:szCs w:val="12"/>
                <w:lang w:val="en-GB" w:eastAsia="mk-MK"/>
              </w:rPr>
              <w:t>MoE</w:t>
            </w:r>
            <w:proofErr w:type="spellEnd"/>
            <w:r w:rsidR="0028413D" w:rsidRPr="00D30847">
              <w:rPr>
                <w:rFonts w:ascii="Arial" w:eastAsia="Times New Roman" w:hAnsi="Arial" w:cs="Arial"/>
                <w:sz w:val="12"/>
                <w:szCs w:val="12"/>
                <w:lang w:val="en-GB" w:eastAsia="mk-MK"/>
              </w:rPr>
              <w:t> </w:t>
            </w:r>
          </w:p>
        </w:tc>
        <w:tc>
          <w:tcPr>
            <w:tcW w:w="1758" w:type="dxa"/>
            <w:gridSpan w:val="4"/>
            <w:shd w:val="clear" w:color="000000" w:fill="FFFF99"/>
            <w:noWrap/>
            <w:vAlign w:val="center"/>
            <w:hideMark/>
          </w:tcPr>
          <w:p w14:paraId="22B31F9A" w14:textId="0C543FF7" w:rsidR="00485BAA" w:rsidRPr="00D30847" w:rsidRDefault="0098508C"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w:t>
            </w:r>
          </w:p>
        </w:tc>
        <w:tc>
          <w:tcPr>
            <w:tcW w:w="1842" w:type="dxa"/>
            <w:gridSpan w:val="4"/>
            <w:shd w:val="clear" w:color="000000" w:fill="FFFF99"/>
            <w:vAlign w:val="center"/>
            <w:hideMark/>
          </w:tcPr>
          <w:p w14:paraId="4CD02279" w14:textId="6BC768A8" w:rsidR="00485BAA" w:rsidRPr="00D30847" w:rsidRDefault="00407B01"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00485BAA" w:rsidRPr="00D30847">
              <w:rPr>
                <w:rFonts w:ascii="Arial" w:eastAsia="Times New Roman" w:hAnsi="Arial" w:cs="Arial"/>
                <w:sz w:val="12"/>
                <w:szCs w:val="12"/>
                <w:lang w:val="en-GB" w:eastAsia="mk-MK"/>
              </w:rPr>
              <w:t> </w:t>
            </w:r>
          </w:p>
        </w:tc>
        <w:tc>
          <w:tcPr>
            <w:tcW w:w="1506" w:type="dxa"/>
            <w:gridSpan w:val="4"/>
            <w:shd w:val="clear" w:color="000000" w:fill="FFFF99"/>
            <w:vAlign w:val="center"/>
            <w:hideMark/>
          </w:tcPr>
          <w:p w14:paraId="67C75964" w14:textId="186355B0" w:rsidR="00485BAA" w:rsidRPr="00D30847" w:rsidRDefault="00485BAA" w:rsidP="00407B01">
            <w:pPr>
              <w:spacing w:after="0" w:line="240" w:lineRule="auto"/>
              <w:jc w:val="center"/>
              <w:rPr>
                <w:rFonts w:ascii="Arial" w:eastAsia="Times New Roman" w:hAnsi="Arial" w:cs="Arial"/>
                <w:sz w:val="12"/>
                <w:szCs w:val="12"/>
                <w:lang w:val="en-GB" w:eastAsia="mk-MK"/>
              </w:rPr>
            </w:pPr>
          </w:p>
        </w:tc>
      </w:tr>
      <w:tr w:rsidR="00485BAA" w:rsidRPr="00D30847" w14:paraId="7D8C5250" w14:textId="77777777" w:rsidTr="00FD4DDE">
        <w:trPr>
          <w:gridBefore w:val="3"/>
          <w:gridAfter w:val="1"/>
          <w:wBefore w:w="37" w:type="dxa"/>
          <w:wAfter w:w="52" w:type="dxa"/>
          <w:trHeight w:val="264"/>
          <w:jc w:val="center"/>
        </w:trPr>
        <w:tc>
          <w:tcPr>
            <w:tcW w:w="13501" w:type="dxa"/>
            <w:gridSpan w:val="28"/>
            <w:shd w:val="clear" w:color="000000" w:fill="9BD2ED"/>
            <w:vAlign w:val="center"/>
            <w:hideMark/>
          </w:tcPr>
          <w:p w14:paraId="281660CD" w14:textId="5A2B1644" w:rsidR="00485BAA" w:rsidRPr="00D30847" w:rsidRDefault="00485BAA" w:rsidP="00485BAA">
            <w:pPr>
              <w:spacing w:after="0" w:line="240" w:lineRule="auto"/>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w:t>
            </w:r>
            <w:r w:rsidR="00577A56"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3</w:t>
            </w:r>
            <w:r w:rsidR="00577A56" w:rsidRPr="00D30847">
              <w:rPr>
                <w:rFonts w:ascii="Arial" w:eastAsia="Times New Roman" w:hAnsi="Arial" w:cs="Arial"/>
                <w:b/>
                <w:bCs/>
                <w:sz w:val="12"/>
                <w:szCs w:val="12"/>
                <w:lang w:val="en-GB" w:eastAsia="mk-MK"/>
              </w:rPr>
              <w:t xml:space="preserve">. </w:t>
            </w:r>
            <w:r w:rsidR="00982A68" w:rsidRPr="00982A68">
              <w:rPr>
                <w:rFonts w:ascii="Arial" w:eastAsia="Times New Roman" w:hAnsi="Arial" w:cs="Arial"/>
                <w:b/>
                <w:bCs/>
                <w:sz w:val="12"/>
                <w:szCs w:val="12"/>
                <w:lang w:val="en-GB" w:eastAsia="mk-MK"/>
              </w:rPr>
              <w:t>Strengthening and developing the capacities of the Ministry of Energy, Mining and Mineral Resources in the area of public-private partnership.</w:t>
            </w:r>
          </w:p>
        </w:tc>
      </w:tr>
      <w:tr w:rsidR="00485BAA" w:rsidRPr="00D30847" w14:paraId="48A6D520" w14:textId="77777777" w:rsidTr="00FD4DDE">
        <w:trPr>
          <w:gridBefore w:val="3"/>
          <w:gridAfter w:val="1"/>
          <w:wBefore w:w="37" w:type="dxa"/>
          <w:wAfter w:w="52" w:type="dxa"/>
          <w:trHeight w:val="212"/>
          <w:jc w:val="center"/>
        </w:trPr>
        <w:tc>
          <w:tcPr>
            <w:tcW w:w="2303" w:type="dxa"/>
            <w:gridSpan w:val="3"/>
            <w:vMerge w:val="restart"/>
            <w:tcBorders>
              <w:top w:val="nil"/>
              <w:left w:val="nil"/>
              <w:bottom w:val="nil"/>
              <w:right w:val="single" w:sz="8" w:space="0" w:color="000000"/>
            </w:tcBorders>
            <w:shd w:val="clear" w:color="auto" w:fill="auto"/>
            <w:vAlign w:val="center"/>
            <w:hideMark/>
          </w:tcPr>
          <w:p w14:paraId="0B3ECFF6"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03BCBE74" w14:textId="0956F9B0"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6030B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7AE31073" w14:textId="68B58C0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6030B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73FB0156" w14:textId="638D15C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D5303C">
              <w:rPr>
                <w:rFonts w:ascii="Arial" w:eastAsia="Times New Roman" w:hAnsi="Arial" w:cs="Arial"/>
                <w:b/>
                <w:bCs/>
                <w:sz w:val="12"/>
                <w:szCs w:val="12"/>
                <w:lang w:val="en-GB" w:eastAsia="mk-MK"/>
              </w:rPr>
              <w:t>5</w:t>
            </w:r>
          </w:p>
        </w:tc>
        <w:tc>
          <w:tcPr>
            <w:tcW w:w="1644" w:type="dxa"/>
            <w:gridSpan w:val="3"/>
            <w:shd w:val="clear" w:color="000000" w:fill="9BD2ED"/>
            <w:vAlign w:val="center"/>
            <w:hideMark/>
          </w:tcPr>
          <w:p w14:paraId="7F6F404B" w14:textId="3ABD0E3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5303C">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6A02676B" w14:textId="18D41EB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5303C">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79465C8B" w14:textId="72ACD677" w:rsidR="00485BAA" w:rsidRPr="00D30847" w:rsidRDefault="00485BAA" w:rsidP="00AC339B">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5303C">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1B59372F" w14:textId="523FCD8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D5303C">
              <w:rPr>
                <w:rFonts w:ascii="Arial" w:eastAsia="Times New Roman" w:hAnsi="Arial" w:cs="Arial"/>
                <w:b/>
                <w:bCs/>
                <w:sz w:val="12"/>
                <w:szCs w:val="12"/>
                <w:lang w:val="en-GB" w:eastAsia="mk-MK"/>
              </w:rPr>
              <w:t>8</w:t>
            </w:r>
          </w:p>
        </w:tc>
      </w:tr>
      <w:tr w:rsidR="00485BAA" w:rsidRPr="00D30847" w14:paraId="3977957A" w14:textId="77777777" w:rsidTr="00FD4DDE">
        <w:trPr>
          <w:gridBefore w:val="3"/>
          <w:gridAfter w:val="1"/>
          <w:wBefore w:w="37" w:type="dxa"/>
          <w:wAfter w:w="52" w:type="dxa"/>
          <w:trHeight w:val="1715"/>
          <w:jc w:val="center"/>
        </w:trPr>
        <w:tc>
          <w:tcPr>
            <w:tcW w:w="2303" w:type="dxa"/>
            <w:gridSpan w:val="3"/>
            <w:vMerge/>
            <w:tcBorders>
              <w:top w:val="nil"/>
              <w:left w:val="nil"/>
              <w:bottom w:val="nil"/>
              <w:right w:val="single" w:sz="8" w:space="0" w:color="000000"/>
            </w:tcBorders>
            <w:vAlign w:val="center"/>
            <w:hideMark/>
          </w:tcPr>
          <w:p w14:paraId="434AF84D"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2E248D59" w14:textId="009507EE" w:rsidR="00485BAA" w:rsidRPr="00D30847" w:rsidRDefault="006030B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Increasing the capacity and efficiency of the Public Private Partnership and Concessions </w:t>
            </w:r>
            <w:r w:rsidR="00D5303C" w:rsidRPr="00D5303C">
              <w:rPr>
                <w:rFonts w:ascii="Arial" w:eastAsia="Times New Roman" w:hAnsi="Arial" w:cs="Arial"/>
                <w:sz w:val="12"/>
                <w:szCs w:val="12"/>
                <w:lang w:val="en-GB" w:eastAsia="mk-MK"/>
              </w:rPr>
              <w:t>Department</w:t>
            </w:r>
          </w:p>
        </w:tc>
        <w:tc>
          <w:tcPr>
            <w:tcW w:w="1194" w:type="dxa"/>
            <w:gridSpan w:val="2"/>
            <w:shd w:val="clear" w:color="000000" w:fill="FFFF99"/>
            <w:vAlign w:val="center"/>
            <w:hideMark/>
          </w:tcPr>
          <w:p w14:paraId="4B4F4DF9" w14:textId="3B9670BD" w:rsidR="00485BAA"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418" w:type="dxa"/>
            <w:gridSpan w:val="3"/>
            <w:shd w:val="clear" w:color="000000" w:fill="FFFF99"/>
            <w:vAlign w:val="center"/>
            <w:hideMark/>
          </w:tcPr>
          <w:p w14:paraId="3C6F1D9A" w14:textId="156FDE4D" w:rsidR="00485BAA"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644" w:type="dxa"/>
            <w:gridSpan w:val="3"/>
            <w:shd w:val="clear" w:color="000000" w:fill="FFFF99"/>
            <w:vAlign w:val="center"/>
            <w:hideMark/>
          </w:tcPr>
          <w:p w14:paraId="0DCF761D" w14:textId="25C7E970" w:rsidR="00485BAA" w:rsidRPr="00D30847" w:rsidRDefault="006030B4" w:rsidP="009961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Employment of </w:t>
            </w:r>
            <w:r w:rsidR="007E0F9C">
              <w:rPr>
                <w:rFonts w:ascii="Arial" w:eastAsia="Times New Roman" w:hAnsi="Arial" w:cs="Arial"/>
                <w:sz w:val="12"/>
                <w:szCs w:val="12"/>
                <w:lang w:eastAsia="mk-MK"/>
              </w:rPr>
              <w:t>2</w:t>
            </w:r>
            <w:r w:rsidR="00451908" w:rsidRPr="00D30847">
              <w:rPr>
                <w:rFonts w:ascii="Arial" w:eastAsia="Times New Roman" w:hAnsi="Arial" w:cs="Arial"/>
                <w:sz w:val="12"/>
                <w:szCs w:val="12"/>
                <w:lang w:val="en-GB" w:eastAsia="mk-MK"/>
              </w:rPr>
              <w:t xml:space="preserve"> new civil servant</w:t>
            </w:r>
            <w:r w:rsidRPr="00D30847">
              <w:rPr>
                <w:rFonts w:ascii="Arial" w:eastAsia="Times New Roman" w:hAnsi="Arial" w:cs="Arial"/>
                <w:sz w:val="12"/>
                <w:szCs w:val="12"/>
                <w:lang w:val="en-GB" w:eastAsia="mk-MK"/>
              </w:rPr>
              <w:t xml:space="preserve"> - ratio of approved financial resources for employment from the Ministry of Finance versus the real employment needs in the Department for Public Private Partnership and </w:t>
            </w:r>
            <w:r w:rsidR="00404D96" w:rsidRPr="00D30847">
              <w:rPr>
                <w:rFonts w:ascii="Arial" w:eastAsia="Times New Roman" w:hAnsi="Arial" w:cs="Arial"/>
                <w:sz w:val="12"/>
                <w:szCs w:val="12"/>
                <w:lang w:val="en-GB" w:eastAsia="mk-MK"/>
              </w:rPr>
              <w:t>Concessions and</w:t>
            </w:r>
            <w:r w:rsidRPr="00D30847">
              <w:rPr>
                <w:rFonts w:ascii="Arial" w:eastAsia="Times New Roman" w:hAnsi="Arial" w:cs="Arial"/>
                <w:sz w:val="12"/>
                <w:szCs w:val="12"/>
                <w:lang w:val="en-GB" w:eastAsia="mk-MK"/>
              </w:rPr>
              <w:t xml:space="preserve"> their training in the area of public private partnership</w:t>
            </w:r>
          </w:p>
        </w:tc>
        <w:tc>
          <w:tcPr>
            <w:tcW w:w="1758" w:type="dxa"/>
            <w:gridSpan w:val="4"/>
            <w:shd w:val="clear" w:color="000000" w:fill="FFFF99"/>
            <w:vAlign w:val="center"/>
            <w:hideMark/>
          </w:tcPr>
          <w:p w14:paraId="6AF2EFDA" w14:textId="6FC13C2F" w:rsidR="00485BAA" w:rsidRPr="00D30847" w:rsidRDefault="006030B4" w:rsidP="00E27AE0">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Employment of </w:t>
            </w:r>
            <w:r w:rsidR="007E0F9C">
              <w:rPr>
                <w:rFonts w:ascii="Arial" w:eastAsia="Times New Roman" w:hAnsi="Arial" w:cs="Arial"/>
                <w:sz w:val="12"/>
                <w:szCs w:val="12"/>
                <w:lang w:eastAsia="mk-MK"/>
              </w:rPr>
              <w:t>2</w:t>
            </w:r>
            <w:r w:rsidRPr="00D30847">
              <w:rPr>
                <w:rFonts w:ascii="Arial" w:eastAsia="Times New Roman" w:hAnsi="Arial" w:cs="Arial"/>
                <w:sz w:val="12"/>
                <w:szCs w:val="12"/>
                <w:lang w:val="en-GB" w:eastAsia="mk-MK"/>
              </w:rPr>
              <w:t xml:space="preserve"> new civil servant - ratio of approved financial resources for employment from the Ministry of Finance versus the real employment needs in the Department for Public Private Partnership and </w:t>
            </w:r>
            <w:r w:rsidR="00404D96" w:rsidRPr="00D30847">
              <w:rPr>
                <w:rFonts w:ascii="Arial" w:eastAsia="Times New Roman" w:hAnsi="Arial" w:cs="Arial"/>
                <w:sz w:val="12"/>
                <w:szCs w:val="12"/>
                <w:lang w:val="en-GB" w:eastAsia="mk-MK"/>
              </w:rPr>
              <w:t>Concessions and</w:t>
            </w:r>
            <w:r w:rsidRPr="00D30847">
              <w:rPr>
                <w:rFonts w:ascii="Arial" w:eastAsia="Times New Roman" w:hAnsi="Arial" w:cs="Arial"/>
                <w:sz w:val="12"/>
                <w:szCs w:val="12"/>
                <w:lang w:val="en-GB" w:eastAsia="mk-MK"/>
              </w:rPr>
              <w:t xml:space="preserve"> their training in the area of public private partnership</w:t>
            </w:r>
          </w:p>
        </w:tc>
        <w:tc>
          <w:tcPr>
            <w:tcW w:w="1842" w:type="dxa"/>
            <w:gridSpan w:val="4"/>
            <w:shd w:val="clear" w:color="000000" w:fill="FFFF99"/>
            <w:vAlign w:val="center"/>
            <w:hideMark/>
          </w:tcPr>
          <w:p w14:paraId="04E87CAE" w14:textId="7A704CFE" w:rsidR="00485BAA" w:rsidRPr="00D30847" w:rsidRDefault="006030B4" w:rsidP="00E27AE0">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Development and improvement of the capacities of the employees in the Department for Public Private Partnership and Concessions</w:t>
            </w:r>
          </w:p>
        </w:tc>
        <w:tc>
          <w:tcPr>
            <w:tcW w:w="1506" w:type="dxa"/>
            <w:gridSpan w:val="4"/>
            <w:shd w:val="clear" w:color="000000" w:fill="FFFF99"/>
            <w:vAlign w:val="center"/>
            <w:hideMark/>
          </w:tcPr>
          <w:p w14:paraId="6603C3B3" w14:textId="0FF3BE86" w:rsidR="00485BAA" w:rsidRPr="00D30847" w:rsidRDefault="006030B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Development and improvement of the capacities of the employees in the Department for Public Private Partnership and Concessions</w:t>
            </w:r>
          </w:p>
        </w:tc>
      </w:tr>
      <w:tr w:rsidR="00485BAA" w:rsidRPr="00D30847" w14:paraId="2E223ABD" w14:textId="77777777" w:rsidTr="00FD4DDE">
        <w:trPr>
          <w:gridBefore w:val="3"/>
          <w:gridAfter w:val="1"/>
          <w:wBefore w:w="37" w:type="dxa"/>
          <w:wAfter w:w="52" w:type="dxa"/>
          <w:trHeight w:val="265"/>
          <w:jc w:val="center"/>
        </w:trPr>
        <w:tc>
          <w:tcPr>
            <w:tcW w:w="2303" w:type="dxa"/>
            <w:gridSpan w:val="3"/>
            <w:vMerge/>
            <w:tcBorders>
              <w:top w:val="nil"/>
              <w:left w:val="nil"/>
              <w:bottom w:val="nil"/>
              <w:right w:val="single" w:sz="8" w:space="0" w:color="000000"/>
            </w:tcBorders>
            <w:vAlign w:val="center"/>
            <w:hideMark/>
          </w:tcPr>
          <w:p w14:paraId="3BAE2EEE"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244B307D" w14:textId="48CA5D1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738FDE95" w14:textId="14E0CFC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6030B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715AFCA7" w14:textId="0F90E35C"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6030B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4A9B7CB1" w14:textId="446F0BE0"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6030B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4A0B6D0A"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3362F133" w14:textId="49A13779"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6030B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6030B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75CBFFD3"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485BAA" w:rsidRPr="00D30847" w14:paraId="2F3423C1" w14:textId="77777777" w:rsidTr="00FD4DDE">
        <w:trPr>
          <w:gridBefore w:val="3"/>
          <w:gridAfter w:val="1"/>
          <w:wBefore w:w="37" w:type="dxa"/>
          <w:wAfter w:w="52" w:type="dxa"/>
          <w:trHeight w:val="709"/>
          <w:jc w:val="center"/>
        </w:trPr>
        <w:tc>
          <w:tcPr>
            <w:tcW w:w="2303" w:type="dxa"/>
            <w:gridSpan w:val="3"/>
            <w:vMerge/>
            <w:tcBorders>
              <w:top w:val="nil"/>
              <w:left w:val="nil"/>
              <w:bottom w:val="nil"/>
              <w:right w:val="single" w:sz="8" w:space="0" w:color="000000"/>
            </w:tcBorders>
            <w:vAlign w:val="center"/>
            <w:hideMark/>
          </w:tcPr>
          <w:p w14:paraId="72342C83"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569CA536" w14:textId="5DD813C8" w:rsidR="00485BAA" w:rsidRPr="00D30847" w:rsidRDefault="006030B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r w:rsidR="00982A68" w:rsidRPr="00982A68">
              <w:rPr>
                <w:rFonts w:ascii="Arial" w:eastAsia="Times New Roman" w:hAnsi="Arial" w:cs="Arial"/>
                <w:sz w:val="12"/>
                <w:szCs w:val="12"/>
                <w:lang w:val="en-GB" w:eastAsia="mk-MK"/>
              </w:rPr>
              <w:t>Increasing the number of employees in the Ministry of Energy, Mining and Mineral Resources in the area of public-private partnership and their professional training and development in order to ensure consistent implementation of the law in this area.</w:t>
            </w:r>
          </w:p>
        </w:tc>
        <w:tc>
          <w:tcPr>
            <w:tcW w:w="1194" w:type="dxa"/>
            <w:gridSpan w:val="2"/>
            <w:shd w:val="clear" w:color="000000" w:fill="FFFF99"/>
            <w:vAlign w:val="center"/>
            <w:hideMark/>
          </w:tcPr>
          <w:p w14:paraId="527AD9C4" w14:textId="173CECF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D5303C">
              <w:rPr>
                <w:rFonts w:ascii="Arial" w:eastAsia="Times New Roman" w:hAnsi="Arial" w:cs="Arial"/>
                <w:sz w:val="12"/>
                <w:szCs w:val="12"/>
                <w:lang w:val="en-GB" w:eastAsia="mk-MK"/>
              </w:rPr>
              <w:t>5</w:t>
            </w:r>
            <w:r w:rsidRPr="00D30847">
              <w:rPr>
                <w:rFonts w:ascii="Arial" w:eastAsia="Times New Roman" w:hAnsi="Arial" w:cs="Arial"/>
                <w:sz w:val="12"/>
                <w:szCs w:val="12"/>
                <w:lang w:val="en-GB" w:eastAsia="mk-MK"/>
              </w:rPr>
              <w:t>-202</w:t>
            </w:r>
            <w:r w:rsidR="00D5303C">
              <w:rPr>
                <w:rFonts w:ascii="Arial" w:eastAsia="Times New Roman" w:hAnsi="Arial" w:cs="Arial"/>
                <w:sz w:val="12"/>
                <w:szCs w:val="12"/>
                <w:lang w:val="en-GB" w:eastAsia="mk-MK"/>
              </w:rPr>
              <w:t>6</w:t>
            </w:r>
          </w:p>
        </w:tc>
        <w:tc>
          <w:tcPr>
            <w:tcW w:w="1418" w:type="dxa"/>
            <w:gridSpan w:val="3"/>
            <w:shd w:val="clear" w:color="000000" w:fill="FFFF99"/>
            <w:vAlign w:val="center"/>
            <w:hideMark/>
          </w:tcPr>
          <w:p w14:paraId="4E01032D" w14:textId="24B01303" w:rsidR="00485BAA" w:rsidRPr="00D30847" w:rsidRDefault="00D5303C" w:rsidP="00485BAA">
            <w:pPr>
              <w:spacing w:after="0" w:line="240" w:lineRule="auto"/>
              <w:jc w:val="center"/>
              <w:rPr>
                <w:rFonts w:ascii="Arial" w:eastAsia="Times New Roman" w:hAnsi="Arial" w:cs="Arial"/>
                <w:sz w:val="12"/>
                <w:szCs w:val="12"/>
                <w:lang w:val="en-GB" w:eastAsia="mk-MK"/>
              </w:rPr>
            </w:pPr>
            <w:r w:rsidRPr="00D5303C">
              <w:rPr>
                <w:rFonts w:ascii="Arial" w:eastAsia="Times New Roman" w:hAnsi="Arial" w:cs="Arial"/>
                <w:sz w:val="12"/>
                <w:szCs w:val="12"/>
                <w:lang w:val="en-GB" w:eastAsia="mk-MK"/>
              </w:rPr>
              <w:t>MEMMR</w:t>
            </w:r>
          </w:p>
        </w:tc>
        <w:tc>
          <w:tcPr>
            <w:tcW w:w="1644" w:type="dxa"/>
            <w:gridSpan w:val="3"/>
            <w:shd w:val="clear" w:color="000000" w:fill="FFFF99"/>
            <w:vAlign w:val="center"/>
            <w:hideMark/>
          </w:tcPr>
          <w:p w14:paraId="17E3C06C"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p>
        </w:tc>
        <w:tc>
          <w:tcPr>
            <w:tcW w:w="1758" w:type="dxa"/>
            <w:gridSpan w:val="4"/>
            <w:shd w:val="clear" w:color="000000" w:fill="FFFF99"/>
            <w:vAlign w:val="center"/>
            <w:hideMark/>
          </w:tcPr>
          <w:p w14:paraId="1759B85E" w14:textId="0BFE5ED7" w:rsidR="00485BAA" w:rsidRPr="00D30847" w:rsidRDefault="00D5303C" w:rsidP="00D5303C">
            <w:pPr>
              <w:spacing w:after="0" w:line="240" w:lineRule="auto"/>
              <w:jc w:val="center"/>
              <w:rPr>
                <w:rFonts w:ascii="Arial" w:eastAsia="Times New Roman" w:hAnsi="Arial" w:cs="Arial"/>
                <w:sz w:val="12"/>
                <w:szCs w:val="12"/>
                <w:lang w:val="en-GB" w:eastAsia="mk-MK"/>
              </w:rPr>
            </w:pPr>
            <w:r>
              <w:rPr>
                <w:rFonts w:ascii="Arial" w:eastAsia="Times New Roman" w:hAnsi="Arial" w:cs="Arial"/>
                <w:sz w:val="12"/>
                <w:szCs w:val="12"/>
                <w:lang w:val="en-GB" w:eastAsia="mk-MK"/>
              </w:rPr>
              <w:t>384</w:t>
            </w:r>
            <w:r w:rsidR="00485BAA" w:rsidRPr="00D30847">
              <w:rPr>
                <w:rFonts w:ascii="Arial" w:eastAsia="Times New Roman" w:hAnsi="Arial" w:cs="Arial"/>
                <w:sz w:val="12"/>
                <w:szCs w:val="12"/>
                <w:lang w:val="en-GB" w:eastAsia="mk-MK"/>
              </w:rPr>
              <w:t>,000</w:t>
            </w:r>
          </w:p>
        </w:tc>
        <w:tc>
          <w:tcPr>
            <w:tcW w:w="1842" w:type="dxa"/>
            <w:gridSpan w:val="4"/>
            <w:shd w:val="clear" w:color="000000" w:fill="FFFF99"/>
            <w:vAlign w:val="center"/>
            <w:hideMark/>
          </w:tcPr>
          <w:p w14:paraId="6802AC69" w14:textId="48D9F00D" w:rsidR="00485BAA" w:rsidRPr="00D30847" w:rsidRDefault="006A55C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National</w:t>
            </w:r>
            <w:r w:rsidR="006030B4"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Budget</w:t>
            </w:r>
          </w:p>
        </w:tc>
        <w:tc>
          <w:tcPr>
            <w:tcW w:w="1506" w:type="dxa"/>
            <w:gridSpan w:val="4"/>
            <w:shd w:val="clear" w:color="000000" w:fill="FFFF99"/>
            <w:vAlign w:val="center"/>
            <w:hideMark/>
          </w:tcPr>
          <w:p w14:paraId="499D362C"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485BAA" w:rsidRPr="00D30847" w14:paraId="78FA6E69" w14:textId="77777777" w:rsidTr="00FD4DDE">
        <w:trPr>
          <w:gridBefore w:val="3"/>
          <w:gridAfter w:val="1"/>
          <w:wBefore w:w="37" w:type="dxa"/>
          <w:wAfter w:w="52" w:type="dxa"/>
          <w:trHeight w:val="268"/>
          <w:jc w:val="center"/>
        </w:trPr>
        <w:tc>
          <w:tcPr>
            <w:tcW w:w="13501" w:type="dxa"/>
            <w:gridSpan w:val="28"/>
            <w:shd w:val="clear" w:color="000000" w:fill="1F3864"/>
            <w:vAlign w:val="center"/>
            <w:hideMark/>
          </w:tcPr>
          <w:p w14:paraId="636D73A5" w14:textId="366626E9"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 xml:space="preserve">PILLAR </w:t>
            </w:r>
            <w:proofErr w:type="spellStart"/>
            <w:r w:rsidRPr="00D30847">
              <w:rPr>
                <w:rFonts w:ascii="Arial" w:eastAsia="Times New Roman" w:hAnsi="Arial" w:cs="Arial"/>
                <w:b/>
                <w:bCs/>
                <w:color w:val="FFFFFF"/>
                <w:sz w:val="12"/>
                <w:szCs w:val="12"/>
                <w:lang w:val="en-GB" w:eastAsia="mk-MK"/>
              </w:rPr>
              <w:t>V</w:t>
            </w:r>
            <w:r w:rsidR="00577A56" w:rsidRPr="00D30847">
              <w:rPr>
                <w:rFonts w:ascii="Arial" w:eastAsia="Times New Roman" w:hAnsi="Arial" w:cs="Arial"/>
                <w:b/>
                <w:bCs/>
                <w:color w:val="FFFFFF"/>
                <w:sz w:val="12"/>
                <w:szCs w:val="12"/>
                <w:lang w:val="en-GB" w:eastAsia="mk-MK"/>
              </w:rPr>
              <w:t>.</w:t>
            </w:r>
            <w:r w:rsidR="00432D15" w:rsidRPr="00D30847">
              <w:rPr>
                <w:rFonts w:ascii="Arial" w:eastAsia="Times New Roman" w:hAnsi="Arial" w:cs="Arial"/>
                <w:b/>
                <w:bCs/>
                <w:color w:val="FFFFFF"/>
                <w:sz w:val="12"/>
                <w:szCs w:val="12"/>
                <w:lang w:val="en-GB" w:eastAsia="mk-MK"/>
              </w:rPr>
              <w:t>Public</w:t>
            </w:r>
            <w:proofErr w:type="spellEnd"/>
            <w:r w:rsidR="00432D15" w:rsidRPr="00D30847">
              <w:rPr>
                <w:rFonts w:ascii="Arial" w:eastAsia="Times New Roman" w:hAnsi="Arial" w:cs="Arial"/>
                <w:b/>
                <w:bCs/>
                <w:color w:val="FFFFFF"/>
                <w:sz w:val="12"/>
                <w:szCs w:val="12"/>
                <w:lang w:val="en-GB" w:eastAsia="mk-MK"/>
              </w:rPr>
              <w:t xml:space="preserve"> finance digitalisation and </w:t>
            </w:r>
            <w:proofErr w:type="spellStart"/>
            <w:r w:rsidR="001111E8" w:rsidRPr="00D30847">
              <w:rPr>
                <w:rFonts w:ascii="Arial" w:eastAsia="Times New Roman" w:hAnsi="Arial" w:cs="Arial"/>
                <w:b/>
                <w:bCs/>
                <w:color w:val="FFFFFF"/>
                <w:sz w:val="12"/>
                <w:szCs w:val="12"/>
                <w:lang w:val="en-GB" w:eastAsia="mk-MK"/>
              </w:rPr>
              <w:t>continuоus</w:t>
            </w:r>
            <w:proofErr w:type="spellEnd"/>
            <w:r w:rsidR="00432D15" w:rsidRPr="00D30847">
              <w:rPr>
                <w:rFonts w:ascii="Arial" w:eastAsia="Times New Roman" w:hAnsi="Arial" w:cs="Arial"/>
                <w:b/>
                <w:bCs/>
                <w:color w:val="FFFFFF"/>
                <w:sz w:val="12"/>
                <w:szCs w:val="12"/>
                <w:lang w:val="en-GB" w:eastAsia="mk-MK"/>
              </w:rPr>
              <w:t> learning</w:t>
            </w:r>
          </w:p>
        </w:tc>
      </w:tr>
      <w:tr w:rsidR="00485BAA" w:rsidRPr="00D30847" w14:paraId="26B3DB43" w14:textId="77777777" w:rsidTr="00FD4DDE">
        <w:trPr>
          <w:gridBefore w:val="3"/>
          <w:gridAfter w:val="1"/>
          <w:wBefore w:w="37" w:type="dxa"/>
          <w:wAfter w:w="52" w:type="dxa"/>
          <w:trHeight w:val="250"/>
          <w:jc w:val="center"/>
        </w:trPr>
        <w:tc>
          <w:tcPr>
            <w:tcW w:w="13501" w:type="dxa"/>
            <w:gridSpan w:val="28"/>
            <w:shd w:val="clear" w:color="000000" w:fill="1F3864"/>
            <w:vAlign w:val="center"/>
            <w:hideMark/>
          </w:tcPr>
          <w:p w14:paraId="3A6A9A72" w14:textId="073F71D6"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PRIORITY 1</w:t>
            </w:r>
            <w:r w:rsidR="00577A56" w:rsidRPr="00D30847">
              <w:rPr>
                <w:rFonts w:ascii="Arial" w:eastAsia="Times New Roman" w:hAnsi="Arial" w:cs="Arial"/>
                <w:b/>
                <w:bCs/>
                <w:color w:val="FFFFFF"/>
                <w:sz w:val="12"/>
                <w:szCs w:val="12"/>
                <w:lang w:val="en-GB" w:eastAsia="mk-MK"/>
              </w:rPr>
              <w:t>.</w:t>
            </w:r>
            <w:r w:rsidRPr="00D30847">
              <w:rPr>
                <w:rFonts w:ascii="Arial" w:eastAsia="Times New Roman" w:hAnsi="Arial" w:cs="Arial"/>
                <w:b/>
                <w:bCs/>
                <w:color w:val="FFFFFF"/>
                <w:sz w:val="12"/>
                <w:szCs w:val="12"/>
                <w:lang w:val="en-GB" w:eastAsia="mk-MK"/>
              </w:rPr>
              <w:t xml:space="preserve"> Implementation</w:t>
            </w:r>
            <w:r w:rsidR="006030B4"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of</w:t>
            </w:r>
            <w:r w:rsidR="006030B4"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an</w:t>
            </w:r>
            <w:r w:rsidR="006030B4"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Integrated</w:t>
            </w:r>
            <w:r w:rsidR="006030B4"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Financial</w:t>
            </w:r>
            <w:r w:rsidR="006030B4"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Management</w:t>
            </w:r>
            <w:r w:rsidR="006030B4"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Information</w:t>
            </w:r>
            <w:r w:rsidR="006030B4"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 xml:space="preserve">System (IFMIS) </w:t>
            </w:r>
          </w:p>
        </w:tc>
      </w:tr>
      <w:tr w:rsidR="00485BAA" w:rsidRPr="00D30847" w14:paraId="448D0362" w14:textId="77777777" w:rsidTr="00FD4DDE">
        <w:trPr>
          <w:gridBefore w:val="3"/>
          <w:gridAfter w:val="1"/>
          <w:wBefore w:w="37" w:type="dxa"/>
          <w:wAfter w:w="52" w:type="dxa"/>
          <w:trHeight w:val="265"/>
          <w:jc w:val="center"/>
        </w:trPr>
        <w:tc>
          <w:tcPr>
            <w:tcW w:w="2303" w:type="dxa"/>
            <w:gridSpan w:val="3"/>
            <w:tcBorders>
              <w:bottom w:val="single" w:sz="8" w:space="0" w:color="000000"/>
            </w:tcBorders>
            <w:shd w:val="clear" w:color="000000" w:fill="9BD2ED"/>
            <w:vAlign w:val="center"/>
            <w:hideMark/>
          </w:tcPr>
          <w:p w14:paraId="5CEF56A1"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Outcome(s)</w:t>
            </w:r>
          </w:p>
        </w:tc>
        <w:tc>
          <w:tcPr>
            <w:tcW w:w="1836" w:type="dxa"/>
            <w:gridSpan w:val="5"/>
            <w:tcBorders>
              <w:bottom w:val="single" w:sz="8" w:space="0" w:color="000000"/>
            </w:tcBorders>
            <w:shd w:val="clear" w:color="000000" w:fill="9BD2ED"/>
            <w:vAlign w:val="center"/>
            <w:hideMark/>
          </w:tcPr>
          <w:p w14:paraId="64DB4EA7" w14:textId="49B6A6BA"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6030B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tcBorders>
              <w:bottom w:val="single" w:sz="8" w:space="0" w:color="000000"/>
            </w:tcBorders>
            <w:shd w:val="clear" w:color="000000" w:fill="9BD2ED"/>
            <w:vAlign w:val="center"/>
            <w:hideMark/>
          </w:tcPr>
          <w:p w14:paraId="4C6559A6" w14:textId="7F27126C"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6030B4"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672D0E3E" w14:textId="6AA5C02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1368D6"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468851AA" w14:textId="184621E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1368D6"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76B1CB3C" w14:textId="0F4DA405"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1368D6"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1DCEACE4" w14:textId="22F0B912"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1368D6"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1CCB767B" w14:textId="6B6A8B9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1368D6" w:rsidRPr="00D30847">
              <w:rPr>
                <w:rFonts w:ascii="Arial" w:eastAsia="Times New Roman" w:hAnsi="Arial" w:cs="Arial"/>
                <w:b/>
                <w:bCs/>
                <w:sz w:val="12"/>
                <w:szCs w:val="12"/>
                <w:lang w:val="en-GB" w:eastAsia="mk-MK"/>
              </w:rPr>
              <w:t>8</w:t>
            </w:r>
          </w:p>
        </w:tc>
      </w:tr>
      <w:tr w:rsidR="00485BAA" w:rsidRPr="00D30847" w14:paraId="33BFC7E1" w14:textId="77777777" w:rsidTr="00FD4DDE">
        <w:trPr>
          <w:gridBefore w:val="3"/>
          <w:gridAfter w:val="1"/>
          <w:wBefore w:w="37" w:type="dxa"/>
          <w:wAfter w:w="52" w:type="dxa"/>
          <w:trHeight w:val="874"/>
          <w:jc w:val="center"/>
        </w:trPr>
        <w:tc>
          <w:tcPr>
            <w:tcW w:w="2303" w:type="dxa"/>
            <w:gridSpan w:val="3"/>
            <w:tcBorders>
              <w:top w:val="single" w:sz="8" w:space="0" w:color="000000"/>
              <w:left w:val="single" w:sz="8" w:space="0" w:color="000000"/>
              <w:bottom w:val="single" w:sz="8" w:space="0" w:color="000000"/>
              <w:right w:val="single" w:sz="8" w:space="0" w:color="000000"/>
            </w:tcBorders>
            <w:shd w:val="clear" w:color="000000" w:fill="FFFF99"/>
            <w:vAlign w:val="center"/>
            <w:hideMark/>
          </w:tcPr>
          <w:p w14:paraId="70C79101" w14:textId="596EAF8D" w:rsidR="00485BAA" w:rsidRPr="00D30847" w:rsidRDefault="006030B4"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lastRenderedPageBreak/>
              <w:t>Improved operational efficiency and transparency through IFMIS in line with the new OBL.</w:t>
            </w:r>
          </w:p>
        </w:tc>
        <w:tc>
          <w:tcPr>
            <w:tcW w:w="1836" w:type="dxa"/>
            <w:gridSpan w:val="5"/>
            <w:tcBorders>
              <w:top w:val="single" w:sz="8" w:space="0" w:color="000000"/>
              <w:left w:val="single" w:sz="8" w:space="0" w:color="000000"/>
              <w:bottom w:val="single" w:sz="8" w:space="0" w:color="000000"/>
            </w:tcBorders>
            <w:shd w:val="clear" w:color="000000" w:fill="FFFF99"/>
            <w:vAlign w:val="center"/>
            <w:hideMark/>
          </w:tcPr>
          <w:p w14:paraId="3312BB5D" w14:textId="3270C036" w:rsidR="00485BAA" w:rsidRPr="00D30847" w:rsidRDefault="006B466D"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The required time for the processing of payments through IFMIS and Treasury Single Account interface was reduced</w:t>
            </w:r>
          </w:p>
        </w:tc>
        <w:tc>
          <w:tcPr>
            <w:tcW w:w="1194" w:type="dxa"/>
            <w:gridSpan w:val="2"/>
            <w:tcBorders>
              <w:bottom w:val="single" w:sz="8" w:space="0" w:color="000000"/>
            </w:tcBorders>
            <w:shd w:val="clear" w:color="000000" w:fill="FFFF99"/>
            <w:vAlign w:val="center"/>
            <w:hideMark/>
          </w:tcPr>
          <w:p w14:paraId="70AABD1E" w14:textId="4C4F0F4B" w:rsidR="00485BAA" w:rsidRPr="00D30847" w:rsidRDefault="006030B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PFM Reform Program Annual Progress Reports,</w:t>
            </w:r>
            <w:r w:rsidRPr="00D30847">
              <w:rPr>
                <w:rFonts w:ascii="Arial" w:eastAsia="Times New Roman" w:hAnsi="Arial" w:cs="Arial"/>
                <w:sz w:val="12"/>
                <w:szCs w:val="12"/>
                <w:lang w:val="en-GB" w:eastAsia="mk-MK"/>
              </w:rPr>
              <w:br/>
              <w:t>Project reports</w:t>
            </w:r>
          </w:p>
        </w:tc>
        <w:tc>
          <w:tcPr>
            <w:tcW w:w="1418" w:type="dxa"/>
            <w:gridSpan w:val="3"/>
            <w:shd w:val="clear" w:color="000000" w:fill="FFFF99"/>
            <w:vAlign w:val="center"/>
            <w:hideMark/>
          </w:tcPr>
          <w:p w14:paraId="61261C09" w14:textId="4D89BE24" w:rsidR="00485BAA" w:rsidRPr="00D30847" w:rsidRDefault="006030B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No IFMIS; 30 days for entities to submit the invoice to the Treasury +1 for payment processing</w:t>
            </w:r>
          </w:p>
        </w:tc>
        <w:tc>
          <w:tcPr>
            <w:tcW w:w="1644" w:type="dxa"/>
            <w:gridSpan w:val="3"/>
            <w:shd w:val="clear" w:color="000000" w:fill="FFFF99"/>
            <w:vAlign w:val="center"/>
            <w:hideMark/>
          </w:tcPr>
          <w:p w14:paraId="0E0E7418" w14:textId="7FAFE911" w:rsidR="00485BAA" w:rsidRPr="00D30847" w:rsidRDefault="00407B01"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shd w:val="clear" w:color="000000" w:fill="FFFF99"/>
            <w:vAlign w:val="center"/>
            <w:hideMark/>
          </w:tcPr>
          <w:p w14:paraId="5B8862A2" w14:textId="1A8D1AC1" w:rsidR="00485BAA" w:rsidRPr="00D30847" w:rsidRDefault="00407B01"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hideMark/>
          </w:tcPr>
          <w:p w14:paraId="1A3CB73F" w14:textId="6E47FB79" w:rsidR="00485BAA" w:rsidRPr="00D30847" w:rsidRDefault="006030B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On average, 15 days for entities to submit invoices to Treasury +1 day for payment processing by Treasury</w:t>
            </w:r>
          </w:p>
        </w:tc>
        <w:tc>
          <w:tcPr>
            <w:tcW w:w="1506" w:type="dxa"/>
            <w:gridSpan w:val="4"/>
            <w:shd w:val="clear" w:color="000000" w:fill="FFFF99"/>
            <w:vAlign w:val="center"/>
            <w:hideMark/>
          </w:tcPr>
          <w:p w14:paraId="264EAFEC" w14:textId="41EF01CD" w:rsidR="00485BAA" w:rsidRPr="00D30847" w:rsidRDefault="0074198F"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5 days for entities to submit invoices to Treasury +1 day for payment processing by Treasury</w:t>
            </w:r>
          </w:p>
        </w:tc>
      </w:tr>
      <w:tr w:rsidR="00485BAA" w:rsidRPr="00D30847" w14:paraId="1A92CFA3" w14:textId="77777777" w:rsidTr="00FD4DDE">
        <w:trPr>
          <w:gridBefore w:val="3"/>
          <w:gridAfter w:val="1"/>
          <w:wBefore w:w="37" w:type="dxa"/>
          <w:wAfter w:w="52" w:type="dxa"/>
          <w:trHeight w:val="689"/>
          <w:jc w:val="center"/>
        </w:trPr>
        <w:tc>
          <w:tcPr>
            <w:tcW w:w="2303" w:type="dxa"/>
            <w:gridSpan w:val="3"/>
            <w:vMerge w:val="restart"/>
            <w:tcBorders>
              <w:top w:val="single" w:sz="8" w:space="0" w:color="000000"/>
              <w:left w:val="nil"/>
              <w:bottom w:val="nil"/>
              <w:right w:val="single" w:sz="8" w:space="0" w:color="000000"/>
            </w:tcBorders>
            <w:shd w:val="clear" w:color="000000" w:fill="FFFFFF"/>
            <w:vAlign w:val="center"/>
            <w:hideMark/>
          </w:tcPr>
          <w:p w14:paraId="5F63BFBA" w14:textId="77777777" w:rsidR="00485BAA" w:rsidRPr="00D30847" w:rsidRDefault="00485BAA" w:rsidP="00FA10C2">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top w:val="single" w:sz="8" w:space="0" w:color="000000"/>
              <w:left w:val="single" w:sz="8" w:space="0" w:color="000000"/>
            </w:tcBorders>
            <w:shd w:val="clear" w:color="000000" w:fill="FFFF99"/>
            <w:vAlign w:val="center"/>
            <w:hideMark/>
          </w:tcPr>
          <w:p w14:paraId="10BF3D3B" w14:textId="24F0A218" w:rsidR="00485BAA" w:rsidRPr="00D30847" w:rsidRDefault="006B466D"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Comprehensiveness of publicly published general government reporting</w:t>
            </w:r>
          </w:p>
        </w:tc>
        <w:tc>
          <w:tcPr>
            <w:tcW w:w="1194" w:type="dxa"/>
            <w:gridSpan w:val="2"/>
            <w:tcBorders>
              <w:top w:val="single" w:sz="8" w:space="0" w:color="000000"/>
            </w:tcBorders>
            <w:shd w:val="clear" w:color="000000" w:fill="FFFF99"/>
            <w:vAlign w:val="center"/>
            <w:hideMark/>
          </w:tcPr>
          <w:p w14:paraId="139CC12D" w14:textId="0A2CDACF" w:rsidR="00485BAA" w:rsidRPr="00D30847" w:rsidRDefault="006030B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PFM Reform Program Annual Progress Reports,</w:t>
            </w:r>
            <w:r w:rsidRPr="00D30847">
              <w:rPr>
                <w:rFonts w:ascii="Arial" w:eastAsia="Times New Roman" w:hAnsi="Arial" w:cs="Arial"/>
                <w:sz w:val="12"/>
                <w:szCs w:val="12"/>
                <w:lang w:val="en-GB" w:eastAsia="mk-MK"/>
              </w:rPr>
              <w:br/>
              <w:t>Project reports</w:t>
            </w:r>
          </w:p>
        </w:tc>
        <w:tc>
          <w:tcPr>
            <w:tcW w:w="1418" w:type="dxa"/>
            <w:gridSpan w:val="3"/>
            <w:shd w:val="clear" w:color="000000" w:fill="FFFF99"/>
            <w:vAlign w:val="center"/>
            <w:hideMark/>
          </w:tcPr>
          <w:p w14:paraId="7FAB8C6C" w14:textId="41BC2065" w:rsidR="00485BAA" w:rsidRPr="00D30847" w:rsidRDefault="0074198F"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Annual Budget preparation and budget execution reports do not cover all relevant institutions in accordance with international standards (ESA 2010 and GFS)</w:t>
            </w:r>
          </w:p>
        </w:tc>
        <w:tc>
          <w:tcPr>
            <w:tcW w:w="1644" w:type="dxa"/>
            <w:gridSpan w:val="3"/>
            <w:shd w:val="clear" w:color="000000" w:fill="FFFF99"/>
            <w:vAlign w:val="center"/>
            <w:hideMark/>
          </w:tcPr>
          <w:p w14:paraId="73370A76" w14:textId="5B5E114C" w:rsidR="00485BAA" w:rsidRPr="00D30847" w:rsidRDefault="006030B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IFMIS bidding process is launched including the requirements for necessary improvements in reporting.</w:t>
            </w:r>
          </w:p>
        </w:tc>
        <w:tc>
          <w:tcPr>
            <w:tcW w:w="1758" w:type="dxa"/>
            <w:gridSpan w:val="4"/>
            <w:shd w:val="clear" w:color="000000" w:fill="FFFF99"/>
            <w:vAlign w:val="center"/>
            <w:hideMark/>
          </w:tcPr>
          <w:p w14:paraId="21993B31" w14:textId="730E4F9B" w:rsidR="00485BAA" w:rsidRPr="00D30847" w:rsidRDefault="006030B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IFMIS development is completed and the pilot implementation includes testing of reporting improvements</w:t>
            </w:r>
          </w:p>
        </w:tc>
        <w:tc>
          <w:tcPr>
            <w:tcW w:w="1842" w:type="dxa"/>
            <w:gridSpan w:val="4"/>
            <w:shd w:val="clear" w:color="000000" w:fill="FFFF99"/>
            <w:vAlign w:val="center"/>
            <w:hideMark/>
          </w:tcPr>
          <w:p w14:paraId="0E80970D" w14:textId="141E2988" w:rsidR="00485BAA" w:rsidRPr="00D30847" w:rsidRDefault="006030B4"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IFMIS is fully operational and new reporting capabilities are available. Government entities can generate reports including all relevant institutions.</w:t>
            </w:r>
          </w:p>
        </w:tc>
        <w:tc>
          <w:tcPr>
            <w:tcW w:w="1506" w:type="dxa"/>
            <w:gridSpan w:val="4"/>
            <w:shd w:val="clear" w:color="000000" w:fill="FFFF99"/>
            <w:vAlign w:val="center"/>
            <w:hideMark/>
          </w:tcPr>
          <w:p w14:paraId="762F95CD" w14:textId="7CCDF1E7" w:rsidR="00485BAA" w:rsidRPr="00D30847" w:rsidRDefault="0074198F"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Regulatory agencies and PEs are included as part of the budget preparation and execution reports through the new IFMIS, in line with new PE Registry.</w:t>
            </w:r>
          </w:p>
        </w:tc>
      </w:tr>
      <w:tr w:rsidR="00485BAA" w:rsidRPr="00D30847" w14:paraId="4D90343E" w14:textId="77777777" w:rsidTr="00FD4DDE">
        <w:trPr>
          <w:gridBefore w:val="3"/>
          <w:gridAfter w:val="1"/>
          <w:wBefore w:w="37" w:type="dxa"/>
          <w:wAfter w:w="52" w:type="dxa"/>
          <w:trHeight w:val="685"/>
          <w:jc w:val="center"/>
        </w:trPr>
        <w:tc>
          <w:tcPr>
            <w:tcW w:w="2303" w:type="dxa"/>
            <w:gridSpan w:val="3"/>
            <w:vMerge/>
            <w:tcBorders>
              <w:top w:val="nil"/>
              <w:left w:val="nil"/>
              <w:bottom w:val="nil"/>
              <w:right w:val="single" w:sz="8" w:space="0" w:color="000000"/>
            </w:tcBorders>
            <w:vAlign w:val="center"/>
            <w:hideMark/>
          </w:tcPr>
          <w:p w14:paraId="0D3464ED"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2E10A13B" w14:textId="4BA13A22" w:rsidR="00485BAA" w:rsidRPr="00D30847" w:rsidRDefault="00812973"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Open</w:t>
            </w:r>
            <w:r w:rsidR="006030B4"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Budget</w:t>
            </w:r>
            <w:r w:rsidR="006030B4"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Index</w:t>
            </w:r>
            <w:r w:rsidR="006030B4"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Score (transparency) increased</w:t>
            </w:r>
          </w:p>
        </w:tc>
        <w:tc>
          <w:tcPr>
            <w:tcW w:w="1194" w:type="dxa"/>
            <w:gridSpan w:val="2"/>
            <w:shd w:val="clear" w:color="000000" w:fill="FFFF99"/>
            <w:vAlign w:val="center"/>
            <w:hideMark/>
          </w:tcPr>
          <w:p w14:paraId="4F0612B3" w14:textId="480314B7" w:rsidR="00485BAA" w:rsidRPr="00D30847" w:rsidRDefault="00812973"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Open</w:t>
            </w:r>
            <w:r w:rsidR="00AD1685"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Budget</w:t>
            </w:r>
            <w:r w:rsidR="00AD1685" w:rsidRPr="00D30847">
              <w:rPr>
                <w:rFonts w:ascii="Arial" w:eastAsia="Times New Roman" w:hAnsi="Arial" w:cs="Arial"/>
                <w:sz w:val="12"/>
                <w:szCs w:val="12"/>
                <w:lang w:val="en-GB" w:eastAsia="mk-MK"/>
              </w:rPr>
              <w:t xml:space="preserve"> </w:t>
            </w:r>
            <w:r w:rsidR="00404D96" w:rsidRPr="00D30847">
              <w:rPr>
                <w:rFonts w:ascii="Arial" w:eastAsia="Times New Roman" w:hAnsi="Arial" w:cs="Arial"/>
                <w:sz w:val="12"/>
                <w:szCs w:val="12"/>
                <w:lang w:val="en-GB" w:eastAsia="mk-MK"/>
              </w:rPr>
              <w:t>Survey Results</w:t>
            </w:r>
          </w:p>
        </w:tc>
        <w:tc>
          <w:tcPr>
            <w:tcW w:w="1418" w:type="dxa"/>
            <w:gridSpan w:val="3"/>
            <w:shd w:val="clear" w:color="000000" w:fill="FFFF99"/>
            <w:vAlign w:val="center"/>
            <w:hideMark/>
          </w:tcPr>
          <w:p w14:paraId="370834B2" w14:textId="77777777" w:rsidR="00485BAA" w:rsidRPr="00D30847" w:rsidRDefault="00812973"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36 out 100 (2021)</w:t>
            </w:r>
          </w:p>
        </w:tc>
        <w:tc>
          <w:tcPr>
            <w:tcW w:w="1644" w:type="dxa"/>
            <w:gridSpan w:val="3"/>
            <w:shd w:val="clear" w:color="000000" w:fill="FFFF99"/>
            <w:vAlign w:val="center"/>
            <w:hideMark/>
          </w:tcPr>
          <w:p w14:paraId="50DA5812" w14:textId="0022A607" w:rsidR="00485BAA" w:rsidRPr="00D30847" w:rsidRDefault="00812973"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50 </w:t>
            </w:r>
            <w:r w:rsidR="00404D96" w:rsidRPr="00D30847">
              <w:rPr>
                <w:rFonts w:ascii="Arial" w:eastAsia="Times New Roman" w:hAnsi="Arial" w:cs="Arial"/>
                <w:sz w:val="12"/>
                <w:szCs w:val="12"/>
                <w:lang w:val="en-GB" w:eastAsia="mk-MK"/>
              </w:rPr>
              <w:t>out of</w:t>
            </w:r>
            <w:r w:rsidRPr="00D30847">
              <w:rPr>
                <w:rFonts w:ascii="Arial" w:eastAsia="Times New Roman" w:hAnsi="Arial" w:cs="Arial"/>
                <w:sz w:val="12"/>
                <w:szCs w:val="12"/>
                <w:lang w:val="en-GB" w:eastAsia="mk-MK"/>
              </w:rPr>
              <w:t xml:space="preserve"> 100 (2023)</w:t>
            </w:r>
          </w:p>
        </w:tc>
        <w:tc>
          <w:tcPr>
            <w:tcW w:w="1758" w:type="dxa"/>
            <w:gridSpan w:val="4"/>
            <w:shd w:val="clear" w:color="000000" w:fill="FFFF99"/>
            <w:vAlign w:val="center"/>
            <w:hideMark/>
          </w:tcPr>
          <w:p w14:paraId="63718859" w14:textId="32480F0B" w:rsidR="00485BAA" w:rsidRPr="00D30847" w:rsidRDefault="00407B01"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hideMark/>
          </w:tcPr>
          <w:p w14:paraId="1588A80F" w14:textId="6765D595" w:rsidR="00485BAA" w:rsidRPr="00D30847" w:rsidRDefault="006B466D"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hideMark/>
          </w:tcPr>
          <w:p w14:paraId="36A4063D" w14:textId="3B7DCDC6" w:rsidR="00485BAA" w:rsidRPr="00D30847" w:rsidRDefault="00812973"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61 </w:t>
            </w:r>
            <w:r w:rsidR="00404D96" w:rsidRPr="00D30847">
              <w:rPr>
                <w:rFonts w:ascii="Arial" w:eastAsia="Times New Roman" w:hAnsi="Arial" w:cs="Arial"/>
                <w:sz w:val="12"/>
                <w:szCs w:val="12"/>
                <w:lang w:val="en-GB" w:eastAsia="mk-MK"/>
              </w:rPr>
              <w:t>out of</w:t>
            </w:r>
            <w:r w:rsidRPr="00D30847">
              <w:rPr>
                <w:rFonts w:ascii="Arial" w:eastAsia="Times New Roman" w:hAnsi="Arial" w:cs="Arial"/>
                <w:sz w:val="12"/>
                <w:szCs w:val="12"/>
                <w:lang w:val="en-GB" w:eastAsia="mk-MK"/>
              </w:rPr>
              <w:t xml:space="preserve"> 100 (2025)</w:t>
            </w:r>
          </w:p>
        </w:tc>
      </w:tr>
      <w:tr w:rsidR="00485BAA" w:rsidRPr="00D30847" w14:paraId="62C498D8" w14:textId="77777777" w:rsidTr="00FD4DDE">
        <w:trPr>
          <w:gridBefore w:val="3"/>
          <w:gridAfter w:val="1"/>
          <w:wBefore w:w="37" w:type="dxa"/>
          <w:wAfter w:w="52" w:type="dxa"/>
          <w:trHeight w:val="245"/>
          <w:jc w:val="center"/>
        </w:trPr>
        <w:tc>
          <w:tcPr>
            <w:tcW w:w="13501" w:type="dxa"/>
            <w:gridSpan w:val="28"/>
            <w:shd w:val="clear" w:color="000000" w:fill="9BD2ED"/>
            <w:vAlign w:val="center"/>
            <w:hideMark/>
          </w:tcPr>
          <w:p w14:paraId="3030FF73" w14:textId="07EF926A" w:rsidR="00485BAA" w:rsidRPr="00D30847" w:rsidRDefault="00812973" w:rsidP="00485BAA">
            <w:pPr>
              <w:spacing w:after="0" w:line="240" w:lineRule="auto"/>
              <w:rPr>
                <w:rFonts w:ascii="Arial" w:eastAsia="Times New Roman" w:hAnsi="Arial" w:cs="Arial"/>
                <w:b/>
                <w:bCs/>
                <w:sz w:val="12"/>
                <w:szCs w:val="12"/>
                <w:lang w:val="en-GB" w:eastAsia="mk-MK"/>
              </w:rPr>
            </w:pPr>
            <w:bookmarkStart w:id="80" w:name="_Hlk153544061"/>
            <w:r w:rsidRPr="00D30847">
              <w:rPr>
                <w:rFonts w:ascii="Arial" w:eastAsia="Times New Roman" w:hAnsi="Arial" w:cs="Arial"/>
                <w:b/>
                <w:bCs/>
                <w:sz w:val="12"/>
                <w:szCs w:val="12"/>
                <w:lang w:val="en-GB" w:eastAsia="mk-MK"/>
              </w:rPr>
              <w:t>M</w:t>
            </w:r>
            <w:r w:rsidR="00577A56"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1</w:t>
            </w:r>
            <w:r w:rsidR="00577A56" w:rsidRPr="00D30847">
              <w:rPr>
                <w:rFonts w:ascii="Arial" w:eastAsia="Times New Roman" w:hAnsi="Arial" w:cs="Arial"/>
                <w:b/>
                <w:bCs/>
                <w:sz w:val="12"/>
                <w:szCs w:val="12"/>
                <w:lang w:val="en-GB" w:eastAsia="mk-MK"/>
              </w:rPr>
              <w:t>.</w:t>
            </w:r>
            <w:r w:rsidRPr="00D30847">
              <w:rPr>
                <w:rFonts w:ascii="Arial" w:eastAsia="Times New Roman" w:hAnsi="Arial" w:cs="Arial"/>
                <w:b/>
                <w:bCs/>
                <w:sz w:val="12"/>
                <w:szCs w:val="12"/>
                <w:lang w:val="en-GB" w:eastAsia="mk-MK"/>
              </w:rPr>
              <w:t xml:space="preserve"> Development</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 IFMIS as</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an</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integrated</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centralized</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web-based</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system</w:t>
            </w:r>
          </w:p>
        </w:tc>
      </w:tr>
      <w:tr w:rsidR="00485BAA" w:rsidRPr="00D30847" w14:paraId="53500A24" w14:textId="77777777" w:rsidTr="00FD4DDE">
        <w:trPr>
          <w:gridBefore w:val="3"/>
          <w:gridAfter w:val="1"/>
          <w:wBefore w:w="37" w:type="dxa"/>
          <w:wAfter w:w="52" w:type="dxa"/>
          <w:trHeight w:val="315"/>
          <w:jc w:val="center"/>
        </w:trPr>
        <w:tc>
          <w:tcPr>
            <w:tcW w:w="2303" w:type="dxa"/>
            <w:gridSpan w:val="3"/>
            <w:vMerge w:val="restart"/>
            <w:tcBorders>
              <w:top w:val="nil"/>
              <w:left w:val="nil"/>
              <w:bottom w:val="nil"/>
              <w:right w:val="single" w:sz="8" w:space="0" w:color="000000"/>
            </w:tcBorders>
            <w:shd w:val="clear" w:color="auto" w:fill="auto"/>
            <w:vAlign w:val="center"/>
            <w:hideMark/>
          </w:tcPr>
          <w:p w14:paraId="2B288DE8"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4DD8C549" w14:textId="76543068"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101570B7" w14:textId="3BD1BA75" w:rsidR="00485BAA" w:rsidRPr="00D30847" w:rsidRDefault="00404D96"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 Source</w:t>
            </w:r>
          </w:p>
        </w:tc>
        <w:tc>
          <w:tcPr>
            <w:tcW w:w="1418" w:type="dxa"/>
            <w:gridSpan w:val="3"/>
            <w:shd w:val="clear" w:color="000000" w:fill="9BD2ED"/>
            <w:vAlign w:val="center"/>
            <w:hideMark/>
          </w:tcPr>
          <w:p w14:paraId="2191E53D" w14:textId="503AACFF"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7F3886"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751416F2" w14:textId="33DF7894"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7F3886"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1EC12E30" w14:textId="68C3C5AB"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7F3886"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7415AD0B" w14:textId="74BE0039" w:rsidR="00485BAA" w:rsidRPr="00D30847" w:rsidRDefault="00485BAA" w:rsidP="0081297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7F3886"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7E9C7561" w14:textId="13CF5CD8"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7F3886" w:rsidRPr="00D30847">
              <w:rPr>
                <w:rFonts w:ascii="Arial" w:eastAsia="Times New Roman" w:hAnsi="Arial" w:cs="Arial"/>
                <w:b/>
                <w:bCs/>
                <w:sz w:val="12"/>
                <w:szCs w:val="12"/>
                <w:lang w:val="en-GB" w:eastAsia="mk-MK"/>
              </w:rPr>
              <w:t>8</w:t>
            </w:r>
          </w:p>
        </w:tc>
      </w:tr>
      <w:tr w:rsidR="00485BAA" w:rsidRPr="00D30847" w14:paraId="387C0D88" w14:textId="77777777" w:rsidTr="00FD4DDE">
        <w:trPr>
          <w:gridBefore w:val="3"/>
          <w:gridAfter w:val="1"/>
          <w:wBefore w:w="37" w:type="dxa"/>
          <w:wAfter w:w="52" w:type="dxa"/>
          <w:trHeight w:val="571"/>
          <w:jc w:val="center"/>
        </w:trPr>
        <w:tc>
          <w:tcPr>
            <w:tcW w:w="2303" w:type="dxa"/>
            <w:gridSpan w:val="3"/>
            <w:vMerge/>
            <w:tcBorders>
              <w:top w:val="nil"/>
              <w:left w:val="nil"/>
              <w:bottom w:val="nil"/>
              <w:right w:val="single" w:sz="8" w:space="0" w:color="000000"/>
            </w:tcBorders>
            <w:vAlign w:val="center"/>
            <w:hideMark/>
          </w:tcPr>
          <w:p w14:paraId="40A1E351"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1D9A64E8" w14:textId="16D1FD72" w:rsidR="00485BAA" w:rsidRPr="00D30847" w:rsidRDefault="00812973" w:rsidP="00FA10C2">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New IFMIS is</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operational</w:t>
            </w:r>
          </w:p>
        </w:tc>
        <w:tc>
          <w:tcPr>
            <w:tcW w:w="1194" w:type="dxa"/>
            <w:gridSpan w:val="2"/>
            <w:shd w:val="clear" w:color="000000" w:fill="FFFF99"/>
            <w:vAlign w:val="center"/>
            <w:hideMark/>
          </w:tcPr>
          <w:p w14:paraId="471DE0E3"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Project Reports</w:t>
            </w:r>
          </w:p>
        </w:tc>
        <w:tc>
          <w:tcPr>
            <w:tcW w:w="1418" w:type="dxa"/>
            <w:gridSpan w:val="3"/>
            <w:shd w:val="clear" w:color="000000" w:fill="FFFF99"/>
            <w:vAlign w:val="center"/>
            <w:hideMark/>
          </w:tcPr>
          <w:p w14:paraId="60493EAD" w14:textId="77777777"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No IFMIS</w:t>
            </w:r>
          </w:p>
        </w:tc>
        <w:tc>
          <w:tcPr>
            <w:tcW w:w="1644" w:type="dxa"/>
            <w:gridSpan w:val="3"/>
            <w:shd w:val="clear" w:color="000000" w:fill="FFFF99"/>
            <w:vAlign w:val="center"/>
            <w:hideMark/>
          </w:tcPr>
          <w:p w14:paraId="74F6675C" w14:textId="16D20412" w:rsidR="00485BAA" w:rsidRPr="00D30847" w:rsidRDefault="00812973"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New IFMIS is</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being</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developed</w:t>
            </w:r>
          </w:p>
        </w:tc>
        <w:tc>
          <w:tcPr>
            <w:tcW w:w="1758" w:type="dxa"/>
            <w:gridSpan w:val="4"/>
            <w:shd w:val="clear" w:color="000000" w:fill="FFFF99"/>
            <w:vAlign w:val="center"/>
            <w:hideMark/>
          </w:tcPr>
          <w:p w14:paraId="2BE81F92" w14:textId="711D2DFF" w:rsidR="00485BAA" w:rsidRPr="00D30847" w:rsidRDefault="00812973"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IFMIS has</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gone</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live</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after</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being</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piloted</w:t>
            </w:r>
          </w:p>
        </w:tc>
        <w:tc>
          <w:tcPr>
            <w:tcW w:w="1842" w:type="dxa"/>
            <w:gridSpan w:val="4"/>
            <w:shd w:val="clear" w:color="000000" w:fill="FFFF99"/>
            <w:vAlign w:val="center"/>
            <w:hideMark/>
          </w:tcPr>
          <w:p w14:paraId="030FF44B" w14:textId="113B01B5" w:rsidR="00485BAA" w:rsidRPr="00D30847" w:rsidRDefault="00551499"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IFMIS is used in the preparation and execution of the central government budget</w:t>
            </w:r>
          </w:p>
        </w:tc>
        <w:tc>
          <w:tcPr>
            <w:tcW w:w="1506" w:type="dxa"/>
            <w:gridSpan w:val="4"/>
            <w:shd w:val="clear" w:color="000000" w:fill="FFFF99"/>
            <w:vAlign w:val="center"/>
            <w:hideMark/>
          </w:tcPr>
          <w:p w14:paraId="161B82F7" w14:textId="6E96CE85" w:rsidR="00485BAA" w:rsidRPr="00D30847" w:rsidRDefault="00551499"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At least 95 percent of payments processed through the IFMIS</w:t>
            </w:r>
          </w:p>
        </w:tc>
      </w:tr>
      <w:tr w:rsidR="00485BAA" w:rsidRPr="00D30847" w14:paraId="7264C6D8" w14:textId="77777777" w:rsidTr="00FD4DDE">
        <w:trPr>
          <w:gridBefore w:val="3"/>
          <w:gridAfter w:val="1"/>
          <w:wBefore w:w="37" w:type="dxa"/>
          <w:wAfter w:w="52" w:type="dxa"/>
          <w:trHeight w:val="255"/>
          <w:jc w:val="center"/>
        </w:trPr>
        <w:tc>
          <w:tcPr>
            <w:tcW w:w="2303" w:type="dxa"/>
            <w:gridSpan w:val="3"/>
            <w:vMerge/>
            <w:tcBorders>
              <w:top w:val="nil"/>
              <w:left w:val="nil"/>
              <w:bottom w:val="nil"/>
              <w:right w:val="single" w:sz="8" w:space="0" w:color="000000"/>
            </w:tcBorders>
            <w:vAlign w:val="center"/>
            <w:hideMark/>
          </w:tcPr>
          <w:p w14:paraId="0A1FF60C"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072EE375"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2CD8C2B7" w14:textId="0C481C1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period</w:t>
            </w:r>
          </w:p>
        </w:tc>
        <w:tc>
          <w:tcPr>
            <w:tcW w:w="1418" w:type="dxa"/>
            <w:gridSpan w:val="3"/>
            <w:shd w:val="clear" w:color="000000" w:fill="9BD2ED"/>
            <w:vAlign w:val="center"/>
            <w:hideMark/>
          </w:tcPr>
          <w:p w14:paraId="12B2BDB3" w14:textId="3BBAE74C"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institution</w:t>
            </w:r>
          </w:p>
        </w:tc>
        <w:tc>
          <w:tcPr>
            <w:tcW w:w="1644" w:type="dxa"/>
            <w:gridSpan w:val="3"/>
            <w:shd w:val="clear" w:color="000000" w:fill="9BD2ED"/>
            <w:vAlign w:val="center"/>
            <w:hideMark/>
          </w:tcPr>
          <w:p w14:paraId="6E243FFC" w14:textId="19D92DB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partners</w:t>
            </w:r>
          </w:p>
        </w:tc>
        <w:tc>
          <w:tcPr>
            <w:tcW w:w="1758" w:type="dxa"/>
            <w:gridSpan w:val="4"/>
            <w:shd w:val="clear" w:color="000000" w:fill="9BD2ED"/>
            <w:vAlign w:val="center"/>
            <w:hideMark/>
          </w:tcPr>
          <w:p w14:paraId="7FB79D14"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42121641" w14:textId="3450C66E" w:rsidR="00485BAA" w:rsidRPr="00D30847" w:rsidRDefault="00485BAA" w:rsidP="00485BAA">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financing</w:t>
            </w:r>
          </w:p>
        </w:tc>
        <w:tc>
          <w:tcPr>
            <w:tcW w:w="1506" w:type="dxa"/>
            <w:gridSpan w:val="4"/>
            <w:shd w:val="clear" w:color="000000" w:fill="9BD2ED"/>
            <w:vAlign w:val="center"/>
            <w:hideMark/>
          </w:tcPr>
          <w:p w14:paraId="4AEC9D8B"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bookmarkEnd w:id="80"/>
      <w:tr w:rsidR="00485BAA" w:rsidRPr="00D30847" w14:paraId="2DBB98DF" w14:textId="77777777" w:rsidTr="00FD4DDE">
        <w:trPr>
          <w:gridBefore w:val="3"/>
          <w:gridAfter w:val="1"/>
          <w:wBefore w:w="37" w:type="dxa"/>
          <w:wAfter w:w="52" w:type="dxa"/>
          <w:trHeight w:val="758"/>
          <w:jc w:val="center"/>
        </w:trPr>
        <w:tc>
          <w:tcPr>
            <w:tcW w:w="2303" w:type="dxa"/>
            <w:gridSpan w:val="3"/>
            <w:vMerge/>
            <w:tcBorders>
              <w:top w:val="nil"/>
              <w:left w:val="nil"/>
              <w:bottom w:val="nil"/>
              <w:right w:val="single" w:sz="8" w:space="0" w:color="000000"/>
            </w:tcBorders>
            <w:vAlign w:val="center"/>
            <w:hideMark/>
          </w:tcPr>
          <w:p w14:paraId="1F2D3525"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245C9CD7" w14:textId="19C3F636" w:rsidR="00485BAA" w:rsidRPr="00D30847" w:rsidRDefault="00812973"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Selection</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 IFMIS Solution</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Provider</w:t>
            </w:r>
          </w:p>
        </w:tc>
        <w:tc>
          <w:tcPr>
            <w:tcW w:w="1194" w:type="dxa"/>
            <w:gridSpan w:val="2"/>
            <w:shd w:val="clear" w:color="000000" w:fill="FFFF99"/>
            <w:vAlign w:val="center"/>
            <w:hideMark/>
          </w:tcPr>
          <w:p w14:paraId="0FF9BA20" w14:textId="6294CFA1"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w:t>
            </w:r>
            <w:r w:rsidR="00595060" w:rsidRPr="00D30847">
              <w:rPr>
                <w:rFonts w:ascii="Arial" w:eastAsia="Times New Roman" w:hAnsi="Arial" w:cs="Arial"/>
                <w:sz w:val="12"/>
                <w:szCs w:val="12"/>
                <w:lang w:val="en-GB" w:eastAsia="mk-MK"/>
              </w:rPr>
              <w:t>025</w:t>
            </w:r>
          </w:p>
        </w:tc>
        <w:tc>
          <w:tcPr>
            <w:tcW w:w="1418" w:type="dxa"/>
            <w:gridSpan w:val="3"/>
            <w:shd w:val="clear" w:color="000000" w:fill="FFFF99"/>
            <w:vAlign w:val="center"/>
            <w:hideMark/>
          </w:tcPr>
          <w:p w14:paraId="7A66252E" w14:textId="7F4E9D25"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r w:rsidR="00F90378" w:rsidRPr="00D30847">
              <w:rPr>
                <w:rFonts w:ascii="Arial" w:eastAsia="Times New Roman" w:hAnsi="Arial" w:cs="Arial"/>
                <w:sz w:val="12"/>
                <w:szCs w:val="12"/>
                <w:lang w:val="en-GB" w:eastAsia="mk-MK"/>
              </w:rPr>
              <w:t xml:space="preserve"> – IFMIS WG  </w:t>
            </w:r>
          </w:p>
        </w:tc>
        <w:tc>
          <w:tcPr>
            <w:tcW w:w="1644" w:type="dxa"/>
            <w:gridSpan w:val="3"/>
            <w:shd w:val="clear" w:color="000000" w:fill="FFFF99"/>
            <w:vAlign w:val="center"/>
            <w:hideMark/>
          </w:tcPr>
          <w:p w14:paraId="3BAD4175" w14:textId="18A50E42" w:rsidR="00485BAA" w:rsidRPr="00D30847" w:rsidRDefault="00404D9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World Bank</w:t>
            </w:r>
            <w:r w:rsidR="00485BAA" w:rsidRPr="00D30847">
              <w:rPr>
                <w:rFonts w:ascii="Arial" w:eastAsia="Times New Roman" w:hAnsi="Arial" w:cs="Arial"/>
                <w:sz w:val="12"/>
                <w:szCs w:val="12"/>
                <w:lang w:val="en-GB" w:eastAsia="mk-MK"/>
              </w:rPr>
              <w:t>, EU</w:t>
            </w:r>
          </w:p>
        </w:tc>
        <w:tc>
          <w:tcPr>
            <w:tcW w:w="1758" w:type="dxa"/>
            <w:gridSpan w:val="4"/>
            <w:shd w:val="clear" w:color="000000" w:fill="FFFF99"/>
            <w:vAlign w:val="center"/>
            <w:hideMark/>
          </w:tcPr>
          <w:p w14:paraId="00B50724" w14:textId="17C550FB" w:rsidR="00485BAA" w:rsidRPr="00D30847" w:rsidRDefault="006B466D"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N/A</w:t>
            </w:r>
          </w:p>
        </w:tc>
        <w:tc>
          <w:tcPr>
            <w:tcW w:w="1842" w:type="dxa"/>
            <w:gridSpan w:val="4"/>
            <w:shd w:val="clear" w:color="000000" w:fill="FFFF99"/>
            <w:vAlign w:val="center"/>
            <w:hideMark/>
          </w:tcPr>
          <w:p w14:paraId="3BDF9731" w14:textId="7FEDD881" w:rsidR="00485BAA" w:rsidRPr="00D30847" w:rsidRDefault="006B466D"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WB Projects (including EU contribution)</w:t>
            </w:r>
          </w:p>
        </w:tc>
        <w:tc>
          <w:tcPr>
            <w:tcW w:w="1506" w:type="dxa"/>
            <w:gridSpan w:val="4"/>
            <w:shd w:val="clear" w:color="000000" w:fill="FFFF99"/>
            <w:vAlign w:val="center"/>
            <w:hideMark/>
          </w:tcPr>
          <w:p w14:paraId="0BB8059A" w14:textId="3DE1BED9" w:rsidR="00485BAA" w:rsidRPr="00D30847" w:rsidRDefault="00485BAA" w:rsidP="00485BAA">
            <w:pPr>
              <w:spacing w:after="0" w:line="240" w:lineRule="auto"/>
              <w:jc w:val="center"/>
              <w:rPr>
                <w:rFonts w:ascii="Arial" w:eastAsia="Times New Roman" w:hAnsi="Arial" w:cs="Arial"/>
                <w:sz w:val="12"/>
                <w:szCs w:val="12"/>
                <w:lang w:val="en-GB" w:eastAsia="mk-MK"/>
              </w:rPr>
            </w:pPr>
          </w:p>
        </w:tc>
      </w:tr>
      <w:tr w:rsidR="00485BAA" w:rsidRPr="00D30847" w14:paraId="2602AC44" w14:textId="77777777" w:rsidTr="00FD4DDE">
        <w:trPr>
          <w:gridBefore w:val="3"/>
          <w:gridAfter w:val="1"/>
          <w:wBefore w:w="37" w:type="dxa"/>
          <w:wAfter w:w="52" w:type="dxa"/>
          <w:trHeight w:val="702"/>
          <w:jc w:val="center"/>
        </w:trPr>
        <w:tc>
          <w:tcPr>
            <w:tcW w:w="2303" w:type="dxa"/>
            <w:gridSpan w:val="3"/>
            <w:vMerge/>
            <w:tcBorders>
              <w:top w:val="nil"/>
              <w:left w:val="nil"/>
              <w:bottom w:val="nil"/>
              <w:right w:val="single" w:sz="8" w:space="0" w:color="000000"/>
            </w:tcBorders>
            <w:vAlign w:val="center"/>
            <w:hideMark/>
          </w:tcPr>
          <w:p w14:paraId="10E47822"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27E17104" w14:textId="3D2232BA" w:rsidR="00485BAA" w:rsidRPr="00D30847" w:rsidRDefault="00812973"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Development</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 IFMIS modules</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and</w:t>
            </w:r>
            <w:r w:rsidR="00551499" w:rsidRPr="00D30847">
              <w:rPr>
                <w:rFonts w:ascii="Arial" w:eastAsia="Times New Roman" w:hAnsi="Arial" w:cs="Arial"/>
                <w:sz w:val="12"/>
                <w:szCs w:val="12"/>
                <w:lang w:val="en-GB" w:eastAsia="mk-MK"/>
              </w:rPr>
              <w:t xml:space="preserve"> </w:t>
            </w:r>
            <w:r w:rsidR="00DE7FA5" w:rsidRPr="00D30847">
              <w:rPr>
                <w:rFonts w:ascii="Arial" w:eastAsia="Times New Roman" w:hAnsi="Arial" w:cs="Arial"/>
                <w:sz w:val="12"/>
                <w:szCs w:val="12"/>
                <w:lang w:val="en-GB" w:eastAsia="mk-MK"/>
              </w:rPr>
              <w:t xml:space="preserve">installation of hardware system and </w:t>
            </w:r>
            <w:r w:rsidRPr="00D30847">
              <w:rPr>
                <w:rFonts w:ascii="Arial" w:eastAsia="Times New Roman" w:hAnsi="Arial" w:cs="Arial"/>
                <w:sz w:val="12"/>
                <w:szCs w:val="12"/>
                <w:lang w:val="en-GB" w:eastAsia="mk-MK"/>
              </w:rPr>
              <w:t>interfaces</w:t>
            </w:r>
          </w:p>
        </w:tc>
        <w:tc>
          <w:tcPr>
            <w:tcW w:w="1194" w:type="dxa"/>
            <w:gridSpan w:val="2"/>
            <w:shd w:val="clear" w:color="000000" w:fill="FFFF99"/>
            <w:vAlign w:val="center"/>
            <w:hideMark/>
          </w:tcPr>
          <w:p w14:paraId="0EB976EE" w14:textId="7C755CB5"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595060" w:rsidRPr="00D30847">
              <w:rPr>
                <w:rFonts w:ascii="Arial" w:eastAsia="Times New Roman" w:hAnsi="Arial" w:cs="Arial"/>
                <w:sz w:val="12"/>
                <w:szCs w:val="12"/>
                <w:lang w:val="en-GB" w:eastAsia="mk-MK"/>
              </w:rPr>
              <w:t>5</w:t>
            </w:r>
            <w:r w:rsidRPr="00D30847">
              <w:rPr>
                <w:rFonts w:ascii="Arial" w:eastAsia="Times New Roman" w:hAnsi="Arial" w:cs="Arial"/>
                <w:sz w:val="12"/>
                <w:szCs w:val="12"/>
                <w:lang w:val="en-GB" w:eastAsia="mk-MK"/>
              </w:rPr>
              <w:t>-202</w:t>
            </w:r>
            <w:r w:rsidR="00595060" w:rsidRPr="00D30847">
              <w:rPr>
                <w:rFonts w:ascii="Arial" w:eastAsia="Times New Roman" w:hAnsi="Arial" w:cs="Arial"/>
                <w:sz w:val="12"/>
                <w:szCs w:val="12"/>
                <w:lang w:val="en-GB" w:eastAsia="mk-MK"/>
              </w:rPr>
              <w:t>6</w:t>
            </w:r>
          </w:p>
        </w:tc>
        <w:tc>
          <w:tcPr>
            <w:tcW w:w="1418" w:type="dxa"/>
            <w:gridSpan w:val="3"/>
            <w:shd w:val="clear" w:color="000000" w:fill="FFFF99"/>
            <w:vAlign w:val="center"/>
            <w:hideMark/>
          </w:tcPr>
          <w:p w14:paraId="7C143F15" w14:textId="5036B11E" w:rsidR="00485BAA" w:rsidRPr="00D30847" w:rsidRDefault="00F90378"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 IFMIS WG  </w:t>
            </w:r>
          </w:p>
        </w:tc>
        <w:tc>
          <w:tcPr>
            <w:tcW w:w="1644" w:type="dxa"/>
            <w:gridSpan w:val="3"/>
            <w:shd w:val="clear" w:color="000000" w:fill="FFFF99"/>
            <w:vAlign w:val="center"/>
            <w:hideMark/>
          </w:tcPr>
          <w:p w14:paraId="2FC4F26E" w14:textId="3C6173F3" w:rsidR="00485BAA" w:rsidRPr="00D30847" w:rsidRDefault="00404D9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World Bank</w:t>
            </w:r>
            <w:r w:rsidR="00485BAA" w:rsidRPr="00D30847">
              <w:rPr>
                <w:rFonts w:ascii="Arial" w:eastAsia="Times New Roman" w:hAnsi="Arial" w:cs="Arial"/>
                <w:sz w:val="12"/>
                <w:szCs w:val="12"/>
                <w:lang w:val="en-GB" w:eastAsia="mk-MK"/>
              </w:rPr>
              <w:t>, EU</w:t>
            </w:r>
          </w:p>
        </w:tc>
        <w:tc>
          <w:tcPr>
            <w:tcW w:w="1758" w:type="dxa"/>
            <w:gridSpan w:val="4"/>
            <w:shd w:val="clear" w:color="000000" w:fill="FFFF99"/>
            <w:vAlign w:val="center"/>
            <w:hideMark/>
          </w:tcPr>
          <w:p w14:paraId="31952BB8" w14:textId="3CA97C16" w:rsidR="00485BAA" w:rsidRPr="00D30847" w:rsidRDefault="006B466D"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N/A</w:t>
            </w:r>
          </w:p>
        </w:tc>
        <w:tc>
          <w:tcPr>
            <w:tcW w:w="1842" w:type="dxa"/>
            <w:gridSpan w:val="4"/>
            <w:shd w:val="clear" w:color="000000" w:fill="FFFF99"/>
            <w:vAlign w:val="center"/>
            <w:hideMark/>
          </w:tcPr>
          <w:p w14:paraId="42BB0FCE" w14:textId="73C860C0" w:rsidR="00485BAA" w:rsidRPr="00D30847" w:rsidRDefault="006B466D"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WB Projects (including EU contribution)</w:t>
            </w:r>
          </w:p>
        </w:tc>
        <w:tc>
          <w:tcPr>
            <w:tcW w:w="1506" w:type="dxa"/>
            <w:gridSpan w:val="4"/>
            <w:shd w:val="clear" w:color="000000" w:fill="FFFF99"/>
            <w:vAlign w:val="center"/>
            <w:hideMark/>
          </w:tcPr>
          <w:p w14:paraId="1D5A2323" w14:textId="31184CE8" w:rsidR="00485BAA" w:rsidRPr="00D30847" w:rsidRDefault="00485BAA" w:rsidP="00485BAA">
            <w:pPr>
              <w:spacing w:after="0" w:line="240" w:lineRule="auto"/>
              <w:jc w:val="center"/>
              <w:rPr>
                <w:rFonts w:ascii="Arial" w:eastAsia="Times New Roman" w:hAnsi="Arial" w:cs="Arial"/>
                <w:sz w:val="12"/>
                <w:szCs w:val="12"/>
                <w:lang w:val="en-GB" w:eastAsia="mk-MK"/>
              </w:rPr>
            </w:pPr>
          </w:p>
        </w:tc>
      </w:tr>
      <w:tr w:rsidR="00485BAA" w:rsidRPr="00D30847" w14:paraId="71F5E35E" w14:textId="77777777" w:rsidTr="00FD4DDE">
        <w:trPr>
          <w:gridBefore w:val="3"/>
          <w:gridAfter w:val="1"/>
          <w:wBefore w:w="37" w:type="dxa"/>
          <w:wAfter w:w="52" w:type="dxa"/>
          <w:trHeight w:val="684"/>
          <w:jc w:val="center"/>
        </w:trPr>
        <w:tc>
          <w:tcPr>
            <w:tcW w:w="2303" w:type="dxa"/>
            <w:gridSpan w:val="3"/>
            <w:vMerge/>
            <w:tcBorders>
              <w:top w:val="nil"/>
              <w:left w:val="nil"/>
              <w:bottom w:val="single" w:sz="4" w:space="0" w:color="auto"/>
              <w:right w:val="single" w:sz="8" w:space="0" w:color="000000"/>
            </w:tcBorders>
            <w:vAlign w:val="center"/>
            <w:hideMark/>
          </w:tcPr>
          <w:p w14:paraId="4F97692B" w14:textId="77777777" w:rsidR="00485BAA" w:rsidRPr="00D30847" w:rsidRDefault="00485BAA" w:rsidP="00485BAA">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bottom w:val="single" w:sz="4" w:space="0" w:color="auto"/>
            </w:tcBorders>
            <w:shd w:val="clear" w:color="000000" w:fill="FFFF99"/>
            <w:vAlign w:val="center"/>
            <w:hideMark/>
          </w:tcPr>
          <w:p w14:paraId="7EAA86DC" w14:textId="7B528302" w:rsidR="00485BAA" w:rsidRPr="00D30847" w:rsidRDefault="00812973" w:rsidP="00485BA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 IFMIS pilot</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implementation</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and</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operational</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acceptance</w:t>
            </w:r>
          </w:p>
        </w:tc>
        <w:tc>
          <w:tcPr>
            <w:tcW w:w="1194" w:type="dxa"/>
            <w:gridSpan w:val="2"/>
            <w:tcBorders>
              <w:bottom w:val="single" w:sz="4" w:space="0" w:color="auto"/>
            </w:tcBorders>
            <w:shd w:val="clear" w:color="000000" w:fill="FFFF99"/>
            <w:vAlign w:val="center"/>
            <w:hideMark/>
          </w:tcPr>
          <w:p w14:paraId="6F04A9DE" w14:textId="543A160E"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595060" w:rsidRPr="00D30847">
              <w:rPr>
                <w:rFonts w:ascii="Arial" w:eastAsia="Times New Roman" w:hAnsi="Arial" w:cs="Arial"/>
                <w:sz w:val="12"/>
                <w:szCs w:val="12"/>
                <w:lang w:val="en-GB" w:eastAsia="mk-MK"/>
              </w:rPr>
              <w:t>6</w:t>
            </w:r>
            <w:r w:rsidRPr="00D30847">
              <w:rPr>
                <w:rFonts w:ascii="Arial" w:eastAsia="Times New Roman" w:hAnsi="Arial" w:cs="Arial"/>
                <w:sz w:val="12"/>
                <w:szCs w:val="12"/>
                <w:lang w:val="en-GB" w:eastAsia="mk-MK"/>
              </w:rPr>
              <w:t>-202</w:t>
            </w:r>
            <w:r w:rsidR="00595060" w:rsidRPr="00D30847">
              <w:rPr>
                <w:rFonts w:ascii="Arial" w:eastAsia="Times New Roman" w:hAnsi="Arial" w:cs="Arial"/>
                <w:sz w:val="12"/>
                <w:szCs w:val="12"/>
                <w:lang w:val="en-GB" w:eastAsia="mk-MK"/>
              </w:rPr>
              <w:t>7</w:t>
            </w:r>
          </w:p>
        </w:tc>
        <w:tc>
          <w:tcPr>
            <w:tcW w:w="1418" w:type="dxa"/>
            <w:gridSpan w:val="3"/>
            <w:tcBorders>
              <w:bottom w:val="single" w:sz="4" w:space="0" w:color="auto"/>
            </w:tcBorders>
            <w:shd w:val="clear" w:color="000000" w:fill="FFFF99"/>
            <w:vAlign w:val="center"/>
            <w:hideMark/>
          </w:tcPr>
          <w:p w14:paraId="20F5A4E8" w14:textId="1E44EB27" w:rsidR="00485BAA" w:rsidRPr="00D30847" w:rsidRDefault="00F90378"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 IFMIS WG  </w:t>
            </w:r>
          </w:p>
        </w:tc>
        <w:tc>
          <w:tcPr>
            <w:tcW w:w="1644" w:type="dxa"/>
            <w:gridSpan w:val="3"/>
            <w:tcBorders>
              <w:bottom w:val="single" w:sz="4" w:space="0" w:color="auto"/>
            </w:tcBorders>
            <w:shd w:val="clear" w:color="000000" w:fill="FFFF99"/>
            <w:vAlign w:val="center"/>
            <w:hideMark/>
          </w:tcPr>
          <w:p w14:paraId="0AC42A7B" w14:textId="17F33EB2" w:rsidR="00485BAA" w:rsidRPr="00D30847" w:rsidRDefault="00404D96"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World Bank</w:t>
            </w:r>
            <w:r w:rsidR="00485BAA" w:rsidRPr="00D30847">
              <w:rPr>
                <w:rFonts w:ascii="Arial" w:eastAsia="Times New Roman" w:hAnsi="Arial" w:cs="Arial"/>
                <w:sz w:val="12"/>
                <w:szCs w:val="12"/>
                <w:lang w:val="en-GB" w:eastAsia="mk-MK"/>
              </w:rPr>
              <w:t>, EU</w:t>
            </w:r>
          </w:p>
        </w:tc>
        <w:tc>
          <w:tcPr>
            <w:tcW w:w="1758" w:type="dxa"/>
            <w:gridSpan w:val="4"/>
            <w:tcBorders>
              <w:bottom w:val="single" w:sz="4" w:space="0" w:color="auto"/>
            </w:tcBorders>
            <w:shd w:val="clear" w:color="000000" w:fill="FFFF99"/>
            <w:vAlign w:val="center"/>
            <w:hideMark/>
          </w:tcPr>
          <w:p w14:paraId="229E6E20" w14:textId="43E02B17" w:rsidR="00485BAA" w:rsidRPr="00D30847" w:rsidRDefault="006B466D"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N/A</w:t>
            </w:r>
          </w:p>
        </w:tc>
        <w:tc>
          <w:tcPr>
            <w:tcW w:w="1842" w:type="dxa"/>
            <w:gridSpan w:val="4"/>
            <w:tcBorders>
              <w:bottom w:val="single" w:sz="4" w:space="0" w:color="auto"/>
            </w:tcBorders>
            <w:shd w:val="clear" w:color="000000" w:fill="FFFF99"/>
            <w:vAlign w:val="center"/>
            <w:hideMark/>
          </w:tcPr>
          <w:p w14:paraId="32F3995E" w14:textId="1FFB1F91" w:rsidR="00485BAA" w:rsidRPr="00D30847" w:rsidRDefault="006B466D"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WB Projects (including EU contribution)</w:t>
            </w:r>
          </w:p>
        </w:tc>
        <w:tc>
          <w:tcPr>
            <w:tcW w:w="1506" w:type="dxa"/>
            <w:gridSpan w:val="4"/>
            <w:tcBorders>
              <w:bottom w:val="single" w:sz="4" w:space="0" w:color="auto"/>
            </w:tcBorders>
            <w:shd w:val="clear" w:color="000000" w:fill="FFFF99"/>
            <w:vAlign w:val="center"/>
            <w:hideMark/>
          </w:tcPr>
          <w:p w14:paraId="464F7986" w14:textId="0378E466" w:rsidR="00485BAA" w:rsidRPr="00D30847" w:rsidRDefault="00485BAA" w:rsidP="00485BAA">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0343E5" w:rsidRPr="00D30847" w14:paraId="558B8D84" w14:textId="77777777" w:rsidTr="00FD4DDE">
        <w:trPr>
          <w:gridBefore w:val="3"/>
          <w:gridAfter w:val="1"/>
          <w:wBefore w:w="37" w:type="dxa"/>
          <w:wAfter w:w="52" w:type="dxa"/>
          <w:trHeight w:val="314"/>
          <w:jc w:val="center"/>
        </w:trPr>
        <w:tc>
          <w:tcPr>
            <w:tcW w:w="13501" w:type="dxa"/>
            <w:gridSpan w:val="28"/>
            <w:tcBorders>
              <w:top w:val="single" w:sz="4" w:space="0" w:color="auto"/>
              <w:left w:val="single" w:sz="4" w:space="0" w:color="auto"/>
              <w:bottom w:val="single" w:sz="4" w:space="0" w:color="auto"/>
              <w:right w:val="single" w:sz="4" w:space="0" w:color="auto"/>
            </w:tcBorders>
            <w:shd w:val="clear" w:color="auto" w:fill="9BD2ED"/>
            <w:vAlign w:val="center"/>
          </w:tcPr>
          <w:p w14:paraId="01207740" w14:textId="671907FA" w:rsidR="000343E5" w:rsidRPr="00D30847" w:rsidRDefault="00093E63" w:rsidP="001E2DE5">
            <w:pPr>
              <w:spacing w:after="0" w:line="240" w:lineRule="auto"/>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w:t>
            </w:r>
            <w:r w:rsidR="00577A56"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2</w:t>
            </w:r>
            <w:r w:rsidR="00DF0C16" w:rsidRPr="00D30847">
              <w:rPr>
                <w:rFonts w:ascii="Arial" w:eastAsia="Times New Roman" w:hAnsi="Arial" w:cs="Arial"/>
                <w:b/>
                <w:bCs/>
                <w:sz w:val="12"/>
                <w:szCs w:val="12"/>
                <w:lang w:val="en-GB" w:eastAsia="mk-MK"/>
              </w:rPr>
              <w:t>.</w:t>
            </w:r>
            <w:r w:rsidRPr="00D30847">
              <w:rPr>
                <w:rFonts w:ascii="Arial" w:eastAsia="Times New Roman" w:hAnsi="Arial" w:cs="Arial"/>
                <w:b/>
                <w:bCs/>
                <w:sz w:val="12"/>
                <w:szCs w:val="12"/>
                <w:lang w:val="en-GB" w:eastAsia="mk-MK"/>
              </w:rPr>
              <w:t xml:space="preserve"> Expansion</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of</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MoF ICT infrastructure (in</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line</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with</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whole-of-government</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approach) to</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host</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new IFMIS</w:t>
            </w:r>
          </w:p>
        </w:tc>
      </w:tr>
      <w:tr w:rsidR="000343E5" w:rsidRPr="00D30847" w14:paraId="2CCC7B2D" w14:textId="77777777" w:rsidTr="00FD4DDE">
        <w:trPr>
          <w:gridBefore w:val="3"/>
          <w:gridAfter w:val="1"/>
          <w:wBefore w:w="37" w:type="dxa"/>
          <w:wAfter w:w="52" w:type="dxa"/>
          <w:trHeight w:val="305"/>
          <w:jc w:val="center"/>
        </w:trPr>
        <w:tc>
          <w:tcPr>
            <w:tcW w:w="2303" w:type="dxa"/>
            <w:gridSpan w:val="3"/>
            <w:tcBorders>
              <w:top w:val="single" w:sz="4" w:space="0" w:color="auto"/>
              <w:left w:val="nil"/>
              <w:bottom w:val="nil"/>
              <w:right w:val="single" w:sz="8" w:space="0" w:color="000000"/>
            </w:tcBorders>
            <w:vAlign w:val="center"/>
          </w:tcPr>
          <w:p w14:paraId="65C0F4CB" w14:textId="77777777" w:rsidR="000343E5" w:rsidRPr="00D30847" w:rsidRDefault="000343E5" w:rsidP="001E2DE5">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top w:val="single" w:sz="4" w:space="0" w:color="auto"/>
              <w:left w:val="single" w:sz="8" w:space="0" w:color="000000"/>
            </w:tcBorders>
            <w:shd w:val="clear" w:color="auto" w:fill="9BD2ED"/>
            <w:vAlign w:val="center"/>
          </w:tcPr>
          <w:p w14:paraId="367BEE02" w14:textId="07231351" w:rsidR="000343E5" w:rsidRPr="00D30847" w:rsidRDefault="000343E5" w:rsidP="001E2DE5">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tcBorders>
              <w:top w:val="single" w:sz="4" w:space="0" w:color="auto"/>
            </w:tcBorders>
            <w:shd w:val="clear" w:color="auto" w:fill="9BD2ED"/>
            <w:vAlign w:val="center"/>
          </w:tcPr>
          <w:p w14:paraId="4B668989" w14:textId="593714CE" w:rsidR="000343E5" w:rsidRPr="00D30847" w:rsidRDefault="00404D96" w:rsidP="001E2DE5">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 Source</w:t>
            </w:r>
          </w:p>
        </w:tc>
        <w:tc>
          <w:tcPr>
            <w:tcW w:w="1418" w:type="dxa"/>
            <w:gridSpan w:val="3"/>
            <w:tcBorders>
              <w:top w:val="single" w:sz="4" w:space="0" w:color="auto"/>
            </w:tcBorders>
            <w:shd w:val="clear" w:color="auto" w:fill="9BD2ED"/>
            <w:vAlign w:val="center"/>
          </w:tcPr>
          <w:p w14:paraId="37B71932" w14:textId="73222679" w:rsidR="000343E5" w:rsidRPr="00D30847" w:rsidRDefault="000343E5" w:rsidP="001E2DE5">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7F3886" w:rsidRPr="00D30847">
              <w:rPr>
                <w:rFonts w:ascii="Arial" w:eastAsia="Times New Roman" w:hAnsi="Arial" w:cs="Arial"/>
                <w:b/>
                <w:bCs/>
                <w:sz w:val="12"/>
                <w:szCs w:val="12"/>
                <w:lang w:val="en-GB" w:eastAsia="mk-MK"/>
              </w:rPr>
              <w:t>3</w:t>
            </w:r>
          </w:p>
        </w:tc>
        <w:tc>
          <w:tcPr>
            <w:tcW w:w="1644" w:type="dxa"/>
            <w:gridSpan w:val="3"/>
            <w:tcBorders>
              <w:top w:val="single" w:sz="4" w:space="0" w:color="auto"/>
            </w:tcBorders>
            <w:shd w:val="clear" w:color="auto" w:fill="9BD2ED"/>
            <w:vAlign w:val="center"/>
          </w:tcPr>
          <w:p w14:paraId="064E777F" w14:textId="07A8A4F6" w:rsidR="000343E5" w:rsidRPr="00D30847" w:rsidRDefault="000343E5" w:rsidP="001E2DE5">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7F3886" w:rsidRPr="00D30847">
              <w:rPr>
                <w:rFonts w:ascii="Arial" w:eastAsia="Times New Roman" w:hAnsi="Arial" w:cs="Arial"/>
                <w:b/>
                <w:bCs/>
                <w:sz w:val="12"/>
                <w:szCs w:val="12"/>
                <w:lang w:val="en-GB" w:eastAsia="mk-MK"/>
              </w:rPr>
              <w:t>5</w:t>
            </w:r>
          </w:p>
        </w:tc>
        <w:tc>
          <w:tcPr>
            <w:tcW w:w="1758" w:type="dxa"/>
            <w:gridSpan w:val="4"/>
            <w:tcBorders>
              <w:top w:val="single" w:sz="4" w:space="0" w:color="auto"/>
            </w:tcBorders>
            <w:shd w:val="clear" w:color="auto" w:fill="9BD2ED"/>
            <w:vAlign w:val="center"/>
          </w:tcPr>
          <w:p w14:paraId="0B4AFEEF" w14:textId="39616321" w:rsidR="000343E5" w:rsidRPr="00D30847" w:rsidRDefault="000343E5" w:rsidP="001E2DE5">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7F3886" w:rsidRPr="00D30847">
              <w:rPr>
                <w:rFonts w:ascii="Arial" w:eastAsia="Times New Roman" w:hAnsi="Arial" w:cs="Arial"/>
                <w:b/>
                <w:bCs/>
                <w:sz w:val="12"/>
                <w:szCs w:val="12"/>
                <w:lang w:val="en-GB" w:eastAsia="mk-MK"/>
              </w:rPr>
              <w:t>6</w:t>
            </w:r>
          </w:p>
        </w:tc>
        <w:tc>
          <w:tcPr>
            <w:tcW w:w="1842" w:type="dxa"/>
            <w:gridSpan w:val="4"/>
            <w:tcBorders>
              <w:top w:val="single" w:sz="4" w:space="0" w:color="auto"/>
            </w:tcBorders>
            <w:shd w:val="clear" w:color="auto" w:fill="9BD2ED"/>
            <w:vAlign w:val="center"/>
          </w:tcPr>
          <w:p w14:paraId="5722C85A" w14:textId="638165A3" w:rsidR="000343E5" w:rsidRPr="00D30847" w:rsidRDefault="000343E5" w:rsidP="001E2DE5">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7F3886" w:rsidRPr="00D30847">
              <w:rPr>
                <w:rFonts w:ascii="Arial" w:eastAsia="Times New Roman" w:hAnsi="Arial" w:cs="Arial"/>
                <w:b/>
                <w:bCs/>
                <w:sz w:val="12"/>
                <w:szCs w:val="12"/>
                <w:lang w:val="en-GB" w:eastAsia="mk-MK"/>
              </w:rPr>
              <w:t>7</w:t>
            </w:r>
          </w:p>
        </w:tc>
        <w:tc>
          <w:tcPr>
            <w:tcW w:w="1506" w:type="dxa"/>
            <w:gridSpan w:val="4"/>
            <w:tcBorders>
              <w:top w:val="single" w:sz="4" w:space="0" w:color="auto"/>
            </w:tcBorders>
            <w:shd w:val="clear" w:color="auto" w:fill="9BD2ED"/>
            <w:vAlign w:val="center"/>
          </w:tcPr>
          <w:p w14:paraId="6C6D0101" w14:textId="058BE8E6" w:rsidR="000343E5" w:rsidRPr="00D30847" w:rsidRDefault="000343E5" w:rsidP="001E2DE5">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7F3886" w:rsidRPr="00D30847">
              <w:rPr>
                <w:rFonts w:ascii="Arial" w:eastAsia="Times New Roman" w:hAnsi="Arial" w:cs="Arial"/>
                <w:b/>
                <w:bCs/>
                <w:sz w:val="12"/>
                <w:szCs w:val="12"/>
                <w:lang w:val="en-GB" w:eastAsia="mk-MK"/>
              </w:rPr>
              <w:t>8</w:t>
            </w:r>
          </w:p>
        </w:tc>
      </w:tr>
      <w:tr w:rsidR="000343E5" w:rsidRPr="00D30847" w14:paraId="04936B3C" w14:textId="77777777" w:rsidTr="00FD4DDE">
        <w:trPr>
          <w:gridBefore w:val="3"/>
          <w:gridAfter w:val="1"/>
          <w:wBefore w:w="37" w:type="dxa"/>
          <w:wAfter w:w="52" w:type="dxa"/>
          <w:trHeight w:val="898"/>
          <w:jc w:val="center"/>
        </w:trPr>
        <w:tc>
          <w:tcPr>
            <w:tcW w:w="2303" w:type="dxa"/>
            <w:gridSpan w:val="3"/>
            <w:tcBorders>
              <w:top w:val="nil"/>
              <w:left w:val="nil"/>
              <w:bottom w:val="nil"/>
              <w:right w:val="single" w:sz="8" w:space="0" w:color="000000"/>
            </w:tcBorders>
            <w:vAlign w:val="center"/>
          </w:tcPr>
          <w:p w14:paraId="3B9E31E8" w14:textId="77777777" w:rsidR="000343E5" w:rsidRPr="00D30847" w:rsidRDefault="000343E5" w:rsidP="001E2DE5">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tcPr>
          <w:p w14:paraId="3EED72D7" w14:textId="07631828" w:rsidR="000343E5" w:rsidRPr="00D30847" w:rsidRDefault="00551499"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The percentage growth in the hosting capacity of MoF ICT infrastructure to support the implementation of new IFMIS</w:t>
            </w:r>
          </w:p>
        </w:tc>
        <w:tc>
          <w:tcPr>
            <w:tcW w:w="1194" w:type="dxa"/>
            <w:gridSpan w:val="2"/>
            <w:shd w:val="clear" w:color="000000" w:fill="FFFF99"/>
            <w:vAlign w:val="center"/>
          </w:tcPr>
          <w:p w14:paraId="365B689D" w14:textId="77777777" w:rsidR="000343E5" w:rsidRPr="00D30847" w:rsidRDefault="00093E63"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Project Reports</w:t>
            </w:r>
          </w:p>
        </w:tc>
        <w:tc>
          <w:tcPr>
            <w:tcW w:w="1418" w:type="dxa"/>
            <w:gridSpan w:val="3"/>
            <w:shd w:val="clear" w:color="000000" w:fill="FFFF99"/>
            <w:vAlign w:val="center"/>
          </w:tcPr>
          <w:p w14:paraId="6BC925F3" w14:textId="661C8041" w:rsidR="000343E5" w:rsidRPr="00D30847" w:rsidRDefault="00551499"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The current IT IS does not have the functionalities supported by the project</w:t>
            </w:r>
          </w:p>
        </w:tc>
        <w:tc>
          <w:tcPr>
            <w:tcW w:w="1644" w:type="dxa"/>
            <w:gridSpan w:val="3"/>
            <w:shd w:val="clear" w:color="000000" w:fill="FFFF99"/>
            <w:vAlign w:val="center"/>
          </w:tcPr>
          <w:p w14:paraId="1EC1D018" w14:textId="434E3228" w:rsidR="000343E5" w:rsidRPr="00D30847" w:rsidRDefault="00551499"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New data warehouse and BI tools developed and linked with the IFMIS.</w:t>
            </w:r>
          </w:p>
        </w:tc>
        <w:tc>
          <w:tcPr>
            <w:tcW w:w="1758" w:type="dxa"/>
            <w:gridSpan w:val="4"/>
            <w:shd w:val="clear" w:color="000000" w:fill="FFFF99"/>
            <w:vAlign w:val="center"/>
          </w:tcPr>
          <w:p w14:paraId="0C58E317" w14:textId="4050A08E" w:rsidR="000343E5"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tcPr>
          <w:p w14:paraId="490CAFF0" w14:textId="702C39C8" w:rsidR="000343E5" w:rsidRPr="00D30847" w:rsidRDefault="00407B01" w:rsidP="00407B01">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tcPr>
          <w:p w14:paraId="06C66814" w14:textId="459C6398" w:rsidR="000343E5" w:rsidRPr="00D30847" w:rsidRDefault="00551499"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Improved availability of the MDS and DRC</w:t>
            </w:r>
          </w:p>
        </w:tc>
      </w:tr>
      <w:tr w:rsidR="000343E5" w:rsidRPr="00D30847" w14:paraId="6757FFF2" w14:textId="77777777" w:rsidTr="00FD4DDE">
        <w:trPr>
          <w:gridBefore w:val="3"/>
          <w:gridAfter w:val="1"/>
          <w:wBefore w:w="37" w:type="dxa"/>
          <w:wAfter w:w="52" w:type="dxa"/>
          <w:trHeight w:val="286"/>
          <w:jc w:val="center"/>
        </w:trPr>
        <w:tc>
          <w:tcPr>
            <w:tcW w:w="2303" w:type="dxa"/>
            <w:gridSpan w:val="3"/>
            <w:tcBorders>
              <w:top w:val="nil"/>
              <w:left w:val="nil"/>
              <w:bottom w:val="nil"/>
              <w:right w:val="single" w:sz="8" w:space="0" w:color="000000"/>
            </w:tcBorders>
            <w:vAlign w:val="center"/>
          </w:tcPr>
          <w:p w14:paraId="26859778" w14:textId="77777777" w:rsidR="000343E5" w:rsidRPr="00D30847" w:rsidRDefault="000343E5" w:rsidP="001E2DE5">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auto" w:fill="9BD2ED"/>
            <w:vAlign w:val="center"/>
          </w:tcPr>
          <w:p w14:paraId="6E1092AF" w14:textId="12BDF944" w:rsidR="000343E5" w:rsidRPr="00D30847" w:rsidRDefault="00093E63" w:rsidP="00093E6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auto" w:fill="9BD2ED"/>
            <w:vAlign w:val="center"/>
          </w:tcPr>
          <w:p w14:paraId="0CD83758" w14:textId="77777777" w:rsidR="000343E5" w:rsidRPr="00D30847" w:rsidRDefault="00093E63" w:rsidP="00093E6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Implementation period</w:t>
            </w:r>
          </w:p>
        </w:tc>
        <w:tc>
          <w:tcPr>
            <w:tcW w:w="1418" w:type="dxa"/>
            <w:gridSpan w:val="3"/>
            <w:shd w:val="clear" w:color="auto" w:fill="9BD2ED"/>
            <w:vAlign w:val="center"/>
          </w:tcPr>
          <w:p w14:paraId="5DCFD082" w14:textId="77777777" w:rsidR="000343E5" w:rsidRPr="00D30847" w:rsidRDefault="00093E63" w:rsidP="00093E6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Responsible institution</w:t>
            </w:r>
          </w:p>
        </w:tc>
        <w:tc>
          <w:tcPr>
            <w:tcW w:w="1644" w:type="dxa"/>
            <w:gridSpan w:val="3"/>
            <w:shd w:val="clear" w:color="auto" w:fill="9BD2ED"/>
            <w:vAlign w:val="center"/>
          </w:tcPr>
          <w:p w14:paraId="087EE525" w14:textId="77777777" w:rsidR="000343E5" w:rsidRPr="00D30847" w:rsidRDefault="00093E63" w:rsidP="00093E6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Other partners</w:t>
            </w:r>
          </w:p>
        </w:tc>
        <w:tc>
          <w:tcPr>
            <w:tcW w:w="1758" w:type="dxa"/>
            <w:gridSpan w:val="4"/>
            <w:shd w:val="clear" w:color="auto" w:fill="9BD2ED"/>
            <w:vAlign w:val="center"/>
          </w:tcPr>
          <w:p w14:paraId="07296EB9" w14:textId="77777777" w:rsidR="000343E5" w:rsidRPr="00D30847" w:rsidRDefault="00093E63" w:rsidP="00093E6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auto" w:fill="9BD2ED"/>
            <w:vAlign w:val="center"/>
          </w:tcPr>
          <w:p w14:paraId="5B895E1C" w14:textId="77777777" w:rsidR="000343E5" w:rsidRPr="00D30847" w:rsidRDefault="00093E63" w:rsidP="00093E6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Source of financing</w:t>
            </w:r>
          </w:p>
        </w:tc>
        <w:tc>
          <w:tcPr>
            <w:tcW w:w="1506" w:type="dxa"/>
            <w:gridSpan w:val="4"/>
            <w:shd w:val="clear" w:color="auto" w:fill="9BD2ED"/>
            <w:vAlign w:val="center"/>
          </w:tcPr>
          <w:p w14:paraId="3FEC4D23" w14:textId="77777777" w:rsidR="000343E5" w:rsidRPr="00D30847" w:rsidRDefault="000343E5" w:rsidP="001E2DE5">
            <w:pPr>
              <w:spacing w:after="0" w:line="240" w:lineRule="auto"/>
              <w:rPr>
                <w:rFonts w:ascii="Arial" w:eastAsia="Times New Roman" w:hAnsi="Arial" w:cs="Arial"/>
                <w:sz w:val="12"/>
                <w:szCs w:val="12"/>
                <w:lang w:val="en-GB" w:eastAsia="mk-MK"/>
              </w:rPr>
            </w:pPr>
          </w:p>
        </w:tc>
      </w:tr>
      <w:tr w:rsidR="000343E5" w:rsidRPr="00D30847" w14:paraId="0D60834B" w14:textId="77777777" w:rsidTr="00FD4DDE">
        <w:trPr>
          <w:gridBefore w:val="3"/>
          <w:gridAfter w:val="1"/>
          <w:wBefore w:w="37" w:type="dxa"/>
          <w:wAfter w:w="52" w:type="dxa"/>
          <w:trHeight w:val="613"/>
          <w:jc w:val="center"/>
        </w:trPr>
        <w:tc>
          <w:tcPr>
            <w:tcW w:w="2303" w:type="dxa"/>
            <w:gridSpan w:val="3"/>
            <w:tcBorders>
              <w:top w:val="nil"/>
              <w:left w:val="nil"/>
              <w:bottom w:val="nil"/>
              <w:right w:val="single" w:sz="8" w:space="0" w:color="000000"/>
            </w:tcBorders>
            <w:vAlign w:val="center"/>
          </w:tcPr>
          <w:p w14:paraId="3602C4A6" w14:textId="77777777" w:rsidR="000343E5" w:rsidRPr="00D30847" w:rsidRDefault="000343E5" w:rsidP="001E2DE5">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tcPr>
          <w:p w14:paraId="233EF710" w14:textId="11B6E73B" w:rsidR="000343E5" w:rsidRPr="00D30847" w:rsidRDefault="00093E63"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Enhancement</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the</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existing</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data</w:t>
            </w:r>
            <w:r w:rsidR="00551499" w:rsidRPr="00D30847">
              <w:rPr>
                <w:rFonts w:ascii="Arial" w:eastAsia="Times New Roman" w:hAnsi="Arial" w:cs="Arial"/>
                <w:sz w:val="12"/>
                <w:szCs w:val="12"/>
                <w:lang w:val="en-GB" w:eastAsia="mk-MK"/>
              </w:rPr>
              <w:t xml:space="preserve"> </w:t>
            </w:r>
            <w:proofErr w:type="spellStart"/>
            <w:r w:rsidRPr="00D30847">
              <w:rPr>
                <w:rFonts w:ascii="Arial" w:eastAsia="Times New Roman" w:hAnsi="Arial" w:cs="Arial"/>
                <w:sz w:val="12"/>
                <w:szCs w:val="12"/>
                <w:lang w:val="en-GB" w:eastAsia="mk-MK"/>
              </w:rPr>
              <w:t>centers</w:t>
            </w:r>
            <w:proofErr w:type="spellEnd"/>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and</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network</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connectivity</w:t>
            </w:r>
          </w:p>
        </w:tc>
        <w:tc>
          <w:tcPr>
            <w:tcW w:w="1194" w:type="dxa"/>
            <w:gridSpan w:val="2"/>
            <w:shd w:val="clear" w:color="000000" w:fill="FFFF99"/>
            <w:vAlign w:val="center"/>
          </w:tcPr>
          <w:p w14:paraId="4198E3B9" w14:textId="6E0444F8" w:rsidR="000343E5" w:rsidRPr="00D30847" w:rsidRDefault="00093E63" w:rsidP="00595060">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595060" w:rsidRPr="00D30847">
              <w:rPr>
                <w:rFonts w:ascii="Arial" w:eastAsia="Times New Roman" w:hAnsi="Arial" w:cs="Arial"/>
                <w:sz w:val="12"/>
                <w:szCs w:val="12"/>
                <w:lang w:val="en-GB" w:eastAsia="mk-MK"/>
              </w:rPr>
              <w:t>5-2028</w:t>
            </w:r>
          </w:p>
        </w:tc>
        <w:tc>
          <w:tcPr>
            <w:tcW w:w="1418" w:type="dxa"/>
            <w:gridSpan w:val="3"/>
            <w:shd w:val="clear" w:color="000000" w:fill="FFFF99"/>
            <w:vAlign w:val="center"/>
          </w:tcPr>
          <w:p w14:paraId="216511EA" w14:textId="54FDF475" w:rsidR="000343E5" w:rsidRPr="00D30847" w:rsidRDefault="00F90378" w:rsidP="00404D9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 IFMIS WG  </w:t>
            </w:r>
          </w:p>
        </w:tc>
        <w:tc>
          <w:tcPr>
            <w:tcW w:w="1644" w:type="dxa"/>
            <w:gridSpan w:val="3"/>
            <w:shd w:val="clear" w:color="000000" w:fill="FFFF99"/>
            <w:vAlign w:val="center"/>
          </w:tcPr>
          <w:p w14:paraId="3D6D1274" w14:textId="30D16C78" w:rsidR="000343E5" w:rsidRPr="00D30847" w:rsidRDefault="00093E63"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World</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Bank, EU</w:t>
            </w:r>
          </w:p>
        </w:tc>
        <w:tc>
          <w:tcPr>
            <w:tcW w:w="1758" w:type="dxa"/>
            <w:gridSpan w:val="4"/>
            <w:shd w:val="clear" w:color="000000" w:fill="FFFF99"/>
            <w:vAlign w:val="center"/>
          </w:tcPr>
          <w:p w14:paraId="1C69BAD1" w14:textId="77777777" w:rsidR="000343E5" w:rsidRPr="00D30847" w:rsidRDefault="00A47379" w:rsidP="00404D9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N/A</w:t>
            </w:r>
          </w:p>
        </w:tc>
        <w:tc>
          <w:tcPr>
            <w:tcW w:w="1842" w:type="dxa"/>
            <w:gridSpan w:val="4"/>
            <w:shd w:val="clear" w:color="000000" w:fill="FFFF99"/>
            <w:vAlign w:val="center"/>
          </w:tcPr>
          <w:p w14:paraId="1F30B321" w14:textId="77777777" w:rsidR="000343E5" w:rsidRPr="00D30847" w:rsidRDefault="00093E63"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WB Loan (including EU contribution)</w:t>
            </w:r>
          </w:p>
        </w:tc>
        <w:tc>
          <w:tcPr>
            <w:tcW w:w="1506" w:type="dxa"/>
            <w:gridSpan w:val="4"/>
            <w:shd w:val="clear" w:color="000000" w:fill="FFFF99"/>
            <w:vAlign w:val="center"/>
          </w:tcPr>
          <w:p w14:paraId="2A54AC3E" w14:textId="0DB8BEB5" w:rsidR="000343E5" w:rsidRPr="00D30847" w:rsidRDefault="000343E5" w:rsidP="00407B01">
            <w:pPr>
              <w:spacing w:after="0" w:line="240" w:lineRule="auto"/>
              <w:jc w:val="center"/>
              <w:rPr>
                <w:rFonts w:ascii="Arial" w:eastAsia="Times New Roman" w:hAnsi="Arial" w:cs="Arial"/>
                <w:sz w:val="12"/>
                <w:szCs w:val="12"/>
                <w:lang w:val="en-GB" w:eastAsia="mk-MK"/>
              </w:rPr>
            </w:pPr>
          </w:p>
        </w:tc>
      </w:tr>
      <w:tr w:rsidR="000343E5" w:rsidRPr="00D30847" w14:paraId="52EBECAA" w14:textId="77777777" w:rsidTr="00FD4DDE">
        <w:trPr>
          <w:gridBefore w:val="3"/>
          <w:gridAfter w:val="1"/>
          <w:wBefore w:w="37" w:type="dxa"/>
          <w:wAfter w:w="52" w:type="dxa"/>
          <w:trHeight w:val="682"/>
          <w:jc w:val="center"/>
        </w:trPr>
        <w:tc>
          <w:tcPr>
            <w:tcW w:w="2303" w:type="dxa"/>
            <w:gridSpan w:val="3"/>
            <w:tcBorders>
              <w:top w:val="nil"/>
              <w:left w:val="nil"/>
              <w:bottom w:val="single" w:sz="4" w:space="0" w:color="auto"/>
              <w:right w:val="single" w:sz="8" w:space="0" w:color="000000"/>
            </w:tcBorders>
            <w:vAlign w:val="center"/>
          </w:tcPr>
          <w:p w14:paraId="4A9993A3" w14:textId="77777777" w:rsidR="000343E5" w:rsidRPr="00D30847" w:rsidRDefault="000343E5" w:rsidP="001E2DE5">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bottom w:val="single" w:sz="4" w:space="0" w:color="auto"/>
            </w:tcBorders>
            <w:shd w:val="clear" w:color="000000" w:fill="FFFF99"/>
            <w:vAlign w:val="center"/>
          </w:tcPr>
          <w:p w14:paraId="00C1A152" w14:textId="7D3798BD" w:rsidR="000343E5" w:rsidRPr="00D30847" w:rsidRDefault="00093E63"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Establishment</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of</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the</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secure</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backup</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network</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connections</w:t>
            </w:r>
          </w:p>
        </w:tc>
        <w:tc>
          <w:tcPr>
            <w:tcW w:w="1194" w:type="dxa"/>
            <w:gridSpan w:val="2"/>
            <w:tcBorders>
              <w:bottom w:val="single" w:sz="4" w:space="0" w:color="auto"/>
            </w:tcBorders>
            <w:shd w:val="clear" w:color="000000" w:fill="FFFF99"/>
            <w:vAlign w:val="center"/>
          </w:tcPr>
          <w:p w14:paraId="1F5676BF" w14:textId="75C7FB1C" w:rsidR="000343E5" w:rsidRPr="00D30847" w:rsidRDefault="00595060"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18" w:type="dxa"/>
            <w:gridSpan w:val="3"/>
            <w:tcBorders>
              <w:bottom w:val="single" w:sz="4" w:space="0" w:color="auto"/>
            </w:tcBorders>
            <w:shd w:val="clear" w:color="000000" w:fill="FFFF99"/>
            <w:vAlign w:val="center"/>
          </w:tcPr>
          <w:p w14:paraId="53163A74" w14:textId="2D981CAC" w:rsidR="000343E5" w:rsidRPr="00D30847" w:rsidRDefault="00F90378" w:rsidP="00404D9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 IFMIS WG  </w:t>
            </w:r>
          </w:p>
        </w:tc>
        <w:tc>
          <w:tcPr>
            <w:tcW w:w="1644" w:type="dxa"/>
            <w:gridSpan w:val="3"/>
            <w:tcBorders>
              <w:bottom w:val="single" w:sz="4" w:space="0" w:color="auto"/>
            </w:tcBorders>
            <w:shd w:val="clear" w:color="000000" w:fill="FFFF99"/>
            <w:vAlign w:val="center"/>
          </w:tcPr>
          <w:p w14:paraId="16CD5AE8" w14:textId="58EB7B93" w:rsidR="000343E5" w:rsidRPr="00D30847" w:rsidRDefault="00093E63"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World</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Bank, EU</w:t>
            </w:r>
          </w:p>
        </w:tc>
        <w:tc>
          <w:tcPr>
            <w:tcW w:w="1758" w:type="dxa"/>
            <w:gridSpan w:val="4"/>
            <w:tcBorders>
              <w:bottom w:val="single" w:sz="4" w:space="0" w:color="auto"/>
            </w:tcBorders>
            <w:shd w:val="clear" w:color="000000" w:fill="FFFF99"/>
            <w:vAlign w:val="center"/>
          </w:tcPr>
          <w:p w14:paraId="5F254182" w14:textId="77777777" w:rsidR="000343E5" w:rsidRPr="00D30847" w:rsidRDefault="00A47379" w:rsidP="00404D96">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N/A</w:t>
            </w:r>
          </w:p>
        </w:tc>
        <w:tc>
          <w:tcPr>
            <w:tcW w:w="1842" w:type="dxa"/>
            <w:gridSpan w:val="4"/>
            <w:tcBorders>
              <w:bottom w:val="single" w:sz="4" w:space="0" w:color="auto"/>
            </w:tcBorders>
            <w:shd w:val="clear" w:color="000000" w:fill="FFFF99"/>
            <w:vAlign w:val="center"/>
          </w:tcPr>
          <w:p w14:paraId="334F0027" w14:textId="77777777" w:rsidR="000343E5" w:rsidRPr="00D30847" w:rsidRDefault="00093E63"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WB Loan (including EU contribution)</w:t>
            </w:r>
          </w:p>
        </w:tc>
        <w:tc>
          <w:tcPr>
            <w:tcW w:w="1506" w:type="dxa"/>
            <w:gridSpan w:val="4"/>
            <w:tcBorders>
              <w:bottom w:val="single" w:sz="4" w:space="0" w:color="auto"/>
            </w:tcBorders>
            <w:shd w:val="clear" w:color="000000" w:fill="FFFF99"/>
            <w:vAlign w:val="center"/>
          </w:tcPr>
          <w:p w14:paraId="78C5AF88" w14:textId="6096A159" w:rsidR="000343E5" w:rsidRPr="00D30847" w:rsidRDefault="000343E5" w:rsidP="00407B01">
            <w:pPr>
              <w:spacing w:after="0" w:line="240" w:lineRule="auto"/>
              <w:jc w:val="center"/>
              <w:rPr>
                <w:rFonts w:ascii="Arial" w:eastAsia="Times New Roman" w:hAnsi="Arial" w:cs="Arial"/>
                <w:sz w:val="12"/>
                <w:szCs w:val="12"/>
                <w:lang w:val="en-GB" w:eastAsia="mk-MK"/>
              </w:rPr>
            </w:pPr>
          </w:p>
        </w:tc>
      </w:tr>
      <w:tr w:rsidR="000343E5" w:rsidRPr="00D30847" w14:paraId="07EDCED3" w14:textId="77777777" w:rsidTr="00FD4DDE">
        <w:trPr>
          <w:gridBefore w:val="3"/>
          <w:gridAfter w:val="1"/>
          <w:wBefore w:w="37" w:type="dxa"/>
          <w:wAfter w:w="52" w:type="dxa"/>
          <w:trHeight w:val="269"/>
          <w:jc w:val="center"/>
        </w:trPr>
        <w:tc>
          <w:tcPr>
            <w:tcW w:w="13501" w:type="dxa"/>
            <w:gridSpan w:val="28"/>
            <w:tcBorders>
              <w:top w:val="single" w:sz="4" w:space="0" w:color="auto"/>
              <w:left w:val="single" w:sz="4" w:space="0" w:color="auto"/>
              <w:bottom w:val="single" w:sz="4" w:space="0" w:color="auto"/>
              <w:right w:val="single" w:sz="4" w:space="0" w:color="auto"/>
            </w:tcBorders>
            <w:shd w:val="clear" w:color="auto" w:fill="9BD2ED"/>
          </w:tcPr>
          <w:p w14:paraId="3FE32421" w14:textId="497C0907" w:rsidR="000343E5" w:rsidRPr="00D30847" w:rsidRDefault="00093E63" w:rsidP="001E2DE5">
            <w:pPr>
              <w:rPr>
                <w:lang w:val="en-GB"/>
              </w:rPr>
            </w:pPr>
            <w:r w:rsidRPr="00D30847">
              <w:rPr>
                <w:rFonts w:ascii="Arial" w:eastAsia="Times New Roman" w:hAnsi="Arial" w:cs="Arial"/>
                <w:b/>
                <w:bCs/>
                <w:sz w:val="12"/>
                <w:szCs w:val="12"/>
                <w:lang w:val="en-GB" w:eastAsia="mk-MK"/>
              </w:rPr>
              <w:t>M</w:t>
            </w:r>
            <w:r w:rsidR="00577A56" w:rsidRPr="00D30847">
              <w:rPr>
                <w:rFonts w:ascii="Arial" w:eastAsia="Times New Roman" w:hAnsi="Arial" w:cs="Arial"/>
                <w:b/>
                <w:bCs/>
                <w:sz w:val="12"/>
                <w:szCs w:val="12"/>
                <w:lang w:val="en-GB" w:eastAsia="mk-MK"/>
              </w:rPr>
              <w:t>easure</w:t>
            </w:r>
            <w:r w:rsidRPr="00D30847">
              <w:rPr>
                <w:rFonts w:ascii="Arial" w:eastAsia="Times New Roman" w:hAnsi="Arial" w:cs="Arial"/>
                <w:b/>
                <w:bCs/>
                <w:sz w:val="12"/>
                <w:szCs w:val="12"/>
                <w:lang w:val="en-GB" w:eastAsia="mk-MK"/>
              </w:rPr>
              <w:t xml:space="preserve"> 3</w:t>
            </w:r>
            <w:r w:rsidR="00577A56" w:rsidRPr="00D30847">
              <w:rPr>
                <w:rFonts w:ascii="Arial" w:eastAsia="Times New Roman" w:hAnsi="Arial" w:cs="Arial"/>
                <w:b/>
                <w:bCs/>
                <w:sz w:val="12"/>
                <w:szCs w:val="12"/>
                <w:lang w:val="en-GB" w:eastAsia="mk-MK"/>
              </w:rPr>
              <w:t>.</w:t>
            </w:r>
            <w:r w:rsidRPr="00D30847">
              <w:rPr>
                <w:rFonts w:ascii="Arial" w:eastAsia="Times New Roman" w:hAnsi="Arial" w:cs="Arial"/>
                <w:b/>
                <w:bCs/>
                <w:sz w:val="12"/>
                <w:szCs w:val="12"/>
                <w:lang w:val="en-GB" w:eastAsia="mk-MK"/>
              </w:rPr>
              <w:t xml:space="preserve"> Capacity</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strengthening</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training</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and</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change</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management</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to</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support OBL reforms</w:t>
            </w:r>
            <w:r w:rsidR="00551499"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and IFMIS operations</w:t>
            </w:r>
          </w:p>
        </w:tc>
      </w:tr>
      <w:tr w:rsidR="00C81AD2" w:rsidRPr="00D30847" w14:paraId="2F602F46" w14:textId="77777777" w:rsidTr="00FD4DDE">
        <w:trPr>
          <w:gridBefore w:val="3"/>
          <w:gridAfter w:val="1"/>
          <w:wBefore w:w="37" w:type="dxa"/>
          <w:wAfter w:w="52" w:type="dxa"/>
          <w:trHeight w:val="305"/>
          <w:jc w:val="center"/>
        </w:trPr>
        <w:tc>
          <w:tcPr>
            <w:tcW w:w="2303" w:type="dxa"/>
            <w:gridSpan w:val="3"/>
            <w:tcBorders>
              <w:top w:val="single" w:sz="4" w:space="0" w:color="auto"/>
              <w:left w:val="nil"/>
              <w:bottom w:val="nil"/>
              <w:right w:val="single" w:sz="8" w:space="0" w:color="000000"/>
            </w:tcBorders>
            <w:vAlign w:val="center"/>
          </w:tcPr>
          <w:p w14:paraId="4924170B" w14:textId="77777777" w:rsidR="00C81AD2" w:rsidRPr="00D30847" w:rsidRDefault="00C81AD2" w:rsidP="001E2DE5">
            <w:pPr>
              <w:spacing w:after="0" w:line="240" w:lineRule="auto"/>
              <w:rPr>
                <w:rFonts w:ascii="Arial" w:eastAsia="Times New Roman" w:hAnsi="Arial" w:cs="Arial"/>
                <w:sz w:val="12"/>
                <w:szCs w:val="12"/>
                <w:lang w:val="en-GB" w:eastAsia="mk-MK"/>
              </w:rPr>
            </w:pPr>
          </w:p>
        </w:tc>
        <w:tc>
          <w:tcPr>
            <w:tcW w:w="1754" w:type="dxa"/>
            <w:gridSpan w:val="3"/>
            <w:tcBorders>
              <w:top w:val="single" w:sz="4" w:space="0" w:color="auto"/>
              <w:left w:val="single" w:sz="8" w:space="0" w:color="000000"/>
            </w:tcBorders>
            <w:shd w:val="clear" w:color="auto" w:fill="9BD2ED"/>
            <w:vAlign w:val="center"/>
          </w:tcPr>
          <w:p w14:paraId="0894E926" w14:textId="07362912" w:rsidR="00C81AD2" w:rsidRPr="00D30847" w:rsidRDefault="00C81AD2" w:rsidP="001E2DE5">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F368A1">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276" w:type="dxa"/>
            <w:gridSpan w:val="4"/>
            <w:tcBorders>
              <w:top w:val="single" w:sz="4" w:space="0" w:color="auto"/>
            </w:tcBorders>
            <w:shd w:val="clear" w:color="auto" w:fill="9BD2ED"/>
            <w:vAlign w:val="center"/>
          </w:tcPr>
          <w:p w14:paraId="53C11CB6" w14:textId="2600524C" w:rsidR="00C81AD2" w:rsidRPr="00D30847" w:rsidRDefault="00C81AD2" w:rsidP="001E2DE5">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F368A1">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tcBorders>
              <w:top w:val="single" w:sz="4" w:space="0" w:color="auto"/>
            </w:tcBorders>
            <w:shd w:val="clear" w:color="auto" w:fill="9BD2ED"/>
            <w:vAlign w:val="center"/>
          </w:tcPr>
          <w:p w14:paraId="32775E04" w14:textId="46610DA2" w:rsidR="00C81AD2" w:rsidRPr="00D30847" w:rsidRDefault="00C81AD2" w:rsidP="001E2DE5">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7F3886" w:rsidRPr="00D30847">
              <w:rPr>
                <w:rFonts w:ascii="Arial" w:eastAsia="Times New Roman" w:hAnsi="Arial" w:cs="Arial"/>
                <w:b/>
                <w:bCs/>
                <w:sz w:val="12"/>
                <w:szCs w:val="12"/>
                <w:lang w:val="en-GB" w:eastAsia="mk-MK"/>
              </w:rPr>
              <w:t>3</w:t>
            </w:r>
          </w:p>
        </w:tc>
        <w:tc>
          <w:tcPr>
            <w:tcW w:w="1644" w:type="dxa"/>
            <w:gridSpan w:val="3"/>
            <w:tcBorders>
              <w:top w:val="single" w:sz="4" w:space="0" w:color="auto"/>
            </w:tcBorders>
            <w:shd w:val="clear" w:color="auto" w:fill="9BD2ED"/>
            <w:vAlign w:val="center"/>
          </w:tcPr>
          <w:p w14:paraId="285E8883" w14:textId="18C54F3B" w:rsidR="00C81AD2" w:rsidRPr="00D30847" w:rsidRDefault="00C81AD2" w:rsidP="001E2DE5">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7F3886" w:rsidRPr="00D30847">
              <w:rPr>
                <w:rFonts w:ascii="Arial" w:eastAsia="Times New Roman" w:hAnsi="Arial" w:cs="Arial"/>
                <w:b/>
                <w:bCs/>
                <w:sz w:val="12"/>
                <w:szCs w:val="12"/>
                <w:lang w:val="en-GB" w:eastAsia="mk-MK"/>
              </w:rPr>
              <w:t>5</w:t>
            </w:r>
          </w:p>
        </w:tc>
        <w:tc>
          <w:tcPr>
            <w:tcW w:w="1758" w:type="dxa"/>
            <w:gridSpan w:val="4"/>
            <w:tcBorders>
              <w:top w:val="single" w:sz="4" w:space="0" w:color="auto"/>
            </w:tcBorders>
            <w:shd w:val="clear" w:color="auto" w:fill="9BD2ED"/>
            <w:vAlign w:val="center"/>
          </w:tcPr>
          <w:p w14:paraId="4DA7C0E3" w14:textId="355AD2B2" w:rsidR="00C81AD2" w:rsidRPr="00D30847" w:rsidRDefault="00C81AD2" w:rsidP="001E2DE5">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7F3886" w:rsidRPr="00D30847">
              <w:rPr>
                <w:rFonts w:ascii="Arial" w:eastAsia="Times New Roman" w:hAnsi="Arial" w:cs="Arial"/>
                <w:b/>
                <w:bCs/>
                <w:sz w:val="12"/>
                <w:szCs w:val="12"/>
                <w:lang w:val="en-GB" w:eastAsia="mk-MK"/>
              </w:rPr>
              <w:t>6</w:t>
            </w:r>
          </w:p>
        </w:tc>
        <w:tc>
          <w:tcPr>
            <w:tcW w:w="1842" w:type="dxa"/>
            <w:gridSpan w:val="4"/>
            <w:tcBorders>
              <w:top w:val="single" w:sz="4" w:space="0" w:color="auto"/>
            </w:tcBorders>
            <w:shd w:val="clear" w:color="auto" w:fill="9BD2ED"/>
            <w:vAlign w:val="center"/>
          </w:tcPr>
          <w:p w14:paraId="379FA041" w14:textId="72F59659" w:rsidR="00C81AD2" w:rsidRPr="00D30847" w:rsidRDefault="00C81AD2" w:rsidP="001E2DE5">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7F3886" w:rsidRPr="00D30847">
              <w:rPr>
                <w:rFonts w:ascii="Arial" w:eastAsia="Times New Roman" w:hAnsi="Arial" w:cs="Arial"/>
                <w:b/>
                <w:bCs/>
                <w:sz w:val="12"/>
                <w:szCs w:val="12"/>
                <w:lang w:val="en-GB" w:eastAsia="mk-MK"/>
              </w:rPr>
              <w:t>7</w:t>
            </w:r>
          </w:p>
        </w:tc>
        <w:tc>
          <w:tcPr>
            <w:tcW w:w="1506" w:type="dxa"/>
            <w:gridSpan w:val="4"/>
            <w:tcBorders>
              <w:top w:val="single" w:sz="4" w:space="0" w:color="auto"/>
            </w:tcBorders>
            <w:shd w:val="clear" w:color="auto" w:fill="9BD2ED"/>
            <w:vAlign w:val="center"/>
          </w:tcPr>
          <w:p w14:paraId="01D3A4A6" w14:textId="55A90450" w:rsidR="00C81AD2" w:rsidRPr="00D30847" w:rsidRDefault="00C81AD2" w:rsidP="001E2DE5">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7F3886" w:rsidRPr="00D30847">
              <w:rPr>
                <w:rFonts w:ascii="Arial" w:eastAsia="Times New Roman" w:hAnsi="Arial" w:cs="Arial"/>
                <w:b/>
                <w:bCs/>
                <w:sz w:val="12"/>
                <w:szCs w:val="12"/>
                <w:lang w:val="en-GB" w:eastAsia="mk-MK"/>
              </w:rPr>
              <w:t>8</w:t>
            </w:r>
          </w:p>
        </w:tc>
      </w:tr>
      <w:tr w:rsidR="000343E5" w:rsidRPr="00D30847" w14:paraId="043D108C" w14:textId="77777777" w:rsidTr="00FD4DDE">
        <w:trPr>
          <w:gridBefore w:val="3"/>
          <w:gridAfter w:val="1"/>
          <w:wBefore w:w="37" w:type="dxa"/>
          <w:wAfter w:w="52" w:type="dxa"/>
          <w:trHeight w:val="898"/>
          <w:jc w:val="center"/>
        </w:trPr>
        <w:tc>
          <w:tcPr>
            <w:tcW w:w="2303" w:type="dxa"/>
            <w:gridSpan w:val="3"/>
            <w:tcBorders>
              <w:top w:val="nil"/>
              <w:left w:val="nil"/>
              <w:bottom w:val="nil"/>
              <w:right w:val="single" w:sz="8" w:space="0" w:color="000000"/>
            </w:tcBorders>
            <w:vAlign w:val="center"/>
          </w:tcPr>
          <w:p w14:paraId="18026867" w14:textId="77777777" w:rsidR="000343E5" w:rsidRPr="00D30847" w:rsidRDefault="000343E5" w:rsidP="001E2DE5">
            <w:pPr>
              <w:spacing w:after="0" w:line="240" w:lineRule="auto"/>
              <w:rPr>
                <w:rFonts w:ascii="Arial" w:eastAsia="Times New Roman" w:hAnsi="Arial" w:cs="Arial"/>
                <w:sz w:val="12"/>
                <w:szCs w:val="12"/>
                <w:lang w:val="en-GB" w:eastAsia="mk-MK"/>
              </w:rPr>
            </w:pPr>
          </w:p>
        </w:tc>
        <w:tc>
          <w:tcPr>
            <w:tcW w:w="1754" w:type="dxa"/>
            <w:gridSpan w:val="3"/>
            <w:tcBorders>
              <w:left w:val="single" w:sz="8" w:space="0" w:color="000000"/>
            </w:tcBorders>
            <w:shd w:val="clear" w:color="000000" w:fill="FFFF99"/>
            <w:vAlign w:val="center"/>
          </w:tcPr>
          <w:p w14:paraId="2F6BE4FA" w14:textId="259EE8AD" w:rsidR="000343E5" w:rsidRPr="00D30847" w:rsidRDefault="00551499"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Improvement in user proficiency with the IFMIS following the capacity-strengthening training and change management initiatives</w:t>
            </w:r>
          </w:p>
        </w:tc>
        <w:tc>
          <w:tcPr>
            <w:tcW w:w="1276" w:type="dxa"/>
            <w:gridSpan w:val="4"/>
            <w:shd w:val="clear" w:color="000000" w:fill="FFFF99"/>
            <w:vAlign w:val="center"/>
          </w:tcPr>
          <w:p w14:paraId="593C0F14" w14:textId="77777777" w:rsidR="000343E5" w:rsidRPr="00D30847" w:rsidRDefault="00093E63"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Project Reports</w:t>
            </w:r>
          </w:p>
        </w:tc>
        <w:tc>
          <w:tcPr>
            <w:tcW w:w="1418" w:type="dxa"/>
            <w:gridSpan w:val="3"/>
            <w:shd w:val="clear" w:color="000000" w:fill="FFFF99"/>
            <w:vAlign w:val="center"/>
          </w:tcPr>
          <w:p w14:paraId="701B5E4F" w14:textId="30DBE3C4" w:rsidR="000343E5" w:rsidRPr="00D30847" w:rsidRDefault="00551499"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No user proficiency with the IFMIS</w:t>
            </w:r>
          </w:p>
        </w:tc>
        <w:tc>
          <w:tcPr>
            <w:tcW w:w="1644" w:type="dxa"/>
            <w:gridSpan w:val="3"/>
            <w:shd w:val="clear" w:color="000000" w:fill="FFFF99"/>
            <w:vAlign w:val="center"/>
          </w:tcPr>
          <w:p w14:paraId="64FDFA0D" w14:textId="77777777" w:rsidR="000343E5" w:rsidRPr="00D30847" w:rsidRDefault="000343E5" w:rsidP="001E2DE5">
            <w:pPr>
              <w:spacing w:after="0" w:line="240" w:lineRule="auto"/>
              <w:rPr>
                <w:rFonts w:ascii="Arial" w:eastAsia="Times New Roman" w:hAnsi="Arial" w:cs="Arial"/>
                <w:sz w:val="12"/>
                <w:szCs w:val="12"/>
                <w:lang w:val="en-GB" w:eastAsia="mk-MK"/>
              </w:rPr>
            </w:pPr>
          </w:p>
        </w:tc>
        <w:tc>
          <w:tcPr>
            <w:tcW w:w="1758" w:type="dxa"/>
            <w:gridSpan w:val="4"/>
            <w:shd w:val="clear" w:color="000000" w:fill="FFFF99"/>
            <w:vAlign w:val="center"/>
          </w:tcPr>
          <w:p w14:paraId="7E6EC093" w14:textId="38406D67" w:rsidR="000343E5" w:rsidRPr="00D30847" w:rsidRDefault="00551499"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Assessment of user proficiency with the IFMIS and initiate capacity-strengthening training programs and change management initiatives</w:t>
            </w:r>
          </w:p>
        </w:tc>
        <w:tc>
          <w:tcPr>
            <w:tcW w:w="1842" w:type="dxa"/>
            <w:gridSpan w:val="4"/>
            <w:shd w:val="clear" w:color="000000" w:fill="FFFF99"/>
            <w:vAlign w:val="center"/>
          </w:tcPr>
          <w:p w14:paraId="79DED144" w14:textId="0436BBE8" w:rsidR="000343E5" w:rsidRPr="00D30847" w:rsidRDefault="00093E63"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Training</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and</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Skill</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Development</w:t>
            </w:r>
          </w:p>
        </w:tc>
        <w:tc>
          <w:tcPr>
            <w:tcW w:w="1506" w:type="dxa"/>
            <w:gridSpan w:val="4"/>
            <w:shd w:val="clear" w:color="000000" w:fill="FFFF99"/>
            <w:vAlign w:val="center"/>
          </w:tcPr>
          <w:p w14:paraId="740F264B" w14:textId="3123B8FD" w:rsidR="000343E5" w:rsidRPr="00D30847" w:rsidRDefault="00093E63"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Consolidation</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and</w:t>
            </w:r>
            <w:r w:rsidR="00551499"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Continuous</w:t>
            </w:r>
            <w:r w:rsidR="00246335" w:rsidRPr="00D30847">
              <w:rPr>
                <w:rFonts w:ascii="Arial" w:eastAsia="Times New Roman" w:hAnsi="Arial" w:cs="Arial"/>
                <w:sz w:val="12"/>
                <w:szCs w:val="12"/>
                <w:lang w:val="en-GB" w:eastAsia="mk-MK"/>
              </w:rPr>
              <w:t xml:space="preserve"> </w:t>
            </w:r>
            <w:r w:rsidRPr="00D30847">
              <w:rPr>
                <w:rFonts w:ascii="Arial" w:eastAsia="Times New Roman" w:hAnsi="Arial" w:cs="Arial"/>
                <w:sz w:val="12"/>
                <w:szCs w:val="12"/>
                <w:lang w:val="en-GB" w:eastAsia="mk-MK"/>
              </w:rPr>
              <w:t>Improvement</w:t>
            </w:r>
          </w:p>
        </w:tc>
      </w:tr>
      <w:tr w:rsidR="000343E5" w:rsidRPr="00D30847" w14:paraId="4CA969F4" w14:textId="77777777" w:rsidTr="00FD4DDE">
        <w:trPr>
          <w:gridBefore w:val="3"/>
          <w:gridAfter w:val="1"/>
          <w:wBefore w:w="37" w:type="dxa"/>
          <w:wAfter w:w="52" w:type="dxa"/>
          <w:trHeight w:val="232"/>
          <w:jc w:val="center"/>
        </w:trPr>
        <w:tc>
          <w:tcPr>
            <w:tcW w:w="2303" w:type="dxa"/>
            <w:gridSpan w:val="3"/>
            <w:tcBorders>
              <w:top w:val="nil"/>
              <w:left w:val="nil"/>
              <w:bottom w:val="nil"/>
              <w:right w:val="single" w:sz="8" w:space="0" w:color="000000"/>
            </w:tcBorders>
            <w:vAlign w:val="center"/>
          </w:tcPr>
          <w:p w14:paraId="35B083BB" w14:textId="77777777" w:rsidR="000343E5" w:rsidRPr="00D30847" w:rsidRDefault="000343E5" w:rsidP="001E2DE5">
            <w:pPr>
              <w:spacing w:after="0" w:line="240" w:lineRule="auto"/>
              <w:rPr>
                <w:rFonts w:ascii="Arial" w:eastAsia="Times New Roman" w:hAnsi="Arial" w:cs="Arial"/>
                <w:sz w:val="12"/>
                <w:szCs w:val="12"/>
                <w:lang w:val="en-GB" w:eastAsia="mk-MK"/>
              </w:rPr>
            </w:pPr>
          </w:p>
        </w:tc>
        <w:tc>
          <w:tcPr>
            <w:tcW w:w="1754" w:type="dxa"/>
            <w:gridSpan w:val="3"/>
            <w:tcBorders>
              <w:left w:val="single" w:sz="8" w:space="0" w:color="000000"/>
            </w:tcBorders>
            <w:shd w:val="clear" w:color="auto" w:fill="9BD2ED"/>
            <w:vAlign w:val="center"/>
          </w:tcPr>
          <w:p w14:paraId="4FBA719A" w14:textId="6DC8B1CF" w:rsidR="000343E5" w:rsidRPr="00D30847" w:rsidRDefault="00093E63" w:rsidP="00093E6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Activities</w:t>
            </w:r>
          </w:p>
        </w:tc>
        <w:tc>
          <w:tcPr>
            <w:tcW w:w="1276" w:type="dxa"/>
            <w:gridSpan w:val="4"/>
            <w:shd w:val="clear" w:color="auto" w:fill="9BD2ED"/>
            <w:vAlign w:val="center"/>
          </w:tcPr>
          <w:p w14:paraId="3EA50487" w14:textId="77777777" w:rsidR="000343E5" w:rsidRPr="00D30847" w:rsidRDefault="00093E63" w:rsidP="00093E6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Implementation period</w:t>
            </w:r>
          </w:p>
        </w:tc>
        <w:tc>
          <w:tcPr>
            <w:tcW w:w="1418" w:type="dxa"/>
            <w:gridSpan w:val="3"/>
            <w:shd w:val="clear" w:color="auto" w:fill="9BD2ED"/>
            <w:vAlign w:val="center"/>
          </w:tcPr>
          <w:p w14:paraId="5BAB71E1" w14:textId="77777777" w:rsidR="000343E5" w:rsidRPr="00D30847" w:rsidRDefault="00093E63" w:rsidP="00093E6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Responsible institution</w:t>
            </w:r>
          </w:p>
        </w:tc>
        <w:tc>
          <w:tcPr>
            <w:tcW w:w="1644" w:type="dxa"/>
            <w:gridSpan w:val="3"/>
            <w:shd w:val="clear" w:color="auto" w:fill="9BD2ED"/>
            <w:vAlign w:val="center"/>
          </w:tcPr>
          <w:p w14:paraId="5B3C9F7A" w14:textId="77777777" w:rsidR="000343E5" w:rsidRPr="00D30847" w:rsidRDefault="00093E63" w:rsidP="00093E6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Other partners</w:t>
            </w:r>
          </w:p>
        </w:tc>
        <w:tc>
          <w:tcPr>
            <w:tcW w:w="1758" w:type="dxa"/>
            <w:gridSpan w:val="4"/>
            <w:shd w:val="clear" w:color="auto" w:fill="9BD2ED"/>
            <w:vAlign w:val="center"/>
          </w:tcPr>
          <w:p w14:paraId="3FBEE3E3" w14:textId="77777777" w:rsidR="000343E5" w:rsidRPr="00D30847" w:rsidRDefault="00093E63" w:rsidP="00093E6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auto" w:fill="9BD2ED"/>
            <w:vAlign w:val="center"/>
          </w:tcPr>
          <w:p w14:paraId="193949C5" w14:textId="77777777" w:rsidR="000343E5" w:rsidRPr="00D30847" w:rsidRDefault="00093E63" w:rsidP="00093E6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b/>
                <w:bCs/>
                <w:sz w:val="12"/>
                <w:szCs w:val="12"/>
                <w:lang w:val="en-GB" w:eastAsia="mk-MK"/>
              </w:rPr>
              <w:t>Source of financing</w:t>
            </w:r>
          </w:p>
        </w:tc>
        <w:tc>
          <w:tcPr>
            <w:tcW w:w="1506" w:type="dxa"/>
            <w:gridSpan w:val="4"/>
            <w:shd w:val="clear" w:color="auto" w:fill="9BD2ED"/>
            <w:vAlign w:val="center"/>
          </w:tcPr>
          <w:p w14:paraId="45CFB6ED" w14:textId="77777777" w:rsidR="000343E5" w:rsidRPr="00D30847" w:rsidRDefault="000343E5" w:rsidP="00093E63">
            <w:pPr>
              <w:spacing w:after="0" w:line="240" w:lineRule="auto"/>
              <w:jc w:val="center"/>
              <w:rPr>
                <w:rFonts w:ascii="Arial" w:eastAsia="Times New Roman" w:hAnsi="Arial" w:cs="Arial"/>
                <w:sz w:val="12"/>
                <w:szCs w:val="12"/>
                <w:lang w:val="en-GB" w:eastAsia="mk-MK"/>
              </w:rPr>
            </w:pPr>
          </w:p>
        </w:tc>
      </w:tr>
      <w:tr w:rsidR="000343E5" w:rsidRPr="00D30847" w14:paraId="57B6A6D7" w14:textId="77777777" w:rsidTr="00FD4DDE">
        <w:trPr>
          <w:gridBefore w:val="3"/>
          <w:gridAfter w:val="1"/>
          <w:wBefore w:w="37" w:type="dxa"/>
          <w:wAfter w:w="52" w:type="dxa"/>
          <w:trHeight w:val="607"/>
          <w:jc w:val="center"/>
        </w:trPr>
        <w:tc>
          <w:tcPr>
            <w:tcW w:w="2303" w:type="dxa"/>
            <w:gridSpan w:val="3"/>
            <w:tcBorders>
              <w:top w:val="nil"/>
              <w:left w:val="nil"/>
              <w:bottom w:val="nil"/>
              <w:right w:val="single" w:sz="8" w:space="0" w:color="000000"/>
            </w:tcBorders>
            <w:vAlign w:val="center"/>
          </w:tcPr>
          <w:p w14:paraId="1A5296E6" w14:textId="77777777" w:rsidR="000343E5" w:rsidRPr="00D30847" w:rsidRDefault="000343E5" w:rsidP="001E2DE5">
            <w:pPr>
              <w:spacing w:after="0" w:line="240" w:lineRule="auto"/>
              <w:rPr>
                <w:rFonts w:ascii="Arial" w:eastAsia="Times New Roman" w:hAnsi="Arial" w:cs="Arial"/>
                <w:sz w:val="12"/>
                <w:szCs w:val="12"/>
                <w:lang w:val="en-GB" w:eastAsia="mk-MK"/>
              </w:rPr>
            </w:pPr>
          </w:p>
        </w:tc>
        <w:tc>
          <w:tcPr>
            <w:tcW w:w="1754" w:type="dxa"/>
            <w:gridSpan w:val="3"/>
            <w:tcBorders>
              <w:left w:val="single" w:sz="8" w:space="0" w:color="000000"/>
            </w:tcBorders>
            <w:shd w:val="clear" w:color="000000" w:fill="FFFF99"/>
            <w:vAlign w:val="center"/>
          </w:tcPr>
          <w:p w14:paraId="6D73C68D" w14:textId="77777777" w:rsidR="000343E5" w:rsidRPr="00D30847" w:rsidRDefault="00093E63"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1. </w:t>
            </w:r>
            <w:r w:rsidRPr="00D30847">
              <w:rPr>
                <w:rFonts w:ascii="Arial" w:hAnsi="Arial" w:cs="Arial"/>
                <w:sz w:val="12"/>
                <w:szCs w:val="12"/>
                <w:lang w:val="en-GB"/>
              </w:rPr>
              <w:t>Transition from existing MoF Systems to IFMIS</w:t>
            </w:r>
          </w:p>
        </w:tc>
        <w:tc>
          <w:tcPr>
            <w:tcW w:w="1276" w:type="dxa"/>
            <w:gridSpan w:val="4"/>
            <w:shd w:val="clear" w:color="000000" w:fill="FFFF99"/>
            <w:vAlign w:val="center"/>
          </w:tcPr>
          <w:p w14:paraId="0D94F6A1" w14:textId="729F11FE" w:rsidR="000343E5" w:rsidRPr="00D30847" w:rsidRDefault="00093E63" w:rsidP="00390D4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595060" w:rsidRPr="00D30847">
              <w:rPr>
                <w:rFonts w:ascii="Arial" w:eastAsia="Times New Roman" w:hAnsi="Arial" w:cs="Arial"/>
                <w:sz w:val="12"/>
                <w:szCs w:val="12"/>
                <w:lang w:val="en-GB" w:eastAsia="mk-MK"/>
              </w:rPr>
              <w:t>6-2028</w:t>
            </w:r>
          </w:p>
        </w:tc>
        <w:tc>
          <w:tcPr>
            <w:tcW w:w="1418" w:type="dxa"/>
            <w:gridSpan w:val="3"/>
            <w:shd w:val="clear" w:color="000000" w:fill="FFFF99"/>
            <w:vAlign w:val="center"/>
          </w:tcPr>
          <w:p w14:paraId="26C62514" w14:textId="3F90C91A" w:rsidR="000343E5" w:rsidRPr="00D30847" w:rsidRDefault="00F90378"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 IFMIS WG  </w:t>
            </w:r>
          </w:p>
        </w:tc>
        <w:tc>
          <w:tcPr>
            <w:tcW w:w="1644" w:type="dxa"/>
            <w:gridSpan w:val="3"/>
            <w:shd w:val="clear" w:color="000000" w:fill="FFFF99"/>
            <w:vAlign w:val="center"/>
          </w:tcPr>
          <w:p w14:paraId="1A8938A6" w14:textId="77777777" w:rsidR="000343E5" w:rsidRPr="00D30847" w:rsidRDefault="00093E63"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World Bank, EU</w:t>
            </w:r>
          </w:p>
        </w:tc>
        <w:tc>
          <w:tcPr>
            <w:tcW w:w="1758" w:type="dxa"/>
            <w:gridSpan w:val="4"/>
            <w:shd w:val="clear" w:color="000000" w:fill="FFFF99"/>
            <w:vAlign w:val="center"/>
          </w:tcPr>
          <w:p w14:paraId="1D4EFD9E" w14:textId="77777777" w:rsidR="003C20E4" w:rsidRPr="00D30847" w:rsidRDefault="00A47379" w:rsidP="00CE2DF4">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N/A</w:t>
            </w:r>
          </w:p>
        </w:tc>
        <w:tc>
          <w:tcPr>
            <w:tcW w:w="1842" w:type="dxa"/>
            <w:gridSpan w:val="4"/>
            <w:shd w:val="clear" w:color="000000" w:fill="FFFF99"/>
            <w:vAlign w:val="center"/>
          </w:tcPr>
          <w:p w14:paraId="7A644A8C" w14:textId="77777777" w:rsidR="000343E5" w:rsidRPr="00D30847" w:rsidRDefault="002209FA"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WB loan (including EU contribution)</w:t>
            </w:r>
          </w:p>
        </w:tc>
        <w:tc>
          <w:tcPr>
            <w:tcW w:w="1506" w:type="dxa"/>
            <w:gridSpan w:val="4"/>
            <w:shd w:val="clear" w:color="000000" w:fill="FFFF99"/>
            <w:vAlign w:val="center"/>
          </w:tcPr>
          <w:p w14:paraId="748CC6E1" w14:textId="776108AC" w:rsidR="000343E5" w:rsidRPr="00D30847" w:rsidRDefault="000343E5" w:rsidP="00407B01">
            <w:pPr>
              <w:spacing w:after="0" w:line="240" w:lineRule="auto"/>
              <w:jc w:val="center"/>
              <w:rPr>
                <w:rFonts w:ascii="Arial" w:eastAsia="Times New Roman" w:hAnsi="Arial" w:cs="Arial"/>
                <w:sz w:val="12"/>
                <w:szCs w:val="12"/>
                <w:lang w:val="en-GB" w:eastAsia="mk-MK"/>
              </w:rPr>
            </w:pPr>
          </w:p>
        </w:tc>
      </w:tr>
      <w:tr w:rsidR="000343E5" w:rsidRPr="00D30847" w14:paraId="7A9CCECC" w14:textId="77777777" w:rsidTr="00FD4DDE">
        <w:trPr>
          <w:gridBefore w:val="3"/>
          <w:gridAfter w:val="1"/>
          <w:wBefore w:w="37" w:type="dxa"/>
          <w:wAfter w:w="52" w:type="dxa"/>
          <w:trHeight w:val="702"/>
          <w:jc w:val="center"/>
        </w:trPr>
        <w:tc>
          <w:tcPr>
            <w:tcW w:w="2303" w:type="dxa"/>
            <w:gridSpan w:val="3"/>
            <w:tcBorders>
              <w:top w:val="nil"/>
              <w:left w:val="nil"/>
              <w:bottom w:val="nil"/>
              <w:right w:val="single" w:sz="8" w:space="0" w:color="000000"/>
            </w:tcBorders>
            <w:vAlign w:val="center"/>
          </w:tcPr>
          <w:p w14:paraId="152B5EC0" w14:textId="77777777" w:rsidR="000343E5" w:rsidRPr="00D30847" w:rsidRDefault="000343E5" w:rsidP="001E2DE5">
            <w:pPr>
              <w:spacing w:after="0" w:line="240" w:lineRule="auto"/>
              <w:rPr>
                <w:rFonts w:ascii="Arial" w:eastAsia="Times New Roman" w:hAnsi="Arial" w:cs="Arial"/>
                <w:sz w:val="12"/>
                <w:szCs w:val="12"/>
                <w:lang w:val="en-GB" w:eastAsia="mk-MK"/>
              </w:rPr>
            </w:pPr>
          </w:p>
        </w:tc>
        <w:tc>
          <w:tcPr>
            <w:tcW w:w="1754" w:type="dxa"/>
            <w:gridSpan w:val="3"/>
            <w:tcBorders>
              <w:left w:val="single" w:sz="8" w:space="0" w:color="000000"/>
            </w:tcBorders>
            <w:shd w:val="clear" w:color="000000" w:fill="FFFF99"/>
            <w:vAlign w:val="center"/>
          </w:tcPr>
          <w:p w14:paraId="3BDE9AA8" w14:textId="77777777" w:rsidR="000343E5" w:rsidRPr="00D30847" w:rsidRDefault="002209FA"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2. </w:t>
            </w:r>
            <w:r w:rsidRPr="00D30847">
              <w:rPr>
                <w:rFonts w:ascii="Arial" w:hAnsi="Arial" w:cs="Arial"/>
                <w:sz w:val="12"/>
                <w:szCs w:val="12"/>
                <w:lang w:val="en-GB"/>
              </w:rPr>
              <w:t>Training of IFMIS users from central and local budget entities</w:t>
            </w:r>
          </w:p>
        </w:tc>
        <w:tc>
          <w:tcPr>
            <w:tcW w:w="1276" w:type="dxa"/>
            <w:gridSpan w:val="4"/>
            <w:shd w:val="clear" w:color="000000" w:fill="FFFF99"/>
            <w:vAlign w:val="center"/>
          </w:tcPr>
          <w:p w14:paraId="65DFEDA1" w14:textId="16E65B73" w:rsidR="000343E5" w:rsidRPr="00D30847" w:rsidRDefault="00595060" w:rsidP="00390D4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2026-2028</w:t>
            </w:r>
          </w:p>
        </w:tc>
        <w:tc>
          <w:tcPr>
            <w:tcW w:w="1418" w:type="dxa"/>
            <w:gridSpan w:val="3"/>
            <w:shd w:val="clear" w:color="000000" w:fill="FFFF99"/>
            <w:vAlign w:val="center"/>
          </w:tcPr>
          <w:p w14:paraId="5AAC2815" w14:textId="307777BF" w:rsidR="000343E5" w:rsidRPr="00D30847" w:rsidRDefault="00F90378"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IFMIS WG  /</w:t>
            </w:r>
            <w:r w:rsidR="002209FA" w:rsidRPr="00D30847">
              <w:rPr>
                <w:rFonts w:ascii="Arial" w:eastAsia="Times New Roman" w:hAnsi="Arial" w:cs="Arial"/>
                <w:sz w:val="12"/>
                <w:szCs w:val="12"/>
                <w:lang w:val="en-GB" w:eastAsia="mk-MK"/>
              </w:rPr>
              <w:t>PFA</w:t>
            </w:r>
          </w:p>
        </w:tc>
        <w:tc>
          <w:tcPr>
            <w:tcW w:w="1644" w:type="dxa"/>
            <w:gridSpan w:val="3"/>
            <w:shd w:val="clear" w:color="000000" w:fill="FFFF99"/>
            <w:vAlign w:val="center"/>
          </w:tcPr>
          <w:p w14:paraId="198A8B5E" w14:textId="77777777" w:rsidR="000343E5" w:rsidRPr="00D30847" w:rsidRDefault="002209FA"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World Bank, EU</w:t>
            </w:r>
          </w:p>
        </w:tc>
        <w:tc>
          <w:tcPr>
            <w:tcW w:w="1758" w:type="dxa"/>
            <w:gridSpan w:val="4"/>
            <w:shd w:val="clear" w:color="000000" w:fill="FFFF99"/>
            <w:vAlign w:val="center"/>
          </w:tcPr>
          <w:p w14:paraId="7311518A" w14:textId="77777777" w:rsidR="003C20E4" w:rsidRPr="00D30847" w:rsidRDefault="00A47379" w:rsidP="00CE2DF4">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N/A</w:t>
            </w:r>
          </w:p>
        </w:tc>
        <w:tc>
          <w:tcPr>
            <w:tcW w:w="1842" w:type="dxa"/>
            <w:gridSpan w:val="4"/>
            <w:shd w:val="clear" w:color="000000" w:fill="FFFF99"/>
            <w:vAlign w:val="center"/>
          </w:tcPr>
          <w:p w14:paraId="7A720467" w14:textId="77777777" w:rsidR="000343E5" w:rsidRPr="00D30847" w:rsidRDefault="002209FA"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WB loan (including EU contribution)</w:t>
            </w:r>
          </w:p>
        </w:tc>
        <w:tc>
          <w:tcPr>
            <w:tcW w:w="1506" w:type="dxa"/>
            <w:gridSpan w:val="4"/>
            <w:shd w:val="clear" w:color="000000" w:fill="FFFF99"/>
            <w:vAlign w:val="center"/>
          </w:tcPr>
          <w:p w14:paraId="031FEB91" w14:textId="1AC7A065" w:rsidR="000343E5" w:rsidRPr="00D30847" w:rsidRDefault="000343E5" w:rsidP="00407B01">
            <w:pPr>
              <w:spacing w:after="0" w:line="240" w:lineRule="auto"/>
              <w:jc w:val="center"/>
              <w:rPr>
                <w:rFonts w:ascii="Arial" w:eastAsia="Times New Roman" w:hAnsi="Arial" w:cs="Arial"/>
                <w:sz w:val="12"/>
                <w:szCs w:val="12"/>
                <w:lang w:val="en-GB" w:eastAsia="mk-MK"/>
              </w:rPr>
            </w:pPr>
          </w:p>
        </w:tc>
      </w:tr>
      <w:tr w:rsidR="002209FA" w:rsidRPr="00D30847" w14:paraId="6113707A" w14:textId="77777777" w:rsidTr="00FD4DDE">
        <w:trPr>
          <w:gridBefore w:val="3"/>
          <w:gridAfter w:val="1"/>
          <w:wBefore w:w="37" w:type="dxa"/>
          <w:wAfter w:w="52" w:type="dxa"/>
          <w:trHeight w:val="610"/>
          <w:jc w:val="center"/>
        </w:trPr>
        <w:tc>
          <w:tcPr>
            <w:tcW w:w="2303" w:type="dxa"/>
            <w:gridSpan w:val="3"/>
            <w:tcBorders>
              <w:top w:val="nil"/>
              <w:left w:val="nil"/>
              <w:bottom w:val="nil"/>
              <w:right w:val="single" w:sz="8" w:space="0" w:color="000000"/>
            </w:tcBorders>
            <w:vAlign w:val="center"/>
          </w:tcPr>
          <w:p w14:paraId="6CB65FFF" w14:textId="77777777" w:rsidR="002209FA" w:rsidRPr="00D30847" w:rsidRDefault="002209FA" w:rsidP="001E2DE5">
            <w:pPr>
              <w:spacing w:after="0" w:line="240" w:lineRule="auto"/>
              <w:rPr>
                <w:rFonts w:ascii="Arial" w:eastAsia="Times New Roman" w:hAnsi="Arial" w:cs="Arial"/>
                <w:sz w:val="12"/>
                <w:szCs w:val="12"/>
                <w:lang w:val="en-GB" w:eastAsia="mk-MK"/>
              </w:rPr>
            </w:pPr>
          </w:p>
        </w:tc>
        <w:tc>
          <w:tcPr>
            <w:tcW w:w="1754" w:type="dxa"/>
            <w:gridSpan w:val="3"/>
            <w:tcBorders>
              <w:left w:val="single" w:sz="8" w:space="0" w:color="000000"/>
            </w:tcBorders>
            <w:shd w:val="clear" w:color="000000" w:fill="FFFF99"/>
            <w:vAlign w:val="center"/>
          </w:tcPr>
          <w:p w14:paraId="2B8D9C2B" w14:textId="2F919400" w:rsidR="002209FA" w:rsidRPr="00D30847" w:rsidRDefault="002209FA"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3. </w:t>
            </w:r>
            <w:r w:rsidRPr="00D30847">
              <w:rPr>
                <w:rFonts w:ascii="Arial" w:eastAsia="MS PGothic" w:hAnsi="Arial" w:cs="Arial"/>
                <w:sz w:val="12"/>
                <w:szCs w:val="12"/>
                <w:lang w:val="en-GB" w:eastAsia="zh-CN"/>
              </w:rPr>
              <w:t>Development of a business continuity plan and disaster recovery skills</w:t>
            </w:r>
          </w:p>
        </w:tc>
        <w:tc>
          <w:tcPr>
            <w:tcW w:w="1276" w:type="dxa"/>
            <w:gridSpan w:val="4"/>
            <w:shd w:val="clear" w:color="000000" w:fill="FFFF99"/>
            <w:vAlign w:val="center"/>
          </w:tcPr>
          <w:p w14:paraId="72ACF210" w14:textId="7AAEF5DC" w:rsidR="002209FA" w:rsidRPr="00D30847" w:rsidRDefault="002209FA" w:rsidP="00390D4A">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w:t>
            </w:r>
            <w:r w:rsidR="00595060" w:rsidRPr="00D30847">
              <w:rPr>
                <w:rFonts w:ascii="Arial" w:eastAsia="Times New Roman" w:hAnsi="Arial" w:cs="Arial"/>
                <w:sz w:val="12"/>
                <w:szCs w:val="12"/>
                <w:lang w:val="en-GB" w:eastAsia="mk-MK"/>
              </w:rPr>
              <w:t>6-2028</w:t>
            </w:r>
          </w:p>
        </w:tc>
        <w:tc>
          <w:tcPr>
            <w:tcW w:w="1418" w:type="dxa"/>
            <w:gridSpan w:val="3"/>
            <w:shd w:val="clear" w:color="000000" w:fill="FFFF99"/>
            <w:vAlign w:val="center"/>
          </w:tcPr>
          <w:p w14:paraId="6FCF44D9" w14:textId="72399880" w:rsidR="002209FA" w:rsidRPr="00D30847" w:rsidRDefault="00F90378"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 IFMIS WG  </w:t>
            </w:r>
          </w:p>
        </w:tc>
        <w:tc>
          <w:tcPr>
            <w:tcW w:w="1644" w:type="dxa"/>
            <w:gridSpan w:val="3"/>
            <w:shd w:val="clear" w:color="000000" w:fill="FFFF99"/>
            <w:vAlign w:val="center"/>
          </w:tcPr>
          <w:p w14:paraId="7D912E8A" w14:textId="77777777" w:rsidR="002209FA" w:rsidRPr="00D30847" w:rsidRDefault="002209FA"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World Bank, EU</w:t>
            </w:r>
          </w:p>
        </w:tc>
        <w:tc>
          <w:tcPr>
            <w:tcW w:w="1758" w:type="dxa"/>
            <w:gridSpan w:val="4"/>
            <w:shd w:val="clear" w:color="000000" w:fill="FFFF99"/>
            <w:vAlign w:val="center"/>
          </w:tcPr>
          <w:p w14:paraId="45B3721F" w14:textId="77777777" w:rsidR="003C20E4" w:rsidRPr="00D30847" w:rsidRDefault="00A47379" w:rsidP="00CE2DF4">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N/A</w:t>
            </w:r>
          </w:p>
        </w:tc>
        <w:tc>
          <w:tcPr>
            <w:tcW w:w="1842" w:type="dxa"/>
            <w:gridSpan w:val="4"/>
            <w:shd w:val="clear" w:color="000000" w:fill="FFFF99"/>
            <w:vAlign w:val="center"/>
          </w:tcPr>
          <w:p w14:paraId="102DF132" w14:textId="77777777" w:rsidR="002209FA" w:rsidRPr="00D30847" w:rsidRDefault="002209FA" w:rsidP="001E2DE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WB loan (including EU contribution)</w:t>
            </w:r>
          </w:p>
        </w:tc>
        <w:tc>
          <w:tcPr>
            <w:tcW w:w="1506" w:type="dxa"/>
            <w:gridSpan w:val="4"/>
            <w:shd w:val="clear" w:color="000000" w:fill="FFFF99"/>
            <w:vAlign w:val="center"/>
          </w:tcPr>
          <w:p w14:paraId="4D8ACE26" w14:textId="1A67CA46" w:rsidR="002209FA" w:rsidRPr="00D30847" w:rsidRDefault="002209FA" w:rsidP="00407B01">
            <w:pPr>
              <w:spacing w:after="0" w:line="240" w:lineRule="auto"/>
              <w:jc w:val="center"/>
              <w:rPr>
                <w:rFonts w:ascii="Arial" w:eastAsia="Times New Roman" w:hAnsi="Arial" w:cs="Arial"/>
                <w:sz w:val="12"/>
                <w:szCs w:val="12"/>
                <w:lang w:val="en-GB" w:eastAsia="mk-MK"/>
              </w:rPr>
            </w:pPr>
          </w:p>
        </w:tc>
      </w:tr>
      <w:tr w:rsidR="00485BAA" w:rsidRPr="00D30847" w14:paraId="5BCB8717" w14:textId="77777777" w:rsidTr="00FD4DDE">
        <w:trPr>
          <w:gridBefore w:val="3"/>
          <w:gridAfter w:val="1"/>
          <w:wBefore w:w="37" w:type="dxa"/>
          <w:wAfter w:w="52" w:type="dxa"/>
          <w:trHeight w:val="250"/>
          <w:jc w:val="center"/>
        </w:trPr>
        <w:tc>
          <w:tcPr>
            <w:tcW w:w="13501" w:type="dxa"/>
            <w:gridSpan w:val="28"/>
            <w:shd w:val="clear" w:color="000000" w:fill="1F3864"/>
            <w:vAlign w:val="center"/>
            <w:hideMark/>
          </w:tcPr>
          <w:p w14:paraId="091A94CF" w14:textId="64A3B7A2"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PILLAR V</w:t>
            </w:r>
            <w:r w:rsidR="00577A56" w:rsidRPr="00D30847">
              <w:rPr>
                <w:rFonts w:ascii="Arial" w:eastAsia="Times New Roman" w:hAnsi="Arial" w:cs="Arial"/>
                <w:b/>
                <w:bCs/>
                <w:color w:val="FFFFFF"/>
                <w:sz w:val="12"/>
                <w:szCs w:val="12"/>
                <w:lang w:val="en-GB" w:eastAsia="mk-MK"/>
              </w:rPr>
              <w:t>.</w:t>
            </w:r>
            <w:r w:rsidRPr="00D30847">
              <w:rPr>
                <w:rFonts w:ascii="Arial" w:eastAsia="Times New Roman" w:hAnsi="Arial" w:cs="Arial"/>
                <w:b/>
                <w:bCs/>
                <w:color w:val="FFFFFF"/>
                <w:sz w:val="12"/>
                <w:szCs w:val="12"/>
                <w:lang w:val="en-GB" w:eastAsia="mk-MK"/>
              </w:rPr>
              <w:t xml:space="preserve"> </w:t>
            </w:r>
            <w:r w:rsidR="00432D15" w:rsidRPr="00D30847">
              <w:rPr>
                <w:rFonts w:ascii="Arial" w:eastAsia="Times New Roman" w:hAnsi="Arial" w:cs="Arial"/>
                <w:b/>
                <w:bCs/>
                <w:color w:val="FFFFFF"/>
                <w:sz w:val="12"/>
                <w:szCs w:val="12"/>
                <w:lang w:val="en-GB" w:eastAsia="mk-MK"/>
              </w:rPr>
              <w:t>Public finance digitalisation and </w:t>
            </w:r>
            <w:proofErr w:type="spellStart"/>
            <w:r w:rsidR="001111E8" w:rsidRPr="00D30847">
              <w:rPr>
                <w:rFonts w:ascii="Arial" w:eastAsia="Times New Roman" w:hAnsi="Arial" w:cs="Arial"/>
                <w:b/>
                <w:bCs/>
                <w:color w:val="FFFFFF"/>
                <w:sz w:val="12"/>
                <w:szCs w:val="12"/>
                <w:lang w:val="en-GB" w:eastAsia="mk-MK"/>
              </w:rPr>
              <w:t>continuоus</w:t>
            </w:r>
            <w:proofErr w:type="spellEnd"/>
            <w:r w:rsidR="00432D15" w:rsidRPr="00D30847">
              <w:rPr>
                <w:rFonts w:ascii="Arial" w:eastAsia="Times New Roman" w:hAnsi="Arial" w:cs="Arial"/>
                <w:b/>
                <w:bCs/>
                <w:color w:val="FFFFFF"/>
                <w:sz w:val="12"/>
                <w:szCs w:val="12"/>
                <w:lang w:val="en-GB" w:eastAsia="mk-MK"/>
              </w:rPr>
              <w:t> learning</w:t>
            </w:r>
          </w:p>
        </w:tc>
      </w:tr>
      <w:tr w:rsidR="00485BAA" w:rsidRPr="00D30847" w14:paraId="69F3A881" w14:textId="77777777" w:rsidTr="00FD4DDE">
        <w:trPr>
          <w:gridBefore w:val="3"/>
          <w:gridAfter w:val="1"/>
          <w:wBefore w:w="37" w:type="dxa"/>
          <w:wAfter w:w="52" w:type="dxa"/>
          <w:trHeight w:val="251"/>
          <w:jc w:val="center"/>
        </w:trPr>
        <w:tc>
          <w:tcPr>
            <w:tcW w:w="13501" w:type="dxa"/>
            <w:gridSpan w:val="28"/>
            <w:shd w:val="clear" w:color="000000" w:fill="1F3864"/>
            <w:vAlign w:val="center"/>
            <w:hideMark/>
          </w:tcPr>
          <w:p w14:paraId="2A0A588B" w14:textId="0EF9AF5A" w:rsidR="00485BAA" w:rsidRPr="00D30847" w:rsidRDefault="00485BAA" w:rsidP="00485BAA">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 xml:space="preserve">PRIORITY </w:t>
            </w:r>
            <w:r w:rsidR="000A08F4" w:rsidRPr="00D30847">
              <w:rPr>
                <w:rFonts w:ascii="Arial" w:eastAsia="Times New Roman" w:hAnsi="Arial" w:cs="Arial"/>
                <w:b/>
                <w:bCs/>
                <w:color w:val="FFFFFF"/>
                <w:sz w:val="12"/>
                <w:szCs w:val="12"/>
                <w:lang w:val="en-GB" w:eastAsia="mk-MK"/>
              </w:rPr>
              <w:t>2</w:t>
            </w:r>
            <w:r w:rsidRPr="00D30847">
              <w:rPr>
                <w:rFonts w:ascii="Arial" w:eastAsia="Times New Roman" w:hAnsi="Arial" w:cs="Arial"/>
                <w:b/>
                <w:bCs/>
                <w:color w:val="FFFFFF"/>
                <w:sz w:val="12"/>
                <w:szCs w:val="12"/>
                <w:lang w:val="en-GB" w:eastAsia="mk-MK"/>
              </w:rPr>
              <w:t>. Public</w:t>
            </w:r>
            <w:r w:rsidR="00246335"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Finance</w:t>
            </w:r>
            <w:r w:rsidR="00246335" w:rsidRPr="00D30847">
              <w:rPr>
                <w:rFonts w:ascii="Arial" w:eastAsia="Times New Roman" w:hAnsi="Arial" w:cs="Arial"/>
                <w:b/>
                <w:bCs/>
                <w:color w:val="FFFFFF"/>
                <w:sz w:val="12"/>
                <w:szCs w:val="12"/>
                <w:lang w:val="en-GB" w:eastAsia="mk-MK"/>
              </w:rPr>
              <w:t xml:space="preserve"> </w:t>
            </w:r>
            <w:r w:rsidRPr="00D30847">
              <w:rPr>
                <w:rFonts w:ascii="Arial" w:eastAsia="Times New Roman" w:hAnsi="Arial" w:cs="Arial"/>
                <w:b/>
                <w:bCs/>
                <w:color w:val="FFFFFF"/>
                <w:sz w:val="12"/>
                <w:szCs w:val="12"/>
                <w:lang w:val="en-GB" w:eastAsia="mk-MK"/>
              </w:rPr>
              <w:t>Academy</w:t>
            </w:r>
            <w:r w:rsidR="00246335" w:rsidRPr="00D30847">
              <w:rPr>
                <w:rFonts w:ascii="Arial" w:eastAsia="Times New Roman" w:hAnsi="Arial" w:cs="Arial"/>
                <w:b/>
                <w:bCs/>
                <w:color w:val="FFFFFF"/>
                <w:sz w:val="12"/>
                <w:szCs w:val="12"/>
                <w:lang w:val="en-GB" w:eastAsia="mk-MK"/>
              </w:rPr>
              <w:t xml:space="preserve"> </w:t>
            </w:r>
            <w:r w:rsidR="002428A3" w:rsidRPr="00D30847">
              <w:rPr>
                <w:rFonts w:ascii="Arial" w:eastAsia="Times New Roman" w:hAnsi="Arial" w:cs="Arial"/>
                <w:b/>
                <w:bCs/>
                <w:color w:val="FFFFFF"/>
                <w:sz w:val="12"/>
                <w:szCs w:val="12"/>
                <w:lang w:val="en-GB" w:eastAsia="mk-MK"/>
              </w:rPr>
              <w:t>(learning</w:t>
            </w:r>
            <w:r w:rsidR="00246335" w:rsidRPr="00D30847">
              <w:rPr>
                <w:rFonts w:ascii="Arial" w:eastAsia="Times New Roman" w:hAnsi="Arial" w:cs="Arial"/>
                <w:b/>
                <w:bCs/>
                <w:color w:val="FFFFFF"/>
                <w:sz w:val="12"/>
                <w:szCs w:val="12"/>
                <w:lang w:val="en-GB" w:eastAsia="mk-MK"/>
              </w:rPr>
              <w:t xml:space="preserve"> </w:t>
            </w:r>
            <w:r w:rsidR="002428A3" w:rsidRPr="00D30847">
              <w:rPr>
                <w:rFonts w:ascii="Arial" w:eastAsia="Times New Roman" w:hAnsi="Arial" w:cs="Arial"/>
                <w:b/>
                <w:bCs/>
                <w:color w:val="FFFFFF"/>
                <w:sz w:val="12"/>
                <w:szCs w:val="12"/>
                <w:lang w:val="en-GB" w:eastAsia="mk-MK"/>
              </w:rPr>
              <w:t>organization)</w:t>
            </w:r>
          </w:p>
        </w:tc>
      </w:tr>
      <w:tr w:rsidR="00485BAA" w:rsidRPr="00D30847" w14:paraId="2284808D" w14:textId="77777777" w:rsidTr="00FD4DDE">
        <w:trPr>
          <w:gridBefore w:val="3"/>
          <w:gridAfter w:val="1"/>
          <w:wBefore w:w="37" w:type="dxa"/>
          <w:wAfter w:w="52" w:type="dxa"/>
          <w:trHeight w:val="315"/>
          <w:jc w:val="center"/>
        </w:trPr>
        <w:tc>
          <w:tcPr>
            <w:tcW w:w="2303" w:type="dxa"/>
            <w:gridSpan w:val="3"/>
            <w:shd w:val="clear" w:color="000000" w:fill="9BD2ED"/>
            <w:vAlign w:val="center"/>
            <w:hideMark/>
          </w:tcPr>
          <w:p w14:paraId="43945F2A" w14:textId="77777777"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Outcome(s)</w:t>
            </w:r>
          </w:p>
        </w:tc>
        <w:tc>
          <w:tcPr>
            <w:tcW w:w="1836" w:type="dxa"/>
            <w:gridSpan w:val="5"/>
            <w:shd w:val="clear" w:color="000000" w:fill="9BD2ED"/>
            <w:vAlign w:val="center"/>
            <w:hideMark/>
          </w:tcPr>
          <w:p w14:paraId="2E13A33A" w14:textId="1BC8CB91"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w:t>
            </w:r>
            <w:r w:rsidR="00246335" w:rsidRPr="00D30847">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Indicator</w:t>
            </w:r>
          </w:p>
        </w:tc>
        <w:tc>
          <w:tcPr>
            <w:tcW w:w="1194" w:type="dxa"/>
            <w:gridSpan w:val="2"/>
            <w:shd w:val="clear" w:color="000000" w:fill="9BD2ED"/>
            <w:vAlign w:val="center"/>
            <w:hideMark/>
          </w:tcPr>
          <w:p w14:paraId="4269C129" w14:textId="4FFE0C3D"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w:t>
            </w:r>
            <w:r w:rsidR="00F368A1">
              <w:rPr>
                <w:rFonts w:ascii="Arial" w:eastAsia="Times New Roman" w:hAnsi="Arial" w:cs="Arial"/>
                <w:b/>
                <w:bCs/>
                <w:sz w:val="12"/>
                <w:szCs w:val="12"/>
                <w:lang w:val="en-GB" w:eastAsia="mk-MK"/>
              </w:rPr>
              <w:t xml:space="preserve"> </w:t>
            </w:r>
            <w:r w:rsidRPr="00D30847">
              <w:rPr>
                <w:rFonts w:ascii="Arial" w:eastAsia="Times New Roman" w:hAnsi="Arial" w:cs="Arial"/>
                <w:b/>
                <w:bCs/>
                <w:sz w:val="12"/>
                <w:szCs w:val="12"/>
                <w:lang w:val="en-GB" w:eastAsia="mk-MK"/>
              </w:rPr>
              <w:t>Source</w:t>
            </w:r>
          </w:p>
        </w:tc>
        <w:tc>
          <w:tcPr>
            <w:tcW w:w="1418" w:type="dxa"/>
            <w:gridSpan w:val="3"/>
            <w:shd w:val="clear" w:color="000000" w:fill="9BD2ED"/>
            <w:vAlign w:val="center"/>
            <w:hideMark/>
          </w:tcPr>
          <w:p w14:paraId="6E241A9B" w14:textId="026F4C79"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w:t>
            </w:r>
            <w:r w:rsidR="009C1D55" w:rsidRPr="00D30847">
              <w:rPr>
                <w:rFonts w:ascii="Arial" w:eastAsia="Times New Roman" w:hAnsi="Arial" w:cs="Arial"/>
                <w:b/>
                <w:bCs/>
                <w:sz w:val="12"/>
                <w:szCs w:val="12"/>
                <w:lang w:val="en-GB" w:eastAsia="mk-MK"/>
              </w:rPr>
              <w:t>3</w:t>
            </w:r>
          </w:p>
        </w:tc>
        <w:tc>
          <w:tcPr>
            <w:tcW w:w="1644" w:type="dxa"/>
            <w:gridSpan w:val="3"/>
            <w:shd w:val="clear" w:color="000000" w:fill="9BD2ED"/>
            <w:vAlign w:val="center"/>
            <w:hideMark/>
          </w:tcPr>
          <w:p w14:paraId="7A1DAEE8" w14:textId="02D57003"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9C1D55" w:rsidRPr="00D30847">
              <w:rPr>
                <w:rFonts w:ascii="Arial" w:eastAsia="Times New Roman" w:hAnsi="Arial" w:cs="Arial"/>
                <w:b/>
                <w:bCs/>
                <w:sz w:val="12"/>
                <w:szCs w:val="12"/>
                <w:lang w:val="en-GB" w:eastAsia="mk-MK"/>
              </w:rPr>
              <w:t>5</w:t>
            </w:r>
          </w:p>
        </w:tc>
        <w:tc>
          <w:tcPr>
            <w:tcW w:w="1758" w:type="dxa"/>
            <w:gridSpan w:val="4"/>
            <w:shd w:val="clear" w:color="000000" w:fill="9BD2ED"/>
            <w:vAlign w:val="center"/>
            <w:hideMark/>
          </w:tcPr>
          <w:p w14:paraId="5FCBEB32" w14:textId="5136E374"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9C1D55" w:rsidRPr="00D30847">
              <w:rPr>
                <w:rFonts w:ascii="Arial" w:eastAsia="Times New Roman" w:hAnsi="Arial" w:cs="Arial"/>
                <w:b/>
                <w:bCs/>
                <w:sz w:val="12"/>
                <w:szCs w:val="12"/>
                <w:lang w:val="en-GB" w:eastAsia="mk-MK"/>
              </w:rPr>
              <w:t>6</w:t>
            </w:r>
          </w:p>
        </w:tc>
        <w:tc>
          <w:tcPr>
            <w:tcW w:w="1842" w:type="dxa"/>
            <w:gridSpan w:val="4"/>
            <w:shd w:val="clear" w:color="000000" w:fill="9BD2ED"/>
            <w:vAlign w:val="center"/>
            <w:hideMark/>
          </w:tcPr>
          <w:p w14:paraId="2D0AD32D" w14:textId="41C0CB1A"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9C1D55" w:rsidRPr="00D30847">
              <w:rPr>
                <w:rFonts w:ascii="Arial" w:eastAsia="Times New Roman" w:hAnsi="Arial" w:cs="Arial"/>
                <w:b/>
                <w:bCs/>
                <w:sz w:val="12"/>
                <w:szCs w:val="12"/>
                <w:lang w:val="en-GB" w:eastAsia="mk-MK"/>
              </w:rPr>
              <w:t>7</w:t>
            </w:r>
          </w:p>
        </w:tc>
        <w:tc>
          <w:tcPr>
            <w:tcW w:w="1506" w:type="dxa"/>
            <w:gridSpan w:val="4"/>
            <w:shd w:val="clear" w:color="000000" w:fill="9BD2ED"/>
            <w:vAlign w:val="center"/>
            <w:hideMark/>
          </w:tcPr>
          <w:p w14:paraId="13544269" w14:textId="1C3C8136" w:rsidR="00485BAA" w:rsidRPr="00D30847" w:rsidRDefault="00485BAA" w:rsidP="00485BAA">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r w:rsidR="009C1D55" w:rsidRPr="00D30847">
              <w:rPr>
                <w:rFonts w:ascii="Arial" w:eastAsia="Times New Roman" w:hAnsi="Arial" w:cs="Arial"/>
                <w:b/>
                <w:bCs/>
                <w:sz w:val="12"/>
                <w:szCs w:val="12"/>
                <w:lang w:val="en-GB" w:eastAsia="mk-MK"/>
              </w:rPr>
              <w:t>8</w:t>
            </w:r>
          </w:p>
        </w:tc>
      </w:tr>
      <w:tr w:rsidR="00DF7303" w:rsidRPr="00D30847" w14:paraId="2C4BB8CA" w14:textId="77777777" w:rsidTr="00FD4DDE">
        <w:trPr>
          <w:gridBefore w:val="3"/>
          <w:gridAfter w:val="1"/>
          <w:wBefore w:w="37" w:type="dxa"/>
          <w:wAfter w:w="52" w:type="dxa"/>
          <w:trHeight w:val="912"/>
          <w:jc w:val="center"/>
        </w:trPr>
        <w:tc>
          <w:tcPr>
            <w:tcW w:w="2303" w:type="dxa"/>
            <w:gridSpan w:val="3"/>
            <w:shd w:val="clear" w:color="000000" w:fill="FFFF99"/>
            <w:vAlign w:val="center"/>
            <w:hideMark/>
          </w:tcPr>
          <w:p w14:paraId="504462DC" w14:textId="17A09E74"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Provided continuing education in the field of Public Financial Management</w:t>
            </w:r>
          </w:p>
        </w:tc>
        <w:tc>
          <w:tcPr>
            <w:tcW w:w="1836" w:type="dxa"/>
            <w:gridSpan w:val="5"/>
            <w:shd w:val="clear" w:color="000000" w:fill="FFFF99"/>
            <w:vAlign w:val="center"/>
            <w:hideMark/>
          </w:tcPr>
          <w:p w14:paraId="6A917041" w14:textId="044ACD9B"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Number of successfully completed </w:t>
            </w:r>
            <w:r w:rsidR="00F368A1" w:rsidRPr="00D30847">
              <w:rPr>
                <w:rFonts w:ascii="Arial" w:eastAsia="Times New Roman" w:hAnsi="Arial" w:cs="Arial"/>
                <w:sz w:val="12"/>
                <w:szCs w:val="12"/>
                <w:lang w:val="en-GB" w:eastAsia="mk-MK"/>
              </w:rPr>
              <w:t>trainings</w:t>
            </w:r>
            <w:r w:rsidRPr="00D30847">
              <w:rPr>
                <w:rFonts w:ascii="Arial" w:eastAsia="Times New Roman" w:hAnsi="Arial" w:cs="Arial"/>
                <w:sz w:val="12"/>
                <w:szCs w:val="12"/>
                <w:lang w:val="en-GB" w:eastAsia="mk-MK"/>
              </w:rPr>
              <w:t xml:space="preserve"> in accordance with the Annual Training Program and ad hoc </w:t>
            </w:r>
            <w:r w:rsidR="00F368A1" w:rsidRPr="00D30847">
              <w:rPr>
                <w:rFonts w:ascii="Arial" w:eastAsia="Times New Roman" w:hAnsi="Arial" w:cs="Arial"/>
                <w:sz w:val="12"/>
                <w:szCs w:val="12"/>
                <w:lang w:val="en-GB" w:eastAsia="mk-MK"/>
              </w:rPr>
              <w:t>trainings</w:t>
            </w:r>
          </w:p>
        </w:tc>
        <w:tc>
          <w:tcPr>
            <w:tcW w:w="1194" w:type="dxa"/>
            <w:gridSpan w:val="2"/>
            <w:shd w:val="clear" w:color="000000" w:fill="FFFF99"/>
            <w:vAlign w:val="center"/>
            <w:hideMark/>
          </w:tcPr>
          <w:p w14:paraId="688C61C0" w14:textId="6AE094A8"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Annual report</w:t>
            </w:r>
          </w:p>
        </w:tc>
        <w:tc>
          <w:tcPr>
            <w:tcW w:w="1418" w:type="dxa"/>
            <w:gridSpan w:val="3"/>
            <w:shd w:val="clear" w:color="000000" w:fill="FFFF99"/>
            <w:vAlign w:val="center"/>
            <w:hideMark/>
          </w:tcPr>
          <w:p w14:paraId="6C8EF16B" w14:textId="5AE9F34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4 realized trainings in accordance with the Annual Training Program and  1 ad hoc </w:t>
            </w:r>
            <w:r w:rsidR="00F368A1" w:rsidRPr="00D30847">
              <w:rPr>
                <w:rFonts w:ascii="Arial" w:eastAsia="Times New Roman" w:hAnsi="Arial" w:cs="Arial"/>
                <w:sz w:val="12"/>
                <w:szCs w:val="12"/>
                <w:lang w:val="en-GB" w:eastAsia="mk-MK"/>
              </w:rPr>
              <w:t>trainings</w:t>
            </w:r>
          </w:p>
        </w:tc>
        <w:tc>
          <w:tcPr>
            <w:tcW w:w="1644" w:type="dxa"/>
            <w:gridSpan w:val="3"/>
            <w:shd w:val="clear" w:color="000000" w:fill="FFFF99"/>
            <w:vAlign w:val="center"/>
            <w:hideMark/>
          </w:tcPr>
          <w:p w14:paraId="42D07A93" w14:textId="5BD8857C" w:rsidR="00DF7303" w:rsidRPr="00D30847" w:rsidRDefault="00751C12"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10 realized trainings</w:t>
            </w:r>
          </w:p>
        </w:tc>
        <w:tc>
          <w:tcPr>
            <w:tcW w:w="1758" w:type="dxa"/>
            <w:gridSpan w:val="4"/>
            <w:shd w:val="clear" w:color="000000" w:fill="FFFF99"/>
            <w:vAlign w:val="center"/>
            <w:hideMark/>
          </w:tcPr>
          <w:p w14:paraId="52FB3809" w14:textId="795014A4" w:rsidR="00DF7303" w:rsidRPr="00D30847" w:rsidRDefault="00751C12"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 realized trainings</w:t>
            </w:r>
          </w:p>
        </w:tc>
        <w:tc>
          <w:tcPr>
            <w:tcW w:w="1842" w:type="dxa"/>
            <w:gridSpan w:val="4"/>
            <w:shd w:val="clear" w:color="000000" w:fill="FFFF99"/>
            <w:vAlign w:val="center"/>
            <w:hideMark/>
          </w:tcPr>
          <w:p w14:paraId="0AA19AEC" w14:textId="5A301217" w:rsidR="00DF7303" w:rsidRPr="00D30847" w:rsidRDefault="00751C12"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30 realized trainings</w:t>
            </w:r>
          </w:p>
        </w:tc>
        <w:tc>
          <w:tcPr>
            <w:tcW w:w="1506" w:type="dxa"/>
            <w:gridSpan w:val="4"/>
            <w:shd w:val="clear" w:color="000000" w:fill="FFFF99"/>
            <w:vAlign w:val="center"/>
            <w:hideMark/>
          </w:tcPr>
          <w:p w14:paraId="74C1078E" w14:textId="0680AC54" w:rsidR="00DF7303" w:rsidRPr="00D30847" w:rsidRDefault="00751C12"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50 realized trainings</w:t>
            </w:r>
          </w:p>
        </w:tc>
      </w:tr>
      <w:tr w:rsidR="00DF7303" w:rsidRPr="00D30847" w14:paraId="5540A76A" w14:textId="77777777" w:rsidTr="00FD4DDE">
        <w:trPr>
          <w:gridBefore w:val="3"/>
          <w:gridAfter w:val="1"/>
          <w:wBefore w:w="37" w:type="dxa"/>
          <w:wAfter w:w="52" w:type="dxa"/>
          <w:trHeight w:val="264"/>
          <w:jc w:val="center"/>
        </w:trPr>
        <w:tc>
          <w:tcPr>
            <w:tcW w:w="13501" w:type="dxa"/>
            <w:gridSpan w:val="28"/>
            <w:shd w:val="clear" w:color="000000" w:fill="9BD2ED"/>
            <w:vAlign w:val="center"/>
            <w:hideMark/>
          </w:tcPr>
          <w:p w14:paraId="6FFCEDEE" w14:textId="544CABF0" w:rsidR="00DF7303" w:rsidRPr="00D30847" w:rsidRDefault="00DF7303" w:rsidP="00DF7303">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Measure 1. Digital presence of the Public Finance Academy</w:t>
            </w:r>
          </w:p>
        </w:tc>
      </w:tr>
      <w:tr w:rsidR="00DF7303" w:rsidRPr="00D30847" w14:paraId="5D7207B7" w14:textId="77777777" w:rsidTr="00FD4DDE">
        <w:trPr>
          <w:gridBefore w:val="3"/>
          <w:gridAfter w:val="1"/>
          <w:wBefore w:w="37" w:type="dxa"/>
          <w:wAfter w:w="52" w:type="dxa"/>
          <w:trHeight w:val="331"/>
          <w:jc w:val="center"/>
        </w:trPr>
        <w:tc>
          <w:tcPr>
            <w:tcW w:w="2303" w:type="dxa"/>
            <w:gridSpan w:val="3"/>
            <w:vMerge w:val="restart"/>
            <w:tcBorders>
              <w:top w:val="nil"/>
              <w:left w:val="nil"/>
              <w:bottom w:val="nil"/>
              <w:right w:val="single" w:sz="8" w:space="0" w:color="000000"/>
            </w:tcBorders>
            <w:shd w:val="clear" w:color="000000" w:fill="FFFFFF"/>
            <w:vAlign w:val="center"/>
            <w:hideMark/>
          </w:tcPr>
          <w:p w14:paraId="2C637356"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c>
          <w:tcPr>
            <w:tcW w:w="1836" w:type="dxa"/>
            <w:gridSpan w:val="5"/>
            <w:tcBorders>
              <w:left w:val="single" w:sz="8" w:space="0" w:color="000000"/>
            </w:tcBorders>
            <w:shd w:val="clear" w:color="000000" w:fill="9BD2ED"/>
            <w:vAlign w:val="center"/>
            <w:hideMark/>
          </w:tcPr>
          <w:p w14:paraId="7E4C7E4F" w14:textId="338A8D30"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w:t>
            </w:r>
          </w:p>
        </w:tc>
        <w:tc>
          <w:tcPr>
            <w:tcW w:w="1194" w:type="dxa"/>
            <w:gridSpan w:val="2"/>
            <w:shd w:val="clear" w:color="000000" w:fill="9BD2ED"/>
            <w:vAlign w:val="center"/>
            <w:hideMark/>
          </w:tcPr>
          <w:p w14:paraId="57969542" w14:textId="4A350114"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 Source</w:t>
            </w:r>
          </w:p>
        </w:tc>
        <w:tc>
          <w:tcPr>
            <w:tcW w:w="1418" w:type="dxa"/>
            <w:gridSpan w:val="3"/>
            <w:shd w:val="clear" w:color="000000" w:fill="9BD2ED"/>
            <w:vAlign w:val="center"/>
            <w:hideMark/>
          </w:tcPr>
          <w:p w14:paraId="46E8E8DB" w14:textId="1C6CF36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FY23</w:t>
            </w:r>
          </w:p>
        </w:tc>
        <w:tc>
          <w:tcPr>
            <w:tcW w:w="1644" w:type="dxa"/>
            <w:gridSpan w:val="3"/>
            <w:shd w:val="clear" w:color="000000" w:fill="9BD2ED"/>
            <w:vAlign w:val="center"/>
            <w:hideMark/>
          </w:tcPr>
          <w:p w14:paraId="7039F844" w14:textId="1AC26866"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FY25</w:t>
            </w:r>
          </w:p>
        </w:tc>
        <w:tc>
          <w:tcPr>
            <w:tcW w:w="1758" w:type="dxa"/>
            <w:gridSpan w:val="4"/>
            <w:shd w:val="clear" w:color="000000" w:fill="9BD2ED"/>
            <w:vAlign w:val="center"/>
            <w:hideMark/>
          </w:tcPr>
          <w:p w14:paraId="7AF63951" w14:textId="2F2BCA73"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FY26</w:t>
            </w:r>
          </w:p>
        </w:tc>
        <w:tc>
          <w:tcPr>
            <w:tcW w:w="1842" w:type="dxa"/>
            <w:gridSpan w:val="4"/>
            <w:shd w:val="clear" w:color="000000" w:fill="9BD2ED"/>
            <w:vAlign w:val="center"/>
            <w:hideMark/>
          </w:tcPr>
          <w:p w14:paraId="5301D8ED" w14:textId="3E027CDD" w:rsidR="00DF7303" w:rsidRPr="00D30847" w:rsidRDefault="00DF7303" w:rsidP="00DF7303">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FY27</w:t>
            </w:r>
          </w:p>
        </w:tc>
        <w:tc>
          <w:tcPr>
            <w:tcW w:w="1506" w:type="dxa"/>
            <w:gridSpan w:val="4"/>
            <w:shd w:val="clear" w:color="000000" w:fill="9BD2ED"/>
            <w:vAlign w:val="center"/>
            <w:hideMark/>
          </w:tcPr>
          <w:p w14:paraId="08EBE9B9" w14:textId="007CF106"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FY28</w:t>
            </w:r>
          </w:p>
        </w:tc>
      </w:tr>
      <w:tr w:rsidR="00DF7303" w:rsidRPr="00D30847" w14:paraId="64E4A3E5" w14:textId="77777777" w:rsidTr="00FD4DDE">
        <w:trPr>
          <w:gridBefore w:val="3"/>
          <w:gridAfter w:val="1"/>
          <w:wBefore w:w="37" w:type="dxa"/>
          <w:wAfter w:w="52" w:type="dxa"/>
          <w:trHeight w:val="552"/>
          <w:jc w:val="center"/>
        </w:trPr>
        <w:tc>
          <w:tcPr>
            <w:tcW w:w="2303" w:type="dxa"/>
            <w:gridSpan w:val="3"/>
            <w:vMerge/>
            <w:tcBorders>
              <w:top w:val="nil"/>
              <w:left w:val="nil"/>
              <w:bottom w:val="nil"/>
              <w:right w:val="single" w:sz="8" w:space="0" w:color="000000"/>
            </w:tcBorders>
            <w:vAlign w:val="center"/>
            <w:hideMark/>
          </w:tcPr>
          <w:p w14:paraId="7A9EE971" w14:textId="77777777" w:rsidR="00DF7303" w:rsidRPr="00D30847" w:rsidRDefault="00DF7303" w:rsidP="00DF7303">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FFFF99"/>
            <w:vAlign w:val="center"/>
            <w:hideMark/>
          </w:tcPr>
          <w:p w14:paraId="3D6E9ED2" w14:textId="54371246"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Established online platform</w:t>
            </w:r>
          </w:p>
        </w:tc>
        <w:tc>
          <w:tcPr>
            <w:tcW w:w="1194" w:type="dxa"/>
            <w:gridSpan w:val="2"/>
            <w:shd w:val="clear" w:color="000000" w:fill="FFFF99"/>
            <w:vAlign w:val="center"/>
            <w:hideMark/>
          </w:tcPr>
          <w:p w14:paraId="57CFA10D" w14:textId="1E58C803"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Ministry of Finance</w:t>
            </w:r>
          </w:p>
        </w:tc>
        <w:tc>
          <w:tcPr>
            <w:tcW w:w="1418" w:type="dxa"/>
            <w:gridSpan w:val="3"/>
            <w:shd w:val="clear" w:color="000000" w:fill="FFFF99"/>
            <w:vAlign w:val="center"/>
            <w:hideMark/>
          </w:tcPr>
          <w:p w14:paraId="5362437E"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644" w:type="dxa"/>
            <w:gridSpan w:val="3"/>
            <w:shd w:val="clear" w:color="000000" w:fill="FFFF99"/>
            <w:vAlign w:val="center"/>
            <w:hideMark/>
          </w:tcPr>
          <w:p w14:paraId="7BC41575" w14:textId="64AA3012"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Established online platform</w:t>
            </w:r>
          </w:p>
        </w:tc>
        <w:tc>
          <w:tcPr>
            <w:tcW w:w="1758" w:type="dxa"/>
            <w:gridSpan w:val="4"/>
            <w:shd w:val="clear" w:color="000000" w:fill="FFFF99"/>
            <w:vAlign w:val="center"/>
            <w:hideMark/>
          </w:tcPr>
          <w:p w14:paraId="2C781DCB" w14:textId="6D1D75A3"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hideMark/>
          </w:tcPr>
          <w:p w14:paraId="171BCAFE" w14:textId="2714FE48"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hideMark/>
          </w:tcPr>
          <w:p w14:paraId="20472860" w14:textId="115F4E1F"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r>
      <w:tr w:rsidR="00DF7303" w:rsidRPr="00D30847" w14:paraId="28AC31E1" w14:textId="77777777" w:rsidTr="00FD4DDE">
        <w:trPr>
          <w:gridBefore w:val="3"/>
          <w:gridAfter w:val="1"/>
          <w:wBefore w:w="37" w:type="dxa"/>
          <w:wAfter w:w="52" w:type="dxa"/>
          <w:trHeight w:val="520"/>
          <w:jc w:val="center"/>
        </w:trPr>
        <w:tc>
          <w:tcPr>
            <w:tcW w:w="2303" w:type="dxa"/>
            <w:gridSpan w:val="3"/>
            <w:vMerge/>
            <w:tcBorders>
              <w:top w:val="nil"/>
              <w:left w:val="nil"/>
              <w:bottom w:val="nil"/>
              <w:right w:val="single" w:sz="8" w:space="0" w:color="000000"/>
            </w:tcBorders>
            <w:vAlign w:val="center"/>
            <w:hideMark/>
          </w:tcPr>
          <w:p w14:paraId="32706ACC" w14:textId="77777777" w:rsidR="00DF7303" w:rsidRPr="00D30847" w:rsidRDefault="00DF7303" w:rsidP="00DF7303">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FFFF99"/>
            <w:vAlign w:val="center"/>
            <w:hideMark/>
          </w:tcPr>
          <w:p w14:paraId="1DBDEF73" w14:textId="1044C85E"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Developed video tutorials and guidelines</w:t>
            </w:r>
          </w:p>
        </w:tc>
        <w:tc>
          <w:tcPr>
            <w:tcW w:w="1194" w:type="dxa"/>
            <w:gridSpan w:val="2"/>
            <w:shd w:val="clear" w:color="000000" w:fill="FFFF99"/>
            <w:vAlign w:val="center"/>
            <w:hideMark/>
          </w:tcPr>
          <w:p w14:paraId="1A97D25E" w14:textId="7A603D0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Ministry of Finance</w:t>
            </w:r>
          </w:p>
        </w:tc>
        <w:tc>
          <w:tcPr>
            <w:tcW w:w="1418" w:type="dxa"/>
            <w:gridSpan w:val="3"/>
            <w:shd w:val="clear" w:color="000000" w:fill="FFFF99"/>
            <w:vAlign w:val="center"/>
            <w:hideMark/>
          </w:tcPr>
          <w:p w14:paraId="4D6E0D7B"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644" w:type="dxa"/>
            <w:gridSpan w:val="3"/>
            <w:shd w:val="clear" w:color="000000" w:fill="FFFF99"/>
            <w:vAlign w:val="center"/>
            <w:hideMark/>
          </w:tcPr>
          <w:p w14:paraId="1207FD68" w14:textId="39C76E1A"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Developed video tutorials and guidelines</w:t>
            </w:r>
          </w:p>
        </w:tc>
        <w:tc>
          <w:tcPr>
            <w:tcW w:w="1758" w:type="dxa"/>
            <w:gridSpan w:val="4"/>
            <w:shd w:val="clear" w:color="000000" w:fill="FFFF99"/>
            <w:vAlign w:val="center"/>
            <w:hideMark/>
          </w:tcPr>
          <w:p w14:paraId="57912A77" w14:textId="32D7BEE0"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hideMark/>
          </w:tcPr>
          <w:p w14:paraId="7716ED18" w14:textId="19C272A4"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hideMark/>
          </w:tcPr>
          <w:p w14:paraId="4592B811" w14:textId="53B4BA32"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r>
      <w:tr w:rsidR="00DF7303" w:rsidRPr="00D30847" w14:paraId="729A9AAC" w14:textId="77777777" w:rsidTr="00FD4DDE">
        <w:trPr>
          <w:gridBefore w:val="3"/>
          <w:gridAfter w:val="1"/>
          <w:wBefore w:w="37" w:type="dxa"/>
          <w:wAfter w:w="52" w:type="dxa"/>
          <w:trHeight w:val="528"/>
          <w:jc w:val="center"/>
        </w:trPr>
        <w:tc>
          <w:tcPr>
            <w:tcW w:w="2303" w:type="dxa"/>
            <w:gridSpan w:val="3"/>
            <w:vMerge/>
            <w:tcBorders>
              <w:top w:val="nil"/>
              <w:left w:val="nil"/>
              <w:bottom w:val="nil"/>
              <w:right w:val="single" w:sz="8" w:space="0" w:color="000000"/>
            </w:tcBorders>
            <w:vAlign w:val="center"/>
          </w:tcPr>
          <w:p w14:paraId="71024613" w14:textId="77777777" w:rsidR="00DF7303" w:rsidRPr="00D30847" w:rsidRDefault="00DF7303" w:rsidP="00DF7303">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FFFF99"/>
            <w:vAlign w:val="center"/>
          </w:tcPr>
          <w:p w14:paraId="7F472FB9" w14:textId="5757E7FB"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Organized online trainings</w:t>
            </w:r>
          </w:p>
        </w:tc>
        <w:tc>
          <w:tcPr>
            <w:tcW w:w="1194" w:type="dxa"/>
            <w:gridSpan w:val="2"/>
            <w:shd w:val="clear" w:color="000000" w:fill="FFFF99"/>
            <w:vAlign w:val="center"/>
          </w:tcPr>
          <w:p w14:paraId="68FED0E7" w14:textId="36315C54"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Ministry of Finance</w:t>
            </w:r>
          </w:p>
        </w:tc>
        <w:tc>
          <w:tcPr>
            <w:tcW w:w="1418" w:type="dxa"/>
            <w:gridSpan w:val="3"/>
            <w:shd w:val="clear" w:color="000000" w:fill="FFFF99"/>
            <w:vAlign w:val="center"/>
          </w:tcPr>
          <w:p w14:paraId="12A12223" w14:textId="626B5D86"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644" w:type="dxa"/>
            <w:gridSpan w:val="3"/>
            <w:shd w:val="clear" w:color="000000" w:fill="FFFF99"/>
            <w:vAlign w:val="center"/>
          </w:tcPr>
          <w:p w14:paraId="4AA741A0" w14:textId="4BEFD99C"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shd w:val="clear" w:color="000000" w:fill="FFFF99"/>
            <w:vAlign w:val="center"/>
          </w:tcPr>
          <w:p w14:paraId="0D8D77B6" w14:textId="4B7C2025"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Organized 2 trainings</w:t>
            </w:r>
          </w:p>
        </w:tc>
        <w:tc>
          <w:tcPr>
            <w:tcW w:w="1842" w:type="dxa"/>
            <w:gridSpan w:val="4"/>
            <w:shd w:val="clear" w:color="000000" w:fill="FFFF99"/>
            <w:vAlign w:val="center"/>
          </w:tcPr>
          <w:p w14:paraId="073639C4" w14:textId="73EA098C"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Organized 4 trainings</w:t>
            </w:r>
          </w:p>
        </w:tc>
        <w:tc>
          <w:tcPr>
            <w:tcW w:w="1506" w:type="dxa"/>
            <w:gridSpan w:val="4"/>
            <w:shd w:val="clear" w:color="000000" w:fill="FFFF99"/>
            <w:vAlign w:val="center"/>
          </w:tcPr>
          <w:p w14:paraId="4652D3F8" w14:textId="747D4574"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Organized 6 trainings</w:t>
            </w:r>
          </w:p>
        </w:tc>
      </w:tr>
      <w:tr w:rsidR="00DF7303" w:rsidRPr="00D30847" w14:paraId="52CDB627" w14:textId="77777777" w:rsidTr="00FD4DDE">
        <w:trPr>
          <w:gridBefore w:val="3"/>
          <w:gridAfter w:val="1"/>
          <w:wBefore w:w="37" w:type="dxa"/>
          <w:wAfter w:w="52" w:type="dxa"/>
          <w:trHeight w:val="421"/>
          <w:jc w:val="center"/>
        </w:trPr>
        <w:tc>
          <w:tcPr>
            <w:tcW w:w="2303" w:type="dxa"/>
            <w:gridSpan w:val="3"/>
            <w:vMerge/>
            <w:tcBorders>
              <w:top w:val="nil"/>
              <w:left w:val="nil"/>
              <w:bottom w:val="nil"/>
              <w:right w:val="single" w:sz="8" w:space="0" w:color="000000"/>
            </w:tcBorders>
            <w:vAlign w:val="center"/>
          </w:tcPr>
          <w:p w14:paraId="2D29B362" w14:textId="77777777" w:rsidR="00DF7303" w:rsidRPr="00D30847" w:rsidRDefault="00DF7303" w:rsidP="00DF7303">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FFFF99"/>
            <w:vAlign w:val="center"/>
          </w:tcPr>
          <w:p w14:paraId="33D37398" w14:textId="0D04C831"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blogs, articles and posts published</w:t>
            </w:r>
          </w:p>
        </w:tc>
        <w:tc>
          <w:tcPr>
            <w:tcW w:w="1194" w:type="dxa"/>
            <w:gridSpan w:val="2"/>
            <w:shd w:val="clear" w:color="000000" w:fill="FFFF99"/>
            <w:vAlign w:val="center"/>
          </w:tcPr>
          <w:p w14:paraId="52066283" w14:textId="357170C6"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Ministry of Finance</w:t>
            </w:r>
          </w:p>
        </w:tc>
        <w:tc>
          <w:tcPr>
            <w:tcW w:w="1418" w:type="dxa"/>
            <w:gridSpan w:val="3"/>
            <w:shd w:val="clear" w:color="000000" w:fill="FFFF99"/>
            <w:vAlign w:val="center"/>
          </w:tcPr>
          <w:p w14:paraId="59FE22B1" w14:textId="0DA3092F"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644" w:type="dxa"/>
            <w:gridSpan w:val="3"/>
            <w:shd w:val="clear" w:color="000000" w:fill="FFFF99"/>
            <w:vAlign w:val="center"/>
          </w:tcPr>
          <w:p w14:paraId="0585B7BF" w14:textId="6914EF88"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4</w:t>
            </w:r>
          </w:p>
        </w:tc>
        <w:tc>
          <w:tcPr>
            <w:tcW w:w="1758" w:type="dxa"/>
            <w:gridSpan w:val="4"/>
            <w:shd w:val="clear" w:color="000000" w:fill="FFFF99"/>
            <w:vAlign w:val="center"/>
          </w:tcPr>
          <w:p w14:paraId="75E6CCE3" w14:textId="5A8A63C0"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8</w:t>
            </w:r>
          </w:p>
        </w:tc>
        <w:tc>
          <w:tcPr>
            <w:tcW w:w="1842" w:type="dxa"/>
            <w:gridSpan w:val="4"/>
            <w:shd w:val="clear" w:color="000000" w:fill="FFFF99"/>
            <w:vAlign w:val="center"/>
          </w:tcPr>
          <w:p w14:paraId="324F0AA4" w14:textId="144B0C83"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12</w:t>
            </w:r>
          </w:p>
        </w:tc>
        <w:tc>
          <w:tcPr>
            <w:tcW w:w="1506" w:type="dxa"/>
            <w:gridSpan w:val="4"/>
            <w:shd w:val="clear" w:color="000000" w:fill="FFFF99"/>
            <w:vAlign w:val="center"/>
          </w:tcPr>
          <w:p w14:paraId="1D57F7E4" w14:textId="048256C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w:t>
            </w:r>
          </w:p>
        </w:tc>
      </w:tr>
      <w:tr w:rsidR="00DF7303" w:rsidRPr="00D30847" w14:paraId="28046D48" w14:textId="77777777" w:rsidTr="00FD4DDE">
        <w:trPr>
          <w:gridBefore w:val="3"/>
          <w:gridAfter w:val="1"/>
          <w:wBefore w:w="37" w:type="dxa"/>
          <w:wAfter w:w="52" w:type="dxa"/>
          <w:trHeight w:val="238"/>
          <w:jc w:val="center"/>
        </w:trPr>
        <w:tc>
          <w:tcPr>
            <w:tcW w:w="2303" w:type="dxa"/>
            <w:gridSpan w:val="3"/>
            <w:vMerge/>
            <w:tcBorders>
              <w:top w:val="nil"/>
              <w:left w:val="nil"/>
              <w:bottom w:val="nil"/>
              <w:right w:val="single" w:sz="8" w:space="0" w:color="000000"/>
            </w:tcBorders>
            <w:vAlign w:val="center"/>
            <w:hideMark/>
          </w:tcPr>
          <w:p w14:paraId="302CA090" w14:textId="77777777" w:rsidR="00DF7303" w:rsidRPr="00D30847" w:rsidRDefault="00DF7303" w:rsidP="00DF7303">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9BD2ED"/>
            <w:vAlign w:val="center"/>
            <w:hideMark/>
          </w:tcPr>
          <w:p w14:paraId="3B187354" w14:textId="78839468"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340D2E24" w14:textId="2C88D391"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 period</w:t>
            </w:r>
          </w:p>
        </w:tc>
        <w:tc>
          <w:tcPr>
            <w:tcW w:w="1418" w:type="dxa"/>
            <w:gridSpan w:val="3"/>
            <w:shd w:val="clear" w:color="000000" w:fill="9BD2ED"/>
            <w:vAlign w:val="center"/>
            <w:hideMark/>
          </w:tcPr>
          <w:p w14:paraId="78AFDFA2" w14:textId="182919BA"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 institution</w:t>
            </w:r>
          </w:p>
        </w:tc>
        <w:tc>
          <w:tcPr>
            <w:tcW w:w="1644" w:type="dxa"/>
            <w:gridSpan w:val="3"/>
            <w:shd w:val="clear" w:color="000000" w:fill="9BD2ED"/>
            <w:vAlign w:val="center"/>
            <w:hideMark/>
          </w:tcPr>
          <w:p w14:paraId="0E2351C6" w14:textId="7BCCA2F3"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 partners</w:t>
            </w:r>
          </w:p>
        </w:tc>
        <w:tc>
          <w:tcPr>
            <w:tcW w:w="1758" w:type="dxa"/>
            <w:gridSpan w:val="4"/>
            <w:shd w:val="clear" w:color="000000" w:fill="9BD2ED"/>
            <w:vAlign w:val="center"/>
            <w:hideMark/>
          </w:tcPr>
          <w:p w14:paraId="7C04DF95"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 (in EUR)</w:t>
            </w:r>
          </w:p>
        </w:tc>
        <w:tc>
          <w:tcPr>
            <w:tcW w:w="1842" w:type="dxa"/>
            <w:gridSpan w:val="4"/>
            <w:shd w:val="clear" w:color="000000" w:fill="9BD2ED"/>
            <w:vAlign w:val="center"/>
            <w:hideMark/>
          </w:tcPr>
          <w:p w14:paraId="62026258" w14:textId="73D539E1" w:rsidR="00DF7303" w:rsidRPr="00D30847" w:rsidRDefault="00DF7303" w:rsidP="00DF7303">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 of financing</w:t>
            </w:r>
          </w:p>
        </w:tc>
        <w:tc>
          <w:tcPr>
            <w:tcW w:w="1506" w:type="dxa"/>
            <w:gridSpan w:val="4"/>
            <w:shd w:val="clear" w:color="000000" w:fill="9BD2ED"/>
            <w:vAlign w:val="center"/>
            <w:hideMark/>
          </w:tcPr>
          <w:p w14:paraId="1083B6B1"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DF7303" w:rsidRPr="00D30847" w14:paraId="2663CC46" w14:textId="77777777" w:rsidTr="00FD4DDE">
        <w:trPr>
          <w:gridBefore w:val="3"/>
          <w:gridAfter w:val="1"/>
          <w:wBefore w:w="37" w:type="dxa"/>
          <w:wAfter w:w="52" w:type="dxa"/>
          <w:trHeight w:val="403"/>
          <w:jc w:val="center"/>
        </w:trPr>
        <w:tc>
          <w:tcPr>
            <w:tcW w:w="2303" w:type="dxa"/>
            <w:gridSpan w:val="3"/>
            <w:vMerge/>
            <w:tcBorders>
              <w:top w:val="nil"/>
              <w:left w:val="nil"/>
              <w:bottom w:val="nil"/>
              <w:right w:val="single" w:sz="8" w:space="0" w:color="000000"/>
            </w:tcBorders>
            <w:vAlign w:val="center"/>
            <w:hideMark/>
          </w:tcPr>
          <w:p w14:paraId="4CE139D9" w14:textId="77777777" w:rsidR="00DF7303" w:rsidRPr="00D30847" w:rsidRDefault="00DF7303" w:rsidP="00DF7303">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FFFF99"/>
            <w:hideMark/>
          </w:tcPr>
          <w:p w14:paraId="777519BD" w14:textId="64385182"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r w:rsidRPr="00D30847">
              <w:rPr>
                <w:rFonts w:ascii="Times New Roman" w:eastAsia="MS PGothic" w:hAnsi="Times New Roman"/>
                <w:b/>
                <w:bCs/>
                <w:i/>
                <w:iCs/>
                <w:color w:val="4F81BD"/>
                <w:sz w:val="14"/>
                <w:lang w:val="en-GB" w:eastAsia="zh-CN"/>
              </w:rPr>
              <w:t xml:space="preserve"> </w:t>
            </w:r>
            <w:r w:rsidRPr="00D30847">
              <w:rPr>
                <w:rFonts w:ascii="Arial" w:eastAsia="Times New Roman" w:hAnsi="Arial" w:cs="Arial"/>
                <w:sz w:val="12"/>
                <w:szCs w:val="12"/>
                <w:lang w:val="en-GB" w:eastAsia="mk-MK"/>
              </w:rPr>
              <w:t>Development an online platform</w:t>
            </w:r>
          </w:p>
        </w:tc>
        <w:tc>
          <w:tcPr>
            <w:tcW w:w="1194" w:type="dxa"/>
            <w:gridSpan w:val="2"/>
            <w:shd w:val="clear" w:color="000000" w:fill="FFFF99"/>
            <w:vAlign w:val="center"/>
            <w:hideMark/>
          </w:tcPr>
          <w:p w14:paraId="626954AE" w14:textId="210E7885" w:rsidR="00DF7303" w:rsidRPr="00D30847" w:rsidRDefault="00DF7303" w:rsidP="00DF7303">
            <w:pPr>
              <w:spacing w:after="0" w:line="240" w:lineRule="auto"/>
              <w:jc w:val="center"/>
              <w:rPr>
                <w:rFonts w:ascii="Arial" w:eastAsia="Times New Roman" w:hAnsi="Arial" w:cs="Arial"/>
                <w:sz w:val="12"/>
                <w:szCs w:val="12"/>
                <w:lang w:val="en-GB" w:eastAsia="mk-MK"/>
              </w:rPr>
            </w:pPr>
          </w:p>
          <w:p w14:paraId="7DE27C23" w14:textId="5F9BD446"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w:t>
            </w:r>
          </w:p>
          <w:p w14:paraId="74C13E40" w14:textId="7ACE5C2C" w:rsidR="00DF7303" w:rsidRPr="00D30847" w:rsidRDefault="00DF7303" w:rsidP="00DF7303">
            <w:pPr>
              <w:spacing w:after="0" w:line="240" w:lineRule="auto"/>
              <w:jc w:val="center"/>
              <w:rPr>
                <w:rFonts w:ascii="Arial" w:eastAsia="Times New Roman" w:hAnsi="Arial" w:cs="Arial"/>
                <w:sz w:val="12"/>
                <w:szCs w:val="12"/>
                <w:lang w:val="en-GB" w:eastAsia="mk-MK"/>
              </w:rPr>
            </w:pPr>
          </w:p>
        </w:tc>
        <w:tc>
          <w:tcPr>
            <w:tcW w:w="1418" w:type="dxa"/>
            <w:gridSpan w:val="3"/>
            <w:shd w:val="clear" w:color="000000" w:fill="FFFF99"/>
            <w:vAlign w:val="center"/>
            <w:hideMark/>
          </w:tcPr>
          <w:p w14:paraId="347E210D" w14:textId="782B586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w:t>
            </w:r>
          </w:p>
        </w:tc>
        <w:tc>
          <w:tcPr>
            <w:tcW w:w="1644" w:type="dxa"/>
            <w:gridSpan w:val="3"/>
            <w:shd w:val="clear" w:color="000000" w:fill="FFFF99"/>
            <w:vAlign w:val="center"/>
            <w:hideMark/>
          </w:tcPr>
          <w:p w14:paraId="65C6B6AE" w14:textId="31EBFCA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Donators</w:t>
            </w:r>
          </w:p>
        </w:tc>
        <w:tc>
          <w:tcPr>
            <w:tcW w:w="1758" w:type="dxa"/>
            <w:gridSpan w:val="4"/>
            <w:shd w:val="clear" w:color="000000" w:fill="FFFF99"/>
            <w:vAlign w:val="center"/>
            <w:hideMark/>
          </w:tcPr>
          <w:p w14:paraId="135B0B94" w14:textId="45486F34"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47.000</w:t>
            </w:r>
          </w:p>
        </w:tc>
        <w:tc>
          <w:tcPr>
            <w:tcW w:w="1842" w:type="dxa"/>
            <w:gridSpan w:val="4"/>
            <w:shd w:val="clear" w:color="000000" w:fill="FFFF99"/>
            <w:vAlign w:val="center"/>
            <w:hideMark/>
          </w:tcPr>
          <w:p w14:paraId="26D7E27E" w14:textId="3A2E346E" w:rsidR="00DF7303" w:rsidRPr="00D30847" w:rsidRDefault="008849D6"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Financial gap</w:t>
            </w:r>
          </w:p>
        </w:tc>
        <w:tc>
          <w:tcPr>
            <w:tcW w:w="1506" w:type="dxa"/>
            <w:gridSpan w:val="4"/>
            <w:shd w:val="clear" w:color="000000" w:fill="FFFF99"/>
            <w:vAlign w:val="center"/>
            <w:hideMark/>
          </w:tcPr>
          <w:p w14:paraId="4318B851" w14:textId="6D741C1F"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DF7303" w:rsidRPr="00D30847" w14:paraId="0AA6250A" w14:textId="77777777" w:rsidTr="00FD4DDE">
        <w:trPr>
          <w:gridBefore w:val="3"/>
          <w:gridAfter w:val="1"/>
          <w:wBefore w:w="37" w:type="dxa"/>
          <w:wAfter w:w="52" w:type="dxa"/>
          <w:trHeight w:val="511"/>
          <w:jc w:val="center"/>
        </w:trPr>
        <w:tc>
          <w:tcPr>
            <w:tcW w:w="2303" w:type="dxa"/>
            <w:gridSpan w:val="3"/>
            <w:vMerge/>
            <w:tcBorders>
              <w:top w:val="nil"/>
              <w:left w:val="nil"/>
              <w:bottom w:val="nil"/>
              <w:right w:val="single" w:sz="8" w:space="0" w:color="000000"/>
            </w:tcBorders>
            <w:vAlign w:val="center"/>
          </w:tcPr>
          <w:p w14:paraId="2BBE9112" w14:textId="77777777" w:rsidR="00DF7303" w:rsidRPr="00D30847" w:rsidRDefault="00DF7303" w:rsidP="00DF7303">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FFFF99"/>
          </w:tcPr>
          <w:p w14:paraId="48D02F56" w14:textId="6E179E37"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2.Development of video tutorials and guidelines</w:t>
            </w:r>
          </w:p>
        </w:tc>
        <w:tc>
          <w:tcPr>
            <w:tcW w:w="1194" w:type="dxa"/>
            <w:gridSpan w:val="2"/>
            <w:shd w:val="clear" w:color="000000" w:fill="FFFF99"/>
            <w:vAlign w:val="center"/>
          </w:tcPr>
          <w:p w14:paraId="75B4E13D" w14:textId="558BE163"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w:t>
            </w:r>
          </w:p>
        </w:tc>
        <w:tc>
          <w:tcPr>
            <w:tcW w:w="1418" w:type="dxa"/>
            <w:gridSpan w:val="3"/>
            <w:shd w:val="clear" w:color="000000" w:fill="FFFF99"/>
            <w:vAlign w:val="center"/>
          </w:tcPr>
          <w:p w14:paraId="3731C9B0" w14:textId="7AE9F65F"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p>
        </w:tc>
        <w:tc>
          <w:tcPr>
            <w:tcW w:w="1644" w:type="dxa"/>
            <w:gridSpan w:val="3"/>
            <w:shd w:val="clear" w:color="000000" w:fill="FFFF99"/>
            <w:vAlign w:val="center"/>
          </w:tcPr>
          <w:p w14:paraId="0C132767" w14:textId="247AFC9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Donators</w:t>
            </w:r>
          </w:p>
        </w:tc>
        <w:tc>
          <w:tcPr>
            <w:tcW w:w="1758" w:type="dxa"/>
            <w:gridSpan w:val="4"/>
            <w:shd w:val="clear" w:color="000000" w:fill="FFFF99"/>
            <w:vAlign w:val="center"/>
          </w:tcPr>
          <w:p w14:paraId="55DB5250" w14:textId="56DD823C"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1.000</w:t>
            </w:r>
          </w:p>
        </w:tc>
        <w:tc>
          <w:tcPr>
            <w:tcW w:w="1842" w:type="dxa"/>
            <w:gridSpan w:val="4"/>
            <w:shd w:val="clear" w:color="000000" w:fill="FFFF99"/>
            <w:vAlign w:val="center"/>
          </w:tcPr>
          <w:p w14:paraId="59F1B43B" w14:textId="2C51112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Budget</w:t>
            </w:r>
          </w:p>
        </w:tc>
        <w:tc>
          <w:tcPr>
            <w:tcW w:w="1506" w:type="dxa"/>
            <w:gridSpan w:val="4"/>
            <w:shd w:val="clear" w:color="000000" w:fill="FFFF99"/>
            <w:vAlign w:val="center"/>
          </w:tcPr>
          <w:p w14:paraId="289C2E3A"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tc>
      </w:tr>
      <w:tr w:rsidR="00DF7303" w:rsidRPr="00D30847" w14:paraId="6B2CE592" w14:textId="77777777" w:rsidTr="00FD4DDE">
        <w:trPr>
          <w:gridBefore w:val="3"/>
          <w:gridAfter w:val="1"/>
          <w:wBefore w:w="37" w:type="dxa"/>
          <w:wAfter w:w="52" w:type="dxa"/>
          <w:trHeight w:val="421"/>
          <w:jc w:val="center"/>
        </w:trPr>
        <w:tc>
          <w:tcPr>
            <w:tcW w:w="2303" w:type="dxa"/>
            <w:gridSpan w:val="3"/>
            <w:vMerge/>
            <w:tcBorders>
              <w:top w:val="nil"/>
              <w:left w:val="nil"/>
              <w:bottom w:val="nil"/>
              <w:right w:val="single" w:sz="8" w:space="0" w:color="000000"/>
            </w:tcBorders>
            <w:vAlign w:val="center"/>
          </w:tcPr>
          <w:p w14:paraId="5CCCDDFF" w14:textId="77777777" w:rsidR="00DF7303" w:rsidRPr="00D30847" w:rsidRDefault="00DF7303" w:rsidP="00DF7303">
            <w:pPr>
              <w:spacing w:after="0" w:line="240" w:lineRule="auto"/>
              <w:rPr>
                <w:rFonts w:ascii="Arial" w:eastAsia="Times New Roman" w:hAnsi="Arial" w:cs="Arial"/>
                <w:b/>
                <w:bCs/>
                <w:sz w:val="12"/>
                <w:szCs w:val="12"/>
                <w:lang w:val="en-GB" w:eastAsia="mk-MK"/>
              </w:rPr>
            </w:pPr>
          </w:p>
        </w:tc>
        <w:tc>
          <w:tcPr>
            <w:tcW w:w="1836" w:type="dxa"/>
            <w:gridSpan w:val="5"/>
            <w:tcBorders>
              <w:left w:val="single" w:sz="8" w:space="0" w:color="000000"/>
            </w:tcBorders>
            <w:shd w:val="clear" w:color="000000" w:fill="FFFF99"/>
          </w:tcPr>
          <w:p w14:paraId="3A6D6DDB" w14:textId="4A6D6A3C"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3.Organizing online trainings</w:t>
            </w:r>
          </w:p>
        </w:tc>
        <w:tc>
          <w:tcPr>
            <w:tcW w:w="1194" w:type="dxa"/>
            <w:gridSpan w:val="2"/>
            <w:shd w:val="clear" w:color="000000" w:fill="FFFF99"/>
            <w:vAlign w:val="center"/>
          </w:tcPr>
          <w:p w14:paraId="131C4BD2" w14:textId="3BC6208A"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2026-2028</w:t>
            </w:r>
          </w:p>
        </w:tc>
        <w:tc>
          <w:tcPr>
            <w:tcW w:w="1418" w:type="dxa"/>
            <w:gridSpan w:val="3"/>
            <w:shd w:val="clear" w:color="000000" w:fill="FFFF99"/>
            <w:vAlign w:val="center"/>
          </w:tcPr>
          <w:p w14:paraId="3F9561EC" w14:textId="7C9DA19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p>
        </w:tc>
        <w:tc>
          <w:tcPr>
            <w:tcW w:w="1644" w:type="dxa"/>
            <w:gridSpan w:val="3"/>
            <w:shd w:val="clear" w:color="000000" w:fill="FFFF99"/>
            <w:vAlign w:val="center"/>
          </w:tcPr>
          <w:p w14:paraId="60DA8222" w14:textId="4F76967D"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Donators</w:t>
            </w:r>
          </w:p>
        </w:tc>
        <w:tc>
          <w:tcPr>
            <w:tcW w:w="1758" w:type="dxa"/>
            <w:gridSpan w:val="4"/>
            <w:shd w:val="clear" w:color="000000" w:fill="FFFF99"/>
            <w:vAlign w:val="center"/>
          </w:tcPr>
          <w:p w14:paraId="39BF45AB" w14:textId="1F3A781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2.000</w:t>
            </w:r>
          </w:p>
        </w:tc>
        <w:tc>
          <w:tcPr>
            <w:tcW w:w="1842" w:type="dxa"/>
            <w:gridSpan w:val="4"/>
            <w:shd w:val="clear" w:color="000000" w:fill="FFFF99"/>
            <w:vAlign w:val="center"/>
          </w:tcPr>
          <w:p w14:paraId="79E07980" w14:textId="1E9A7AEB" w:rsidR="00DF7303" w:rsidRPr="00D30847" w:rsidRDefault="008849D6" w:rsidP="008849D6">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w:t>
            </w:r>
            <w:r w:rsidR="00DF7303" w:rsidRPr="00D30847">
              <w:rPr>
                <w:rFonts w:ascii="Arial" w:eastAsia="Times New Roman" w:hAnsi="Arial" w:cs="Arial"/>
                <w:sz w:val="12"/>
                <w:szCs w:val="12"/>
                <w:lang w:val="en-GB" w:eastAsia="mk-MK"/>
              </w:rPr>
              <w:t>MoF Budget</w:t>
            </w:r>
          </w:p>
        </w:tc>
        <w:tc>
          <w:tcPr>
            <w:tcW w:w="1506" w:type="dxa"/>
            <w:gridSpan w:val="4"/>
            <w:shd w:val="clear" w:color="000000" w:fill="FFFF99"/>
            <w:vAlign w:val="center"/>
          </w:tcPr>
          <w:p w14:paraId="33A20F2C"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tc>
      </w:tr>
      <w:tr w:rsidR="00DF7303" w:rsidRPr="00D30847" w14:paraId="21774CCA" w14:textId="77777777" w:rsidTr="00FD4DDE">
        <w:trPr>
          <w:gridBefore w:val="3"/>
          <w:gridAfter w:val="1"/>
          <w:wBefore w:w="37" w:type="dxa"/>
          <w:wAfter w:w="52" w:type="dxa"/>
          <w:trHeight w:val="309"/>
          <w:jc w:val="center"/>
        </w:trPr>
        <w:tc>
          <w:tcPr>
            <w:tcW w:w="2303" w:type="dxa"/>
            <w:gridSpan w:val="3"/>
            <w:vMerge/>
            <w:tcBorders>
              <w:top w:val="nil"/>
              <w:left w:val="nil"/>
              <w:bottom w:val="nil"/>
              <w:right w:val="single" w:sz="8" w:space="0" w:color="000000"/>
            </w:tcBorders>
            <w:vAlign w:val="center"/>
            <w:hideMark/>
          </w:tcPr>
          <w:p w14:paraId="5DA072E5" w14:textId="77777777" w:rsidR="00DF7303" w:rsidRPr="00D30847" w:rsidRDefault="00DF7303" w:rsidP="00DF7303">
            <w:pPr>
              <w:spacing w:after="0" w:line="240" w:lineRule="auto"/>
              <w:rPr>
                <w:rFonts w:ascii="Arial" w:eastAsia="Times New Roman" w:hAnsi="Arial" w:cs="Arial"/>
                <w:b/>
                <w:bCs/>
                <w:sz w:val="12"/>
                <w:szCs w:val="12"/>
                <w:lang w:val="en-GB" w:eastAsia="mk-MK"/>
              </w:rPr>
            </w:pPr>
          </w:p>
        </w:tc>
        <w:tc>
          <w:tcPr>
            <w:tcW w:w="1836" w:type="dxa"/>
            <w:gridSpan w:val="5"/>
            <w:vMerge w:val="restart"/>
            <w:tcBorders>
              <w:left w:val="single" w:sz="8" w:space="0" w:color="000000"/>
            </w:tcBorders>
            <w:shd w:val="clear" w:color="000000" w:fill="FFFF99"/>
            <w:vAlign w:val="center"/>
            <w:hideMark/>
          </w:tcPr>
          <w:p w14:paraId="6F649062" w14:textId="433E3170"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4.Social media presence for increased transparency and education in public finances</w:t>
            </w:r>
          </w:p>
        </w:tc>
        <w:tc>
          <w:tcPr>
            <w:tcW w:w="1194" w:type="dxa"/>
            <w:gridSpan w:val="2"/>
            <w:vMerge w:val="restart"/>
            <w:shd w:val="clear" w:color="000000" w:fill="FFFF99"/>
            <w:vAlign w:val="center"/>
            <w:hideMark/>
          </w:tcPr>
          <w:p w14:paraId="0003ED9A" w14:textId="43FB7C1D"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w:t>
            </w:r>
          </w:p>
        </w:tc>
        <w:tc>
          <w:tcPr>
            <w:tcW w:w="1418" w:type="dxa"/>
            <w:gridSpan w:val="3"/>
            <w:vMerge w:val="restart"/>
            <w:shd w:val="clear" w:color="000000" w:fill="FFFF99"/>
            <w:vAlign w:val="center"/>
            <w:hideMark/>
          </w:tcPr>
          <w:p w14:paraId="31BED2EF" w14:textId="21D549FD"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w:t>
            </w:r>
          </w:p>
        </w:tc>
        <w:tc>
          <w:tcPr>
            <w:tcW w:w="1644" w:type="dxa"/>
            <w:gridSpan w:val="3"/>
            <w:vMerge w:val="restart"/>
            <w:shd w:val="clear" w:color="000000" w:fill="FFFF99"/>
            <w:vAlign w:val="center"/>
            <w:hideMark/>
          </w:tcPr>
          <w:p w14:paraId="00AEF831" w14:textId="152EF511" w:rsidR="00DF7303" w:rsidRPr="00D30847" w:rsidRDefault="008849D6"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vMerge w:val="restart"/>
            <w:shd w:val="clear" w:color="000000" w:fill="FFFF99"/>
            <w:vAlign w:val="center"/>
            <w:hideMark/>
          </w:tcPr>
          <w:p w14:paraId="5374172D" w14:textId="586CAB48"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0</w:t>
            </w:r>
          </w:p>
          <w:p w14:paraId="27A9F15B"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tc>
        <w:tc>
          <w:tcPr>
            <w:tcW w:w="1842" w:type="dxa"/>
            <w:gridSpan w:val="4"/>
            <w:vMerge w:val="restart"/>
            <w:shd w:val="clear" w:color="000000" w:fill="FFFF99"/>
            <w:vAlign w:val="center"/>
            <w:hideMark/>
          </w:tcPr>
          <w:p w14:paraId="3D9CE8C8" w14:textId="19A4DC1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vMerge w:val="restart"/>
            <w:shd w:val="clear" w:color="000000" w:fill="FFFF99"/>
            <w:vAlign w:val="center"/>
            <w:hideMark/>
          </w:tcPr>
          <w:p w14:paraId="479B0763" w14:textId="3755B100"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DF7303" w:rsidRPr="00D30847" w14:paraId="6FBE1C05" w14:textId="77777777" w:rsidTr="00FD4DDE">
        <w:trPr>
          <w:gridBefore w:val="3"/>
          <w:gridAfter w:val="1"/>
          <w:wBefore w:w="37" w:type="dxa"/>
          <w:wAfter w:w="52" w:type="dxa"/>
          <w:trHeight w:val="124"/>
          <w:jc w:val="center"/>
        </w:trPr>
        <w:tc>
          <w:tcPr>
            <w:tcW w:w="1288" w:type="dxa"/>
            <w:tcBorders>
              <w:top w:val="nil"/>
              <w:left w:val="nil"/>
              <w:bottom w:val="nil"/>
              <w:right w:val="nil"/>
            </w:tcBorders>
            <w:shd w:val="clear" w:color="000000" w:fill="FFFFFF"/>
            <w:vAlign w:val="center"/>
            <w:hideMark/>
          </w:tcPr>
          <w:p w14:paraId="78C9A377"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c>
          <w:tcPr>
            <w:tcW w:w="1015" w:type="dxa"/>
            <w:gridSpan w:val="2"/>
            <w:tcBorders>
              <w:top w:val="nil"/>
              <w:left w:val="nil"/>
              <w:bottom w:val="nil"/>
              <w:right w:val="single" w:sz="8" w:space="0" w:color="000000"/>
            </w:tcBorders>
            <w:shd w:val="clear" w:color="000000" w:fill="FFFFFF"/>
            <w:vAlign w:val="center"/>
            <w:hideMark/>
          </w:tcPr>
          <w:p w14:paraId="6A91145F"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c>
          <w:tcPr>
            <w:tcW w:w="1836" w:type="dxa"/>
            <w:gridSpan w:val="5"/>
            <w:vMerge/>
            <w:tcBorders>
              <w:left w:val="single" w:sz="8" w:space="0" w:color="000000"/>
            </w:tcBorders>
            <w:vAlign w:val="center"/>
            <w:hideMark/>
          </w:tcPr>
          <w:p w14:paraId="5AC7825C"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194" w:type="dxa"/>
            <w:gridSpan w:val="2"/>
            <w:vMerge/>
            <w:vAlign w:val="center"/>
            <w:hideMark/>
          </w:tcPr>
          <w:p w14:paraId="32E0FB4F"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418" w:type="dxa"/>
            <w:gridSpan w:val="3"/>
            <w:vMerge/>
            <w:vAlign w:val="center"/>
            <w:hideMark/>
          </w:tcPr>
          <w:p w14:paraId="7C15D126"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644" w:type="dxa"/>
            <w:gridSpan w:val="3"/>
            <w:vMerge/>
            <w:vAlign w:val="center"/>
            <w:hideMark/>
          </w:tcPr>
          <w:p w14:paraId="6C059BA2"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758" w:type="dxa"/>
            <w:gridSpan w:val="4"/>
            <w:vMerge/>
            <w:shd w:val="clear" w:color="000000" w:fill="FFFF99"/>
            <w:vAlign w:val="center"/>
            <w:hideMark/>
          </w:tcPr>
          <w:p w14:paraId="2E30875F"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tc>
        <w:tc>
          <w:tcPr>
            <w:tcW w:w="1842" w:type="dxa"/>
            <w:gridSpan w:val="4"/>
            <w:vMerge/>
            <w:shd w:val="clear" w:color="000000" w:fill="FFFF99"/>
            <w:vAlign w:val="center"/>
            <w:hideMark/>
          </w:tcPr>
          <w:p w14:paraId="16C6022F"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tc>
        <w:tc>
          <w:tcPr>
            <w:tcW w:w="1506" w:type="dxa"/>
            <w:gridSpan w:val="4"/>
            <w:vMerge/>
            <w:vAlign w:val="center"/>
            <w:hideMark/>
          </w:tcPr>
          <w:p w14:paraId="454E812B" w14:textId="77777777" w:rsidR="00DF7303" w:rsidRPr="00D30847" w:rsidRDefault="00DF7303" w:rsidP="00DF7303">
            <w:pPr>
              <w:spacing w:after="0" w:line="240" w:lineRule="auto"/>
              <w:rPr>
                <w:rFonts w:ascii="Arial" w:eastAsia="Times New Roman" w:hAnsi="Arial" w:cs="Arial"/>
                <w:sz w:val="12"/>
                <w:szCs w:val="12"/>
                <w:lang w:val="en-GB" w:eastAsia="mk-MK"/>
              </w:rPr>
            </w:pPr>
          </w:p>
        </w:tc>
      </w:tr>
      <w:tr w:rsidR="00DF7303" w:rsidRPr="00D30847" w14:paraId="7262C5AB" w14:textId="77777777" w:rsidTr="00FD4DDE">
        <w:trPr>
          <w:gridBefore w:val="3"/>
          <w:gridAfter w:val="1"/>
          <w:wBefore w:w="37" w:type="dxa"/>
          <w:wAfter w:w="52" w:type="dxa"/>
          <w:trHeight w:val="207"/>
          <w:jc w:val="center"/>
        </w:trPr>
        <w:tc>
          <w:tcPr>
            <w:tcW w:w="13501" w:type="dxa"/>
            <w:gridSpan w:val="28"/>
            <w:shd w:val="clear" w:color="000000" w:fill="9BD2ED"/>
            <w:vAlign w:val="center"/>
            <w:hideMark/>
          </w:tcPr>
          <w:p w14:paraId="6B45DE01" w14:textId="41EB56EB" w:rsidR="00DF7303" w:rsidRPr="00D30847" w:rsidRDefault="00DF7303" w:rsidP="00DF7303">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Measure 2. Development of a program for head servants</w:t>
            </w:r>
          </w:p>
        </w:tc>
      </w:tr>
      <w:tr w:rsidR="00DF7303" w:rsidRPr="00D30847" w14:paraId="323C6676" w14:textId="77777777" w:rsidTr="00FD4DDE">
        <w:trPr>
          <w:gridBefore w:val="3"/>
          <w:gridAfter w:val="1"/>
          <w:wBefore w:w="37" w:type="dxa"/>
          <w:wAfter w:w="52" w:type="dxa"/>
          <w:trHeight w:val="267"/>
          <w:jc w:val="center"/>
        </w:trPr>
        <w:tc>
          <w:tcPr>
            <w:tcW w:w="2303" w:type="dxa"/>
            <w:gridSpan w:val="3"/>
            <w:vMerge w:val="restart"/>
            <w:tcBorders>
              <w:top w:val="nil"/>
              <w:left w:val="nil"/>
              <w:bottom w:val="nil"/>
              <w:right w:val="single" w:sz="8" w:space="0" w:color="000000"/>
            </w:tcBorders>
            <w:shd w:val="clear" w:color="auto" w:fill="auto"/>
            <w:vAlign w:val="center"/>
            <w:hideMark/>
          </w:tcPr>
          <w:p w14:paraId="52463452"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6A5209B9" w14:textId="5B6A1E15"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w:t>
            </w:r>
          </w:p>
        </w:tc>
        <w:tc>
          <w:tcPr>
            <w:tcW w:w="1194" w:type="dxa"/>
            <w:gridSpan w:val="2"/>
            <w:shd w:val="clear" w:color="000000" w:fill="9BD2ED"/>
            <w:vAlign w:val="center"/>
            <w:hideMark/>
          </w:tcPr>
          <w:p w14:paraId="684BF989" w14:textId="5F0EF04A"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 Source</w:t>
            </w:r>
          </w:p>
        </w:tc>
        <w:tc>
          <w:tcPr>
            <w:tcW w:w="1418" w:type="dxa"/>
            <w:gridSpan w:val="3"/>
            <w:shd w:val="clear" w:color="000000" w:fill="9BD2ED"/>
            <w:vAlign w:val="center"/>
            <w:hideMark/>
          </w:tcPr>
          <w:p w14:paraId="45B0FC39" w14:textId="7C72538D"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FY23</w:t>
            </w:r>
          </w:p>
        </w:tc>
        <w:tc>
          <w:tcPr>
            <w:tcW w:w="1644" w:type="dxa"/>
            <w:gridSpan w:val="3"/>
            <w:shd w:val="clear" w:color="000000" w:fill="9BD2ED"/>
            <w:vAlign w:val="center"/>
            <w:hideMark/>
          </w:tcPr>
          <w:p w14:paraId="31C8EF6C" w14:textId="48FC54CA"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FY25</w:t>
            </w:r>
          </w:p>
        </w:tc>
        <w:tc>
          <w:tcPr>
            <w:tcW w:w="1758" w:type="dxa"/>
            <w:gridSpan w:val="4"/>
            <w:shd w:val="clear" w:color="000000" w:fill="9BD2ED"/>
            <w:vAlign w:val="center"/>
            <w:hideMark/>
          </w:tcPr>
          <w:p w14:paraId="0495DE7A" w14:textId="134D99EF"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FY26</w:t>
            </w:r>
          </w:p>
        </w:tc>
        <w:tc>
          <w:tcPr>
            <w:tcW w:w="1842" w:type="dxa"/>
            <w:gridSpan w:val="4"/>
            <w:shd w:val="clear" w:color="000000" w:fill="9BD2ED"/>
            <w:vAlign w:val="center"/>
            <w:hideMark/>
          </w:tcPr>
          <w:p w14:paraId="04849271" w14:textId="2317236B"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FY27</w:t>
            </w:r>
          </w:p>
        </w:tc>
        <w:tc>
          <w:tcPr>
            <w:tcW w:w="1506" w:type="dxa"/>
            <w:gridSpan w:val="4"/>
            <w:shd w:val="clear" w:color="000000" w:fill="9BD2ED"/>
            <w:vAlign w:val="center"/>
            <w:hideMark/>
          </w:tcPr>
          <w:p w14:paraId="6CF29B4A" w14:textId="49B67F2F"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FY28</w:t>
            </w:r>
          </w:p>
        </w:tc>
      </w:tr>
      <w:tr w:rsidR="00DF7303" w:rsidRPr="00D30847" w14:paraId="22428C00" w14:textId="77777777" w:rsidTr="00FD4DDE">
        <w:trPr>
          <w:gridBefore w:val="3"/>
          <w:gridAfter w:val="1"/>
          <w:wBefore w:w="37" w:type="dxa"/>
          <w:wAfter w:w="52" w:type="dxa"/>
          <w:trHeight w:val="270"/>
          <w:jc w:val="center"/>
        </w:trPr>
        <w:tc>
          <w:tcPr>
            <w:tcW w:w="2303" w:type="dxa"/>
            <w:gridSpan w:val="3"/>
            <w:vMerge/>
            <w:tcBorders>
              <w:top w:val="nil"/>
              <w:left w:val="nil"/>
              <w:bottom w:val="nil"/>
              <w:right w:val="single" w:sz="8" w:space="0" w:color="000000"/>
            </w:tcBorders>
            <w:vAlign w:val="center"/>
            <w:hideMark/>
          </w:tcPr>
          <w:p w14:paraId="52338B04"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1E69039A" w14:textId="7B4DABEC"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Developed Methodology for the preparation of an annual training program</w:t>
            </w:r>
          </w:p>
        </w:tc>
        <w:tc>
          <w:tcPr>
            <w:tcW w:w="1194" w:type="dxa"/>
            <w:gridSpan w:val="2"/>
            <w:shd w:val="clear" w:color="000000" w:fill="FFFF99"/>
            <w:vAlign w:val="center"/>
            <w:hideMark/>
          </w:tcPr>
          <w:p w14:paraId="3DBBFB0B"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p>
        </w:tc>
        <w:tc>
          <w:tcPr>
            <w:tcW w:w="1418" w:type="dxa"/>
            <w:gridSpan w:val="3"/>
            <w:shd w:val="clear" w:color="000000" w:fill="FFFF99"/>
            <w:vAlign w:val="center"/>
            <w:hideMark/>
          </w:tcPr>
          <w:p w14:paraId="6F9AB580"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644" w:type="dxa"/>
            <w:gridSpan w:val="3"/>
            <w:shd w:val="clear" w:color="000000" w:fill="FFFF99"/>
            <w:vAlign w:val="center"/>
            <w:hideMark/>
          </w:tcPr>
          <w:p w14:paraId="1D31EDE8" w14:textId="6DC97E6F"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shd w:val="clear" w:color="000000" w:fill="FFFF99"/>
            <w:vAlign w:val="center"/>
            <w:hideMark/>
          </w:tcPr>
          <w:p w14:paraId="1F80A13E" w14:textId="6604525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hideMark/>
          </w:tcPr>
          <w:p w14:paraId="24B697B3" w14:textId="4ED7FB12"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hideMark/>
          </w:tcPr>
          <w:p w14:paraId="0BE66F25" w14:textId="4EC7BA1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Developed Methodology for the preparation of an annual training program</w:t>
            </w:r>
          </w:p>
        </w:tc>
      </w:tr>
      <w:tr w:rsidR="00DF7303" w:rsidRPr="00D30847" w14:paraId="78534F19" w14:textId="77777777" w:rsidTr="00FD4DDE">
        <w:trPr>
          <w:gridBefore w:val="3"/>
          <w:gridAfter w:val="1"/>
          <w:wBefore w:w="37" w:type="dxa"/>
          <w:wAfter w:w="52" w:type="dxa"/>
          <w:trHeight w:val="270"/>
          <w:jc w:val="center"/>
        </w:trPr>
        <w:tc>
          <w:tcPr>
            <w:tcW w:w="2303" w:type="dxa"/>
            <w:gridSpan w:val="3"/>
            <w:vMerge/>
            <w:tcBorders>
              <w:top w:val="nil"/>
              <w:left w:val="nil"/>
              <w:bottom w:val="nil"/>
              <w:right w:val="single" w:sz="8" w:space="0" w:color="000000"/>
            </w:tcBorders>
            <w:vAlign w:val="center"/>
          </w:tcPr>
          <w:p w14:paraId="03E8F677"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tcPr>
          <w:p w14:paraId="1B43E6DC" w14:textId="343218B5"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Organized training for head servants</w:t>
            </w:r>
          </w:p>
        </w:tc>
        <w:tc>
          <w:tcPr>
            <w:tcW w:w="1194" w:type="dxa"/>
            <w:gridSpan w:val="2"/>
            <w:shd w:val="clear" w:color="000000" w:fill="FFFF99"/>
            <w:vAlign w:val="center"/>
          </w:tcPr>
          <w:p w14:paraId="16FC3F2C" w14:textId="737BBB1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p>
        </w:tc>
        <w:tc>
          <w:tcPr>
            <w:tcW w:w="1418" w:type="dxa"/>
            <w:gridSpan w:val="3"/>
            <w:shd w:val="clear" w:color="000000" w:fill="FFFF99"/>
            <w:vAlign w:val="center"/>
          </w:tcPr>
          <w:p w14:paraId="661025C4" w14:textId="2CBE341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644" w:type="dxa"/>
            <w:gridSpan w:val="3"/>
            <w:shd w:val="clear" w:color="000000" w:fill="FFFF99"/>
            <w:vAlign w:val="center"/>
          </w:tcPr>
          <w:p w14:paraId="1485C58B" w14:textId="3322B56F"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shd w:val="clear" w:color="000000" w:fill="FFFF99"/>
            <w:vAlign w:val="center"/>
          </w:tcPr>
          <w:p w14:paraId="6AF82A34" w14:textId="25A7EAB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tcPr>
          <w:p w14:paraId="4D77FC62" w14:textId="1180A5EC"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tcPr>
          <w:p w14:paraId="0F1A203C" w14:textId="333E6D5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Organized 2 trainings for head servants</w:t>
            </w:r>
          </w:p>
        </w:tc>
      </w:tr>
      <w:tr w:rsidR="00DF7303" w:rsidRPr="00D30847" w14:paraId="5CF1832C" w14:textId="77777777" w:rsidTr="00FD4DDE">
        <w:trPr>
          <w:gridBefore w:val="3"/>
          <w:gridAfter w:val="1"/>
          <w:wBefore w:w="37" w:type="dxa"/>
          <w:wAfter w:w="52" w:type="dxa"/>
          <w:trHeight w:val="317"/>
          <w:jc w:val="center"/>
        </w:trPr>
        <w:tc>
          <w:tcPr>
            <w:tcW w:w="2303" w:type="dxa"/>
            <w:gridSpan w:val="3"/>
            <w:vMerge/>
            <w:tcBorders>
              <w:top w:val="nil"/>
              <w:left w:val="nil"/>
              <w:bottom w:val="nil"/>
              <w:right w:val="single" w:sz="8" w:space="0" w:color="000000"/>
            </w:tcBorders>
            <w:vAlign w:val="center"/>
            <w:hideMark/>
          </w:tcPr>
          <w:p w14:paraId="6E01A042"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4F6DF006" w14:textId="667180A1"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479DED52" w14:textId="589591BA"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 period</w:t>
            </w:r>
          </w:p>
        </w:tc>
        <w:tc>
          <w:tcPr>
            <w:tcW w:w="1418" w:type="dxa"/>
            <w:gridSpan w:val="3"/>
            <w:shd w:val="clear" w:color="000000" w:fill="9BD2ED"/>
            <w:vAlign w:val="center"/>
            <w:hideMark/>
          </w:tcPr>
          <w:p w14:paraId="10A64626" w14:textId="7D047085"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 institution</w:t>
            </w:r>
          </w:p>
        </w:tc>
        <w:tc>
          <w:tcPr>
            <w:tcW w:w="1644" w:type="dxa"/>
            <w:gridSpan w:val="3"/>
            <w:shd w:val="clear" w:color="000000" w:fill="9BD2ED"/>
            <w:vAlign w:val="center"/>
            <w:hideMark/>
          </w:tcPr>
          <w:p w14:paraId="55DDCDBC" w14:textId="2E5DAA5C"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 partners</w:t>
            </w:r>
          </w:p>
        </w:tc>
        <w:tc>
          <w:tcPr>
            <w:tcW w:w="1758" w:type="dxa"/>
            <w:gridSpan w:val="4"/>
            <w:shd w:val="clear" w:color="000000" w:fill="9BD2ED"/>
            <w:vAlign w:val="center"/>
            <w:hideMark/>
          </w:tcPr>
          <w:p w14:paraId="392A8C66"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3058FC7F" w14:textId="49116EE5" w:rsidR="00DF7303" w:rsidRPr="00D30847" w:rsidRDefault="00DF7303" w:rsidP="00DF7303">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 of financing</w:t>
            </w:r>
          </w:p>
        </w:tc>
        <w:tc>
          <w:tcPr>
            <w:tcW w:w="1506" w:type="dxa"/>
            <w:gridSpan w:val="4"/>
            <w:shd w:val="clear" w:color="000000" w:fill="9BD2ED"/>
            <w:vAlign w:val="center"/>
            <w:hideMark/>
          </w:tcPr>
          <w:p w14:paraId="60DB6D00"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DF7303" w:rsidRPr="00D30847" w14:paraId="64DC2F4B" w14:textId="77777777" w:rsidTr="00FD4DDE">
        <w:trPr>
          <w:gridBefore w:val="3"/>
          <w:gridAfter w:val="1"/>
          <w:wBefore w:w="37" w:type="dxa"/>
          <w:wAfter w:w="52" w:type="dxa"/>
          <w:trHeight w:val="510"/>
          <w:jc w:val="center"/>
        </w:trPr>
        <w:tc>
          <w:tcPr>
            <w:tcW w:w="2303" w:type="dxa"/>
            <w:gridSpan w:val="3"/>
            <w:vMerge/>
            <w:tcBorders>
              <w:top w:val="nil"/>
              <w:left w:val="nil"/>
              <w:bottom w:val="nil"/>
              <w:right w:val="single" w:sz="8" w:space="0" w:color="000000"/>
            </w:tcBorders>
            <w:vAlign w:val="center"/>
          </w:tcPr>
          <w:p w14:paraId="38421796"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tcPr>
          <w:p w14:paraId="5A8F9ED8" w14:textId="309AFFAC"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Developing a methodology for preparing an annual training program</w:t>
            </w:r>
          </w:p>
        </w:tc>
        <w:tc>
          <w:tcPr>
            <w:tcW w:w="1194" w:type="dxa"/>
            <w:gridSpan w:val="2"/>
            <w:shd w:val="clear" w:color="000000" w:fill="FFFF99"/>
            <w:vAlign w:val="center"/>
          </w:tcPr>
          <w:p w14:paraId="52CDBE00" w14:textId="454F31DD"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2028</w:t>
            </w:r>
          </w:p>
        </w:tc>
        <w:tc>
          <w:tcPr>
            <w:tcW w:w="1418" w:type="dxa"/>
            <w:gridSpan w:val="3"/>
            <w:shd w:val="clear" w:color="000000" w:fill="FFFF99"/>
            <w:vAlign w:val="center"/>
          </w:tcPr>
          <w:p w14:paraId="39FEF7AB" w14:textId="0A38D6F6"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w:t>
            </w:r>
          </w:p>
        </w:tc>
        <w:tc>
          <w:tcPr>
            <w:tcW w:w="1644" w:type="dxa"/>
            <w:gridSpan w:val="3"/>
            <w:shd w:val="clear" w:color="000000" w:fill="FFFF99"/>
            <w:vAlign w:val="center"/>
          </w:tcPr>
          <w:p w14:paraId="057023A8"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Donators</w:t>
            </w:r>
          </w:p>
        </w:tc>
        <w:tc>
          <w:tcPr>
            <w:tcW w:w="1758" w:type="dxa"/>
            <w:gridSpan w:val="4"/>
            <w:shd w:val="clear" w:color="000000" w:fill="FFFF99"/>
            <w:vAlign w:val="center"/>
          </w:tcPr>
          <w:p w14:paraId="3A1490EA" w14:textId="419B4F84"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8,000</w:t>
            </w:r>
          </w:p>
        </w:tc>
        <w:tc>
          <w:tcPr>
            <w:tcW w:w="1842" w:type="dxa"/>
            <w:gridSpan w:val="4"/>
            <w:shd w:val="clear" w:color="000000" w:fill="FFFF99"/>
            <w:vAlign w:val="center"/>
          </w:tcPr>
          <w:p w14:paraId="42083347" w14:textId="5A11C0D2" w:rsidR="00DF7303" w:rsidRPr="00D30847" w:rsidRDefault="00690CC4"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Financial gap</w:t>
            </w:r>
          </w:p>
        </w:tc>
        <w:tc>
          <w:tcPr>
            <w:tcW w:w="1506" w:type="dxa"/>
            <w:gridSpan w:val="4"/>
            <w:shd w:val="clear" w:color="000000" w:fill="FFFF99"/>
            <w:vAlign w:val="center"/>
          </w:tcPr>
          <w:p w14:paraId="4FA41591" w14:textId="2DEB4F80" w:rsidR="00DF7303" w:rsidRPr="00D30847" w:rsidRDefault="00DF7303" w:rsidP="00DF7303">
            <w:pPr>
              <w:spacing w:after="0" w:line="240" w:lineRule="auto"/>
              <w:jc w:val="center"/>
              <w:rPr>
                <w:rFonts w:ascii="Arial" w:eastAsia="Times New Roman" w:hAnsi="Arial" w:cs="Arial"/>
                <w:sz w:val="12"/>
                <w:szCs w:val="12"/>
                <w:lang w:val="en-GB" w:eastAsia="mk-MK"/>
              </w:rPr>
            </w:pPr>
          </w:p>
        </w:tc>
      </w:tr>
      <w:tr w:rsidR="00DF7303" w:rsidRPr="00D30847" w14:paraId="0A9DA991" w14:textId="77777777" w:rsidTr="00FD4DDE">
        <w:trPr>
          <w:gridBefore w:val="3"/>
          <w:gridAfter w:val="1"/>
          <w:wBefore w:w="37" w:type="dxa"/>
          <w:wAfter w:w="52" w:type="dxa"/>
          <w:trHeight w:val="412"/>
          <w:jc w:val="center"/>
        </w:trPr>
        <w:tc>
          <w:tcPr>
            <w:tcW w:w="2303" w:type="dxa"/>
            <w:gridSpan w:val="3"/>
            <w:vMerge/>
            <w:tcBorders>
              <w:top w:val="nil"/>
              <w:left w:val="nil"/>
              <w:bottom w:val="nil"/>
              <w:right w:val="single" w:sz="8" w:space="0" w:color="000000"/>
            </w:tcBorders>
            <w:vAlign w:val="center"/>
            <w:hideMark/>
          </w:tcPr>
          <w:p w14:paraId="6E0F455B"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5AE4B097" w14:textId="6BFDE36D"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Organizing trainings</w:t>
            </w:r>
          </w:p>
        </w:tc>
        <w:tc>
          <w:tcPr>
            <w:tcW w:w="1194" w:type="dxa"/>
            <w:gridSpan w:val="2"/>
            <w:shd w:val="clear" w:color="000000" w:fill="FFFF99"/>
            <w:vAlign w:val="center"/>
            <w:hideMark/>
          </w:tcPr>
          <w:p w14:paraId="12576680" w14:textId="060AB221"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2028</w:t>
            </w:r>
          </w:p>
        </w:tc>
        <w:tc>
          <w:tcPr>
            <w:tcW w:w="1418" w:type="dxa"/>
            <w:gridSpan w:val="3"/>
            <w:shd w:val="clear" w:color="000000" w:fill="FFFF99"/>
            <w:vAlign w:val="center"/>
            <w:hideMark/>
          </w:tcPr>
          <w:p w14:paraId="3E040794" w14:textId="63605FCC"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w:t>
            </w:r>
          </w:p>
        </w:tc>
        <w:tc>
          <w:tcPr>
            <w:tcW w:w="1644" w:type="dxa"/>
            <w:gridSpan w:val="3"/>
            <w:shd w:val="clear" w:color="000000" w:fill="FFFF99"/>
            <w:vAlign w:val="center"/>
            <w:hideMark/>
          </w:tcPr>
          <w:p w14:paraId="3BA392C1"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Donators</w:t>
            </w:r>
          </w:p>
        </w:tc>
        <w:tc>
          <w:tcPr>
            <w:tcW w:w="1758" w:type="dxa"/>
            <w:gridSpan w:val="4"/>
            <w:shd w:val="clear" w:color="000000" w:fill="FFFF99"/>
            <w:vAlign w:val="center"/>
            <w:hideMark/>
          </w:tcPr>
          <w:p w14:paraId="0D41D5BA"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p w14:paraId="31B0EB5B" w14:textId="0347FDB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2.000</w:t>
            </w:r>
          </w:p>
        </w:tc>
        <w:tc>
          <w:tcPr>
            <w:tcW w:w="1842" w:type="dxa"/>
            <w:gridSpan w:val="4"/>
            <w:shd w:val="clear" w:color="000000" w:fill="FFFF99"/>
            <w:vAlign w:val="center"/>
            <w:hideMark/>
          </w:tcPr>
          <w:p w14:paraId="6B41D108" w14:textId="14CADCB2"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Budget</w:t>
            </w:r>
            <w:r w:rsidRPr="00D30847" w:rsidDel="00AA4CF8">
              <w:rPr>
                <w:rFonts w:ascii="Arial" w:eastAsia="Times New Roman" w:hAnsi="Arial" w:cs="Arial"/>
                <w:sz w:val="12"/>
                <w:szCs w:val="12"/>
                <w:lang w:val="en-GB" w:eastAsia="mk-MK"/>
              </w:rPr>
              <w:t xml:space="preserve"> </w:t>
            </w:r>
          </w:p>
        </w:tc>
        <w:tc>
          <w:tcPr>
            <w:tcW w:w="1506" w:type="dxa"/>
            <w:gridSpan w:val="4"/>
            <w:shd w:val="clear" w:color="000000" w:fill="FFFF99"/>
            <w:vAlign w:val="center"/>
            <w:hideMark/>
          </w:tcPr>
          <w:p w14:paraId="56FD0AFA" w14:textId="534234AA" w:rsidR="00DF7303" w:rsidRPr="00D30847" w:rsidRDefault="00DF7303" w:rsidP="00DF7303">
            <w:pPr>
              <w:spacing w:after="0" w:line="240" w:lineRule="auto"/>
              <w:jc w:val="center"/>
              <w:rPr>
                <w:rFonts w:ascii="Arial" w:eastAsia="Times New Roman" w:hAnsi="Arial" w:cs="Arial"/>
                <w:sz w:val="12"/>
                <w:szCs w:val="12"/>
                <w:lang w:val="en-GB" w:eastAsia="mk-MK"/>
              </w:rPr>
            </w:pPr>
          </w:p>
          <w:p w14:paraId="449B0863"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DF7303" w:rsidRPr="00D30847" w14:paraId="727FA426" w14:textId="77777777" w:rsidTr="00FD4DDE">
        <w:trPr>
          <w:gridBefore w:val="3"/>
          <w:gridAfter w:val="1"/>
          <w:wBefore w:w="37" w:type="dxa"/>
          <w:wAfter w:w="52" w:type="dxa"/>
          <w:trHeight w:val="190"/>
          <w:jc w:val="center"/>
        </w:trPr>
        <w:tc>
          <w:tcPr>
            <w:tcW w:w="13501" w:type="dxa"/>
            <w:gridSpan w:val="28"/>
            <w:shd w:val="clear" w:color="000000" w:fill="9BD2ED"/>
            <w:vAlign w:val="center"/>
            <w:hideMark/>
          </w:tcPr>
          <w:p w14:paraId="08A6650F" w14:textId="67062AEE" w:rsidR="00DF7303" w:rsidRPr="00D30847" w:rsidRDefault="00DF7303" w:rsidP="00DF7303">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Measure 3. Involvement of stakeholders and the public</w:t>
            </w:r>
          </w:p>
        </w:tc>
      </w:tr>
      <w:tr w:rsidR="00DF7303" w:rsidRPr="00D30847" w14:paraId="585829BF" w14:textId="77777777" w:rsidTr="00FD4DDE">
        <w:trPr>
          <w:gridBefore w:val="3"/>
          <w:gridAfter w:val="1"/>
          <w:wBefore w:w="37" w:type="dxa"/>
          <w:wAfter w:w="52" w:type="dxa"/>
          <w:trHeight w:val="223"/>
          <w:jc w:val="center"/>
        </w:trPr>
        <w:tc>
          <w:tcPr>
            <w:tcW w:w="2303" w:type="dxa"/>
            <w:gridSpan w:val="3"/>
            <w:vMerge w:val="restart"/>
            <w:tcBorders>
              <w:top w:val="nil"/>
              <w:left w:val="nil"/>
              <w:bottom w:val="nil"/>
              <w:right w:val="single" w:sz="8" w:space="0" w:color="000000"/>
            </w:tcBorders>
            <w:shd w:val="clear" w:color="auto" w:fill="auto"/>
            <w:vAlign w:val="center"/>
            <w:hideMark/>
          </w:tcPr>
          <w:p w14:paraId="25C92C62"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31B878B4" w14:textId="552D8C13"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w:t>
            </w:r>
          </w:p>
        </w:tc>
        <w:tc>
          <w:tcPr>
            <w:tcW w:w="1194" w:type="dxa"/>
            <w:gridSpan w:val="2"/>
            <w:shd w:val="clear" w:color="000000" w:fill="9BD2ED"/>
            <w:vAlign w:val="center"/>
            <w:hideMark/>
          </w:tcPr>
          <w:p w14:paraId="0CFB67B6" w14:textId="4F63A30C"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 Source</w:t>
            </w:r>
          </w:p>
        </w:tc>
        <w:tc>
          <w:tcPr>
            <w:tcW w:w="1418" w:type="dxa"/>
            <w:gridSpan w:val="3"/>
            <w:shd w:val="clear" w:color="000000" w:fill="9BD2ED"/>
            <w:vAlign w:val="center"/>
            <w:hideMark/>
          </w:tcPr>
          <w:p w14:paraId="23C66E30" w14:textId="72A9D3B6"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FY23</w:t>
            </w:r>
          </w:p>
        </w:tc>
        <w:tc>
          <w:tcPr>
            <w:tcW w:w="1644" w:type="dxa"/>
            <w:gridSpan w:val="3"/>
            <w:shd w:val="clear" w:color="000000" w:fill="9BD2ED"/>
            <w:vAlign w:val="center"/>
            <w:hideMark/>
          </w:tcPr>
          <w:p w14:paraId="0E7DDC57" w14:textId="782BD27E"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FY25</w:t>
            </w:r>
          </w:p>
        </w:tc>
        <w:tc>
          <w:tcPr>
            <w:tcW w:w="1758" w:type="dxa"/>
            <w:gridSpan w:val="4"/>
            <w:shd w:val="clear" w:color="000000" w:fill="9BD2ED"/>
            <w:vAlign w:val="center"/>
            <w:hideMark/>
          </w:tcPr>
          <w:p w14:paraId="0D7AB23A" w14:textId="443722D6"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FY26</w:t>
            </w:r>
          </w:p>
        </w:tc>
        <w:tc>
          <w:tcPr>
            <w:tcW w:w="1842" w:type="dxa"/>
            <w:gridSpan w:val="4"/>
            <w:shd w:val="clear" w:color="000000" w:fill="9BD2ED"/>
            <w:vAlign w:val="center"/>
            <w:hideMark/>
          </w:tcPr>
          <w:p w14:paraId="37140C86" w14:textId="12403759"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FY27</w:t>
            </w:r>
          </w:p>
        </w:tc>
        <w:tc>
          <w:tcPr>
            <w:tcW w:w="1506" w:type="dxa"/>
            <w:gridSpan w:val="4"/>
            <w:shd w:val="clear" w:color="000000" w:fill="9BD2ED"/>
            <w:vAlign w:val="center"/>
            <w:hideMark/>
          </w:tcPr>
          <w:p w14:paraId="17314607" w14:textId="44980F5F"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FY28</w:t>
            </w:r>
          </w:p>
        </w:tc>
      </w:tr>
      <w:tr w:rsidR="00DF7303" w:rsidRPr="00D30847" w14:paraId="4ED28E39" w14:textId="77777777" w:rsidTr="00FD4DDE">
        <w:trPr>
          <w:gridBefore w:val="3"/>
          <w:gridAfter w:val="1"/>
          <w:wBefore w:w="37" w:type="dxa"/>
          <w:wAfter w:w="52" w:type="dxa"/>
          <w:trHeight w:val="499"/>
          <w:jc w:val="center"/>
        </w:trPr>
        <w:tc>
          <w:tcPr>
            <w:tcW w:w="2303" w:type="dxa"/>
            <w:gridSpan w:val="3"/>
            <w:vMerge/>
            <w:tcBorders>
              <w:top w:val="nil"/>
              <w:left w:val="nil"/>
              <w:bottom w:val="nil"/>
              <w:right w:val="single" w:sz="8" w:space="0" w:color="000000"/>
            </w:tcBorders>
            <w:vAlign w:val="center"/>
            <w:hideMark/>
          </w:tcPr>
          <w:p w14:paraId="49466EDC"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2E17CC09" w14:textId="5A5623B9"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Developed communication strategy</w:t>
            </w:r>
          </w:p>
        </w:tc>
        <w:tc>
          <w:tcPr>
            <w:tcW w:w="1194" w:type="dxa"/>
            <w:gridSpan w:val="2"/>
            <w:shd w:val="clear" w:color="000000" w:fill="FFFF99"/>
            <w:vAlign w:val="center"/>
            <w:hideMark/>
          </w:tcPr>
          <w:p w14:paraId="61FB2E23" w14:textId="58BF932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Ministry of Finance</w:t>
            </w:r>
          </w:p>
        </w:tc>
        <w:tc>
          <w:tcPr>
            <w:tcW w:w="1418" w:type="dxa"/>
            <w:gridSpan w:val="3"/>
            <w:shd w:val="clear" w:color="000000" w:fill="FFFF99"/>
            <w:vAlign w:val="center"/>
            <w:hideMark/>
          </w:tcPr>
          <w:p w14:paraId="7C25EFBE"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644" w:type="dxa"/>
            <w:gridSpan w:val="3"/>
            <w:shd w:val="clear" w:color="000000" w:fill="FFFF99"/>
            <w:vAlign w:val="center"/>
            <w:hideMark/>
          </w:tcPr>
          <w:p w14:paraId="566B55F7" w14:textId="35A54673"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Developed communication strategy</w:t>
            </w:r>
          </w:p>
        </w:tc>
        <w:tc>
          <w:tcPr>
            <w:tcW w:w="1758" w:type="dxa"/>
            <w:gridSpan w:val="4"/>
            <w:shd w:val="clear" w:color="000000" w:fill="FFFF99"/>
            <w:vAlign w:val="center"/>
            <w:hideMark/>
          </w:tcPr>
          <w:p w14:paraId="6ECDCE01" w14:textId="208C863E"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hideMark/>
          </w:tcPr>
          <w:p w14:paraId="6864DE11" w14:textId="4A06B18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hideMark/>
          </w:tcPr>
          <w:p w14:paraId="00A82CFD" w14:textId="7DD6041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r>
      <w:tr w:rsidR="00DF7303" w:rsidRPr="00D30847" w14:paraId="7253B318" w14:textId="77777777" w:rsidTr="00FD4DDE">
        <w:trPr>
          <w:gridBefore w:val="3"/>
          <w:gridAfter w:val="1"/>
          <w:wBefore w:w="37" w:type="dxa"/>
          <w:wAfter w:w="52" w:type="dxa"/>
          <w:trHeight w:val="499"/>
          <w:jc w:val="center"/>
        </w:trPr>
        <w:tc>
          <w:tcPr>
            <w:tcW w:w="2303" w:type="dxa"/>
            <w:gridSpan w:val="3"/>
            <w:vMerge/>
            <w:tcBorders>
              <w:top w:val="nil"/>
              <w:left w:val="nil"/>
              <w:bottom w:val="nil"/>
              <w:right w:val="single" w:sz="8" w:space="0" w:color="000000"/>
            </w:tcBorders>
            <w:vAlign w:val="center"/>
          </w:tcPr>
          <w:p w14:paraId="6731F819"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tcPr>
          <w:p w14:paraId="0307C348" w14:textId="0687D405" w:rsidR="00DF7303" w:rsidRPr="00D30847" w:rsidRDefault="00DF7303" w:rsidP="0065725A">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Held annual meeting "All unite“</w:t>
            </w:r>
          </w:p>
        </w:tc>
        <w:tc>
          <w:tcPr>
            <w:tcW w:w="1194" w:type="dxa"/>
            <w:gridSpan w:val="2"/>
            <w:shd w:val="clear" w:color="000000" w:fill="FFFF99"/>
            <w:vAlign w:val="center"/>
          </w:tcPr>
          <w:p w14:paraId="5BDB5FB8" w14:textId="6B28107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Ministry of Finance</w:t>
            </w:r>
          </w:p>
        </w:tc>
        <w:tc>
          <w:tcPr>
            <w:tcW w:w="1418" w:type="dxa"/>
            <w:gridSpan w:val="3"/>
            <w:shd w:val="clear" w:color="000000" w:fill="FFFF99"/>
            <w:vAlign w:val="center"/>
          </w:tcPr>
          <w:p w14:paraId="09F40964" w14:textId="7B0CE0D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644" w:type="dxa"/>
            <w:gridSpan w:val="3"/>
            <w:shd w:val="clear" w:color="000000" w:fill="FFFF99"/>
            <w:vAlign w:val="center"/>
          </w:tcPr>
          <w:p w14:paraId="7218E8E3" w14:textId="2A1A4BAA"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p>
        </w:tc>
        <w:tc>
          <w:tcPr>
            <w:tcW w:w="1758" w:type="dxa"/>
            <w:gridSpan w:val="4"/>
            <w:shd w:val="clear" w:color="000000" w:fill="FFFF99"/>
            <w:vAlign w:val="center"/>
          </w:tcPr>
          <w:p w14:paraId="40AB4912" w14:textId="1021A5E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p>
        </w:tc>
        <w:tc>
          <w:tcPr>
            <w:tcW w:w="1842" w:type="dxa"/>
            <w:gridSpan w:val="4"/>
            <w:shd w:val="clear" w:color="000000" w:fill="FFFF99"/>
            <w:vAlign w:val="center"/>
          </w:tcPr>
          <w:p w14:paraId="061F1414" w14:textId="2B2CB17E"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p>
        </w:tc>
        <w:tc>
          <w:tcPr>
            <w:tcW w:w="1506" w:type="dxa"/>
            <w:gridSpan w:val="4"/>
            <w:shd w:val="clear" w:color="000000" w:fill="FFFF99"/>
            <w:vAlign w:val="center"/>
          </w:tcPr>
          <w:p w14:paraId="71520340" w14:textId="1D65556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p>
        </w:tc>
      </w:tr>
      <w:tr w:rsidR="00DF7303" w:rsidRPr="00D30847" w14:paraId="5B0C1891" w14:textId="77777777" w:rsidTr="00FD4DDE">
        <w:trPr>
          <w:gridBefore w:val="3"/>
          <w:gridAfter w:val="1"/>
          <w:wBefore w:w="37" w:type="dxa"/>
          <w:wAfter w:w="52" w:type="dxa"/>
          <w:trHeight w:val="349"/>
          <w:jc w:val="center"/>
        </w:trPr>
        <w:tc>
          <w:tcPr>
            <w:tcW w:w="2303" w:type="dxa"/>
            <w:gridSpan w:val="3"/>
            <w:vMerge/>
            <w:tcBorders>
              <w:top w:val="nil"/>
              <w:left w:val="nil"/>
              <w:bottom w:val="nil"/>
              <w:right w:val="single" w:sz="8" w:space="0" w:color="000000"/>
            </w:tcBorders>
            <w:vAlign w:val="center"/>
            <w:hideMark/>
          </w:tcPr>
          <w:p w14:paraId="7EA6EFE7"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654E7C5C" w14:textId="2D41E09E"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194" w:type="dxa"/>
            <w:gridSpan w:val="2"/>
            <w:shd w:val="clear" w:color="000000" w:fill="9BD2ED"/>
            <w:vAlign w:val="center"/>
            <w:hideMark/>
          </w:tcPr>
          <w:p w14:paraId="0F05B09D" w14:textId="487D1D21"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 period</w:t>
            </w:r>
          </w:p>
        </w:tc>
        <w:tc>
          <w:tcPr>
            <w:tcW w:w="1418" w:type="dxa"/>
            <w:gridSpan w:val="3"/>
            <w:shd w:val="clear" w:color="000000" w:fill="9BD2ED"/>
            <w:vAlign w:val="center"/>
            <w:hideMark/>
          </w:tcPr>
          <w:p w14:paraId="68552CAF" w14:textId="02D34C4A"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 institution</w:t>
            </w:r>
          </w:p>
        </w:tc>
        <w:tc>
          <w:tcPr>
            <w:tcW w:w="1644" w:type="dxa"/>
            <w:gridSpan w:val="3"/>
            <w:shd w:val="clear" w:color="000000" w:fill="9BD2ED"/>
            <w:vAlign w:val="center"/>
            <w:hideMark/>
          </w:tcPr>
          <w:p w14:paraId="26A01183" w14:textId="7F22696D"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 partners</w:t>
            </w:r>
          </w:p>
        </w:tc>
        <w:tc>
          <w:tcPr>
            <w:tcW w:w="1758" w:type="dxa"/>
            <w:gridSpan w:val="4"/>
            <w:shd w:val="clear" w:color="000000" w:fill="9BD2ED"/>
            <w:vAlign w:val="center"/>
            <w:hideMark/>
          </w:tcPr>
          <w:p w14:paraId="65CCA38E"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76AB7E09" w14:textId="2A4C5E5F" w:rsidR="00DF7303" w:rsidRPr="00D30847" w:rsidRDefault="00DF7303" w:rsidP="00DF7303">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 of financing</w:t>
            </w:r>
          </w:p>
        </w:tc>
        <w:tc>
          <w:tcPr>
            <w:tcW w:w="1506" w:type="dxa"/>
            <w:gridSpan w:val="4"/>
            <w:shd w:val="clear" w:color="000000" w:fill="9BD2ED"/>
            <w:vAlign w:val="center"/>
            <w:hideMark/>
          </w:tcPr>
          <w:p w14:paraId="2C0F1E59"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DF7303" w:rsidRPr="00D30847" w14:paraId="7007DA6E" w14:textId="77777777" w:rsidTr="00FD4DDE">
        <w:trPr>
          <w:gridBefore w:val="3"/>
          <w:gridAfter w:val="1"/>
          <w:wBefore w:w="37" w:type="dxa"/>
          <w:wAfter w:w="52" w:type="dxa"/>
          <w:trHeight w:val="484"/>
          <w:jc w:val="center"/>
        </w:trPr>
        <w:tc>
          <w:tcPr>
            <w:tcW w:w="2303" w:type="dxa"/>
            <w:gridSpan w:val="3"/>
            <w:vMerge/>
            <w:tcBorders>
              <w:top w:val="nil"/>
              <w:left w:val="nil"/>
              <w:bottom w:val="nil"/>
              <w:right w:val="single" w:sz="8" w:space="0" w:color="000000"/>
            </w:tcBorders>
            <w:vAlign w:val="center"/>
            <w:hideMark/>
          </w:tcPr>
          <w:p w14:paraId="7A176384"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6E51ADEB" w14:textId="166834C9"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Developing a communication strategy</w:t>
            </w:r>
          </w:p>
        </w:tc>
        <w:tc>
          <w:tcPr>
            <w:tcW w:w="1194" w:type="dxa"/>
            <w:gridSpan w:val="2"/>
            <w:shd w:val="clear" w:color="000000" w:fill="FFFF99"/>
            <w:vAlign w:val="center"/>
            <w:hideMark/>
          </w:tcPr>
          <w:p w14:paraId="4E8A1106" w14:textId="36BDC6AE"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w:t>
            </w:r>
          </w:p>
        </w:tc>
        <w:tc>
          <w:tcPr>
            <w:tcW w:w="1418" w:type="dxa"/>
            <w:gridSpan w:val="3"/>
            <w:shd w:val="clear" w:color="000000" w:fill="FFFF99"/>
            <w:vAlign w:val="center"/>
            <w:hideMark/>
          </w:tcPr>
          <w:p w14:paraId="21BBE860" w14:textId="297BDBE0"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w:t>
            </w:r>
          </w:p>
        </w:tc>
        <w:tc>
          <w:tcPr>
            <w:tcW w:w="1644" w:type="dxa"/>
            <w:gridSpan w:val="3"/>
            <w:shd w:val="clear" w:color="000000" w:fill="FFFF99"/>
            <w:vAlign w:val="center"/>
            <w:hideMark/>
          </w:tcPr>
          <w:p w14:paraId="40CE7282"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Donators</w:t>
            </w:r>
          </w:p>
        </w:tc>
        <w:tc>
          <w:tcPr>
            <w:tcW w:w="1758" w:type="dxa"/>
            <w:gridSpan w:val="4"/>
            <w:shd w:val="clear" w:color="000000" w:fill="FFFF99"/>
            <w:vAlign w:val="center"/>
            <w:hideMark/>
          </w:tcPr>
          <w:p w14:paraId="4B0BB194" w14:textId="0FAEF1FA"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8.000</w:t>
            </w:r>
          </w:p>
        </w:tc>
        <w:tc>
          <w:tcPr>
            <w:tcW w:w="1842" w:type="dxa"/>
            <w:gridSpan w:val="4"/>
            <w:shd w:val="clear" w:color="000000" w:fill="FFFF99"/>
            <w:vAlign w:val="center"/>
            <w:hideMark/>
          </w:tcPr>
          <w:p w14:paraId="1AA85821" w14:textId="5122665D" w:rsidR="00DF7303" w:rsidRPr="00D30847" w:rsidRDefault="00B4745D"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Financial gap</w:t>
            </w:r>
          </w:p>
        </w:tc>
        <w:tc>
          <w:tcPr>
            <w:tcW w:w="1506" w:type="dxa"/>
            <w:gridSpan w:val="4"/>
            <w:shd w:val="clear" w:color="000000" w:fill="FFFF99"/>
            <w:vAlign w:val="center"/>
            <w:hideMark/>
          </w:tcPr>
          <w:p w14:paraId="4749A9E7" w14:textId="4B306F33" w:rsidR="00DF7303" w:rsidRPr="00D30847" w:rsidRDefault="00DF7303" w:rsidP="00DF7303">
            <w:pPr>
              <w:spacing w:after="0" w:line="240" w:lineRule="auto"/>
              <w:jc w:val="center"/>
              <w:rPr>
                <w:rFonts w:ascii="Arial" w:eastAsia="Times New Roman" w:hAnsi="Arial" w:cs="Arial"/>
                <w:sz w:val="12"/>
                <w:szCs w:val="12"/>
                <w:lang w:val="en-GB" w:eastAsia="mk-MK"/>
              </w:rPr>
            </w:pPr>
          </w:p>
        </w:tc>
      </w:tr>
      <w:tr w:rsidR="00DF7303" w:rsidRPr="00D30847" w14:paraId="197D2D38" w14:textId="77777777" w:rsidTr="00FD4DDE">
        <w:trPr>
          <w:gridBefore w:val="3"/>
          <w:gridAfter w:val="1"/>
          <w:wBefore w:w="37" w:type="dxa"/>
          <w:wAfter w:w="52" w:type="dxa"/>
          <w:trHeight w:val="484"/>
          <w:jc w:val="center"/>
        </w:trPr>
        <w:tc>
          <w:tcPr>
            <w:tcW w:w="2303" w:type="dxa"/>
            <w:gridSpan w:val="3"/>
            <w:tcBorders>
              <w:top w:val="nil"/>
              <w:left w:val="nil"/>
              <w:bottom w:val="single" w:sz="4" w:space="0" w:color="auto"/>
              <w:right w:val="single" w:sz="8" w:space="0" w:color="000000"/>
            </w:tcBorders>
            <w:vAlign w:val="center"/>
          </w:tcPr>
          <w:p w14:paraId="1A1431D5"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bottom w:val="single" w:sz="4" w:space="0" w:color="auto"/>
            </w:tcBorders>
            <w:shd w:val="clear" w:color="000000" w:fill="FFFF99"/>
            <w:vAlign w:val="center"/>
          </w:tcPr>
          <w:p w14:paraId="13C86B09" w14:textId="754043BE"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2. Annual Meeting "All </w:t>
            </w:r>
            <w:r w:rsidR="000E60AF" w:rsidRPr="00D30847">
              <w:rPr>
                <w:rFonts w:ascii="Arial" w:eastAsia="Times New Roman" w:hAnsi="Arial" w:cs="Arial"/>
                <w:sz w:val="12"/>
                <w:szCs w:val="12"/>
                <w:lang w:val="en-GB" w:eastAsia="mk-MK"/>
              </w:rPr>
              <w:t>Unite</w:t>
            </w:r>
            <w:r w:rsidRPr="00D30847">
              <w:rPr>
                <w:rFonts w:ascii="Arial" w:eastAsia="Times New Roman" w:hAnsi="Arial" w:cs="Arial"/>
                <w:sz w:val="12"/>
                <w:szCs w:val="12"/>
                <w:lang w:val="en-GB" w:eastAsia="mk-MK"/>
              </w:rPr>
              <w:t>"</w:t>
            </w:r>
          </w:p>
        </w:tc>
        <w:tc>
          <w:tcPr>
            <w:tcW w:w="1194" w:type="dxa"/>
            <w:gridSpan w:val="2"/>
            <w:tcBorders>
              <w:bottom w:val="single" w:sz="4" w:space="0" w:color="auto"/>
            </w:tcBorders>
            <w:shd w:val="clear" w:color="000000" w:fill="FFFF99"/>
            <w:vAlign w:val="center"/>
          </w:tcPr>
          <w:p w14:paraId="0ABEE3A8" w14:textId="3C9DA05F"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18" w:type="dxa"/>
            <w:gridSpan w:val="3"/>
            <w:tcBorders>
              <w:bottom w:val="single" w:sz="4" w:space="0" w:color="auto"/>
            </w:tcBorders>
            <w:shd w:val="clear" w:color="000000" w:fill="FFFF99"/>
            <w:vAlign w:val="center"/>
          </w:tcPr>
          <w:p w14:paraId="58305E06" w14:textId="061E2C04"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MoF </w:t>
            </w:r>
          </w:p>
        </w:tc>
        <w:tc>
          <w:tcPr>
            <w:tcW w:w="1644" w:type="dxa"/>
            <w:gridSpan w:val="3"/>
            <w:tcBorders>
              <w:bottom w:val="single" w:sz="4" w:space="0" w:color="auto"/>
            </w:tcBorders>
            <w:shd w:val="clear" w:color="000000" w:fill="FFFF99"/>
            <w:vAlign w:val="center"/>
          </w:tcPr>
          <w:p w14:paraId="5293FCA5" w14:textId="4E8B3E3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Partners, trainers, participants, donators</w:t>
            </w:r>
          </w:p>
        </w:tc>
        <w:tc>
          <w:tcPr>
            <w:tcW w:w="1758" w:type="dxa"/>
            <w:gridSpan w:val="4"/>
            <w:tcBorders>
              <w:bottom w:val="single" w:sz="4" w:space="0" w:color="auto"/>
            </w:tcBorders>
            <w:shd w:val="clear" w:color="000000" w:fill="FFFF99"/>
            <w:vAlign w:val="center"/>
          </w:tcPr>
          <w:p w14:paraId="1250386F" w14:textId="4EDE96A0"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8.000</w:t>
            </w:r>
          </w:p>
        </w:tc>
        <w:tc>
          <w:tcPr>
            <w:tcW w:w="1842" w:type="dxa"/>
            <w:gridSpan w:val="4"/>
            <w:tcBorders>
              <w:bottom w:val="single" w:sz="4" w:space="0" w:color="auto"/>
            </w:tcBorders>
            <w:shd w:val="clear" w:color="000000" w:fill="FFFF99"/>
            <w:vAlign w:val="center"/>
          </w:tcPr>
          <w:p w14:paraId="2A91C2C8" w14:textId="7FAC6F3E"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Budget</w:t>
            </w:r>
          </w:p>
        </w:tc>
        <w:tc>
          <w:tcPr>
            <w:tcW w:w="1506" w:type="dxa"/>
            <w:gridSpan w:val="4"/>
            <w:tcBorders>
              <w:bottom w:val="single" w:sz="4" w:space="0" w:color="auto"/>
            </w:tcBorders>
            <w:shd w:val="clear" w:color="000000" w:fill="FFFF99"/>
            <w:vAlign w:val="center"/>
          </w:tcPr>
          <w:p w14:paraId="34EA3EEF" w14:textId="1C26D231" w:rsidR="00DF7303" w:rsidRPr="00D30847" w:rsidRDefault="00DF7303" w:rsidP="00DF7303">
            <w:pPr>
              <w:spacing w:after="0" w:line="240" w:lineRule="auto"/>
              <w:rPr>
                <w:rFonts w:ascii="Arial" w:eastAsia="Times New Roman" w:hAnsi="Arial" w:cs="Arial"/>
                <w:sz w:val="12"/>
                <w:szCs w:val="12"/>
                <w:lang w:val="en-GB" w:eastAsia="mk-MK"/>
              </w:rPr>
            </w:pPr>
          </w:p>
        </w:tc>
      </w:tr>
      <w:tr w:rsidR="00DF7303" w:rsidRPr="00D30847" w14:paraId="40DA6BD2" w14:textId="77777777" w:rsidTr="00FD4DDE">
        <w:trPr>
          <w:gridBefore w:val="3"/>
          <w:gridAfter w:val="1"/>
          <w:wBefore w:w="37" w:type="dxa"/>
          <w:wAfter w:w="52" w:type="dxa"/>
          <w:trHeight w:val="304"/>
          <w:jc w:val="center"/>
        </w:trPr>
        <w:tc>
          <w:tcPr>
            <w:tcW w:w="13501" w:type="dxa"/>
            <w:gridSpan w:val="28"/>
            <w:tcBorders>
              <w:top w:val="single" w:sz="4" w:space="0" w:color="auto"/>
              <w:left w:val="single" w:sz="4" w:space="0" w:color="auto"/>
              <w:bottom w:val="single" w:sz="4" w:space="0" w:color="auto"/>
              <w:right w:val="single" w:sz="4" w:space="0" w:color="auto"/>
            </w:tcBorders>
            <w:shd w:val="clear" w:color="000000" w:fill="1F3864"/>
            <w:vAlign w:val="center"/>
          </w:tcPr>
          <w:p w14:paraId="1588EC35" w14:textId="4543CA5D" w:rsidR="00DF7303" w:rsidRPr="00D30847" w:rsidRDefault="00DF7303" w:rsidP="00DF7303">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sz w:val="12"/>
                <w:szCs w:val="12"/>
                <w:lang w:val="en-GB" w:eastAsia="mk-MK"/>
              </w:rPr>
              <w:lastRenderedPageBreak/>
              <w:t>Measure 4: Sustainable finances in the public sector</w:t>
            </w:r>
          </w:p>
        </w:tc>
      </w:tr>
      <w:tr w:rsidR="00DF7303" w:rsidRPr="00D30847" w14:paraId="05BDED73" w14:textId="77777777" w:rsidTr="00FD4DDE">
        <w:trPr>
          <w:gridBefore w:val="3"/>
          <w:gridAfter w:val="1"/>
          <w:wBefore w:w="37" w:type="dxa"/>
          <w:wAfter w:w="52" w:type="dxa"/>
          <w:trHeight w:val="304"/>
          <w:jc w:val="center"/>
        </w:trPr>
        <w:tc>
          <w:tcPr>
            <w:tcW w:w="13501" w:type="dxa"/>
            <w:gridSpan w:val="28"/>
            <w:tcBorders>
              <w:top w:val="single" w:sz="4" w:space="0" w:color="auto"/>
              <w:left w:val="nil"/>
              <w:bottom w:val="nil"/>
              <w:right w:val="nil"/>
            </w:tcBorders>
            <w:shd w:val="clear" w:color="auto" w:fill="auto"/>
          </w:tcPr>
          <w:tbl>
            <w:tblPr>
              <w:tblW w:w="13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308"/>
              <w:gridCol w:w="962"/>
              <w:gridCol w:w="1710"/>
              <w:gridCol w:w="1260"/>
              <w:gridCol w:w="1440"/>
              <w:gridCol w:w="1620"/>
              <w:gridCol w:w="1800"/>
              <w:gridCol w:w="1800"/>
              <w:gridCol w:w="1530"/>
            </w:tblGrid>
            <w:tr w:rsidR="00DF7303" w:rsidRPr="00D30847" w14:paraId="30AB97B4" w14:textId="77777777" w:rsidTr="002F500A">
              <w:trPr>
                <w:trHeight w:val="450"/>
              </w:trPr>
              <w:tc>
                <w:tcPr>
                  <w:tcW w:w="2270" w:type="dxa"/>
                  <w:gridSpan w:val="2"/>
                  <w:vMerge w:val="restart"/>
                  <w:tcBorders>
                    <w:top w:val="nil"/>
                    <w:left w:val="nil"/>
                    <w:bottom w:val="nil"/>
                    <w:right w:val="single" w:sz="4" w:space="0" w:color="auto"/>
                  </w:tcBorders>
                  <w:shd w:val="clear" w:color="000000" w:fill="FFFFFF"/>
                  <w:vAlign w:val="center"/>
                  <w:hideMark/>
                </w:tcPr>
                <w:p w14:paraId="1B89F783"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c>
                <w:tcPr>
                  <w:tcW w:w="1710" w:type="dxa"/>
                  <w:tcBorders>
                    <w:top w:val="single" w:sz="4" w:space="0" w:color="auto"/>
                    <w:left w:val="single" w:sz="4" w:space="0" w:color="auto"/>
                    <w:bottom w:val="single" w:sz="4" w:space="0" w:color="auto"/>
                    <w:right w:val="single" w:sz="4" w:space="0" w:color="auto"/>
                  </w:tcBorders>
                  <w:shd w:val="clear" w:color="000000" w:fill="9BD2ED"/>
                  <w:vAlign w:val="center"/>
                  <w:hideMark/>
                </w:tcPr>
                <w:p w14:paraId="16E92D4A"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w:t>
                  </w:r>
                </w:p>
              </w:tc>
              <w:tc>
                <w:tcPr>
                  <w:tcW w:w="1260" w:type="dxa"/>
                  <w:tcBorders>
                    <w:top w:val="single" w:sz="4" w:space="0" w:color="auto"/>
                    <w:left w:val="single" w:sz="4" w:space="0" w:color="auto"/>
                    <w:bottom w:val="single" w:sz="4" w:space="0" w:color="auto"/>
                    <w:right w:val="single" w:sz="4" w:space="0" w:color="auto"/>
                  </w:tcBorders>
                  <w:shd w:val="clear" w:color="000000" w:fill="9BD2ED"/>
                  <w:vAlign w:val="center"/>
                  <w:hideMark/>
                </w:tcPr>
                <w:p w14:paraId="0A7B3B6A"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 Source</w:t>
                  </w:r>
                </w:p>
              </w:tc>
              <w:tc>
                <w:tcPr>
                  <w:tcW w:w="1440" w:type="dxa"/>
                  <w:tcBorders>
                    <w:top w:val="single" w:sz="4" w:space="0" w:color="auto"/>
                    <w:left w:val="single" w:sz="4" w:space="0" w:color="auto"/>
                    <w:bottom w:val="single" w:sz="4" w:space="0" w:color="auto"/>
                    <w:right w:val="single" w:sz="4" w:space="0" w:color="auto"/>
                  </w:tcBorders>
                  <w:shd w:val="clear" w:color="000000" w:fill="9BD2ED"/>
                  <w:vAlign w:val="center"/>
                  <w:hideMark/>
                </w:tcPr>
                <w:p w14:paraId="34A30895"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FY23</w:t>
                  </w:r>
                </w:p>
              </w:tc>
              <w:tc>
                <w:tcPr>
                  <w:tcW w:w="1620" w:type="dxa"/>
                  <w:tcBorders>
                    <w:top w:val="single" w:sz="4" w:space="0" w:color="auto"/>
                    <w:left w:val="single" w:sz="4" w:space="0" w:color="auto"/>
                    <w:bottom w:val="single" w:sz="4" w:space="0" w:color="auto"/>
                    <w:right w:val="single" w:sz="4" w:space="0" w:color="auto"/>
                  </w:tcBorders>
                  <w:shd w:val="clear" w:color="000000" w:fill="9BD2ED"/>
                  <w:vAlign w:val="center"/>
                  <w:hideMark/>
                </w:tcPr>
                <w:p w14:paraId="6D8D0302"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FY25</w:t>
                  </w:r>
                </w:p>
              </w:tc>
              <w:tc>
                <w:tcPr>
                  <w:tcW w:w="1800" w:type="dxa"/>
                  <w:tcBorders>
                    <w:top w:val="single" w:sz="4" w:space="0" w:color="auto"/>
                    <w:left w:val="single" w:sz="4" w:space="0" w:color="auto"/>
                    <w:bottom w:val="single" w:sz="4" w:space="0" w:color="auto"/>
                    <w:right w:val="single" w:sz="4" w:space="0" w:color="auto"/>
                  </w:tcBorders>
                  <w:shd w:val="clear" w:color="000000" w:fill="9BD2ED"/>
                  <w:vAlign w:val="center"/>
                  <w:hideMark/>
                </w:tcPr>
                <w:p w14:paraId="55B95D7C"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FY26</w:t>
                  </w:r>
                </w:p>
              </w:tc>
              <w:tc>
                <w:tcPr>
                  <w:tcW w:w="1800" w:type="dxa"/>
                  <w:tcBorders>
                    <w:top w:val="single" w:sz="4" w:space="0" w:color="auto"/>
                    <w:left w:val="single" w:sz="4" w:space="0" w:color="auto"/>
                    <w:bottom w:val="single" w:sz="4" w:space="0" w:color="auto"/>
                    <w:right w:val="single" w:sz="4" w:space="0" w:color="auto"/>
                  </w:tcBorders>
                  <w:shd w:val="clear" w:color="000000" w:fill="9BD2ED"/>
                  <w:vAlign w:val="center"/>
                  <w:hideMark/>
                </w:tcPr>
                <w:p w14:paraId="43443E54"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FY27</w:t>
                  </w:r>
                </w:p>
              </w:tc>
              <w:tc>
                <w:tcPr>
                  <w:tcW w:w="1530" w:type="dxa"/>
                  <w:tcBorders>
                    <w:top w:val="single" w:sz="4" w:space="0" w:color="auto"/>
                    <w:left w:val="single" w:sz="4" w:space="0" w:color="auto"/>
                    <w:bottom w:val="single" w:sz="4" w:space="0" w:color="auto"/>
                    <w:right w:val="single" w:sz="4" w:space="0" w:color="auto"/>
                  </w:tcBorders>
                  <w:shd w:val="clear" w:color="000000" w:fill="9BD2ED"/>
                  <w:vAlign w:val="center"/>
                  <w:hideMark/>
                </w:tcPr>
                <w:p w14:paraId="2C180604"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FY28</w:t>
                  </w:r>
                </w:p>
              </w:tc>
            </w:tr>
            <w:tr w:rsidR="00DF7303" w:rsidRPr="00D30847" w14:paraId="7A226BE3" w14:textId="77777777" w:rsidTr="002F500A">
              <w:trPr>
                <w:trHeight w:val="552"/>
              </w:trPr>
              <w:tc>
                <w:tcPr>
                  <w:tcW w:w="2270" w:type="dxa"/>
                  <w:gridSpan w:val="2"/>
                  <w:vMerge/>
                  <w:tcBorders>
                    <w:top w:val="nil"/>
                    <w:left w:val="nil"/>
                    <w:bottom w:val="nil"/>
                    <w:right w:val="single" w:sz="4" w:space="0" w:color="auto"/>
                  </w:tcBorders>
                  <w:vAlign w:val="center"/>
                  <w:hideMark/>
                </w:tcPr>
                <w:p w14:paraId="41E79C79" w14:textId="77777777" w:rsidR="00DF7303" w:rsidRPr="00D30847" w:rsidRDefault="00DF7303" w:rsidP="00DF7303">
                  <w:pPr>
                    <w:spacing w:after="0" w:line="240" w:lineRule="auto"/>
                    <w:rPr>
                      <w:rFonts w:ascii="Arial" w:eastAsia="Times New Roman" w:hAnsi="Arial" w:cs="Arial"/>
                      <w:b/>
                      <w:bCs/>
                      <w:sz w:val="12"/>
                      <w:szCs w:val="12"/>
                      <w:lang w:val="en-GB" w:eastAsia="mk-MK"/>
                    </w:rPr>
                  </w:pPr>
                </w:p>
              </w:tc>
              <w:tc>
                <w:tcPr>
                  <w:tcW w:w="171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6D6A9DC1" w14:textId="3AB6EF57"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Implemented trainings for trainers for employees of the </w:t>
                  </w:r>
                  <w:r w:rsidR="00DB46BB" w:rsidRPr="00D30847">
                    <w:rPr>
                      <w:rFonts w:ascii="Arial" w:eastAsia="Times New Roman" w:hAnsi="Arial" w:cs="Arial"/>
                      <w:sz w:val="12"/>
                      <w:szCs w:val="12"/>
                      <w:lang w:val="en-GB" w:eastAsia="mk-MK"/>
                    </w:rPr>
                    <w:t>Public Finance Academy</w:t>
                  </w:r>
                </w:p>
              </w:tc>
              <w:tc>
                <w:tcPr>
                  <w:tcW w:w="126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2E32E01D"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Ministry of finance</w:t>
                  </w:r>
                </w:p>
              </w:tc>
              <w:tc>
                <w:tcPr>
                  <w:tcW w:w="144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70CC7AB2"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0</w:t>
                  </w:r>
                </w:p>
              </w:tc>
              <w:tc>
                <w:tcPr>
                  <w:tcW w:w="162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6F8BE769"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Realized 1 training</w:t>
                  </w:r>
                </w:p>
              </w:tc>
              <w:tc>
                <w:tcPr>
                  <w:tcW w:w="180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6539A4F2"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Realized 1 training</w:t>
                  </w:r>
                </w:p>
              </w:tc>
              <w:tc>
                <w:tcPr>
                  <w:tcW w:w="180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6F79D737"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Realized 1 training</w:t>
                  </w:r>
                </w:p>
              </w:tc>
              <w:tc>
                <w:tcPr>
                  <w:tcW w:w="153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30424A20"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Realized 1 training</w:t>
                  </w:r>
                </w:p>
              </w:tc>
            </w:tr>
            <w:tr w:rsidR="00DF7303" w:rsidRPr="00D30847" w14:paraId="45F54C7E" w14:textId="77777777" w:rsidTr="002F500A">
              <w:trPr>
                <w:trHeight w:val="528"/>
              </w:trPr>
              <w:tc>
                <w:tcPr>
                  <w:tcW w:w="2270" w:type="dxa"/>
                  <w:gridSpan w:val="2"/>
                  <w:vMerge/>
                  <w:tcBorders>
                    <w:top w:val="nil"/>
                    <w:left w:val="nil"/>
                    <w:bottom w:val="nil"/>
                    <w:right w:val="single" w:sz="4" w:space="0" w:color="auto"/>
                  </w:tcBorders>
                  <w:vAlign w:val="center"/>
                  <w:hideMark/>
                </w:tcPr>
                <w:p w14:paraId="1591E17F" w14:textId="77777777" w:rsidR="00DF7303" w:rsidRPr="00D30847" w:rsidRDefault="00DF7303" w:rsidP="00DF7303">
                  <w:pPr>
                    <w:spacing w:after="0" w:line="240" w:lineRule="auto"/>
                    <w:rPr>
                      <w:rFonts w:ascii="Arial" w:eastAsia="Times New Roman" w:hAnsi="Arial" w:cs="Arial"/>
                      <w:b/>
                      <w:bCs/>
                      <w:sz w:val="12"/>
                      <w:szCs w:val="12"/>
                      <w:lang w:val="en-GB" w:eastAsia="mk-MK"/>
                    </w:rPr>
                  </w:pPr>
                </w:p>
              </w:tc>
              <w:tc>
                <w:tcPr>
                  <w:tcW w:w="171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18848CB2" w14:textId="77777777"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Organized trainings in the field of sustainable finance</w:t>
                  </w:r>
                </w:p>
              </w:tc>
              <w:tc>
                <w:tcPr>
                  <w:tcW w:w="126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30164E0D"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Ministry of finance</w:t>
                  </w:r>
                </w:p>
              </w:tc>
              <w:tc>
                <w:tcPr>
                  <w:tcW w:w="144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62BD03D7"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0</w:t>
                  </w:r>
                </w:p>
              </w:tc>
              <w:tc>
                <w:tcPr>
                  <w:tcW w:w="1620" w:type="dxa"/>
                  <w:tcBorders>
                    <w:top w:val="single" w:sz="4" w:space="0" w:color="auto"/>
                    <w:left w:val="single" w:sz="4" w:space="0" w:color="auto"/>
                    <w:bottom w:val="single" w:sz="4" w:space="0" w:color="auto"/>
                    <w:right w:val="single" w:sz="4" w:space="0" w:color="auto"/>
                  </w:tcBorders>
                  <w:shd w:val="clear" w:color="000000" w:fill="FFFF99"/>
                  <w:vAlign w:val="center"/>
                </w:tcPr>
                <w:p w14:paraId="08493503"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0</w:t>
                  </w:r>
                </w:p>
              </w:tc>
              <w:tc>
                <w:tcPr>
                  <w:tcW w:w="180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7B8368C3"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Organized 1 trainings</w:t>
                  </w:r>
                </w:p>
              </w:tc>
              <w:tc>
                <w:tcPr>
                  <w:tcW w:w="180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7B56F546"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Organized 2 trainings</w:t>
                  </w:r>
                </w:p>
              </w:tc>
              <w:tc>
                <w:tcPr>
                  <w:tcW w:w="153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520C891F"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Organized 3 trainings</w:t>
                  </w:r>
                </w:p>
              </w:tc>
            </w:tr>
            <w:tr w:rsidR="00DF7303" w:rsidRPr="00D30847" w14:paraId="6D2C3AC5" w14:textId="77777777" w:rsidTr="002F500A">
              <w:trPr>
                <w:trHeight w:val="238"/>
              </w:trPr>
              <w:tc>
                <w:tcPr>
                  <w:tcW w:w="2270" w:type="dxa"/>
                  <w:gridSpan w:val="2"/>
                  <w:vMerge/>
                  <w:tcBorders>
                    <w:top w:val="nil"/>
                    <w:left w:val="nil"/>
                    <w:bottom w:val="nil"/>
                    <w:right w:val="single" w:sz="4" w:space="0" w:color="auto"/>
                  </w:tcBorders>
                  <w:vAlign w:val="center"/>
                  <w:hideMark/>
                </w:tcPr>
                <w:p w14:paraId="6E845CA1" w14:textId="77777777" w:rsidR="00DF7303" w:rsidRPr="00D30847" w:rsidRDefault="00DF7303" w:rsidP="00DF7303">
                  <w:pPr>
                    <w:spacing w:after="0" w:line="240" w:lineRule="auto"/>
                    <w:rPr>
                      <w:rFonts w:ascii="Arial" w:eastAsia="Times New Roman" w:hAnsi="Arial" w:cs="Arial"/>
                      <w:b/>
                      <w:bCs/>
                      <w:sz w:val="12"/>
                      <w:szCs w:val="12"/>
                      <w:lang w:val="en-GB" w:eastAsia="mk-MK"/>
                    </w:rPr>
                  </w:pPr>
                </w:p>
              </w:tc>
              <w:tc>
                <w:tcPr>
                  <w:tcW w:w="1710" w:type="dxa"/>
                  <w:tcBorders>
                    <w:top w:val="single" w:sz="4" w:space="0" w:color="auto"/>
                    <w:left w:val="single" w:sz="4" w:space="0" w:color="auto"/>
                    <w:bottom w:val="single" w:sz="4" w:space="0" w:color="auto"/>
                    <w:right w:val="single" w:sz="4" w:space="0" w:color="auto"/>
                  </w:tcBorders>
                  <w:shd w:val="clear" w:color="000000" w:fill="9BD2ED"/>
                  <w:vAlign w:val="center"/>
                  <w:hideMark/>
                </w:tcPr>
                <w:p w14:paraId="66E28B0A"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Activities:</w:t>
                  </w:r>
                </w:p>
              </w:tc>
              <w:tc>
                <w:tcPr>
                  <w:tcW w:w="1260" w:type="dxa"/>
                  <w:tcBorders>
                    <w:top w:val="single" w:sz="4" w:space="0" w:color="auto"/>
                    <w:left w:val="single" w:sz="4" w:space="0" w:color="auto"/>
                    <w:bottom w:val="single" w:sz="4" w:space="0" w:color="auto"/>
                    <w:right w:val="single" w:sz="4" w:space="0" w:color="auto"/>
                  </w:tcBorders>
                  <w:shd w:val="clear" w:color="000000" w:fill="9BD2ED"/>
                  <w:vAlign w:val="center"/>
                  <w:hideMark/>
                </w:tcPr>
                <w:p w14:paraId="1BFCF6E5"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Implementation period</w:t>
                  </w:r>
                </w:p>
              </w:tc>
              <w:tc>
                <w:tcPr>
                  <w:tcW w:w="1440" w:type="dxa"/>
                  <w:tcBorders>
                    <w:top w:val="single" w:sz="4" w:space="0" w:color="auto"/>
                    <w:left w:val="single" w:sz="4" w:space="0" w:color="auto"/>
                    <w:bottom w:val="single" w:sz="4" w:space="0" w:color="auto"/>
                    <w:right w:val="single" w:sz="4" w:space="0" w:color="auto"/>
                  </w:tcBorders>
                  <w:shd w:val="clear" w:color="000000" w:fill="9BD2ED"/>
                  <w:vAlign w:val="center"/>
                  <w:hideMark/>
                </w:tcPr>
                <w:p w14:paraId="5298771F"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 institution</w:t>
                  </w:r>
                </w:p>
              </w:tc>
              <w:tc>
                <w:tcPr>
                  <w:tcW w:w="1620" w:type="dxa"/>
                  <w:tcBorders>
                    <w:top w:val="single" w:sz="4" w:space="0" w:color="auto"/>
                    <w:left w:val="single" w:sz="4" w:space="0" w:color="auto"/>
                    <w:bottom w:val="single" w:sz="4" w:space="0" w:color="auto"/>
                    <w:right w:val="single" w:sz="4" w:space="0" w:color="auto"/>
                  </w:tcBorders>
                  <w:shd w:val="clear" w:color="000000" w:fill="9BD2ED"/>
                  <w:vAlign w:val="center"/>
                  <w:hideMark/>
                </w:tcPr>
                <w:p w14:paraId="3E1EC87D"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 partners</w:t>
                  </w:r>
                </w:p>
              </w:tc>
              <w:tc>
                <w:tcPr>
                  <w:tcW w:w="1800" w:type="dxa"/>
                  <w:tcBorders>
                    <w:top w:val="single" w:sz="4" w:space="0" w:color="auto"/>
                    <w:left w:val="single" w:sz="4" w:space="0" w:color="auto"/>
                    <w:bottom w:val="single" w:sz="4" w:space="0" w:color="auto"/>
                    <w:right w:val="single" w:sz="4" w:space="0" w:color="auto"/>
                  </w:tcBorders>
                  <w:shd w:val="clear" w:color="000000" w:fill="9BD2ED"/>
                  <w:vAlign w:val="center"/>
                  <w:hideMark/>
                </w:tcPr>
                <w:p w14:paraId="3DFE3049"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 (in EUR)</w:t>
                  </w:r>
                </w:p>
              </w:tc>
              <w:tc>
                <w:tcPr>
                  <w:tcW w:w="1800" w:type="dxa"/>
                  <w:tcBorders>
                    <w:top w:val="single" w:sz="4" w:space="0" w:color="auto"/>
                    <w:left w:val="single" w:sz="4" w:space="0" w:color="auto"/>
                    <w:bottom w:val="single" w:sz="4" w:space="0" w:color="auto"/>
                    <w:right w:val="single" w:sz="4" w:space="0" w:color="auto"/>
                  </w:tcBorders>
                  <w:shd w:val="clear" w:color="000000" w:fill="9BD2ED"/>
                  <w:vAlign w:val="center"/>
                  <w:hideMark/>
                </w:tcPr>
                <w:p w14:paraId="5B8F484B"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 of financing</w:t>
                  </w:r>
                </w:p>
              </w:tc>
              <w:tc>
                <w:tcPr>
                  <w:tcW w:w="1530" w:type="dxa"/>
                  <w:tcBorders>
                    <w:top w:val="single" w:sz="4" w:space="0" w:color="auto"/>
                    <w:left w:val="single" w:sz="4" w:space="0" w:color="auto"/>
                    <w:bottom w:val="single" w:sz="4" w:space="0" w:color="auto"/>
                    <w:right w:val="single" w:sz="4" w:space="0" w:color="auto"/>
                  </w:tcBorders>
                  <w:shd w:val="clear" w:color="000000" w:fill="9BD2ED"/>
                  <w:vAlign w:val="center"/>
                  <w:hideMark/>
                </w:tcPr>
                <w:p w14:paraId="22D5550B"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DF7303" w:rsidRPr="00D30847" w14:paraId="4B5DA2B0" w14:textId="77777777" w:rsidTr="002F500A">
              <w:trPr>
                <w:trHeight w:val="604"/>
              </w:trPr>
              <w:tc>
                <w:tcPr>
                  <w:tcW w:w="2270" w:type="dxa"/>
                  <w:gridSpan w:val="2"/>
                  <w:vMerge/>
                  <w:tcBorders>
                    <w:top w:val="nil"/>
                    <w:left w:val="nil"/>
                    <w:bottom w:val="nil"/>
                    <w:right w:val="single" w:sz="4" w:space="0" w:color="auto"/>
                  </w:tcBorders>
                  <w:vAlign w:val="center"/>
                  <w:hideMark/>
                </w:tcPr>
                <w:p w14:paraId="54D7851C" w14:textId="77777777" w:rsidR="00DF7303" w:rsidRPr="00D30847" w:rsidRDefault="00DF7303" w:rsidP="00DF7303">
                  <w:pPr>
                    <w:spacing w:after="0" w:line="240" w:lineRule="auto"/>
                    <w:rPr>
                      <w:rFonts w:ascii="Arial" w:eastAsia="Times New Roman" w:hAnsi="Arial" w:cs="Arial"/>
                      <w:b/>
                      <w:bCs/>
                      <w:sz w:val="12"/>
                      <w:szCs w:val="12"/>
                      <w:lang w:val="en-GB" w:eastAsia="mk-MK"/>
                    </w:rPr>
                  </w:pPr>
                </w:p>
              </w:tc>
              <w:tc>
                <w:tcPr>
                  <w:tcW w:w="1710" w:type="dxa"/>
                  <w:tcBorders>
                    <w:top w:val="single" w:sz="4" w:space="0" w:color="auto"/>
                    <w:left w:val="single" w:sz="4" w:space="0" w:color="auto"/>
                    <w:bottom w:val="single" w:sz="4" w:space="0" w:color="auto"/>
                    <w:right w:val="single" w:sz="4" w:space="0" w:color="auto"/>
                  </w:tcBorders>
                  <w:shd w:val="clear" w:color="000000" w:fill="FFFF99"/>
                  <w:hideMark/>
                </w:tcPr>
                <w:p w14:paraId="6B1A7297" w14:textId="346B16FE"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1.Training of trainers for the employees of the Public Finance Academy</w:t>
                  </w:r>
                </w:p>
              </w:tc>
              <w:tc>
                <w:tcPr>
                  <w:tcW w:w="126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70AAE883"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4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67A6EBE3"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Ministry of finance</w:t>
                  </w:r>
                </w:p>
              </w:tc>
              <w:tc>
                <w:tcPr>
                  <w:tcW w:w="162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09B45EE0"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Donators</w:t>
                  </w:r>
                </w:p>
              </w:tc>
              <w:tc>
                <w:tcPr>
                  <w:tcW w:w="180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67A87111"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16.000</w:t>
                  </w:r>
                </w:p>
              </w:tc>
              <w:tc>
                <w:tcPr>
                  <w:tcW w:w="180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44069422" w14:textId="5188A5BC" w:rsidR="00DF7303" w:rsidRPr="00D30847" w:rsidRDefault="000A228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Financial gap</w:t>
                  </w:r>
                </w:p>
              </w:tc>
              <w:tc>
                <w:tcPr>
                  <w:tcW w:w="153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4B6DB8F6"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DF7303" w:rsidRPr="00D30847" w14:paraId="09D4433C" w14:textId="77777777" w:rsidTr="002F500A">
              <w:trPr>
                <w:trHeight w:val="471"/>
              </w:trPr>
              <w:tc>
                <w:tcPr>
                  <w:tcW w:w="2270" w:type="dxa"/>
                  <w:gridSpan w:val="2"/>
                  <w:vMerge/>
                  <w:tcBorders>
                    <w:top w:val="nil"/>
                    <w:left w:val="nil"/>
                    <w:bottom w:val="nil"/>
                    <w:right w:val="single" w:sz="4" w:space="0" w:color="auto"/>
                  </w:tcBorders>
                  <w:vAlign w:val="center"/>
                  <w:hideMark/>
                </w:tcPr>
                <w:p w14:paraId="6237144D" w14:textId="77777777" w:rsidR="00DF7303" w:rsidRPr="00D30847" w:rsidRDefault="00DF7303" w:rsidP="00DF7303">
                  <w:pPr>
                    <w:spacing w:after="0" w:line="240" w:lineRule="auto"/>
                    <w:rPr>
                      <w:rFonts w:ascii="Arial" w:eastAsia="Times New Roman" w:hAnsi="Arial" w:cs="Arial"/>
                      <w:b/>
                      <w:bCs/>
                      <w:sz w:val="12"/>
                      <w:szCs w:val="12"/>
                      <w:lang w:val="en-GB" w:eastAsia="mk-MK"/>
                    </w:rPr>
                  </w:pP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7612AA0E" w14:textId="7C49C8DF"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Organizing trainings in the area of sustainable finance</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4512E45B"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00CF47E9"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Ministry of finance</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2B0668BF"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Donators</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2FED3C95"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12.000                      </w:t>
                  </w:r>
                </w:p>
                <w:p w14:paraId="3B39F343"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9362C57" w14:textId="1CEB160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Budget</w:t>
                  </w:r>
                </w:p>
              </w:tc>
              <w:tc>
                <w:tcPr>
                  <w:tcW w:w="153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E4FE36A"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DF7303" w:rsidRPr="00D30847" w14:paraId="0E442E7E" w14:textId="77777777" w:rsidTr="002F500A">
              <w:trPr>
                <w:trHeight w:val="102"/>
              </w:trPr>
              <w:tc>
                <w:tcPr>
                  <w:tcW w:w="1308" w:type="dxa"/>
                  <w:tcBorders>
                    <w:top w:val="nil"/>
                    <w:left w:val="nil"/>
                    <w:bottom w:val="nil"/>
                    <w:right w:val="nil"/>
                  </w:tcBorders>
                  <w:shd w:val="clear" w:color="000000" w:fill="FFFFFF"/>
                  <w:vAlign w:val="center"/>
                  <w:hideMark/>
                </w:tcPr>
                <w:p w14:paraId="2F2413AA"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c>
                <w:tcPr>
                  <w:tcW w:w="962" w:type="dxa"/>
                  <w:tcBorders>
                    <w:top w:val="nil"/>
                    <w:left w:val="nil"/>
                    <w:bottom w:val="nil"/>
                    <w:right w:val="single" w:sz="4" w:space="0" w:color="auto"/>
                  </w:tcBorders>
                  <w:shd w:val="clear" w:color="000000" w:fill="FFFFFF"/>
                  <w:vAlign w:val="center"/>
                  <w:hideMark/>
                </w:tcPr>
                <w:p w14:paraId="16132372"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7439936"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759B3C9"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75319EF"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5A16BFA9"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00" w:type="dxa"/>
                  <w:vMerge/>
                  <w:tcBorders>
                    <w:top w:val="single" w:sz="4" w:space="0" w:color="auto"/>
                    <w:left w:val="single" w:sz="4" w:space="0" w:color="auto"/>
                    <w:bottom w:val="single" w:sz="4" w:space="0" w:color="auto"/>
                    <w:right w:val="single" w:sz="4" w:space="0" w:color="auto"/>
                  </w:tcBorders>
                  <w:shd w:val="clear" w:color="000000" w:fill="FFFF99"/>
                  <w:vAlign w:val="center"/>
                  <w:hideMark/>
                </w:tcPr>
                <w:p w14:paraId="35C3AE6E"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tc>
              <w:tc>
                <w:tcPr>
                  <w:tcW w:w="1800" w:type="dxa"/>
                  <w:vMerge/>
                  <w:tcBorders>
                    <w:top w:val="single" w:sz="4" w:space="0" w:color="auto"/>
                    <w:left w:val="single" w:sz="4" w:space="0" w:color="auto"/>
                    <w:bottom w:val="single" w:sz="4" w:space="0" w:color="auto"/>
                    <w:right w:val="single" w:sz="4" w:space="0" w:color="auto"/>
                  </w:tcBorders>
                  <w:shd w:val="clear" w:color="000000" w:fill="FFFF99"/>
                  <w:vAlign w:val="center"/>
                  <w:hideMark/>
                </w:tcPr>
                <w:p w14:paraId="2F078B5A"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4F79C9EB" w14:textId="77777777" w:rsidR="00DF7303" w:rsidRPr="00D30847" w:rsidRDefault="00DF7303" w:rsidP="00DF7303">
                  <w:pPr>
                    <w:spacing w:after="0" w:line="240" w:lineRule="auto"/>
                    <w:rPr>
                      <w:rFonts w:ascii="Arial" w:eastAsia="Times New Roman" w:hAnsi="Arial" w:cs="Arial"/>
                      <w:sz w:val="12"/>
                      <w:szCs w:val="12"/>
                      <w:lang w:val="en-GB" w:eastAsia="mk-MK"/>
                    </w:rPr>
                  </w:pPr>
                </w:p>
              </w:tc>
            </w:tr>
          </w:tbl>
          <w:p w14:paraId="1489CE59" w14:textId="77777777" w:rsidR="00DF7303" w:rsidRPr="00D30847" w:rsidRDefault="00DF7303" w:rsidP="00DF7303">
            <w:pPr>
              <w:spacing w:after="0" w:line="240" w:lineRule="auto"/>
              <w:jc w:val="both"/>
              <w:rPr>
                <w:rFonts w:ascii="Arial" w:eastAsia="Times New Roman" w:hAnsi="Arial" w:cs="Arial"/>
                <w:b/>
                <w:bCs/>
                <w:sz w:val="12"/>
                <w:szCs w:val="12"/>
                <w:lang w:val="en-GB" w:eastAsia="mk-MK"/>
              </w:rPr>
            </w:pPr>
          </w:p>
        </w:tc>
      </w:tr>
      <w:tr w:rsidR="00DF7303" w:rsidRPr="00D30847" w14:paraId="163C3D62" w14:textId="77777777" w:rsidTr="00FD4DDE">
        <w:trPr>
          <w:gridBefore w:val="3"/>
          <w:gridAfter w:val="1"/>
          <w:wBefore w:w="37" w:type="dxa"/>
          <w:wAfter w:w="52" w:type="dxa"/>
          <w:trHeight w:val="304"/>
          <w:jc w:val="center"/>
        </w:trPr>
        <w:tc>
          <w:tcPr>
            <w:tcW w:w="13501" w:type="dxa"/>
            <w:gridSpan w:val="28"/>
            <w:tcBorders>
              <w:top w:val="nil"/>
            </w:tcBorders>
            <w:shd w:val="clear" w:color="000000" w:fill="1F3864"/>
            <w:vAlign w:val="center"/>
            <w:hideMark/>
          </w:tcPr>
          <w:p w14:paraId="723C8160" w14:textId="2D500E6A" w:rsidR="00DF7303" w:rsidRPr="00D30847" w:rsidRDefault="00DF7303" w:rsidP="00DF7303">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PILLAR VI. Public Internal Financial Control</w:t>
            </w:r>
          </w:p>
        </w:tc>
      </w:tr>
      <w:tr w:rsidR="00DF7303" w:rsidRPr="00D30847" w14:paraId="77799C61" w14:textId="77777777" w:rsidTr="00FD4DDE">
        <w:trPr>
          <w:gridBefore w:val="3"/>
          <w:gridAfter w:val="1"/>
          <w:wBefore w:w="37" w:type="dxa"/>
          <w:wAfter w:w="52" w:type="dxa"/>
          <w:trHeight w:val="340"/>
          <w:jc w:val="center"/>
        </w:trPr>
        <w:tc>
          <w:tcPr>
            <w:tcW w:w="13501" w:type="dxa"/>
            <w:gridSpan w:val="28"/>
            <w:shd w:val="clear" w:color="000000" w:fill="1F3864"/>
            <w:vAlign w:val="center"/>
            <w:hideMark/>
          </w:tcPr>
          <w:p w14:paraId="200B95AC" w14:textId="546D8280" w:rsidR="00DF7303" w:rsidRPr="00D30847" w:rsidRDefault="00DF7303" w:rsidP="00DF7303">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PRIORITY 1. Financial management and control</w:t>
            </w:r>
          </w:p>
        </w:tc>
      </w:tr>
      <w:tr w:rsidR="00DF7303" w:rsidRPr="00D30847" w14:paraId="48D1F30B" w14:textId="77777777" w:rsidTr="00FD4DDE">
        <w:trPr>
          <w:gridBefore w:val="3"/>
          <w:gridAfter w:val="1"/>
          <w:wBefore w:w="37" w:type="dxa"/>
          <w:wAfter w:w="52" w:type="dxa"/>
          <w:trHeight w:val="358"/>
          <w:jc w:val="center"/>
        </w:trPr>
        <w:tc>
          <w:tcPr>
            <w:tcW w:w="2303" w:type="dxa"/>
            <w:gridSpan w:val="3"/>
            <w:shd w:val="clear" w:color="000000" w:fill="9BD2ED"/>
            <w:vAlign w:val="center"/>
            <w:hideMark/>
          </w:tcPr>
          <w:p w14:paraId="0F713E96"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Outcome(s)</w:t>
            </w:r>
          </w:p>
        </w:tc>
        <w:tc>
          <w:tcPr>
            <w:tcW w:w="1836" w:type="dxa"/>
            <w:gridSpan w:val="5"/>
            <w:shd w:val="clear" w:color="000000" w:fill="9BD2ED"/>
            <w:vAlign w:val="center"/>
            <w:hideMark/>
          </w:tcPr>
          <w:p w14:paraId="067AB206" w14:textId="121F1BA1"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w:t>
            </w:r>
          </w:p>
        </w:tc>
        <w:tc>
          <w:tcPr>
            <w:tcW w:w="1194" w:type="dxa"/>
            <w:gridSpan w:val="2"/>
            <w:shd w:val="clear" w:color="000000" w:fill="9BD2ED"/>
            <w:vAlign w:val="center"/>
            <w:hideMark/>
          </w:tcPr>
          <w:p w14:paraId="2C0C4621" w14:textId="4E73B9AB"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 Source</w:t>
            </w:r>
          </w:p>
        </w:tc>
        <w:tc>
          <w:tcPr>
            <w:tcW w:w="1418" w:type="dxa"/>
            <w:gridSpan w:val="3"/>
            <w:shd w:val="clear" w:color="000000" w:fill="9BD2ED"/>
            <w:vAlign w:val="center"/>
            <w:hideMark/>
          </w:tcPr>
          <w:p w14:paraId="6DEB316F" w14:textId="1C68CB41"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FY23</w:t>
            </w:r>
          </w:p>
        </w:tc>
        <w:tc>
          <w:tcPr>
            <w:tcW w:w="1644" w:type="dxa"/>
            <w:gridSpan w:val="3"/>
            <w:shd w:val="clear" w:color="000000" w:fill="9BD2ED"/>
            <w:vAlign w:val="center"/>
            <w:hideMark/>
          </w:tcPr>
          <w:p w14:paraId="72D45A2B" w14:textId="7B4A4D3C"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FY25</w:t>
            </w:r>
          </w:p>
        </w:tc>
        <w:tc>
          <w:tcPr>
            <w:tcW w:w="1758" w:type="dxa"/>
            <w:gridSpan w:val="4"/>
            <w:shd w:val="clear" w:color="000000" w:fill="9BD2ED"/>
            <w:vAlign w:val="center"/>
            <w:hideMark/>
          </w:tcPr>
          <w:p w14:paraId="579424B9" w14:textId="6C81E1B8"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FY26</w:t>
            </w:r>
          </w:p>
        </w:tc>
        <w:tc>
          <w:tcPr>
            <w:tcW w:w="1842" w:type="dxa"/>
            <w:gridSpan w:val="4"/>
            <w:shd w:val="clear" w:color="000000" w:fill="9BD2ED"/>
            <w:vAlign w:val="center"/>
            <w:hideMark/>
          </w:tcPr>
          <w:p w14:paraId="6951A5D8" w14:textId="4DBD317A"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FY27</w:t>
            </w:r>
          </w:p>
        </w:tc>
        <w:tc>
          <w:tcPr>
            <w:tcW w:w="1506" w:type="dxa"/>
            <w:gridSpan w:val="4"/>
            <w:shd w:val="clear" w:color="000000" w:fill="9BD2ED"/>
            <w:vAlign w:val="center"/>
            <w:hideMark/>
          </w:tcPr>
          <w:p w14:paraId="7C544B19" w14:textId="6E1FE2DE"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FY28</w:t>
            </w:r>
          </w:p>
        </w:tc>
      </w:tr>
      <w:tr w:rsidR="00DF7303" w:rsidRPr="00D30847" w14:paraId="57ABA6E6" w14:textId="77777777" w:rsidTr="00FD4DDE">
        <w:trPr>
          <w:gridBefore w:val="3"/>
          <w:gridAfter w:val="1"/>
          <w:wBefore w:w="37" w:type="dxa"/>
          <w:wAfter w:w="52" w:type="dxa"/>
          <w:trHeight w:val="822"/>
          <w:jc w:val="center"/>
        </w:trPr>
        <w:tc>
          <w:tcPr>
            <w:tcW w:w="2303" w:type="dxa"/>
            <w:gridSpan w:val="3"/>
            <w:vMerge w:val="restart"/>
            <w:shd w:val="clear" w:color="000000" w:fill="FFFF99"/>
            <w:vAlign w:val="center"/>
            <w:hideMark/>
          </w:tcPr>
          <w:p w14:paraId="3965DBAA" w14:textId="0E0CA429"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Prepared procedures for key financial management elements</w:t>
            </w:r>
          </w:p>
        </w:tc>
        <w:tc>
          <w:tcPr>
            <w:tcW w:w="1836" w:type="dxa"/>
            <w:gridSpan w:val="5"/>
            <w:shd w:val="clear" w:color="000000" w:fill="FFFF99"/>
            <w:vAlign w:val="center"/>
            <w:hideMark/>
          </w:tcPr>
          <w:p w14:paraId="13A8ED77" w14:textId="7B88A316"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institutions that have applied the guidelines for risk management in their operations</w:t>
            </w:r>
          </w:p>
        </w:tc>
        <w:tc>
          <w:tcPr>
            <w:tcW w:w="1194" w:type="dxa"/>
            <w:gridSpan w:val="2"/>
            <w:shd w:val="clear" w:color="000000" w:fill="FFFF99"/>
            <w:vAlign w:val="center"/>
            <w:hideMark/>
          </w:tcPr>
          <w:p w14:paraId="52AAA680"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MF</w:t>
            </w:r>
          </w:p>
        </w:tc>
        <w:tc>
          <w:tcPr>
            <w:tcW w:w="1418" w:type="dxa"/>
            <w:gridSpan w:val="3"/>
            <w:shd w:val="clear" w:color="000000" w:fill="FFFF99"/>
            <w:vAlign w:val="center"/>
            <w:hideMark/>
          </w:tcPr>
          <w:p w14:paraId="77C26625" w14:textId="584F5EC6"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49</w:t>
            </w:r>
          </w:p>
        </w:tc>
        <w:tc>
          <w:tcPr>
            <w:tcW w:w="1644" w:type="dxa"/>
            <w:gridSpan w:val="3"/>
            <w:shd w:val="clear" w:color="000000" w:fill="FFFF99"/>
            <w:vAlign w:val="center"/>
            <w:hideMark/>
          </w:tcPr>
          <w:p w14:paraId="77D59DFD"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55</w:t>
            </w:r>
          </w:p>
        </w:tc>
        <w:tc>
          <w:tcPr>
            <w:tcW w:w="1758" w:type="dxa"/>
            <w:gridSpan w:val="4"/>
            <w:shd w:val="clear" w:color="000000" w:fill="FFFF99"/>
            <w:vAlign w:val="center"/>
            <w:hideMark/>
          </w:tcPr>
          <w:p w14:paraId="591AD930"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60</w:t>
            </w:r>
          </w:p>
        </w:tc>
        <w:tc>
          <w:tcPr>
            <w:tcW w:w="1842" w:type="dxa"/>
            <w:gridSpan w:val="4"/>
            <w:shd w:val="clear" w:color="000000" w:fill="FFFF99"/>
            <w:vAlign w:val="center"/>
            <w:hideMark/>
          </w:tcPr>
          <w:p w14:paraId="760ADE07"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65</w:t>
            </w:r>
          </w:p>
        </w:tc>
        <w:tc>
          <w:tcPr>
            <w:tcW w:w="1506" w:type="dxa"/>
            <w:gridSpan w:val="4"/>
            <w:shd w:val="clear" w:color="000000" w:fill="FFFF99"/>
            <w:vAlign w:val="center"/>
            <w:hideMark/>
          </w:tcPr>
          <w:p w14:paraId="19F49959"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70</w:t>
            </w:r>
          </w:p>
        </w:tc>
      </w:tr>
      <w:tr w:rsidR="00DF7303" w:rsidRPr="00D30847" w14:paraId="0D0E5E88" w14:textId="77777777" w:rsidTr="00FD4DDE">
        <w:trPr>
          <w:gridBefore w:val="3"/>
          <w:gridAfter w:val="1"/>
          <w:wBefore w:w="37" w:type="dxa"/>
          <w:wAfter w:w="52" w:type="dxa"/>
          <w:trHeight w:val="822"/>
          <w:jc w:val="center"/>
        </w:trPr>
        <w:tc>
          <w:tcPr>
            <w:tcW w:w="2303" w:type="dxa"/>
            <w:gridSpan w:val="3"/>
            <w:vMerge/>
            <w:shd w:val="clear" w:color="000000" w:fill="FFFF99"/>
            <w:vAlign w:val="center"/>
          </w:tcPr>
          <w:p w14:paraId="6F2EAEE7"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shd w:val="clear" w:color="000000" w:fill="FFFF99"/>
            <w:vAlign w:val="center"/>
          </w:tcPr>
          <w:p w14:paraId="2E57E19C" w14:textId="77777777"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Percentage of institutions that have delegated </w:t>
            </w:r>
            <w:r w:rsidRPr="00D30847">
              <w:rPr>
                <w:lang w:val="en-GB"/>
              </w:rPr>
              <w:t>a</w:t>
            </w:r>
            <w:r w:rsidRPr="00D30847">
              <w:rPr>
                <w:rFonts w:ascii="Arial" w:eastAsia="Times New Roman" w:hAnsi="Arial" w:cs="Arial"/>
                <w:sz w:val="12"/>
                <w:szCs w:val="12"/>
                <w:lang w:val="en-GB" w:eastAsia="mk-MK"/>
              </w:rPr>
              <w:t>uthorities and responsibilities for financial management and control</w:t>
            </w:r>
          </w:p>
          <w:p w14:paraId="3593FA7E"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194" w:type="dxa"/>
            <w:gridSpan w:val="2"/>
            <w:shd w:val="clear" w:color="000000" w:fill="FFFF99"/>
            <w:vAlign w:val="center"/>
          </w:tcPr>
          <w:p w14:paraId="08FD824D"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MF</w:t>
            </w:r>
          </w:p>
        </w:tc>
        <w:tc>
          <w:tcPr>
            <w:tcW w:w="1418" w:type="dxa"/>
            <w:gridSpan w:val="3"/>
            <w:shd w:val="clear" w:color="000000" w:fill="FFFF99"/>
            <w:vAlign w:val="center"/>
          </w:tcPr>
          <w:p w14:paraId="007C853D"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40</w:t>
            </w:r>
          </w:p>
        </w:tc>
        <w:tc>
          <w:tcPr>
            <w:tcW w:w="1644" w:type="dxa"/>
            <w:gridSpan w:val="3"/>
            <w:shd w:val="clear" w:color="000000" w:fill="FFFF99"/>
            <w:vAlign w:val="center"/>
          </w:tcPr>
          <w:p w14:paraId="441030A7"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50</w:t>
            </w:r>
          </w:p>
        </w:tc>
        <w:tc>
          <w:tcPr>
            <w:tcW w:w="1758" w:type="dxa"/>
            <w:gridSpan w:val="4"/>
            <w:shd w:val="clear" w:color="000000" w:fill="FFFF99"/>
            <w:vAlign w:val="center"/>
          </w:tcPr>
          <w:p w14:paraId="3C27590D"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60</w:t>
            </w:r>
          </w:p>
        </w:tc>
        <w:tc>
          <w:tcPr>
            <w:tcW w:w="1842" w:type="dxa"/>
            <w:gridSpan w:val="4"/>
            <w:shd w:val="clear" w:color="000000" w:fill="FFFF99"/>
            <w:vAlign w:val="center"/>
          </w:tcPr>
          <w:p w14:paraId="4C90199E"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70</w:t>
            </w:r>
          </w:p>
        </w:tc>
        <w:tc>
          <w:tcPr>
            <w:tcW w:w="1506" w:type="dxa"/>
            <w:gridSpan w:val="4"/>
            <w:shd w:val="clear" w:color="000000" w:fill="FFFF99"/>
            <w:vAlign w:val="center"/>
          </w:tcPr>
          <w:p w14:paraId="4F33B0B1"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80</w:t>
            </w:r>
          </w:p>
        </w:tc>
      </w:tr>
      <w:tr w:rsidR="00DF7303" w:rsidRPr="00D30847" w14:paraId="017741F8" w14:textId="77777777" w:rsidTr="00FD4DDE">
        <w:trPr>
          <w:gridBefore w:val="3"/>
          <w:gridAfter w:val="1"/>
          <w:wBefore w:w="37" w:type="dxa"/>
          <w:wAfter w:w="52" w:type="dxa"/>
          <w:trHeight w:val="822"/>
          <w:jc w:val="center"/>
        </w:trPr>
        <w:tc>
          <w:tcPr>
            <w:tcW w:w="2303" w:type="dxa"/>
            <w:gridSpan w:val="3"/>
            <w:vMerge/>
            <w:shd w:val="clear" w:color="000000" w:fill="FFFF99"/>
            <w:vAlign w:val="center"/>
          </w:tcPr>
          <w:p w14:paraId="7B4D2DEB"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shd w:val="clear" w:color="000000" w:fill="FFFF99"/>
            <w:vAlign w:val="center"/>
          </w:tcPr>
          <w:p w14:paraId="5AE77825" w14:textId="1E704860"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implemented recommendations given during quality checks</w:t>
            </w:r>
          </w:p>
        </w:tc>
        <w:tc>
          <w:tcPr>
            <w:tcW w:w="1194" w:type="dxa"/>
            <w:gridSpan w:val="2"/>
            <w:shd w:val="clear" w:color="000000" w:fill="FFFF99"/>
            <w:vAlign w:val="center"/>
          </w:tcPr>
          <w:p w14:paraId="7CF9134E"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MF</w:t>
            </w:r>
          </w:p>
        </w:tc>
        <w:tc>
          <w:tcPr>
            <w:tcW w:w="1418" w:type="dxa"/>
            <w:gridSpan w:val="3"/>
            <w:shd w:val="clear" w:color="000000" w:fill="FFFF99"/>
            <w:vAlign w:val="center"/>
          </w:tcPr>
          <w:p w14:paraId="7A669ECE"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0</w:t>
            </w:r>
          </w:p>
        </w:tc>
        <w:tc>
          <w:tcPr>
            <w:tcW w:w="1644" w:type="dxa"/>
            <w:gridSpan w:val="3"/>
            <w:shd w:val="clear" w:color="000000" w:fill="FFFF99"/>
            <w:vAlign w:val="center"/>
          </w:tcPr>
          <w:p w14:paraId="4DE72E42"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50</w:t>
            </w:r>
          </w:p>
        </w:tc>
        <w:tc>
          <w:tcPr>
            <w:tcW w:w="1758" w:type="dxa"/>
            <w:gridSpan w:val="4"/>
            <w:shd w:val="clear" w:color="000000" w:fill="FFFF99"/>
            <w:vAlign w:val="center"/>
          </w:tcPr>
          <w:p w14:paraId="38E689B2"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60</w:t>
            </w:r>
          </w:p>
        </w:tc>
        <w:tc>
          <w:tcPr>
            <w:tcW w:w="1842" w:type="dxa"/>
            <w:gridSpan w:val="4"/>
            <w:shd w:val="clear" w:color="000000" w:fill="FFFF99"/>
            <w:vAlign w:val="center"/>
          </w:tcPr>
          <w:p w14:paraId="7F3D44D5"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70</w:t>
            </w:r>
          </w:p>
        </w:tc>
        <w:tc>
          <w:tcPr>
            <w:tcW w:w="1506" w:type="dxa"/>
            <w:gridSpan w:val="4"/>
            <w:shd w:val="clear" w:color="000000" w:fill="FFFF99"/>
            <w:vAlign w:val="center"/>
          </w:tcPr>
          <w:p w14:paraId="6C86910B"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80</w:t>
            </w:r>
          </w:p>
        </w:tc>
      </w:tr>
      <w:tr w:rsidR="00DF7303" w:rsidRPr="00D30847" w14:paraId="13BE43F0" w14:textId="77777777" w:rsidTr="00FD4DDE">
        <w:trPr>
          <w:gridBefore w:val="3"/>
          <w:gridAfter w:val="1"/>
          <w:wBefore w:w="37" w:type="dxa"/>
          <w:wAfter w:w="52" w:type="dxa"/>
          <w:trHeight w:val="315"/>
          <w:jc w:val="center"/>
        </w:trPr>
        <w:tc>
          <w:tcPr>
            <w:tcW w:w="13501" w:type="dxa"/>
            <w:gridSpan w:val="28"/>
            <w:shd w:val="clear" w:color="000000" w:fill="9BD2ED"/>
            <w:vAlign w:val="center"/>
            <w:hideMark/>
          </w:tcPr>
          <w:p w14:paraId="572A7B05" w14:textId="0B9418C6" w:rsidR="00DF7303" w:rsidRPr="00D30847" w:rsidRDefault="00DF7303" w:rsidP="00DF7303">
            <w:pPr>
              <w:spacing w:after="0" w:line="240" w:lineRule="auto"/>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Measure 1. Creating the conditions for improvement of a system of financial management based on risk management</w:t>
            </w:r>
          </w:p>
        </w:tc>
      </w:tr>
      <w:tr w:rsidR="00DF7303" w:rsidRPr="00D30847" w14:paraId="0ED193D4" w14:textId="77777777" w:rsidTr="00FD4DDE">
        <w:trPr>
          <w:gridBefore w:val="3"/>
          <w:gridAfter w:val="1"/>
          <w:wBefore w:w="37" w:type="dxa"/>
          <w:wAfter w:w="52" w:type="dxa"/>
          <w:trHeight w:val="495"/>
          <w:jc w:val="center"/>
        </w:trPr>
        <w:tc>
          <w:tcPr>
            <w:tcW w:w="2303" w:type="dxa"/>
            <w:gridSpan w:val="3"/>
            <w:vMerge w:val="restart"/>
            <w:tcBorders>
              <w:top w:val="nil"/>
              <w:left w:val="nil"/>
              <w:bottom w:val="nil"/>
              <w:right w:val="single" w:sz="8" w:space="0" w:color="000000"/>
            </w:tcBorders>
            <w:shd w:val="clear" w:color="auto" w:fill="auto"/>
            <w:noWrap/>
            <w:vAlign w:val="bottom"/>
            <w:hideMark/>
          </w:tcPr>
          <w:p w14:paraId="05411A52"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2D9B5DE2" w14:textId="18648D75"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indicators</w:t>
            </w:r>
          </w:p>
        </w:tc>
        <w:tc>
          <w:tcPr>
            <w:tcW w:w="1194" w:type="dxa"/>
            <w:gridSpan w:val="2"/>
            <w:shd w:val="clear" w:color="000000" w:fill="9BD2ED"/>
            <w:vAlign w:val="center"/>
            <w:hideMark/>
          </w:tcPr>
          <w:p w14:paraId="3C6D7361" w14:textId="64938696"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 source</w:t>
            </w:r>
          </w:p>
        </w:tc>
        <w:tc>
          <w:tcPr>
            <w:tcW w:w="1418" w:type="dxa"/>
            <w:gridSpan w:val="3"/>
            <w:shd w:val="clear" w:color="000000" w:fill="9BD2ED"/>
            <w:vAlign w:val="center"/>
            <w:hideMark/>
          </w:tcPr>
          <w:p w14:paraId="4DF026A1" w14:textId="77F3C325"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FY23</w:t>
            </w:r>
          </w:p>
        </w:tc>
        <w:tc>
          <w:tcPr>
            <w:tcW w:w="1644" w:type="dxa"/>
            <w:gridSpan w:val="3"/>
            <w:shd w:val="clear" w:color="000000" w:fill="9BD2ED"/>
            <w:vAlign w:val="center"/>
            <w:hideMark/>
          </w:tcPr>
          <w:p w14:paraId="1106D8E4" w14:textId="5D924DE3"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FG25</w:t>
            </w:r>
          </w:p>
        </w:tc>
        <w:tc>
          <w:tcPr>
            <w:tcW w:w="1758" w:type="dxa"/>
            <w:gridSpan w:val="4"/>
            <w:shd w:val="clear" w:color="000000" w:fill="9BD2ED"/>
            <w:vAlign w:val="center"/>
            <w:hideMark/>
          </w:tcPr>
          <w:p w14:paraId="4EBB539B" w14:textId="50C2E996"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FG26</w:t>
            </w:r>
          </w:p>
        </w:tc>
        <w:tc>
          <w:tcPr>
            <w:tcW w:w="1842" w:type="dxa"/>
            <w:gridSpan w:val="4"/>
            <w:shd w:val="clear" w:color="000000" w:fill="9BD2ED"/>
            <w:vAlign w:val="center"/>
            <w:hideMark/>
          </w:tcPr>
          <w:p w14:paraId="038344AB" w14:textId="6087FD73"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FG27</w:t>
            </w:r>
          </w:p>
        </w:tc>
        <w:tc>
          <w:tcPr>
            <w:tcW w:w="1506" w:type="dxa"/>
            <w:gridSpan w:val="4"/>
            <w:shd w:val="clear" w:color="000000" w:fill="9BD2ED"/>
            <w:vAlign w:val="center"/>
            <w:hideMark/>
          </w:tcPr>
          <w:p w14:paraId="5DEE020D" w14:textId="5C131C70"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FG28</w:t>
            </w:r>
          </w:p>
        </w:tc>
      </w:tr>
      <w:tr w:rsidR="00DF7303" w:rsidRPr="00D30847" w14:paraId="3DA86F52" w14:textId="77777777" w:rsidTr="00FD4DDE">
        <w:trPr>
          <w:gridBefore w:val="3"/>
          <w:gridAfter w:val="1"/>
          <w:wBefore w:w="37" w:type="dxa"/>
          <w:wAfter w:w="52" w:type="dxa"/>
          <w:trHeight w:val="710"/>
          <w:jc w:val="center"/>
        </w:trPr>
        <w:tc>
          <w:tcPr>
            <w:tcW w:w="2303" w:type="dxa"/>
            <w:gridSpan w:val="3"/>
            <w:vMerge/>
            <w:tcBorders>
              <w:top w:val="nil"/>
              <w:left w:val="nil"/>
              <w:bottom w:val="nil"/>
              <w:right w:val="single" w:sz="8" w:space="0" w:color="000000"/>
            </w:tcBorders>
            <w:vAlign w:val="center"/>
            <w:hideMark/>
          </w:tcPr>
          <w:p w14:paraId="1920DD19"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36613C27" w14:textId="77777777" w:rsidR="00DF7303" w:rsidRPr="00D30847" w:rsidRDefault="00DF7303" w:rsidP="00DF7303">
            <w:pPr>
              <w:pStyle w:val="ListParagraph"/>
              <w:tabs>
                <w:tab w:val="left" w:pos="46"/>
              </w:tabs>
              <w:spacing w:after="0" w:line="240" w:lineRule="auto"/>
              <w:ind w:left="46"/>
              <w:rPr>
                <w:rFonts w:cs="Calibri"/>
                <w:sz w:val="20"/>
                <w:szCs w:val="20"/>
              </w:rPr>
            </w:pPr>
            <w:r w:rsidRPr="00D30847">
              <w:rPr>
                <w:rFonts w:ascii="Arial" w:eastAsia="Times New Roman" w:hAnsi="Arial" w:cs="Arial"/>
                <w:sz w:val="12"/>
                <w:szCs w:val="12"/>
                <w:lang w:eastAsia="mk-MK"/>
              </w:rPr>
              <w:t>Prepared Simplified guideline for risk management process</w:t>
            </w:r>
            <w:r w:rsidRPr="00D30847" w:rsidDel="00E37537">
              <w:rPr>
                <w:rFonts w:cs="Calibri"/>
                <w:sz w:val="20"/>
                <w:szCs w:val="20"/>
              </w:rPr>
              <w:t xml:space="preserve"> </w:t>
            </w:r>
          </w:p>
          <w:p w14:paraId="41D8D04D"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194" w:type="dxa"/>
            <w:gridSpan w:val="2"/>
            <w:shd w:val="clear" w:color="000000" w:fill="FFFF99"/>
            <w:vAlign w:val="center"/>
            <w:hideMark/>
          </w:tcPr>
          <w:p w14:paraId="35BC0293"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MF</w:t>
            </w:r>
          </w:p>
        </w:tc>
        <w:tc>
          <w:tcPr>
            <w:tcW w:w="1418" w:type="dxa"/>
            <w:gridSpan w:val="3"/>
            <w:shd w:val="clear" w:color="000000" w:fill="FFFF99"/>
            <w:vAlign w:val="center"/>
            <w:hideMark/>
          </w:tcPr>
          <w:p w14:paraId="08BB8AC3"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644" w:type="dxa"/>
            <w:gridSpan w:val="3"/>
            <w:shd w:val="clear" w:color="000000" w:fill="FFFF99"/>
            <w:vAlign w:val="center"/>
            <w:hideMark/>
          </w:tcPr>
          <w:p w14:paraId="5C8A3506" w14:textId="77777777" w:rsidR="00DF7303" w:rsidRPr="00D30847" w:rsidRDefault="00DF7303" w:rsidP="00DF7303">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Prepared and promoted of the new more practical and simplified guideline for risk management process</w:t>
            </w:r>
          </w:p>
          <w:p w14:paraId="777D369B"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tc>
        <w:tc>
          <w:tcPr>
            <w:tcW w:w="1758" w:type="dxa"/>
            <w:gridSpan w:val="4"/>
            <w:shd w:val="clear" w:color="000000" w:fill="FFFF99"/>
            <w:vAlign w:val="center"/>
            <w:hideMark/>
          </w:tcPr>
          <w:p w14:paraId="19A4C735"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Trainings 2 </w:t>
            </w:r>
          </w:p>
        </w:tc>
        <w:tc>
          <w:tcPr>
            <w:tcW w:w="1842" w:type="dxa"/>
            <w:gridSpan w:val="4"/>
            <w:shd w:val="clear" w:color="000000" w:fill="FFFF99"/>
            <w:vAlign w:val="center"/>
            <w:hideMark/>
          </w:tcPr>
          <w:p w14:paraId="617AE922" w14:textId="0C3E2ED5"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Trainings 2</w:t>
            </w:r>
          </w:p>
        </w:tc>
        <w:tc>
          <w:tcPr>
            <w:tcW w:w="1506" w:type="dxa"/>
            <w:gridSpan w:val="4"/>
            <w:shd w:val="clear" w:color="000000" w:fill="FFFF99"/>
            <w:vAlign w:val="center"/>
            <w:hideMark/>
          </w:tcPr>
          <w:p w14:paraId="434EB5FC"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Trainings 2</w:t>
            </w:r>
          </w:p>
        </w:tc>
      </w:tr>
      <w:tr w:rsidR="00DF7303" w:rsidRPr="00D30847" w14:paraId="1F8CF2BD" w14:textId="77777777" w:rsidTr="00FD4DDE">
        <w:trPr>
          <w:gridBefore w:val="3"/>
          <w:gridAfter w:val="1"/>
          <w:wBefore w:w="37" w:type="dxa"/>
          <w:wAfter w:w="52" w:type="dxa"/>
          <w:trHeight w:val="975"/>
          <w:jc w:val="center"/>
        </w:trPr>
        <w:tc>
          <w:tcPr>
            <w:tcW w:w="2303" w:type="dxa"/>
            <w:gridSpan w:val="3"/>
            <w:vMerge/>
            <w:tcBorders>
              <w:top w:val="nil"/>
              <w:left w:val="nil"/>
              <w:bottom w:val="nil"/>
              <w:right w:val="single" w:sz="8" w:space="0" w:color="000000"/>
            </w:tcBorders>
            <w:vAlign w:val="center"/>
            <w:hideMark/>
          </w:tcPr>
          <w:p w14:paraId="01C3706A"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41BC3AE5" w14:textId="13B8C90F"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Prepared practical guideline for managerial accountability</w:t>
            </w:r>
          </w:p>
        </w:tc>
        <w:tc>
          <w:tcPr>
            <w:tcW w:w="1194" w:type="dxa"/>
            <w:gridSpan w:val="2"/>
            <w:shd w:val="clear" w:color="000000" w:fill="FFFF99"/>
            <w:vAlign w:val="center"/>
            <w:hideMark/>
          </w:tcPr>
          <w:p w14:paraId="6D2C395C"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MF</w:t>
            </w:r>
          </w:p>
        </w:tc>
        <w:tc>
          <w:tcPr>
            <w:tcW w:w="1418" w:type="dxa"/>
            <w:gridSpan w:val="3"/>
            <w:shd w:val="clear" w:color="000000" w:fill="FFFF99"/>
            <w:vAlign w:val="center"/>
            <w:hideMark/>
          </w:tcPr>
          <w:p w14:paraId="54A16AEB"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644" w:type="dxa"/>
            <w:gridSpan w:val="3"/>
            <w:shd w:val="clear" w:color="000000" w:fill="FFFF99"/>
            <w:vAlign w:val="center"/>
            <w:hideMark/>
          </w:tcPr>
          <w:p w14:paraId="4F8F93CF" w14:textId="0DDCB37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Prepared and promoted of the new practical guideline for managerial accountability</w:t>
            </w:r>
          </w:p>
        </w:tc>
        <w:tc>
          <w:tcPr>
            <w:tcW w:w="1758" w:type="dxa"/>
            <w:gridSpan w:val="4"/>
            <w:shd w:val="clear" w:color="000000" w:fill="FFFF99"/>
            <w:vAlign w:val="center"/>
            <w:hideMark/>
          </w:tcPr>
          <w:p w14:paraId="52264F41"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Trainings 2 </w:t>
            </w:r>
          </w:p>
        </w:tc>
        <w:tc>
          <w:tcPr>
            <w:tcW w:w="1842" w:type="dxa"/>
            <w:gridSpan w:val="4"/>
            <w:shd w:val="clear" w:color="000000" w:fill="FFFF99"/>
            <w:vAlign w:val="center"/>
            <w:hideMark/>
          </w:tcPr>
          <w:p w14:paraId="22BB4F66"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Trainings 2 </w:t>
            </w:r>
          </w:p>
        </w:tc>
        <w:tc>
          <w:tcPr>
            <w:tcW w:w="1506" w:type="dxa"/>
            <w:gridSpan w:val="4"/>
            <w:shd w:val="clear" w:color="000000" w:fill="FFFF99"/>
            <w:vAlign w:val="center"/>
            <w:hideMark/>
          </w:tcPr>
          <w:p w14:paraId="06E1CD48"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Trainings 2 </w:t>
            </w:r>
          </w:p>
        </w:tc>
      </w:tr>
      <w:tr w:rsidR="00DF7303" w:rsidRPr="00D30847" w14:paraId="67B42BEE" w14:textId="77777777" w:rsidTr="00FD4DDE">
        <w:trPr>
          <w:gridBefore w:val="3"/>
          <w:gridAfter w:val="1"/>
          <w:wBefore w:w="37" w:type="dxa"/>
          <w:wAfter w:w="52" w:type="dxa"/>
          <w:trHeight w:val="550"/>
          <w:jc w:val="center"/>
        </w:trPr>
        <w:tc>
          <w:tcPr>
            <w:tcW w:w="2303" w:type="dxa"/>
            <w:gridSpan w:val="3"/>
            <w:vMerge/>
            <w:tcBorders>
              <w:top w:val="nil"/>
              <w:left w:val="nil"/>
              <w:bottom w:val="nil"/>
              <w:right w:val="single" w:sz="8" w:space="0" w:color="000000"/>
            </w:tcBorders>
            <w:vAlign w:val="center"/>
            <w:hideMark/>
          </w:tcPr>
          <w:p w14:paraId="7D48FD3F"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742849C0" w14:textId="73533B3A"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Strengthen the capacities of CHU</w:t>
            </w:r>
          </w:p>
        </w:tc>
        <w:tc>
          <w:tcPr>
            <w:tcW w:w="1194" w:type="dxa"/>
            <w:gridSpan w:val="2"/>
            <w:shd w:val="clear" w:color="000000" w:fill="FFFF99"/>
            <w:vAlign w:val="center"/>
            <w:hideMark/>
          </w:tcPr>
          <w:p w14:paraId="48A2524C"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MF</w:t>
            </w:r>
          </w:p>
        </w:tc>
        <w:tc>
          <w:tcPr>
            <w:tcW w:w="1418" w:type="dxa"/>
            <w:gridSpan w:val="3"/>
            <w:shd w:val="clear" w:color="000000" w:fill="FFFF99"/>
            <w:vAlign w:val="center"/>
            <w:hideMark/>
          </w:tcPr>
          <w:p w14:paraId="163BF7B7" w14:textId="6436D199" w:rsidR="00DF7303" w:rsidRPr="00D30847" w:rsidRDefault="00DF7303" w:rsidP="00DF7303">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Employed a total of 7 people</w:t>
            </w:r>
            <w:r w:rsidRPr="00D30847">
              <w:rPr>
                <w:rFonts w:ascii="Arial" w:eastAsia="Times New Roman" w:hAnsi="Arial" w:cs="Arial"/>
                <w:sz w:val="12"/>
                <w:szCs w:val="12"/>
                <w:lang w:val="en-GB" w:eastAsia="mk-MK"/>
              </w:rPr>
              <w:br/>
              <w:t>Trainings 6</w:t>
            </w:r>
          </w:p>
        </w:tc>
        <w:tc>
          <w:tcPr>
            <w:tcW w:w="1644" w:type="dxa"/>
            <w:gridSpan w:val="3"/>
            <w:shd w:val="clear" w:color="000000" w:fill="FFFF99"/>
            <w:vAlign w:val="center"/>
            <w:hideMark/>
          </w:tcPr>
          <w:p w14:paraId="159AF39C" w14:textId="39478FEE" w:rsidR="00DF7303" w:rsidRPr="00D30847" w:rsidRDefault="00DF7303" w:rsidP="00DF7303">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Employed a total of 10 people</w:t>
            </w:r>
            <w:r w:rsidRPr="00D30847">
              <w:rPr>
                <w:rFonts w:ascii="Arial" w:eastAsia="Times New Roman" w:hAnsi="Arial" w:cs="Arial"/>
                <w:sz w:val="12"/>
                <w:szCs w:val="12"/>
                <w:lang w:val="en-GB" w:eastAsia="mk-MK"/>
              </w:rPr>
              <w:br/>
              <w:t>Trainings 4</w:t>
            </w:r>
          </w:p>
        </w:tc>
        <w:tc>
          <w:tcPr>
            <w:tcW w:w="1758" w:type="dxa"/>
            <w:gridSpan w:val="4"/>
            <w:shd w:val="clear" w:color="000000" w:fill="FFFF99"/>
            <w:vAlign w:val="center"/>
            <w:hideMark/>
          </w:tcPr>
          <w:p w14:paraId="74807020" w14:textId="2613BD6A" w:rsidR="00DF7303" w:rsidRPr="00D30847" w:rsidRDefault="00DF7303" w:rsidP="00DF7303">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Employed a total of 11 people</w:t>
            </w:r>
            <w:r w:rsidRPr="00D30847">
              <w:rPr>
                <w:rFonts w:ascii="Arial" w:eastAsia="Times New Roman" w:hAnsi="Arial" w:cs="Arial"/>
                <w:sz w:val="12"/>
                <w:szCs w:val="12"/>
                <w:lang w:val="en-GB" w:eastAsia="mk-MK"/>
              </w:rPr>
              <w:br/>
              <w:t>Trainings4</w:t>
            </w:r>
          </w:p>
        </w:tc>
        <w:tc>
          <w:tcPr>
            <w:tcW w:w="1842" w:type="dxa"/>
            <w:gridSpan w:val="4"/>
            <w:shd w:val="clear" w:color="000000" w:fill="FFFF99"/>
            <w:vAlign w:val="center"/>
            <w:hideMark/>
          </w:tcPr>
          <w:p w14:paraId="7E5A6E43" w14:textId="5E565563" w:rsidR="00DF7303" w:rsidRPr="00D30847" w:rsidRDefault="00DF7303" w:rsidP="00DF7303">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Employed a total of 12 people</w:t>
            </w:r>
            <w:r w:rsidRPr="00D30847">
              <w:rPr>
                <w:rFonts w:ascii="Arial" w:eastAsia="Times New Roman" w:hAnsi="Arial" w:cs="Arial"/>
                <w:sz w:val="12"/>
                <w:szCs w:val="12"/>
                <w:lang w:val="en-GB" w:eastAsia="mk-MK"/>
              </w:rPr>
              <w:br/>
              <w:t>Trainings 4</w:t>
            </w:r>
          </w:p>
        </w:tc>
        <w:tc>
          <w:tcPr>
            <w:tcW w:w="1506" w:type="dxa"/>
            <w:gridSpan w:val="4"/>
            <w:shd w:val="clear" w:color="000000" w:fill="FFFF99"/>
            <w:vAlign w:val="center"/>
            <w:hideMark/>
          </w:tcPr>
          <w:p w14:paraId="6E44FD3E" w14:textId="3116948D" w:rsidR="00DF7303" w:rsidRPr="00D30847" w:rsidRDefault="00DF7303" w:rsidP="00DF7303">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Employed a total of 13 people</w:t>
            </w:r>
            <w:r w:rsidRPr="00D30847">
              <w:rPr>
                <w:rFonts w:ascii="Arial" w:eastAsia="Times New Roman" w:hAnsi="Arial" w:cs="Arial"/>
                <w:sz w:val="12"/>
                <w:szCs w:val="12"/>
                <w:lang w:val="en-GB" w:eastAsia="mk-MK"/>
              </w:rPr>
              <w:br/>
              <w:t>Trainings 4</w:t>
            </w:r>
          </w:p>
        </w:tc>
      </w:tr>
      <w:tr w:rsidR="00DF7303" w:rsidRPr="00D30847" w14:paraId="4561DADA" w14:textId="77777777" w:rsidTr="00FD4DDE">
        <w:trPr>
          <w:gridBefore w:val="3"/>
          <w:gridAfter w:val="1"/>
          <w:wBefore w:w="37" w:type="dxa"/>
          <w:wAfter w:w="52" w:type="dxa"/>
          <w:trHeight w:val="304"/>
          <w:jc w:val="center"/>
        </w:trPr>
        <w:tc>
          <w:tcPr>
            <w:tcW w:w="2303" w:type="dxa"/>
            <w:gridSpan w:val="3"/>
            <w:vMerge/>
            <w:tcBorders>
              <w:top w:val="nil"/>
              <w:left w:val="nil"/>
              <w:bottom w:val="nil"/>
              <w:right w:val="single" w:sz="8" w:space="0" w:color="000000"/>
            </w:tcBorders>
            <w:vAlign w:val="center"/>
            <w:hideMark/>
          </w:tcPr>
          <w:p w14:paraId="060645C5"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39AF5728"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Activity</w:t>
            </w:r>
          </w:p>
        </w:tc>
        <w:tc>
          <w:tcPr>
            <w:tcW w:w="1194" w:type="dxa"/>
            <w:gridSpan w:val="2"/>
            <w:shd w:val="clear" w:color="000000" w:fill="9BD2ED"/>
            <w:vAlign w:val="center"/>
            <w:hideMark/>
          </w:tcPr>
          <w:p w14:paraId="16AF630A" w14:textId="42AAD5D4"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Period of realization</w:t>
            </w:r>
          </w:p>
        </w:tc>
        <w:tc>
          <w:tcPr>
            <w:tcW w:w="1418" w:type="dxa"/>
            <w:gridSpan w:val="3"/>
            <w:shd w:val="clear" w:color="000000" w:fill="9BD2ED"/>
            <w:vAlign w:val="center"/>
            <w:hideMark/>
          </w:tcPr>
          <w:p w14:paraId="61773160" w14:textId="2ED9FE35"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 institution</w:t>
            </w:r>
          </w:p>
        </w:tc>
        <w:tc>
          <w:tcPr>
            <w:tcW w:w="1644" w:type="dxa"/>
            <w:gridSpan w:val="3"/>
            <w:shd w:val="clear" w:color="000000" w:fill="9BD2ED"/>
            <w:vAlign w:val="center"/>
            <w:hideMark/>
          </w:tcPr>
          <w:p w14:paraId="34AE194D" w14:textId="7BFA0913"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 partners</w:t>
            </w:r>
          </w:p>
        </w:tc>
        <w:tc>
          <w:tcPr>
            <w:tcW w:w="1758" w:type="dxa"/>
            <w:gridSpan w:val="4"/>
            <w:shd w:val="clear" w:color="000000" w:fill="9BD2ED"/>
            <w:vAlign w:val="center"/>
            <w:hideMark/>
          </w:tcPr>
          <w:p w14:paraId="160D6841"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1B6551D1" w14:textId="6D446E7D" w:rsidR="00DF7303" w:rsidRPr="00D30847" w:rsidRDefault="00DF7303" w:rsidP="00DF7303">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 of funding</w:t>
            </w:r>
          </w:p>
        </w:tc>
        <w:tc>
          <w:tcPr>
            <w:tcW w:w="1506" w:type="dxa"/>
            <w:gridSpan w:val="4"/>
            <w:shd w:val="clear" w:color="000000" w:fill="9BD2ED"/>
            <w:vAlign w:val="center"/>
            <w:hideMark/>
          </w:tcPr>
          <w:p w14:paraId="19008E5A"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DF7303" w:rsidRPr="00D30847" w14:paraId="02554C95" w14:textId="77777777" w:rsidTr="00FD4DDE">
        <w:trPr>
          <w:gridBefore w:val="3"/>
          <w:gridAfter w:val="1"/>
          <w:wBefore w:w="37" w:type="dxa"/>
          <w:wAfter w:w="52" w:type="dxa"/>
          <w:trHeight w:val="722"/>
          <w:jc w:val="center"/>
        </w:trPr>
        <w:tc>
          <w:tcPr>
            <w:tcW w:w="2303" w:type="dxa"/>
            <w:gridSpan w:val="3"/>
            <w:vMerge/>
            <w:tcBorders>
              <w:top w:val="nil"/>
              <w:left w:val="nil"/>
              <w:bottom w:val="nil"/>
              <w:right w:val="single" w:sz="8" w:space="0" w:color="000000"/>
            </w:tcBorders>
            <w:vAlign w:val="center"/>
            <w:hideMark/>
          </w:tcPr>
          <w:p w14:paraId="5615B3F6"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19A5CB3F" w14:textId="681E6E15"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Strengthen the capacity of the CHU to monitor and report on the functioning of the overall internal control system</w:t>
            </w:r>
          </w:p>
        </w:tc>
        <w:tc>
          <w:tcPr>
            <w:tcW w:w="1194" w:type="dxa"/>
            <w:gridSpan w:val="2"/>
            <w:shd w:val="clear" w:color="000000" w:fill="FFFF99"/>
            <w:vAlign w:val="center"/>
            <w:hideMark/>
          </w:tcPr>
          <w:p w14:paraId="0872F26D" w14:textId="22E7032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18" w:type="dxa"/>
            <w:gridSpan w:val="3"/>
            <w:shd w:val="clear" w:color="000000" w:fill="FFFF99"/>
            <w:vAlign w:val="center"/>
            <w:hideMark/>
          </w:tcPr>
          <w:p w14:paraId="3CCAFE77" w14:textId="7E42091A"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PIFC</w:t>
            </w:r>
          </w:p>
        </w:tc>
        <w:tc>
          <w:tcPr>
            <w:tcW w:w="1644" w:type="dxa"/>
            <w:gridSpan w:val="3"/>
            <w:shd w:val="clear" w:color="000000" w:fill="FFFF99"/>
            <w:vAlign w:val="center"/>
            <w:hideMark/>
          </w:tcPr>
          <w:p w14:paraId="5290DDEA" w14:textId="26EBFCA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shd w:val="clear" w:color="000000" w:fill="FFFF99"/>
            <w:vAlign w:val="center"/>
            <w:hideMark/>
          </w:tcPr>
          <w:p w14:paraId="1A9E4D2D" w14:textId="1513C40E"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61,000</w:t>
            </w:r>
          </w:p>
        </w:tc>
        <w:tc>
          <w:tcPr>
            <w:tcW w:w="1842" w:type="dxa"/>
            <w:gridSpan w:val="4"/>
            <w:shd w:val="clear" w:color="000000" w:fill="FFFF99"/>
            <w:vAlign w:val="center"/>
            <w:hideMark/>
          </w:tcPr>
          <w:p w14:paraId="460371CB"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Other partners/ National Budget</w:t>
            </w:r>
          </w:p>
          <w:p w14:paraId="0D31464D"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tc>
        <w:tc>
          <w:tcPr>
            <w:tcW w:w="1506" w:type="dxa"/>
            <w:gridSpan w:val="4"/>
            <w:shd w:val="clear" w:color="000000" w:fill="FFFF99"/>
            <w:vAlign w:val="center"/>
            <w:hideMark/>
          </w:tcPr>
          <w:p w14:paraId="3662AB60" w14:textId="7F0E37E5" w:rsidR="00DF7303" w:rsidRPr="00D30847" w:rsidRDefault="00DF7303" w:rsidP="00DF7303">
            <w:pPr>
              <w:spacing w:after="0" w:line="240" w:lineRule="auto"/>
              <w:jc w:val="center"/>
              <w:rPr>
                <w:rFonts w:ascii="Arial" w:eastAsia="Times New Roman" w:hAnsi="Arial" w:cs="Arial"/>
                <w:sz w:val="12"/>
                <w:szCs w:val="12"/>
                <w:lang w:val="en-GB" w:eastAsia="mk-MK"/>
              </w:rPr>
            </w:pPr>
          </w:p>
        </w:tc>
      </w:tr>
      <w:tr w:rsidR="00DF7303" w:rsidRPr="00D30847" w14:paraId="32A4C20C" w14:textId="77777777" w:rsidTr="00FD4DDE">
        <w:trPr>
          <w:gridBefore w:val="3"/>
          <w:gridAfter w:val="1"/>
          <w:wBefore w:w="37" w:type="dxa"/>
          <w:wAfter w:w="52" w:type="dxa"/>
          <w:trHeight w:val="682"/>
          <w:jc w:val="center"/>
        </w:trPr>
        <w:tc>
          <w:tcPr>
            <w:tcW w:w="2303" w:type="dxa"/>
            <w:gridSpan w:val="3"/>
            <w:vMerge/>
            <w:tcBorders>
              <w:top w:val="nil"/>
              <w:left w:val="nil"/>
              <w:bottom w:val="nil"/>
              <w:right w:val="single" w:sz="8" w:space="0" w:color="000000"/>
            </w:tcBorders>
            <w:vAlign w:val="center"/>
            <w:hideMark/>
          </w:tcPr>
          <w:p w14:paraId="1D67A747"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231CCC38" w14:textId="4C4173FE"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Preparation of the methodology for specific Financial Management and Control issues;</w:t>
            </w:r>
          </w:p>
        </w:tc>
        <w:tc>
          <w:tcPr>
            <w:tcW w:w="1194" w:type="dxa"/>
            <w:gridSpan w:val="2"/>
            <w:shd w:val="clear" w:color="000000" w:fill="FFFF99"/>
            <w:vAlign w:val="center"/>
            <w:hideMark/>
          </w:tcPr>
          <w:p w14:paraId="22D357DD" w14:textId="75C4F618"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18" w:type="dxa"/>
            <w:gridSpan w:val="3"/>
            <w:shd w:val="clear" w:color="000000" w:fill="FFFF99"/>
            <w:vAlign w:val="center"/>
            <w:hideMark/>
          </w:tcPr>
          <w:p w14:paraId="20DE72C2" w14:textId="09B5625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 PIFC</w:t>
            </w:r>
          </w:p>
        </w:tc>
        <w:tc>
          <w:tcPr>
            <w:tcW w:w="1644" w:type="dxa"/>
            <w:gridSpan w:val="3"/>
            <w:shd w:val="clear" w:color="000000" w:fill="FFFF99"/>
            <w:vAlign w:val="center"/>
            <w:hideMark/>
          </w:tcPr>
          <w:p w14:paraId="10E53C2B"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shd w:val="clear" w:color="000000" w:fill="FFFF99"/>
            <w:vAlign w:val="center"/>
            <w:hideMark/>
          </w:tcPr>
          <w:p w14:paraId="4542003B"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10.000</w:t>
            </w:r>
          </w:p>
        </w:tc>
        <w:tc>
          <w:tcPr>
            <w:tcW w:w="1842" w:type="dxa"/>
            <w:gridSpan w:val="4"/>
            <w:shd w:val="clear" w:color="000000" w:fill="FFFF99"/>
            <w:vAlign w:val="center"/>
            <w:hideMark/>
          </w:tcPr>
          <w:p w14:paraId="100FC3A2"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National budget</w:t>
            </w:r>
          </w:p>
        </w:tc>
        <w:tc>
          <w:tcPr>
            <w:tcW w:w="1506" w:type="dxa"/>
            <w:gridSpan w:val="4"/>
            <w:shd w:val="clear" w:color="000000" w:fill="FFFF99"/>
            <w:vAlign w:val="center"/>
            <w:hideMark/>
          </w:tcPr>
          <w:p w14:paraId="47D0DC6B" w14:textId="4E4DFD94"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DF7303" w:rsidRPr="00D30847" w14:paraId="078B5734" w14:textId="77777777" w:rsidTr="00FD4DDE">
        <w:trPr>
          <w:gridBefore w:val="3"/>
          <w:gridAfter w:val="1"/>
          <w:wBefore w:w="37" w:type="dxa"/>
          <w:wAfter w:w="52" w:type="dxa"/>
          <w:trHeight w:val="1447"/>
          <w:jc w:val="center"/>
        </w:trPr>
        <w:tc>
          <w:tcPr>
            <w:tcW w:w="2303" w:type="dxa"/>
            <w:gridSpan w:val="3"/>
            <w:vMerge/>
            <w:tcBorders>
              <w:top w:val="nil"/>
              <w:left w:val="nil"/>
              <w:bottom w:val="nil"/>
              <w:right w:val="single" w:sz="8" w:space="0" w:color="000000"/>
            </w:tcBorders>
            <w:vAlign w:val="center"/>
            <w:hideMark/>
          </w:tcPr>
          <w:p w14:paraId="75B523A4"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41255040" w14:textId="7BBCA6CF"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 Establishment of a network of institutions of financial issues units in coordination with the CHU, for exchange of experiences, best practices and raising awareness among public sector entities about responsibilities for the quality of financial management and control</w:t>
            </w:r>
          </w:p>
        </w:tc>
        <w:tc>
          <w:tcPr>
            <w:tcW w:w="1194" w:type="dxa"/>
            <w:gridSpan w:val="2"/>
            <w:shd w:val="clear" w:color="000000" w:fill="FFFF99"/>
            <w:vAlign w:val="center"/>
            <w:hideMark/>
          </w:tcPr>
          <w:p w14:paraId="4F8482E3" w14:textId="516994B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2026-2028</w:t>
            </w:r>
          </w:p>
        </w:tc>
        <w:tc>
          <w:tcPr>
            <w:tcW w:w="1418" w:type="dxa"/>
            <w:gridSpan w:val="3"/>
            <w:shd w:val="clear" w:color="000000" w:fill="FFFF99"/>
            <w:vAlign w:val="center"/>
            <w:hideMark/>
          </w:tcPr>
          <w:p w14:paraId="299E1DED"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w:t>
            </w:r>
          </w:p>
        </w:tc>
        <w:tc>
          <w:tcPr>
            <w:tcW w:w="1644" w:type="dxa"/>
            <w:gridSpan w:val="3"/>
            <w:shd w:val="clear" w:color="000000" w:fill="FFFF99"/>
            <w:vAlign w:val="center"/>
            <w:hideMark/>
          </w:tcPr>
          <w:p w14:paraId="31EED04F" w14:textId="473F2B9E"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shd w:val="clear" w:color="000000" w:fill="FFFF99"/>
            <w:vAlign w:val="center"/>
            <w:hideMark/>
          </w:tcPr>
          <w:p w14:paraId="31BA3DEB" w14:textId="24BB0FBA"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15,000</w:t>
            </w:r>
          </w:p>
        </w:tc>
        <w:tc>
          <w:tcPr>
            <w:tcW w:w="1842" w:type="dxa"/>
            <w:gridSpan w:val="4"/>
            <w:shd w:val="clear" w:color="000000" w:fill="FFFF99"/>
            <w:vAlign w:val="center"/>
            <w:hideMark/>
          </w:tcPr>
          <w:p w14:paraId="50E62455" w14:textId="0F5852F5"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National budget</w:t>
            </w:r>
          </w:p>
        </w:tc>
        <w:tc>
          <w:tcPr>
            <w:tcW w:w="1506" w:type="dxa"/>
            <w:gridSpan w:val="4"/>
            <w:shd w:val="clear" w:color="000000" w:fill="FFFF99"/>
            <w:vAlign w:val="center"/>
            <w:hideMark/>
          </w:tcPr>
          <w:p w14:paraId="280CA10E" w14:textId="44DF8715" w:rsidR="00DF7303" w:rsidRPr="00D30847" w:rsidRDefault="00DF7303" w:rsidP="00DF7303">
            <w:pPr>
              <w:spacing w:after="0" w:line="240" w:lineRule="auto"/>
              <w:jc w:val="center"/>
              <w:rPr>
                <w:rFonts w:ascii="Arial" w:eastAsia="Times New Roman" w:hAnsi="Arial" w:cs="Arial"/>
                <w:sz w:val="12"/>
                <w:szCs w:val="12"/>
                <w:lang w:val="en-GB" w:eastAsia="mk-MK"/>
              </w:rPr>
            </w:pPr>
          </w:p>
        </w:tc>
      </w:tr>
      <w:tr w:rsidR="00DF7303" w:rsidRPr="00D30847" w14:paraId="2FFFE70A" w14:textId="77777777" w:rsidTr="00FD4DDE">
        <w:trPr>
          <w:gridBefore w:val="3"/>
          <w:gridAfter w:val="1"/>
          <w:wBefore w:w="37" w:type="dxa"/>
          <w:wAfter w:w="52" w:type="dxa"/>
          <w:trHeight w:val="295"/>
          <w:jc w:val="center"/>
        </w:trPr>
        <w:tc>
          <w:tcPr>
            <w:tcW w:w="13501" w:type="dxa"/>
            <w:gridSpan w:val="28"/>
            <w:shd w:val="clear" w:color="000000" w:fill="1F3864"/>
            <w:vAlign w:val="center"/>
            <w:hideMark/>
          </w:tcPr>
          <w:p w14:paraId="079D1373" w14:textId="18ED1EB5" w:rsidR="00DF7303" w:rsidRPr="00D30847" w:rsidRDefault="00DF7303" w:rsidP="00DF7303">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PILLAR VI. Public Internal Financial Control</w:t>
            </w:r>
          </w:p>
        </w:tc>
      </w:tr>
      <w:tr w:rsidR="00DF7303" w:rsidRPr="00D30847" w14:paraId="03FD6A6C" w14:textId="77777777" w:rsidTr="00FD4DDE">
        <w:trPr>
          <w:gridBefore w:val="3"/>
          <w:gridAfter w:val="1"/>
          <w:wBefore w:w="37" w:type="dxa"/>
          <w:wAfter w:w="52" w:type="dxa"/>
          <w:trHeight w:val="259"/>
          <w:jc w:val="center"/>
        </w:trPr>
        <w:tc>
          <w:tcPr>
            <w:tcW w:w="13501" w:type="dxa"/>
            <w:gridSpan w:val="28"/>
            <w:shd w:val="clear" w:color="000000" w:fill="1F3864"/>
            <w:vAlign w:val="center"/>
            <w:hideMark/>
          </w:tcPr>
          <w:p w14:paraId="074F3052" w14:textId="64770682" w:rsidR="00DF7303" w:rsidRPr="00D30847" w:rsidRDefault="00DF7303" w:rsidP="00DF7303">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PRIORITY 2. Internal audit</w:t>
            </w:r>
          </w:p>
        </w:tc>
      </w:tr>
      <w:tr w:rsidR="00DF7303" w:rsidRPr="00D30847" w14:paraId="7E4F1EB3" w14:textId="77777777" w:rsidTr="00FD4DDE">
        <w:trPr>
          <w:gridBefore w:val="3"/>
          <w:gridAfter w:val="1"/>
          <w:wBefore w:w="37" w:type="dxa"/>
          <w:wAfter w:w="52" w:type="dxa"/>
          <w:trHeight w:val="261"/>
          <w:jc w:val="center"/>
        </w:trPr>
        <w:tc>
          <w:tcPr>
            <w:tcW w:w="2303" w:type="dxa"/>
            <w:gridSpan w:val="3"/>
            <w:shd w:val="clear" w:color="000000" w:fill="9BD2ED"/>
            <w:vAlign w:val="center"/>
            <w:hideMark/>
          </w:tcPr>
          <w:p w14:paraId="2BE8604A"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Outcome(s)</w:t>
            </w:r>
          </w:p>
        </w:tc>
        <w:tc>
          <w:tcPr>
            <w:tcW w:w="1836" w:type="dxa"/>
            <w:gridSpan w:val="5"/>
            <w:shd w:val="clear" w:color="000000" w:fill="9BD2ED"/>
            <w:vAlign w:val="center"/>
            <w:hideMark/>
          </w:tcPr>
          <w:p w14:paraId="0CC2D36C" w14:textId="71E87BA9"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w:t>
            </w:r>
          </w:p>
        </w:tc>
        <w:tc>
          <w:tcPr>
            <w:tcW w:w="1194" w:type="dxa"/>
            <w:gridSpan w:val="2"/>
            <w:shd w:val="clear" w:color="000000" w:fill="9BD2ED"/>
            <w:vAlign w:val="center"/>
            <w:hideMark/>
          </w:tcPr>
          <w:p w14:paraId="2935963A" w14:textId="7EDCFB2D"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 Source</w:t>
            </w:r>
          </w:p>
        </w:tc>
        <w:tc>
          <w:tcPr>
            <w:tcW w:w="1418" w:type="dxa"/>
            <w:gridSpan w:val="3"/>
            <w:shd w:val="clear" w:color="000000" w:fill="9BD2ED"/>
            <w:vAlign w:val="center"/>
            <w:hideMark/>
          </w:tcPr>
          <w:p w14:paraId="07D0E732" w14:textId="5A7B5E2A"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FY23</w:t>
            </w:r>
          </w:p>
        </w:tc>
        <w:tc>
          <w:tcPr>
            <w:tcW w:w="1644" w:type="dxa"/>
            <w:gridSpan w:val="3"/>
            <w:shd w:val="clear" w:color="000000" w:fill="9BD2ED"/>
            <w:vAlign w:val="center"/>
            <w:hideMark/>
          </w:tcPr>
          <w:p w14:paraId="74421E83" w14:textId="49D84CBF"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FY25</w:t>
            </w:r>
          </w:p>
        </w:tc>
        <w:tc>
          <w:tcPr>
            <w:tcW w:w="1758" w:type="dxa"/>
            <w:gridSpan w:val="4"/>
            <w:shd w:val="clear" w:color="000000" w:fill="9BD2ED"/>
            <w:vAlign w:val="center"/>
            <w:hideMark/>
          </w:tcPr>
          <w:p w14:paraId="27996E05" w14:textId="0A050CEA"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FY26</w:t>
            </w:r>
          </w:p>
        </w:tc>
        <w:tc>
          <w:tcPr>
            <w:tcW w:w="1842" w:type="dxa"/>
            <w:gridSpan w:val="4"/>
            <w:shd w:val="clear" w:color="000000" w:fill="9BD2ED"/>
            <w:vAlign w:val="center"/>
            <w:hideMark/>
          </w:tcPr>
          <w:p w14:paraId="441E74FB" w14:textId="7ECD1218"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FY27</w:t>
            </w:r>
          </w:p>
        </w:tc>
        <w:tc>
          <w:tcPr>
            <w:tcW w:w="1506" w:type="dxa"/>
            <w:gridSpan w:val="4"/>
            <w:shd w:val="clear" w:color="000000" w:fill="9BD2ED"/>
            <w:vAlign w:val="center"/>
            <w:hideMark/>
          </w:tcPr>
          <w:p w14:paraId="5F7A9FBE" w14:textId="1C3C1F8D"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FY28</w:t>
            </w:r>
          </w:p>
        </w:tc>
      </w:tr>
      <w:tr w:rsidR="00DF7303" w:rsidRPr="00D30847" w14:paraId="50FC9A66" w14:textId="77777777" w:rsidTr="00FD4DDE">
        <w:trPr>
          <w:gridBefore w:val="3"/>
          <w:gridAfter w:val="1"/>
          <w:wBefore w:w="37" w:type="dxa"/>
          <w:wAfter w:w="52" w:type="dxa"/>
          <w:trHeight w:val="548"/>
          <w:jc w:val="center"/>
        </w:trPr>
        <w:tc>
          <w:tcPr>
            <w:tcW w:w="2303" w:type="dxa"/>
            <w:gridSpan w:val="3"/>
            <w:vMerge w:val="restart"/>
            <w:shd w:val="clear" w:color="000000" w:fill="FFFF99"/>
            <w:vAlign w:val="center"/>
            <w:hideMark/>
          </w:tcPr>
          <w:p w14:paraId="3C59C1B2" w14:textId="7484FCD6"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Strengthened internal audit units that operate in line with the standards and that contributes to achievement of the goals of the public sector institutions</w:t>
            </w:r>
          </w:p>
        </w:tc>
        <w:tc>
          <w:tcPr>
            <w:tcW w:w="1836" w:type="dxa"/>
            <w:gridSpan w:val="5"/>
            <w:shd w:val="clear" w:color="000000" w:fill="FFFF99"/>
            <w:vAlign w:val="center"/>
            <w:hideMark/>
          </w:tcPr>
          <w:p w14:paraId="5A68AF7E" w14:textId="65400D9D"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internal auditors in the ministries</w:t>
            </w:r>
          </w:p>
        </w:tc>
        <w:tc>
          <w:tcPr>
            <w:tcW w:w="1194" w:type="dxa"/>
            <w:gridSpan w:val="2"/>
            <w:shd w:val="clear" w:color="000000" w:fill="FFFF99"/>
            <w:vAlign w:val="center"/>
            <w:hideMark/>
          </w:tcPr>
          <w:p w14:paraId="7D2148D7"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MF</w:t>
            </w:r>
          </w:p>
        </w:tc>
        <w:tc>
          <w:tcPr>
            <w:tcW w:w="1418" w:type="dxa"/>
            <w:gridSpan w:val="3"/>
            <w:shd w:val="clear" w:color="000000" w:fill="FFFF99"/>
            <w:vAlign w:val="center"/>
            <w:hideMark/>
          </w:tcPr>
          <w:p w14:paraId="00F458AB"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33</w:t>
            </w:r>
          </w:p>
        </w:tc>
        <w:tc>
          <w:tcPr>
            <w:tcW w:w="1644" w:type="dxa"/>
            <w:gridSpan w:val="3"/>
            <w:shd w:val="clear" w:color="000000" w:fill="FFFF99"/>
            <w:vAlign w:val="center"/>
            <w:hideMark/>
          </w:tcPr>
          <w:p w14:paraId="38FA55A3"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50</w:t>
            </w:r>
          </w:p>
        </w:tc>
        <w:tc>
          <w:tcPr>
            <w:tcW w:w="1758" w:type="dxa"/>
            <w:gridSpan w:val="4"/>
            <w:shd w:val="clear" w:color="000000" w:fill="FFFF99"/>
            <w:vAlign w:val="center"/>
            <w:hideMark/>
          </w:tcPr>
          <w:p w14:paraId="76B42CEC"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60</w:t>
            </w:r>
          </w:p>
        </w:tc>
        <w:tc>
          <w:tcPr>
            <w:tcW w:w="1842" w:type="dxa"/>
            <w:gridSpan w:val="4"/>
            <w:shd w:val="clear" w:color="000000" w:fill="FFFF99"/>
            <w:vAlign w:val="center"/>
            <w:hideMark/>
          </w:tcPr>
          <w:p w14:paraId="792C55D0" w14:textId="49932F60"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70</w:t>
            </w:r>
          </w:p>
        </w:tc>
        <w:tc>
          <w:tcPr>
            <w:tcW w:w="1506" w:type="dxa"/>
            <w:gridSpan w:val="4"/>
            <w:shd w:val="clear" w:color="000000" w:fill="FFFF99"/>
            <w:vAlign w:val="center"/>
            <w:hideMark/>
          </w:tcPr>
          <w:p w14:paraId="34E504F9" w14:textId="7F4904DD"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80</w:t>
            </w:r>
          </w:p>
        </w:tc>
      </w:tr>
      <w:tr w:rsidR="00DF7303" w:rsidRPr="00D30847" w14:paraId="61133710" w14:textId="77777777" w:rsidTr="00FD4DDE">
        <w:trPr>
          <w:gridBefore w:val="3"/>
          <w:gridAfter w:val="1"/>
          <w:wBefore w:w="37" w:type="dxa"/>
          <w:wAfter w:w="52" w:type="dxa"/>
          <w:trHeight w:val="548"/>
          <w:jc w:val="center"/>
        </w:trPr>
        <w:tc>
          <w:tcPr>
            <w:tcW w:w="2303" w:type="dxa"/>
            <w:gridSpan w:val="3"/>
            <w:vMerge/>
            <w:shd w:val="clear" w:color="000000" w:fill="FFFF99"/>
            <w:vAlign w:val="center"/>
          </w:tcPr>
          <w:p w14:paraId="05BC2203"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shd w:val="clear" w:color="000000" w:fill="FFFF99"/>
            <w:vAlign w:val="center"/>
          </w:tcPr>
          <w:p w14:paraId="1D71703C" w14:textId="7C92F1A3"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implemented recommendations given during quality checks</w:t>
            </w:r>
          </w:p>
        </w:tc>
        <w:tc>
          <w:tcPr>
            <w:tcW w:w="1194" w:type="dxa"/>
            <w:gridSpan w:val="2"/>
            <w:shd w:val="clear" w:color="000000" w:fill="FFFF99"/>
            <w:vAlign w:val="center"/>
          </w:tcPr>
          <w:p w14:paraId="23EB688B" w14:textId="4D7CB348"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MF</w:t>
            </w:r>
          </w:p>
        </w:tc>
        <w:tc>
          <w:tcPr>
            <w:tcW w:w="1418" w:type="dxa"/>
            <w:gridSpan w:val="3"/>
            <w:shd w:val="clear" w:color="000000" w:fill="FFFF99"/>
            <w:vAlign w:val="center"/>
          </w:tcPr>
          <w:p w14:paraId="19165F8F"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0</w:t>
            </w:r>
          </w:p>
        </w:tc>
        <w:tc>
          <w:tcPr>
            <w:tcW w:w="1644" w:type="dxa"/>
            <w:gridSpan w:val="3"/>
            <w:shd w:val="clear" w:color="000000" w:fill="FFFF99"/>
            <w:vAlign w:val="center"/>
          </w:tcPr>
          <w:p w14:paraId="0A5CBA3C"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50</w:t>
            </w:r>
          </w:p>
        </w:tc>
        <w:tc>
          <w:tcPr>
            <w:tcW w:w="1758" w:type="dxa"/>
            <w:gridSpan w:val="4"/>
            <w:shd w:val="clear" w:color="000000" w:fill="FFFF99"/>
            <w:vAlign w:val="center"/>
          </w:tcPr>
          <w:p w14:paraId="226135A3"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60</w:t>
            </w:r>
          </w:p>
        </w:tc>
        <w:tc>
          <w:tcPr>
            <w:tcW w:w="1842" w:type="dxa"/>
            <w:gridSpan w:val="4"/>
            <w:shd w:val="clear" w:color="000000" w:fill="FFFF99"/>
            <w:vAlign w:val="center"/>
          </w:tcPr>
          <w:p w14:paraId="06537DA5"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70</w:t>
            </w:r>
          </w:p>
        </w:tc>
        <w:tc>
          <w:tcPr>
            <w:tcW w:w="1506" w:type="dxa"/>
            <w:gridSpan w:val="4"/>
            <w:shd w:val="clear" w:color="000000" w:fill="FFFF99"/>
            <w:vAlign w:val="center"/>
          </w:tcPr>
          <w:p w14:paraId="4C07C4BC"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80</w:t>
            </w:r>
          </w:p>
        </w:tc>
      </w:tr>
      <w:tr w:rsidR="00DF7303" w:rsidRPr="00D30847" w14:paraId="2593C047" w14:textId="77777777" w:rsidTr="00FD4DDE">
        <w:trPr>
          <w:gridBefore w:val="3"/>
          <w:gridAfter w:val="1"/>
          <w:wBefore w:w="37" w:type="dxa"/>
          <w:wAfter w:w="52" w:type="dxa"/>
          <w:trHeight w:val="548"/>
          <w:jc w:val="center"/>
        </w:trPr>
        <w:tc>
          <w:tcPr>
            <w:tcW w:w="2303" w:type="dxa"/>
            <w:gridSpan w:val="3"/>
            <w:vMerge/>
            <w:shd w:val="clear" w:color="000000" w:fill="FFFF99"/>
            <w:vAlign w:val="center"/>
          </w:tcPr>
          <w:p w14:paraId="393447B1"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shd w:val="clear" w:color="000000" w:fill="FFFF99"/>
            <w:vAlign w:val="center"/>
          </w:tcPr>
          <w:p w14:paraId="25AF13D7" w14:textId="5DFCB330"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certified internal auditors</w:t>
            </w:r>
          </w:p>
        </w:tc>
        <w:tc>
          <w:tcPr>
            <w:tcW w:w="1194" w:type="dxa"/>
            <w:gridSpan w:val="2"/>
            <w:shd w:val="clear" w:color="000000" w:fill="FFFF99"/>
            <w:vAlign w:val="center"/>
          </w:tcPr>
          <w:p w14:paraId="4898DDF8" w14:textId="43F6B68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MF</w:t>
            </w:r>
          </w:p>
        </w:tc>
        <w:tc>
          <w:tcPr>
            <w:tcW w:w="1418" w:type="dxa"/>
            <w:gridSpan w:val="3"/>
            <w:shd w:val="clear" w:color="000000" w:fill="FFFF99"/>
            <w:vAlign w:val="center"/>
          </w:tcPr>
          <w:p w14:paraId="2B885C25" w14:textId="2F4C8A2C"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24</w:t>
            </w:r>
          </w:p>
        </w:tc>
        <w:tc>
          <w:tcPr>
            <w:tcW w:w="1644" w:type="dxa"/>
            <w:gridSpan w:val="3"/>
            <w:shd w:val="clear" w:color="000000" w:fill="FFFF99"/>
            <w:vAlign w:val="center"/>
          </w:tcPr>
          <w:p w14:paraId="2943C43F"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45</w:t>
            </w:r>
          </w:p>
        </w:tc>
        <w:tc>
          <w:tcPr>
            <w:tcW w:w="1758" w:type="dxa"/>
            <w:gridSpan w:val="4"/>
            <w:shd w:val="clear" w:color="000000" w:fill="FFFF99"/>
            <w:vAlign w:val="center"/>
          </w:tcPr>
          <w:p w14:paraId="27CC5F55"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60</w:t>
            </w:r>
          </w:p>
        </w:tc>
        <w:tc>
          <w:tcPr>
            <w:tcW w:w="1842" w:type="dxa"/>
            <w:gridSpan w:val="4"/>
            <w:shd w:val="clear" w:color="000000" w:fill="FFFF99"/>
            <w:vAlign w:val="center"/>
          </w:tcPr>
          <w:p w14:paraId="66720D6D"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70</w:t>
            </w:r>
          </w:p>
        </w:tc>
        <w:tc>
          <w:tcPr>
            <w:tcW w:w="1506" w:type="dxa"/>
            <w:gridSpan w:val="4"/>
            <w:shd w:val="clear" w:color="000000" w:fill="FFFF99"/>
            <w:vAlign w:val="center"/>
          </w:tcPr>
          <w:p w14:paraId="407A0EBA"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80</w:t>
            </w:r>
          </w:p>
        </w:tc>
      </w:tr>
      <w:tr w:rsidR="00DF7303" w:rsidRPr="00D30847" w14:paraId="5AF7CCA9" w14:textId="77777777" w:rsidTr="00FD4DDE">
        <w:trPr>
          <w:gridBefore w:val="3"/>
          <w:gridAfter w:val="1"/>
          <w:wBefore w:w="37" w:type="dxa"/>
          <w:wAfter w:w="52" w:type="dxa"/>
          <w:trHeight w:val="548"/>
          <w:jc w:val="center"/>
        </w:trPr>
        <w:tc>
          <w:tcPr>
            <w:tcW w:w="2303" w:type="dxa"/>
            <w:gridSpan w:val="3"/>
            <w:vMerge/>
            <w:shd w:val="clear" w:color="000000" w:fill="FFFF99"/>
            <w:vAlign w:val="center"/>
          </w:tcPr>
          <w:p w14:paraId="30441AF1"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shd w:val="clear" w:color="000000" w:fill="FFFF99"/>
            <w:vAlign w:val="center"/>
          </w:tcPr>
          <w:p w14:paraId="2E560CBE" w14:textId="77777777"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implemented recommendations</w:t>
            </w:r>
          </w:p>
          <w:p w14:paraId="516E07B1"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194" w:type="dxa"/>
            <w:gridSpan w:val="2"/>
            <w:shd w:val="clear" w:color="000000" w:fill="FFFF99"/>
            <w:vAlign w:val="center"/>
          </w:tcPr>
          <w:p w14:paraId="0529F1E3" w14:textId="6AC57664"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MF</w:t>
            </w:r>
          </w:p>
        </w:tc>
        <w:tc>
          <w:tcPr>
            <w:tcW w:w="1418" w:type="dxa"/>
            <w:gridSpan w:val="3"/>
            <w:shd w:val="clear" w:color="000000" w:fill="FFFF99"/>
            <w:vAlign w:val="center"/>
          </w:tcPr>
          <w:p w14:paraId="35314A1D" w14:textId="265D8570"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63</w:t>
            </w:r>
          </w:p>
        </w:tc>
        <w:tc>
          <w:tcPr>
            <w:tcW w:w="1644" w:type="dxa"/>
            <w:gridSpan w:val="3"/>
            <w:shd w:val="clear" w:color="000000" w:fill="FFFF99"/>
            <w:vAlign w:val="center"/>
          </w:tcPr>
          <w:p w14:paraId="3EF4FA4D"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68</w:t>
            </w:r>
          </w:p>
        </w:tc>
        <w:tc>
          <w:tcPr>
            <w:tcW w:w="1758" w:type="dxa"/>
            <w:gridSpan w:val="4"/>
            <w:shd w:val="clear" w:color="000000" w:fill="FFFF99"/>
            <w:vAlign w:val="center"/>
          </w:tcPr>
          <w:p w14:paraId="5733258D"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72</w:t>
            </w:r>
          </w:p>
        </w:tc>
        <w:tc>
          <w:tcPr>
            <w:tcW w:w="1842" w:type="dxa"/>
            <w:gridSpan w:val="4"/>
            <w:shd w:val="clear" w:color="000000" w:fill="FFFF99"/>
            <w:vAlign w:val="center"/>
          </w:tcPr>
          <w:p w14:paraId="60347A4C"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76</w:t>
            </w:r>
          </w:p>
        </w:tc>
        <w:tc>
          <w:tcPr>
            <w:tcW w:w="1506" w:type="dxa"/>
            <w:gridSpan w:val="4"/>
            <w:shd w:val="clear" w:color="000000" w:fill="FFFF99"/>
            <w:vAlign w:val="center"/>
          </w:tcPr>
          <w:p w14:paraId="58449AE9"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80</w:t>
            </w:r>
          </w:p>
        </w:tc>
      </w:tr>
      <w:tr w:rsidR="00DF7303" w:rsidRPr="00D30847" w14:paraId="37FACFDF" w14:textId="77777777" w:rsidTr="00FD4DDE">
        <w:trPr>
          <w:gridBefore w:val="3"/>
          <w:gridAfter w:val="1"/>
          <w:wBefore w:w="37" w:type="dxa"/>
          <w:wAfter w:w="52" w:type="dxa"/>
          <w:trHeight w:val="257"/>
          <w:jc w:val="center"/>
        </w:trPr>
        <w:tc>
          <w:tcPr>
            <w:tcW w:w="13501" w:type="dxa"/>
            <w:gridSpan w:val="28"/>
            <w:shd w:val="clear" w:color="000000" w:fill="9BD2ED"/>
            <w:vAlign w:val="center"/>
            <w:hideMark/>
          </w:tcPr>
          <w:p w14:paraId="6F735E70" w14:textId="1CD10F0B" w:rsidR="00DF7303" w:rsidRPr="00D30847" w:rsidRDefault="00DF7303" w:rsidP="00DF7303">
            <w:pPr>
              <w:spacing w:after="0" w:line="240" w:lineRule="auto"/>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Measure 1. Strengthening the quality of work of the internal audit units in the ministries</w:t>
            </w:r>
          </w:p>
        </w:tc>
      </w:tr>
      <w:tr w:rsidR="00DF7303" w:rsidRPr="00D30847" w14:paraId="4F309322" w14:textId="77777777" w:rsidTr="00FD4DDE">
        <w:trPr>
          <w:gridBefore w:val="3"/>
          <w:gridAfter w:val="1"/>
          <w:wBefore w:w="37" w:type="dxa"/>
          <w:wAfter w:w="52" w:type="dxa"/>
          <w:trHeight w:val="260"/>
          <w:jc w:val="center"/>
        </w:trPr>
        <w:tc>
          <w:tcPr>
            <w:tcW w:w="2303" w:type="dxa"/>
            <w:gridSpan w:val="3"/>
            <w:vMerge w:val="restart"/>
            <w:tcBorders>
              <w:top w:val="nil"/>
              <w:left w:val="nil"/>
              <w:bottom w:val="nil"/>
              <w:right w:val="single" w:sz="8" w:space="0" w:color="000000"/>
            </w:tcBorders>
            <w:shd w:val="clear" w:color="auto" w:fill="auto"/>
            <w:noWrap/>
            <w:vAlign w:val="bottom"/>
            <w:hideMark/>
          </w:tcPr>
          <w:p w14:paraId="2C05681E"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66781306" w14:textId="10A5D38B"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indicators</w:t>
            </w:r>
          </w:p>
        </w:tc>
        <w:tc>
          <w:tcPr>
            <w:tcW w:w="1194" w:type="dxa"/>
            <w:gridSpan w:val="2"/>
            <w:shd w:val="clear" w:color="000000" w:fill="9BD2ED"/>
            <w:vAlign w:val="center"/>
            <w:hideMark/>
          </w:tcPr>
          <w:p w14:paraId="277EBC00" w14:textId="44B12801"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 source</w:t>
            </w:r>
          </w:p>
        </w:tc>
        <w:tc>
          <w:tcPr>
            <w:tcW w:w="1418" w:type="dxa"/>
            <w:gridSpan w:val="3"/>
            <w:shd w:val="clear" w:color="000000" w:fill="9BD2ED"/>
            <w:vAlign w:val="center"/>
            <w:hideMark/>
          </w:tcPr>
          <w:p w14:paraId="43FF1847" w14:textId="6CD4F02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FY23</w:t>
            </w:r>
          </w:p>
        </w:tc>
        <w:tc>
          <w:tcPr>
            <w:tcW w:w="1644" w:type="dxa"/>
            <w:gridSpan w:val="3"/>
            <w:shd w:val="clear" w:color="000000" w:fill="9BD2ED"/>
            <w:vAlign w:val="center"/>
            <w:hideMark/>
          </w:tcPr>
          <w:p w14:paraId="2C533230" w14:textId="400DF989"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FG25</w:t>
            </w:r>
          </w:p>
        </w:tc>
        <w:tc>
          <w:tcPr>
            <w:tcW w:w="1758" w:type="dxa"/>
            <w:gridSpan w:val="4"/>
            <w:shd w:val="clear" w:color="000000" w:fill="9BD2ED"/>
            <w:vAlign w:val="center"/>
            <w:hideMark/>
          </w:tcPr>
          <w:p w14:paraId="0EB91F7A" w14:textId="732ACFDD"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FG26</w:t>
            </w:r>
          </w:p>
        </w:tc>
        <w:tc>
          <w:tcPr>
            <w:tcW w:w="1842" w:type="dxa"/>
            <w:gridSpan w:val="4"/>
            <w:shd w:val="clear" w:color="000000" w:fill="9BD2ED"/>
            <w:vAlign w:val="center"/>
            <w:hideMark/>
          </w:tcPr>
          <w:p w14:paraId="6EF93C19" w14:textId="4C753BFC"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FG27</w:t>
            </w:r>
          </w:p>
        </w:tc>
        <w:tc>
          <w:tcPr>
            <w:tcW w:w="1506" w:type="dxa"/>
            <w:gridSpan w:val="4"/>
            <w:shd w:val="clear" w:color="000000" w:fill="9BD2ED"/>
            <w:vAlign w:val="center"/>
            <w:hideMark/>
          </w:tcPr>
          <w:p w14:paraId="6A836E6F" w14:textId="488AFF33"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FG28</w:t>
            </w:r>
          </w:p>
        </w:tc>
      </w:tr>
      <w:tr w:rsidR="00DF7303" w:rsidRPr="00D30847" w14:paraId="17D805D4" w14:textId="77777777" w:rsidTr="00FD4DDE">
        <w:trPr>
          <w:gridBefore w:val="3"/>
          <w:gridAfter w:val="1"/>
          <w:wBefore w:w="37" w:type="dxa"/>
          <w:wAfter w:w="52" w:type="dxa"/>
          <w:trHeight w:val="430"/>
          <w:jc w:val="center"/>
        </w:trPr>
        <w:tc>
          <w:tcPr>
            <w:tcW w:w="2303" w:type="dxa"/>
            <w:gridSpan w:val="3"/>
            <w:vMerge/>
            <w:tcBorders>
              <w:top w:val="nil"/>
              <w:left w:val="nil"/>
              <w:bottom w:val="nil"/>
              <w:right w:val="single" w:sz="8" w:space="0" w:color="000000"/>
            </w:tcBorders>
            <w:vAlign w:val="center"/>
            <w:hideMark/>
          </w:tcPr>
          <w:p w14:paraId="15894E07"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4F8331BE" w14:textId="4A1399BE"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Organized trainings for internal auditors;</w:t>
            </w:r>
          </w:p>
        </w:tc>
        <w:tc>
          <w:tcPr>
            <w:tcW w:w="1194" w:type="dxa"/>
            <w:gridSpan w:val="2"/>
            <w:shd w:val="clear" w:color="000000" w:fill="FFFF99"/>
            <w:vAlign w:val="center"/>
            <w:hideMark/>
          </w:tcPr>
          <w:p w14:paraId="77181FA2"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MF</w:t>
            </w:r>
          </w:p>
        </w:tc>
        <w:tc>
          <w:tcPr>
            <w:tcW w:w="1418" w:type="dxa"/>
            <w:gridSpan w:val="3"/>
            <w:shd w:val="clear" w:color="000000" w:fill="FFFF99"/>
            <w:vAlign w:val="center"/>
            <w:hideMark/>
          </w:tcPr>
          <w:p w14:paraId="73829358"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w:t>
            </w:r>
          </w:p>
        </w:tc>
        <w:tc>
          <w:tcPr>
            <w:tcW w:w="1644" w:type="dxa"/>
            <w:gridSpan w:val="3"/>
            <w:shd w:val="clear" w:color="000000" w:fill="FFFF99"/>
            <w:vAlign w:val="center"/>
            <w:hideMark/>
          </w:tcPr>
          <w:p w14:paraId="735B7CCB"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5</w:t>
            </w:r>
          </w:p>
        </w:tc>
        <w:tc>
          <w:tcPr>
            <w:tcW w:w="1758" w:type="dxa"/>
            <w:gridSpan w:val="4"/>
            <w:shd w:val="clear" w:color="000000" w:fill="FFFF99"/>
            <w:vAlign w:val="center"/>
            <w:hideMark/>
          </w:tcPr>
          <w:p w14:paraId="17CF7242"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6</w:t>
            </w:r>
          </w:p>
        </w:tc>
        <w:tc>
          <w:tcPr>
            <w:tcW w:w="1842" w:type="dxa"/>
            <w:gridSpan w:val="4"/>
            <w:shd w:val="clear" w:color="000000" w:fill="FFFF99"/>
            <w:vAlign w:val="center"/>
            <w:hideMark/>
          </w:tcPr>
          <w:p w14:paraId="0C5F00DB"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w:t>
            </w:r>
          </w:p>
        </w:tc>
        <w:tc>
          <w:tcPr>
            <w:tcW w:w="1506" w:type="dxa"/>
            <w:gridSpan w:val="4"/>
            <w:shd w:val="clear" w:color="000000" w:fill="FFFF99"/>
            <w:vAlign w:val="center"/>
            <w:hideMark/>
          </w:tcPr>
          <w:p w14:paraId="33B091D9"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8</w:t>
            </w:r>
          </w:p>
        </w:tc>
      </w:tr>
      <w:tr w:rsidR="00DF7303" w:rsidRPr="00D30847" w14:paraId="39F5DAA7" w14:textId="77777777" w:rsidTr="00FD4DDE">
        <w:trPr>
          <w:gridBefore w:val="3"/>
          <w:gridAfter w:val="1"/>
          <w:wBefore w:w="37" w:type="dxa"/>
          <w:wAfter w:w="52" w:type="dxa"/>
          <w:trHeight w:val="430"/>
          <w:jc w:val="center"/>
        </w:trPr>
        <w:tc>
          <w:tcPr>
            <w:tcW w:w="2303" w:type="dxa"/>
            <w:gridSpan w:val="3"/>
            <w:vMerge/>
            <w:tcBorders>
              <w:top w:val="nil"/>
              <w:left w:val="nil"/>
              <w:bottom w:val="nil"/>
              <w:right w:val="single" w:sz="8" w:space="0" w:color="000000"/>
            </w:tcBorders>
            <w:vAlign w:val="center"/>
            <w:hideMark/>
          </w:tcPr>
          <w:p w14:paraId="5564613E"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06F36F74" w14:textId="4990A310"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Organized certification of internal auditors.</w:t>
            </w:r>
          </w:p>
        </w:tc>
        <w:tc>
          <w:tcPr>
            <w:tcW w:w="1194" w:type="dxa"/>
            <w:gridSpan w:val="2"/>
            <w:shd w:val="clear" w:color="000000" w:fill="FFFF99"/>
            <w:vAlign w:val="center"/>
            <w:hideMark/>
          </w:tcPr>
          <w:p w14:paraId="44076625"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MF</w:t>
            </w:r>
          </w:p>
        </w:tc>
        <w:tc>
          <w:tcPr>
            <w:tcW w:w="1418" w:type="dxa"/>
            <w:gridSpan w:val="3"/>
            <w:shd w:val="clear" w:color="000000" w:fill="FFFF99"/>
            <w:vAlign w:val="center"/>
            <w:hideMark/>
          </w:tcPr>
          <w:p w14:paraId="6AE66B56"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0</w:t>
            </w:r>
          </w:p>
        </w:tc>
        <w:tc>
          <w:tcPr>
            <w:tcW w:w="1644" w:type="dxa"/>
            <w:gridSpan w:val="3"/>
            <w:shd w:val="clear" w:color="000000" w:fill="FFFF99"/>
            <w:vAlign w:val="center"/>
            <w:hideMark/>
          </w:tcPr>
          <w:p w14:paraId="24B0B08A"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w:t>
            </w:r>
          </w:p>
        </w:tc>
        <w:tc>
          <w:tcPr>
            <w:tcW w:w="1758" w:type="dxa"/>
            <w:gridSpan w:val="4"/>
            <w:shd w:val="clear" w:color="000000" w:fill="FFFF99"/>
            <w:vAlign w:val="center"/>
            <w:hideMark/>
          </w:tcPr>
          <w:p w14:paraId="29715FFF" w14:textId="176D1A6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w:t>
            </w:r>
          </w:p>
        </w:tc>
        <w:tc>
          <w:tcPr>
            <w:tcW w:w="1842" w:type="dxa"/>
            <w:gridSpan w:val="4"/>
            <w:shd w:val="clear" w:color="000000" w:fill="FFFF99"/>
            <w:vAlign w:val="center"/>
            <w:hideMark/>
          </w:tcPr>
          <w:p w14:paraId="7D7C8682"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w:t>
            </w:r>
          </w:p>
        </w:tc>
        <w:tc>
          <w:tcPr>
            <w:tcW w:w="1506" w:type="dxa"/>
            <w:gridSpan w:val="4"/>
            <w:shd w:val="clear" w:color="000000" w:fill="FFFF99"/>
            <w:vAlign w:val="center"/>
            <w:hideMark/>
          </w:tcPr>
          <w:p w14:paraId="2D41375E"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w:t>
            </w:r>
          </w:p>
        </w:tc>
      </w:tr>
      <w:tr w:rsidR="00DF7303" w:rsidRPr="00D30847" w14:paraId="65A6B8FE" w14:textId="77777777" w:rsidTr="00FD4DDE">
        <w:trPr>
          <w:gridBefore w:val="3"/>
          <w:gridAfter w:val="1"/>
          <w:wBefore w:w="37" w:type="dxa"/>
          <w:wAfter w:w="52" w:type="dxa"/>
          <w:trHeight w:val="610"/>
          <w:jc w:val="center"/>
        </w:trPr>
        <w:tc>
          <w:tcPr>
            <w:tcW w:w="2303" w:type="dxa"/>
            <w:gridSpan w:val="3"/>
            <w:vMerge/>
            <w:tcBorders>
              <w:top w:val="nil"/>
              <w:left w:val="nil"/>
              <w:bottom w:val="nil"/>
              <w:right w:val="single" w:sz="8" w:space="0" w:color="000000"/>
            </w:tcBorders>
            <w:vAlign w:val="center"/>
            <w:hideMark/>
          </w:tcPr>
          <w:p w14:paraId="27D219C7"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4233AA5B" w14:textId="74F8421F"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Strengthen the capacities of CHU</w:t>
            </w:r>
          </w:p>
        </w:tc>
        <w:tc>
          <w:tcPr>
            <w:tcW w:w="1194" w:type="dxa"/>
            <w:gridSpan w:val="2"/>
            <w:shd w:val="clear" w:color="000000" w:fill="FFFF99"/>
            <w:vAlign w:val="center"/>
            <w:hideMark/>
          </w:tcPr>
          <w:p w14:paraId="531B2E56"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MF</w:t>
            </w:r>
          </w:p>
        </w:tc>
        <w:tc>
          <w:tcPr>
            <w:tcW w:w="1418" w:type="dxa"/>
            <w:gridSpan w:val="3"/>
            <w:shd w:val="clear" w:color="000000" w:fill="FFFF99"/>
            <w:vAlign w:val="center"/>
            <w:hideMark/>
          </w:tcPr>
          <w:p w14:paraId="54CD8BCE" w14:textId="4F9A90D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Employed a total of 7 people Trainings 6</w:t>
            </w:r>
          </w:p>
        </w:tc>
        <w:tc>
          <w:tcPr>
            <w:tcW w:w="1644" w:type="dxa"/>
            <w:gridSpan w:val="3"/>
            <w:shd w:val="clear" w:color="000000" w:fill="FFFF99"/>
            <w:vAlign w:val="center"/>
            <w:hideMark/>
          </w:tcPr>
          <w:p w14:paraId="6C79539F" w14:textId="1ABA1A0D"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Employed a total of 10 people, Trainings 4</w:t>
            </w:r>
          </w:p>
        </w:tc>
        <w:tc>
          <w:tcPr>
            <w:tcW w:w="1758" w:type="dxa"/>
            <w:gridSpan w:val="4"/>
            <w:shd w:val="clear" w:color="000000" w:fill="FFFF99"/>
            <w:vAlign w:val="center"/>
            <w:hideMark/>
          </w:tcPr>
          <w:p w14:paraId="0589E949" w14:textId="6B2B2132"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Employed a total of 11 people</w:t>
            </w:r>
          </w:p>
          <w:p w14:paraId="16C74600"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Trainings 4</w:t>
            </w:r>
          </w:p>
        </w:tc>
        <w:tc>
          <w:tcPr>
            <w:tcW w:w="1842" w:type="dxa"/>
            <w:gridSpan w:val="4"/>
            <w:shd w:val="clear" w:color="000000" w:fill="FFFF99"/>
            <w:vAlign w:val="center"/>
            <w:hideMark/>
          </w:tcPr>
          <w:p w14:paraId="75D5357B" w14:textId="70A5729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Employed a total of 12 people</w:t>
            </w:r>
            <w:r w:rsidRPr="00D30847">
              <w:rPr>
                <w:rFonts w:ascii="Arial" w:eastAsia="Times New Roman" w:hAnsi="Arial" w:cs="Arial"/>
                <w:sz w:val="12"/>
                <w:szCs w:val="12"/>
                <w:lang w:val="en-GB" w:eastAsia="mk-MK"/>
              </w:rPr>
              <w:br/>
              <w:t>Trainings4</w:t>
            </w:r>
          </w:p>
        </w:tc>
        <w:tc>
          <w:tcPr>
            <w:tcW w:w="1506" w:type="dxa"/>
            <w:gridSpan w:val="4"/>
            <w:shd w:val="clear" w:color="000000" w:fill="FFFF99"/>
            <w:vAlign w:val="center"/>
            <w:hideMark/>
          </w:tcPr>
          <w:p w14:paraId="0F719477" w14:textId="162A461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Employed a total of 13 people</w:t>
            </w:r>
          </w:p>
          <w:p w14:paraId="1359588C"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Trainings 4</w:t>
            </w:r>
          </w:p>
        </w:tc>
      </w:tr>
      <w:tr w:rsidR="00DF7303" w:rsidRPr="00D30847" w14:paraId="303C7F0C" w14:textId="77777777" w:rsidTr="00FD4DDE">
        <w:trPr>
          <w:gridBefore w:val="3"/>
          <w:gridAfter w:val="1"/>
          <w:wBefore w:w="37" w:type="dxa"/>
          <w:wAfter w:w="52" w:type="dxa"/>
          <w:trHeight w:val="250"/>
          <w:jc w:val="center"/>
        </w:trPr>
        <w:tc>
          <w:tcPr>
            <w:tcW w:w="2303" w:type="dxa"/>
            <w:gridSpan w:val="3"/>
            <w:vMerge/>
            <w:tcBorders>
              <w:top w:val="nil"/>
              <w:left w:val="nil"/>
              <w:bottom w:val="nil"/>
              <w:right w:val="single" w:sz="8" w:space="0" w:color="000000"/>
            </w:tcBorders>
            <w:vAlign w:val="center"/>
            <w:hideMark/>
          </w:tcPr>
          <w:p w14:paraId="4813C2B6"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3921A32C"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Activity</w:t>
            </w:r>
          </w:p>
        </w:tc>
        <w:tc>
          <w:tcPr>
            <w:tcW w:w="1194" w:type="dxa"/>
            <w:gridSpan w:val="2"/>
            <w:shd w:val="clear" w:color="000000" w:fill="9BD2ED"/>
            <w:vAlign w:val="center"/>
            <w:hideMark/>
          </w:tcPr>
          <w:p w14:paraId="5A7DADC4" w14:textId="3B4A9C84"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Period of realization</w:t>
            </w:r>
          </w:p>
        </w:tc>
        <w:tc>
          <w:tcPr>
            <w:tcW w:w="1418" w:type="dxa"/>
            <w:gridSpan w:val="3"/>
            <w:shd w:val="clear" w:color="000000" w:fill="9BD2ED"/>
            <w:vAlign w:val="center"/>
            <w:hideMark/>
          </w:tcPr>
          <w:p w14:paraId="22802FCA" w14:textId="38634CBE"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 institution</w:t>
            </w:r>
          </w:p>
        </w:tc>
        <w:tc>
          <w:tcPr>
            <w:tcW w:w="1644" w:type="dxa"/>
            <w:gridSpan w:val="3"/>
            <w:shd w:val="clear" w:color="000000" w:fill="9BD2ED"/>
            <w:vAlign w:val="center"/>
            <w:hideMark/>
          </w:tcPr>
          <w:p w14:paraId="2AB62E54" w14:textId="5483F83A"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 partners</w:t>
            </w:r>
          </w:p>
        </w:tc>
        <w:tc>
          <w:tcPr>
            <w:tcW w:w="1758" w:type="dxa"/>
            <w:gridSpan w:val="4"/>
            <w:shd w:val="clear" w:color="000000" w:fill="9BD2ED"/>
            <w:vAlign w:val="center"/>
            <w:hideMark/>
          </w:tcPr>
          <w:p w14:paraId="2A1C0D1B"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112F8E51" w14:textId="7908F5B9"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 of funding</w:t>
            </w:r>
          </w:p>
        </w:tc>
        <w:tc>
          <w:tcPr>
            <w:tcW w:w="1506" w:type="dxa"/>
            <w:gridSpan w:val="4"/>
            <w:shd w:val="clear" w:color="000000" w:fill="9BD2ED"/>
            <w:vAlign w:val="center"/>
            <w:hideMark/>
          </w:tcPr>
          <w:p w14:paraId="6873742B"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DF7303" w:rsidRPr="00D30847" w14:paraId="5DD8DE58" w14:textId="77777777" w:rsidTr="00FD4DDE">
        <w:trPr>
          <w:gridBefore w:val="3"/>
          <w:gridAfter w:val="1"/>
          <w:wBefore w:w="37" w:type="dxa"/>
          <w:wAfter w:w="52" w:type="dxa"/>
          <w:trHeight w:val="250"/>
          <w:jc w:val="center"/>
        </w:trPr>
        <w:tc>
          <w:tcPr>
            <w:tcW w:w="2303" w:type="dxa"/>
            <w:gridSpan w:val="3"/>
            <w:vMerge/>
            <w:tcBorders>
              <w:top w:val="nil"/>
              <w:left w:val="nil"/>
              <w:bottom w:val="nil"/>
              <w:right w:val="single" w:sz="8" w:space="0" w:color="000000"/>
            </w:tcBorders>
            <w:vAlign w:val="center"/>
            <w:hideMark/>
          </w:tcPr>
          <w:p w14:paraId="1BE2B8A4"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63D237C7" w14:textId="5B022906"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Improving of Human Resources capacities of Internal Audit Units in the Ministries through adequate staffing and Continuous Professional Development at the internal auditors</w:t>
            </w:r>
          </w:p>
        </w:tc>
        <w:tc>
          <w:tcPr>
            <w:tcW w:w="1194" w:type="dxa"/>
            <w:gridSpan w:val="2"/>
            <w:shd w:val="clear" w:color="000000" w:fill="FFFF99"/>
            <w:vAlign w:val="center"/>
            <w:hideMark/>
          </w:tcPr>
          <w:p w14:paraId="12B2C315" w14:textId="42F3205D"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18" w:type="dxa"/>
            <w:gridSpan w:val="3"/>
            <w:shd w:val="clear" w:color="000000" w:fill="FFFF99"/>
            <w:vAlign w:val="center"/>
            <w:hideMark/>
          </w:tcPr>
          <w:p w14:paraId="6EF2C4C8" w14:textId="23B3FC62"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Ministries / MF - PIFC </w:t>
            </w:r>
          </w:p>
        </w:tc>
        <w:tc>
          <w:tcPr>
            <w:tcW w:w="1644" w:type="dxa"/>
            <w:gridSpan w:val="3"/>
            <w:shd w:val="clear" w:color="000000" w:fill="FFFF99"/>
            <w:vAlign w:val="center"/>
            <w:hideMark/>
          </w:tcPr>
          <w:p w14:paraId="727429C9" w14:textId="345BC540"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758" w:type="dxa"/>
            <w:gridSpan w:val="4"/>
            <w:shd w:val="clear" w:color="000000" w:fill="FFFF99"/>
            <w:vAlign w:val="center"/>
            <w:hideMark/>
          </w:tcPr>
          <w:p w14:paraId="6D73EB0B" w14:textId="042D74B8"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40.000</w:t>
            </w:r>
          </w:p>
        </w:tc>
        <w:tc>
          <w:tcPr>
            <w:tcW w:w="1842" w:type="dxa"/>
            <w:gridSpan w:val="4"/>
            <w:shd w:val="clear" w:color="000000" w:fill="FFFF99"/>
            <w:vAlign w:val="center"/>
            <w:hideMark/>
          </w:tcPr>
          <w:p w14:paraId="130CFBE9" w14:textId="5EE35DA8" w:rsidR="00DF7303" w:rsidRPr="00D30847" w:rsidRDefault="00DF7303" w:rsidP="00DF7303">
            <w:pPr>
              <w:spacing w:after="0" w:line="240" w:lineRule="auto"/>
              <w:jc w:val="center"/>
              <w:rPr>
                <w:rFonts w:ascii="Arial" w:eastAsia="Times New Roman" w:hAnsi="Arial" w:cs="Arial"/>
                <w:color w:val="000000" w:themeColor="text1"/>
                <w:sz w:val="12"/>
                <w:szCs w:val="12"/>
                <w:lang w:val="en-GB" w:eastAsia="mk-MK"/>
              </w:rPr>
            </w:pPr>
            <w:r w:rsidRPr="00D30847">
              <w:rPr>
                <w:rFonts w:ascii="Arial" w:eastAsia="Times New Roman" w:hAnsi="Arial" w:cs="Arial"/>
                <w:color w:val="000000" w:themeColor="text1"/>
                <w:sz w:val="12"/>
                <w:szCs w:val="12"/>
                <w:lang w:val="en-GB" w:eastAsia="mk-MK"/>
              </w:rPr>
              <w:t>National budget</w:t>
            </w:r>
          </w:p>
        </w:tc>
        <w:tc>
          <w:tcPr>
            <w:tcW w:w="1506" w:type="dxa"/>
            <w:gridSpan w:val="4"/>
            <w:shd w:val="clear" w:color="000000" w:fill="FFFF99"/>
            <w:vAlign w:val="center"/>
            <w:hideMark/>
          </w:tcPr>
          <w:p w14:paraId="7428D74F" w14:textId="1C5A0787" w:rsidR="00DF7303" w:rsidRPr="00D30847" w:rsidRDefault="00DF7303" w:rsidP="00DF7303">
            <w:pPr>
              <w:spacing w:after="0" w:line="240" w:lineRule="auto"/>
              <w:rPr>
                <w:rFonts w:ascii="Arial" w:eastAsia="Times New Roman" w:hAnsi="Arial" w:cs="Arial"/>
                <w:sz w:val="12"/>
                <w:szCs w:val="12"/>
                <w:lang w:val="en-GB" w:eastAsia="mk-MK"/>
              </w:rPr>
            </w:pPr>
          </w:p>
        </w:tc>
      </w:tr>
      <w:tr w:rsidR="00DF7303" w:rsidRPr="00D30847" w14:paraId="337FCDDB" w14:textId="77777777" w:rsidTr="00FD4DDE">
        <w:trPr>
          <w:gridBefore w:val="3"/>
          <w:gridAfter w:val="1"/>
          <w:wBefore w:w="37" w:type="dxa"/>
          <w:wAfter w:w="52" w:type="dxa"/>
          <w:trHeight w:val="583"/>
          <w:jc w:val="center"/>
        </w:trPr>
        <w:tc>
          <w:tcPr>
            <w:tcW w:w="2303" w:type="dxa"/>
            <w:gridSpan w:val="3"/>
            <w:vMerge/>
            <w:tcBorders>
              <w:top w:val="nil"/>
              <w:left w:val="nil"/>
              <w:bottom w:val="nil"/>
              <w:right w:val="single" w:sz="8" w:space="0" w:color="000000"/>
            </w:tcBorders>
            <w:vAlign w:val="center"/>
            <w:hideMark/>
          </w:tcPr>
          <w:p w14:paraId="63D6BE7E"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4056D086" w14:textId="5D2F5BFA"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Strengthening CHU’s capacities for checking the quality of operations of the internal audit units</w:t>
            </w:r>
          </w:p>
        </w:tc>
        <w:tc>
          <w:tcPr>
            <w:tcW w:w="1194" w:type="dxa"/>
            <w:gridSpan w:val="2"/>
            <w:shd w:val="clear" w:color="000000" w:fill="FFFF99"/>
            <w:vAlign w:val="center"/>
            <w:hideMark/>
          </w:tcPr>
          <w:p w14:paraId="5D8A7BF8" w14:textId="5C93A9BC"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18" w:type="dxa"/>
            <w:gridSpan w:val="3"/>
            <w:shd w:val="clear" w:color="000000" w:fill="FFFF99"/>
            <w:vAlign w:val="center"/>
            <w:hideMark/>
          </w:tcPr>
          <w:p w14:paraId="24C2CA63" w14:textId="5AD6EC48" w:rsidR="00DF7303" w:rsidRPr="00D30847" w:rsidRDefault="00DF7303" w:rsidP="00DF7303">
            <w:pPr>
              <w:spacing w:after="0" w:line="240" w:lineRule="auto"/>
              <w:jc w:val="center"/>
              <w:rPr>
                <w:rFonts w:ascii="Arial" w:eastAsia="Times New Roman" w:hAnsi="Arial" w:cs="Arial"/>
                <w:color w:val="000000" w:themeColor="text1"/>
                <w:sz w:val="12"/>
                <w:szCs w:val="12"/>
                <w:lang w:val="en-GB" w:eastAsia="mk-MK"/>
              </w:rPr>
            </w:pPr>
            <w:r w:rsidRPr="00D30847">
              <w:rPr>
                <w:rFonts w:ascii="Arial" w:eastAsia="Times New Roman" w:hAnsi="Arial" w:cs="Arial"/>
                <w:color w:val="000000" w:themeColor="text1"/>
                <w:sz w:val="12"/>
                <w:szCs w:val="12"/>
                <w:lang w:val="en-GB" w:eastAsia="mk-MK"/>
              </w:rPr>
              <w:t>Ministries / MF - PIFC </w:t>
            </w:r>
          </w:p>
        </w:tc>
        <w:tc>
          <w:tcPr>
            <w:tcW w:w="1644" w:type="dxa"/>
            <w:gridSpan w:val="3"/>
            <w:shd w:val="clear" w:color="000000" w:fill="FFFF99"/>
            <w:vAlign w:val="center"/>
            <w:hideMark/>
          </w:tcPr>
          <w:p w14:paraId="5FDB0404" w14:textId="344885A7" w:rsidR="00DF7303" w:rsidRPr="00D30847" w:rsidRDefault="00DF7303" w:rsidP="00DF7303">
            <w:pPr>
              <w:spacing w:after="0" w:line="240" w:lineRule="auto"/>
              <w:jc w:val="center"/>
              <w:rPr>
                <w:rFonts w:ascii="Arial" w:eastAsia="Times New Roman" w:hAnsi="Arial" w:cs="Arial"/>
                <w:color w:val="000000" w:themeColor="text1"/>
                <w:sz w:val="12"/>
                <w:szCs w:val="12"/>
                <w:lang w:val="en-GB" w:eastAsia="mk-MK"/>
              </w:rPr>
            </w:pPr>
            <w:r w:rsidRPr="00D30847">
              <w:rPr>
                <w:rFonts w:ascii="Arial" w:eastAsia="Times New Roman" w:hAnsi="Arial" w:cs="Arial"/>
                <w:color w:val="000000" w:themeColor="text1"/>
                <w:sz w:val="12"/>
                <w:szCs w:val="12"/>
                <w:lang w:val="en-GB" w:eastAsia="mk-MK"/>
              </w:rPr>
              <w:t>EU/NAFE/SIGMA </w:t>
            </w:r>
          </w:p>
        </w:tc>
        <w:tc>
          <w:tcPr>
            <w:tcW w:w="1758" w:type="dxa"/>
            <w:gridSpan w:val="4"/>
            <w:shd w:val="clear" w:color="000000" w:fill="FFFF99"/>
            <w:vAlign w:val="center"/>
            <w:hideMark/>
          </w:tcPr>
          <w:p w14:paraId="7035F54D"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61,000</w:t>
            </w:r>
          </w:p>
        </w:tc>
        <w:tc>
          <w:tcPr>
            <w:tcW w:w="1842" w:type="dxa"/>
            <w:gridSpan w:val="4"/>
            <w:shd w:val="clear" w:color="000000" w:fill="FFFF99"/>
            <w:vAlign w:val="center"/>
            <w:hideMark/>
          </w:tcPr>
          <w:p w14:paraId="611081BB" w14:textId="7E2D4DBF" w:rsidR="00DF7303" w:rsidRPr="00D30847" w:rsidRDefault="00DF7303" w:rsidP="00DF7303">
            <w:pPr>
              <w:spacing w:after="0" w:line="240" w:lineRule="auto"/>
              <w:jc w:val="center"/>
              <w:rPr>
                <w:rFonts w:ascii="Arial" w:eastAsia="Times New Roman" w:hAnsi="Arial" w:cs="Arial"/>
                <w:color w:val="000000" w:themeColor="text1"/>
                <w:sz w:val="12"/>
                <w:szCs w:val="12"/>
                <w:lang w:val="en-GB" w:eastAsia="mk-MK"/>
              </w:rPr>
            </w:pPr>
            <w:r w:rsidRPr="00D30847">
              <w:rPr>
                <w:rFonts w:ascii="Arial" w:eastAsia="Times New Roman" w:hAnsi="Arial" w:cs="Arial"/>
                <w:color w:val="000000" w:themeColor="text1"/>
                <w:sz w:val="12"/>
                <w:szCs w:val="12"/>
                <w:lang w:val="en-GB" w:eastAsia="mk-MK"/>
              </w:rPr>
              <w:t>National budget</w:t>
            </w:r>
          </w:p>
        </w:tc>
        <w:tc>
          <w:tcPr>
            <w:tcW w:w="1506" w:type="dxa"/>
            <w:gridSpan w:val="4"/>
            <w:shd w:val="clear" w:color="000000" w:fill="FFFF99"/>
            <w:vAlign w:val="center"/>
            <w:hideMark/>
          </w:tcPr>
          <w:p w14:paraId="514DDF64" w14:textId="189EBA33" w:rsidR="00DF7303" w:rsidRPr="00D30847" w:rsidRDefault="00DF7303" w:rsidP="00DF7303">
            <w:pPr>
              <w:spacing w:after="0" w:line="240" w:lineRule="auto"/>
              <w:jc w:val="center"/>
              <w:rPr>
                <w:rFonts w:ascii="Arial" w:eastAsia="Times New Roman" w:hAnsi="Arial" w:cs="Arial"/>
                <w:sz w:val="12"/>
                <w:szCs w:val="12"/>
                <w:lang w:val="en-GB" w:eastAsia="mk-MK"/>
              </w:rPr>
            </w:pPr>
          </w:p>
        </w:tc>
      </w:tr>
      <w:tr w:rsidR="00DF7303" w:rsidRPr="00D30847" w14:paraId="26569C2E" w14:textId="77777777" w:rsidTr="00FD4DDE">
        <w:trPr>
          <w:gridBefore w:val="3"/>
          <w:gridAfter w:val="1"/>
          <w:wBefore w:w="37" w:type="dxa"/>
          <w:wAfter w:w="52" w:type="dxa"/>
          <w:trHeight w:val="979"/>
          <w:jc w:val="center"/>
        </w:trPr>
        <w:tc>
          <w:tcPr>
            <w:tcW w:w="2303" w:type="dxa"/>
            <w:gridSpan w:val="3"/>
            <w:vMerge/>
            <w:tcBorders>
              <w:top w:val="nil"/>
              <w:left w:val="nil"/>
              <w:bottom w:val="single" w:sz="8" w:space="0" w:color="000000"/>
              <w:right w:val="single" w:sz="8" w:space="0" w:color="000000"/>
            </w:tcBorders>
            <w:vAlign w:val="center"/>
            <w:hideMark/>
          </w:tcPr>
          <w:p w14:paraId="49090BD2"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bottom w:val="single" w:sz="8" w:space="0" w:color="000000"/>
            </w:tcBorders>
            <w:shd w:val="clear" w:color="000000" w:fill="FFFF99"/>
            <w:vAlign w:val="center"/>
            <w:hideMark/>
          </w:tcPr>
          <w:p w14:paraId="7B175924" w14:textId="02BF19E9"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 Establishment of a network of institutions of internal audit units in coordination with the CHU, for exchange of experiences and best practices</w:t>
            </w:r>
          </w:p>
        </w:tc>
        <w:tc>
          <w:tcPr>
            <w:tcW w:w="1194" w:type="dxa"/>
            <w:gridSpan w:val="2"/>
            <w:tcBorders>
              <w:bottom w:val="single" w:sz="8" w:space="0" w:color="000000"/>
            </w:tcBorders>
            <w:shd w:val="clear" w:color="000000" w:fill="FFFF99"/>
            <w:vAlign w:val="center"/>
            <w:hideMark/>
          </w:tcPr>
          <w:p w14:paraId="49C3C2D2" w14:textId="1DA58643"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2026-2028</w:t>
            </w:r>
          </w:p>
        </w:tc>
        <w:tc>
          <w:tcPr>
            <w:tcW w:w="1418" w:type="dxa"/>
            <w:gridSpan w:val="3"/>
            <w:tcBorders>
              <w:bottom w:val="single" w:sz="8" w:space="0" w:color="000000"/>
            </w:tcBorders>
            <w:shd w:val="clear" w:color="000000" w:fill="FFFF99"/>
            <w:vAlign w:val="center"/>
            <w:hideMark/>
          </w:tcPr>
          <w:p w14:paraId="7615DF28" w14:textId="302E809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MF - PIFC</w:t>
            </w:r>
          </w:p>
        </w:tc>
        <w:tc>
          <w:tcPr>
            <w:tcW w:w="1644" w:type="dxa"/>
            <w:gridSpan w:val="3"/>
            <w:tcBorders>
              <w:bottom w:val="single" w:sz="8" w:space="0" w:color="000000"/>
            </w:tcBorders>
            <w:shd w:val="clear" w:color="000000" w:fill="FFFF99"/>
            <w:vAlign w:val="center"/>
            <w:hideMark/>
          </w:tcPr>
          <w:p w14:paraId="401EFED0" w14:textId="107FC2D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tcBorders>
              <w:bottom w:val="single" w:sz="8" w:space="0" w:color="000000"/>
            </w:tcBorders>
            <w:shd w:val="clear" w:color="000000" w:fill="FFFF99"/>
            <w:vAlign w:val="center"/>
            <w:hideMark/>
          </w:tcPr>
          <w:p w14:paraId="00224004" w14:textId="2337BE2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15,000</w:t>
            </w:r>
          </w:p>
        </w:tc>
        <w:tc>
          <w:tcPr>
            <w:tcW w:w="1842" w:type="dxa"/>
            <w:gridSpan w:val="4"/>
            <w:tcBorders>
              <w:bottom w:val="single" w:sz="8" w:space="0" w:color="000000"/>
            </w:tcBorders>
            <w:shd w:val="clear" w:color="000000" w:fill="FFFF99"/>
            <w:vAlign w:val="center"/>
            <w:hideMark/>
          </w:tcPr>
          <w:p w14:paraId="3CFE93BF" w14:textId="5AE79C94" w:rsidR="00DF7303" w:rsidRPr="00D30847" w:rsidRDefault="00DF7303" w:rsidP="00DF7303">
            <w:pPr>
              <w:spacing w:after="0" w:line="240" w:lineRule="auto"/>
              <w:jc w:val="center"/>
              <w:rPr>
                <w:rFonts w:ascii="Arial" w:eastAsia="Times New Roman" w:hAnsi="Arial" w:cs="Arial"/>
                <w:color w:val="000000" w:themeColor="text1"/>
                <w:sz w:val="12"/>
                <w:szCs w:val="12"/>
                <w:lang w:val="en-GB" w:eastAsia="mk-MK"/>
              </w:rPr>
            </w:pPr>
            <w:r w:rsidRPr="00D30847">
              <w:rPr>
                <w:rFonts w:ascii="Arial" w:eastAsia="Times New Roman" w:hAnsi="Arial" w:cs="Arial"/>
                <w:color w:val="000000" w:themeColor="text1"/>
                <w:sz w:val="12"/>
                <w:szCs w:val="12"/>
                <w:lang w:val="en-GB" w:eastAsia="mk-MK"/>
              </w:rPr>
              <w:t>National budget</w:t>
            </w:r>
          </w:p>
        </w:tc>
        <w:tc>
          <w:tcPr>
            <w:tcW w:w="1506" w:type="dxa"/>
            <w:gridSpan w:val="4"/>
            <w:tcBorders>
              <w:bottom w:val="single" w:sz="8" w:space="0" w:color="000000"/>
            </w:tcBorders>
            <w:shd w:val="clear" w:color="000000" w:fill="FFFF99"/>
            <w:vAlign w:val="center"/>
            <w:hideMark/>
          </w:tcPr>
          <w:p w14:paraId="0D76EC5E" w14:textId="63ADABA5" w:rsidR="00DF7303" w:rsidRPr="00D30847" w:rsidRDefault="00DF7303" w:rsidP="00DF7303">
            <w:pPr>
              <w:spacing w:after="0" w:line="240" w:lineRule="auto"/>
              <w:jc w:val="center"/>
              <w:rPr>
                <w:rFonts w:ascii="Arial" w:eastAsia="Times New Roman" w:hAnsi="Arial" w:cs="Arial"/>
                <w:sz w:val="12"/>
                <w:szCs w:val="12"/>
                <w:lang w:val="en-GB" w:eastAsia="mk-MK"/>
              </w:rPr>
            </w:pPr>
          </w:p>
        </w:tc>
      </w:tr>
      <w:tr w:rsidR="00DF7303" w:rsidRPr="00D30847" w14:paraId="4B951897" w14:textId="77777777" w:rsidTr="00FD4DDE">
        <w:trPr>
          <w:gridBefore w:val="3"/>
          <w:gridAfter w:val="1"/>
          <w:wBefore w:w="37" w:type="dxa"/>
          <w:wAfter w:w="52" w:type="dxa"/>
          <w:trHeight w:val="250"/>
          <w:jc w:val="center"/>
        </w:trPr>
        <w:tc>
          <w:tcPr>
            <w:tcW w:w="13501" w:type="dxa"/>
            <w:gridSpan w:val="28"/>
            <w:shd w:val="clear" w:color="000000" w:fill="9BD2ED"/>
            <w:vAlign w:val="center"/>
            <w:hideMark/>
          </w:tcPr>
          <w:p w14:paraId="63B255DE" w14:textId="3D986151" w:rsidR="00DF7303" w:rsidRPr="00D30847" w:rsidRDefault="00DF7303" w:rsidP="00DF7303">
            <w:pPr>
              <w:spacing w:after="0" w:line="240" w:lineRule="auto"/>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Measure 2. Improving the abilities to carry out performance and IT internal audits in the public sector institutions</w:t>
            </w:r>
          </w:p>
        </w:tc>
      </w:tr>
      <w:tr w:rsidR="00DF7303" w:rsidRPr="00D30847" w14:paraId="74928EB5" w14:textId="77777777" w:rsidTr="00FD4DDE">
        <w:trPr>
          <w:gridBefore w:val="3"/>
          <w:gridAfter w:val="1"/>
          <w:wBefore w:w="37" w:type="dxa"/>
          <w:wAfter w:w="52" w:type="dxa"/>
          <w:trHeight w:val="205"/>
          <w:jc w:val="center"/>
        </w:trPr>
        <w:tc>
          <w:tcPr>
            <w:tcW w:w="2303" w:type="dxa"/>
            <w:gridSpan w:val="3"/>
            <w:tcBorders>
              <w:top w:val="nil"/>
              <w:left w:val="nil"/>
              <w:bottom w:val="nil"/>
              <w:right w:val="single" w:sz="8" w:space="0" w:color="000000"/>
            </w:tcBorders>
            <w:shd w:val="clear" w:color="auto" w:fill="auto"/>
            <w:noWrap/>
            <w:vAlign w:val="bottom"/>
          </w:tcPr>
          <w:p w14:paraId="31DD24C2"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tcPr>
          <w:p w14:paraId="0BD80065" w14:textId="285323DC"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indicators</w:t>
            </w:r>
          </w:p>
        </w:tc>
        <w:tc>
          <w:tcPr>
            <w:tcW w:w="1194" w:type="dxa"/>
            <w:gridSpan w:val="2"/>
            <w:shd w:val="clear" w:color="000000" w:fill="9BD2ED"/>
          </w:tcPr>
          <w:p w14:paraId="7893D4F7" w14:textId="1893805F"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 source</w:t>
            </w:r>
          </w:p>
        </w:tc>
        <w:tc>
          <w:tcPr>
            <w:tcW w:w="1418" w:type="dxa"/>
            <w:gridSpan w:val="3"/>
            <w:shd w:val="clear" w:color="000000" w:fill="9BD2ED"/>
          </w:tcPr>
          <w:p w14:paraId="5A5E035C" w14:textId="026ECDFC"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FY23</w:t>
            </w:r>
          </w:p>
        </w:tc>
        <w:tc>
          <w:tcPr>
            <w:tcW w:w="1644" w:type="dxa"/>
            <w:gridSpan w:val="3"/>
            <w:shd w:val="clear" w:color="000000" w:fill="9BD2ED"/>
          </w:tcPr>
          <w:p w14:paraId="63B3D588" w14:textId="6FE0E575"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FG25</w:t>
            </w:r>
          </w:p>
        </w:tc>
        <w:tc>
          <w:tcPr>
            <w:tcW w:w="1758" w:type="dxa"/>
            <w:gridSpan w:val="4"/>
            <w:shd w:val="clear" w:color="000000" w:fill="9BD2ED"/>
          </w:tcPr>
          <w:p w14:paraId="0513BEF1" w14:textId="21CF9A1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FG26</w:t>
            </w:r>
          </w:p>
        </w:tc>
        <w:tc>
          <w:tcPr>
            <w:tcW w:w="1842" w:type="dxa"/>
            <w:gridSpan w:val="4"/>
            <w:shd w:val="clear" w:color="000000" w:fill="9BD2ED"/>
          </w:tcPr>
          <w:p w14:paraId="6190D2AE" w14:textId="34573401"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FG27</w:t>
            </w:r>
          </w:p>
        </w:tc>
        <w:tc>
          <w:tcPr>
            <w:tcW w:w="1506" w:type="dxa"/>
            <w:gridSpan w:val="4"/>
            <w:shd w:val="clear" w:color="000000" w:fill="9BD2ED"/>
          </w:tcPr>
          <w:p w14:paraId="0BEF40B8" w14:textId="1072E76D"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FG28</w:t>
            </w:r>
          </w:p>
        </w:tc>
      </w:tr>
      <w:tr w:rsidR="00DF7303" w:rsidRPr="00D30847" w14:paraId="24B969CF" w14:textId="77777777" w:rsidTr="00FD4DDE">
        <w:trPr>
          <w:gridBefore w:val="3"/>
          <w:gridAfter w:val="1"/>
          <w:wBefore w:w="37" w:type="dxa"/>
          <w:wAfter w:w="52" w:type="dxa"/>
          <w:trHeight w:val="270"/>
          <w:jc w:val="center"/>
        </w:trPr>
        <w:tc>
          <w:tcPr>
            <w:tcW w:w="2303" w:type="dxa"/>
            <w:gridSpan w:val="3"/>
            <w:vMerge w:val="restart"/>
            <w:tcBorders>
              <w:top w:val="nil"/>
              <w:left w:val="nil"/>
              <w:bottom w:val="nil"/>
              <w:right w:val="single" w:sz="8" w:space="0" w:color="000000"/>
            </w:tcBorders>
            <w:shd w:val="clear" w:color="auto" w:fill="auto"/>
            <w:noWrap/>
            <w:vAlign w:val="bottom"/>
            <w:hideMark/>
          </w:tcPr>
          <w:p w14:paraId="3579BAFA"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auto" w:fill="FFFF99"/>
            <w:vAlign w:val="center"/>
            <w:hideMark/>
          </w:tcPr>
          <w:p w14:paraId="1A06E12A" w14:textId="37A5641C" w:rsidR="00DF7303" w:rsidRPr="00D30847" w:rsidRDefault="00DF7303" w:rsidP="00650CA4">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Prepared Guideline for performance internal audits</w:t>
            </w:r>
          </w:p>
        </w:tc>
        <w:tc>
          <w:tcPr>
            <w:tcW w:w="1194" w:type="dxa"/>
            <w:gridSpan w:val="2"/>
            <w:shd w:val="clear" w:color="auto" w:fill="FFFF99"/>
            <w:vAlign w:val="center"/>
            <w:hideMark/>
          </w:tcPr>
          <w:p w14:paraId="14F8C1A8"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MF</w:t>
            </w:r>
          </w:p>
        </w:tc>
        <w:tc>
          <w:tcPr>
            <w:tcW w:w="1418" w:type="dxa"/>
            <w:gridSpan w:val="3"/>
            <w:shd w:val="clear" w:color="auto" w:fill="FFFF99"/>
            <w:vAlign w:val="center"/>
            <w:hideMark/>
          </w:tcPr>
          <w:p w14:paraId="262A02C1"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0</w:t>
            </w:r>
          </w:p>
        </w:tc>
        <w:tc>
          <w:tcPr>
            <w:tcW w:w="1644" w:type="dxa"/>
            <w:gridSpan w:val="3"/>
            <w:shd w:val="clear" w:color="auto" w:fill="FFFF99"/>
            <w:vAlign w:val="center"/>
            <w:hideMark/>
          </w:tcPr>
          <w:p w14:paraId="34B86CD9" w14:textId="16C73EE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Prepared and promoted Guideline for performance internal audits</w:t>
            </w:r>
          </w:p>
        </w:tc>
        <w:tc>
          <w:tcPr>
            <w:tcW w:w="1758" w:type="dxa"/>
            <w:gridSpan w:val="4"/>
            <w:shd w:val="clear" w:color="auto" w:fill="FFFF99"/>
            <w:vAlign w:val="center"/>
            <w:hideMark/>
          </w:tcPr>
          <w:p w14:paraId="2234864B" w14:textId="23250B01"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w:t>
            </w:r>
          </w:p>
        </w:tc>
        <w:tc>
          <w:tcPr>
            <w:tcW w:w="1842" w:type="dxa"/>
            <w:gridSpan w:val="4"/>
            <w:shd w:val="clear" w:color="auto" w:fill="FFFF99"/>
            <w:vAlign w:val="center"/>
            <w:hideMark/>
          </w:tcPr>
          <w:p w14:paraId="5410AD55" w14:textId="5F23E700"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w:t>
            </w:r>
          </w:p>
        </w:tc>
        <w:tc>
          <w:tcPr>
            <w:tcW w:w="1506" w:type="dxa"/>
            <w:gridSpan w:val="4"/>
            <w:shd w:val="clear" w:color="auto" w:fill="FFFF99"/>
            <w:vAlign w:val="center"/>
            <w:hideMark/>
          </w:tcPr>
          <w:p w14:paraId="1ED677AA" w14:textId="7F61C955"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w:t>
            </w:r>
          </w:p>
        </w:tc>
      </w:tr>
      <w:tr w:rsidR="00DF7303" w:rsidRPr="00D30847" w14:paraId="1D520023" w14:textId="77777777" w:rsidTr="00FD4DDE">
        <w:trPr>
          <w:gridBefore w:val="3"/>
          <w:gridAfter w:val="1"/>
          <w:wBefore w:w="37" w:type="dxa"/>
          <w:wAfter w:w="52" w:type="dxa"/>
          <w:trHeight w:val="492"/>
          <w:jc w:val="center"/>
        </w:trPr>
        <w:tc>
          <w:tcPr>
            <w:tcW w:w="2303" w:type="dxa"/>
            <w:gridSpan w:val="3"/>
            <w:vMerge/>
            <w:tcBorders>
              <w:top w:val="nil"/>
              <w:left w:val="nil"/>
              <w:bottom w:val="nil"/>
              <w:right w:val="single" w:sz="8" w:space="0" w:color="000000"/>
            </w:tcBorders>
            <w:vAlign w:val="center"/>
            <w:hideMark/>
          </w:tcPr>
          <w:p w14:paraId="781CF4C0"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09E65FB1" w14:textId="62A95975" w:rsidR="00DF7303" w:rsidRPr="00D30847" w:rsidRDefault="00DF7303" w:rsidP="00650CA4">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Prepared Guideline for IT internal audits</w:t>
            </w:r>
          </w:p>
        </w:tc>
        <w:tc>
          <w:tcPr>
            <w:tcW w:w="1194" w:type="dxa"/>
            <w:gridSpan w:val="2"/>
            <w:shd w:val="clear" w:color="000000" w:fill="FFFF99"/>
            <w:vAlign w:val="center"/>
            <w:hideMark/>
          </w:tcPr>
          <w:p w14:paraId="65F1B92E"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MF</w:t>
            </w:r>
          </w:p>
        </w:tc>
        <w:tc>
          <w:tcPr>
            <w:tcW w:w="1418" w:type="dxa"/>
            <w:gridSpan w:val="3"/>
            <w:shd w:val="clear" w:color="000000" w:fill="FFFF99"/>
            <w:vAlign w:val="center"/>
            <w:hideMark/>
          </w:tcPr>
          <w:p w14:paraId="0559F62D" w14:textId="2BDBD13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0</w:t>
            </w:r>
          </w:p>
        </w:tc>
        <w:tc>
          <w:tcPr>
            <w:tcW w:w="1644" w:type="dxa"/>
            <w:gridSpan w:val="3"/>
            <w:shd w:val="clear" w:color="000000" w:fill="FFFF99"/>
            <w:vAlign w:val="center"/>
            <w:hideMark/>
          </w:tcPr>
          <w:p w14:paraId="6745D55E" w14:textId="600EEC02"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Prepared and promoted Guideline for IT internal audits</w:t>
            </w:r>
          </w:p>
        </w:tc>
        <w:tc>
          <w:tcPr>
            <w:tcW w:w="1758" w:type="dxa"/>
            <w:gridSpan w:val="4"/>
            <w:shd w:val="clear" w:color="000000" w:fill="FFFF99"/>
            <w:vAlign w:val="center"/>
            <w:hideMark/>
          </w:tcPr>
          <w:p w14:paraId="7D1759C0" w14:textId="6575B604"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w:t>
            </w:r>
          </w:p>
        </w:tc>
        <w:tc>
          <w:tcPr>
            <w:tcW w:w="1842" w:type="dxa"/>
            <w:gridSpan w:val="4"/>
            <w:shd w:val="clear" w:color="000000" w:fill="FFFF99"/>
            <w:vAlign w:val="center"/>
            <w:hideMark/>
          </w:tcPr>
          <w:p w14:paraId="03DB1C74" w14:textId="6FD4A645"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w:t>
            </w:r>
          </w:p>
        </w:tc>
        <w:tc>
          <w:tcPr>
            <w:tcW w:w="1506" w:type="dxa"/>
            <w:gridSpan w:val="4"/>
            <w:shd w:val="clear" w:color="000000" w:fill="FFFF99"/>
            <w:vAlign w:val="center"/>
            <w:hideMark/>
          </w:tcPr>
          <w:p w14:paraId="07DF51CE" w14:textId="32211805"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w:t>
            </w:r>
          </w:p>
        </w:tc>
      </w:tr>
      <w:tr w:rsidR="00DF7303" w:rsidRPr="00D30847" w14:paraId="7DA147F7" w14:textId="77777777" w:rsidTr="00FD4DDE">
        <w:trPr>
          <w:gridBefore w:val="3"/>
          <w:gridAfter w:val="1"/>
          <w:wBefore w:w="37" w:type="dxa"/>
          <w:wAfter w:w="52" w:type="dxa"/>
          <w:trHeight w:val="542"/>
          <w:jc w:val="center"/>
        </w:trPr>
        <w:tc>
          <w:tcPr>
            <w:tcW w:w="2303" w:type="dxa"/>
            <w:gridSpan w:val="3"/>
            <w:vMerge/>
            <w:tcBorders>
              <w:top w:val="nil"/>
              <w:left w:val="nil"/>
              <w:bottom w:val="nil"/>
              <w:right w:val="single" w:sz="8" w:space="0" w:color="000000"/>
            </w:tcBorders>
            <w:vAlign w:val="center"/>
            <w:hideMark/>
          </w:tcPr>
          <w:p w14:paraId="6DDC104F"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2E6A9F7C" w14:textId="42C44A5F"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Increased number of conducted performance audits and IT audits. Signed Charter for conducting IT audits and performance audits</w:t>
            </w:r>
          </w:p>
        </w:tc>
        <w:tc>
          <w:tcPr>
            <w:tcW w:w="1194" w:type="dxa"/>
            <w:gridSpan w:val="2"/>
            <w:shd w:val="clear" w:color="000000" w:fill="FFFF99"/>
            <w:vAlign w:val="center"/>
            <w:hideMark/>
          </w:tcPr>
          <w:p w14:paraId="4B752A65" w14:textId="6B93CB3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MoF and ministries</w:t>
            </w:r>
          </w:p>
        </w:tc>
        <w:tc>
          <w:tcPr>
            <w:tcW w:w="1418" w:type="dxa"/>
            <w:gridSpan w:val="3"/>
            <w:shd w:val="clear" w:color="000000" w:fill="FFFF99"/>
            <w:vAlign w:val="center"/>
            <w:hideMark/>
          </w:tcPr>
          <w:p w14:paraId="68E83011"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w:t>
            </w:r>
          </w:p>
        </w:tc>
        <w:tc>
          <w:tcPr>
            <w:tcW w:w="1644" w:type="dxa"/>
            <w:gridSpan w:val="3"/>
            <w:shd w:val="clear" w:color="000000" w:fill="FFFF99"/>
            <w:vAlign w:val="center"/>
            <w:hideMark/>
          </w:tcPr>
          <w:p w14:paraId="2E88F20A" w14:textId="15A4F662"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6</w:t>
            </w:r>
          </w:p>
        </w:tc>
        <w:tc>
          <w:tcPr>
            <w:tcW w:w="1758" w:type="dxa"/>
            <w:gridSpan w:val="4"/>
            <w:shd w:val="clear" w:color="000000" w:fill="FFFF99"/>
            <w:vAlign w:val="center"/>
            <w:hideMark/>
          </w:tcPr>
          <w:p w14:paraId="56BA38C2"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15</w:t>
            </w:r>
          </w:p>
        </w:tc>
        <w:tc>
          <w:tcPr>
            <w:tcW w:w="1842" w:type="dxa"/>
            <w:gridSpan w:val="4"/>
            <w:shd w:val="clear" w:color="000000" w:fill="FFFF99"/>
            <w:vAlign w:val="center"/>
            <w:hideMark/>
          </w:tcPr>
          <w:p w14:paraId="41203D1F"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21</w:t>
            </w:r>
          </w:p>
        </w:tc>
        <w:tc>
          <w:tcPr>
            <w:tcW w:w="1506" w:type="dxa"/>
            <w:gridSpan w:val="4"/>
            <w:shd w:val="clear" w:color="000000" w:fill="FFFF99"/>
            <w:vAlign w:val="center"/>
            <w:hideMark/>
          </w:tcPr>
          <w:p w14:paraId="0CD5B584"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27</w:t>
            </w:r>
          </w:p>
        </w:tc>
      </w:tr>
      <w:tr w:rsidR="00DF7303" w:rsidRPr="00D30847" w14:paraId="3D2D279A" w14:textId="77777777" w:rsidTr="00FD4DDE">
        <w:trPr>
          <w:gridBefore w:val="3"/>
          <w:gridAfter w:val="1"/>
          <w:wBefore w:w="37" w:type="dxa"/>
          <w:wAfter w:w="52" w:type="dxa"/>
          <w:trHeight w:val="270"/>
          <w:jc w:val="center"/>
        </w:trPr>
        <w:tc>
          <w:tcPr>
            <w:tcW w:w="2303" w:type="dxa"/>
            <w:gridSpan w:val="3"/>
            <w:vMerge/>
            <w:tcBorders>
              <w:top w:val="nil"/>
              <w:left w:val="nil"/>
              <w:bottom w:val="nil"/>
              <w:right w:val="single" w:sz="8" w:space="0" w:color="000000"/>
            </w:tcBorders>
            <w:vAlign w:val="center"/>
            <w:hideMark/>
          </w:tcPr>
          <w:p w14:paraId="2F52C5B8"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1577E868"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Activity</w:t>
            </w:r>
          </w:p>
        </w:tc>
        <w:tc>
          <w:tcPr>
            <w:tcW w:w="1194" w:type="dxa"/>
            <w:gridSpan w:val="2"/>
            <w:shd w:val="clear" w:color="000000" w:fill="9BD2ED"/>
            <w:vAlign w:val="center"/>
            <w:hideMark/>
          </w:tcPr>
          <w:p w14:paraId="341B98FA" w14:textId="2C880B7B"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Period of realization</w:t>
            </w:r>
          </w:p>
        </w:tc>
        <w:tc>
          <w:tcPr>
            <w:tcW w:w="1418" w:type="dxa"/>
            <w:gridSpan w:val="3"/>
            <w:shd w:val="clear" w:color="000000" w:fill="9BD2ED"/>
            <w:vAlign w:val="center"/>
            <w:hideMark/>
          </w:tcPr>
          <w:p w14:paraId="21C87554" w14:textId="7A2D3636"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 institution</w:t>
            </w:r>
          </w:p>
        </w:tc>
        <w:tc>
          <w:tcPr>
            <w:tcW w:w="1644" w:type="dxa"/>
            <w:gridSpan w:val="3"/>
            <w:shd w:val="clear" w:color="000000" w:fill="9BD2ED"/>
            <w:vAlign w:val="center"/>
            <w:hideMark/>
          </w:tcPr>
          <w:p w14:paraId="2249EE6F" w14:textId="3385AF3A"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 partners</w:t>
            </w:r>
          </w:p>
        </w:tc>
        <w:tc>
          <w:tcPr>
            <w:tcW w:w="1758" w:type="dxa"/>
            <w:gridSpan w:val="4"/>
            <w:shd w:val="clear" w:color="000000" w:fill="9BD2ED"/>
            <w:vAlign w:val="center"/>
            <w:hideMark/>
          </w:tcPr>
          <w:p w14:paraId="094CE6C7"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663E1A96" w14:textId="5A88D23F"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 of funding</w:t>
            </w:r>
          </w:p>
        </w:tc>
        <w:tc>
          <w:tcPr>
            <w:tcW w:w="1506" w:type="dxa"/>
            <w:gridSpan w:val="4"/>
            <w:shd w:val="clear" w:color="000000" w:fill="9BD2ED"/>
            <w:vAlign w:val="center"/>
            <w:hideMark/>
          </w:tcPr>
          <w:p w14:paraId="778ED277"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DF7303" w:rsidRPr="00D30847" w14:paraId="43DE1DFE" w14:textId="77777777" w:rsidTr="00FD4DDE">
        <w:trPr>
          <w:gridBefore w:val="3"/>
          <w:gridAfter w:val="1"/>
          <w:wBefore w:w="37" w:type="dxa"/>
          <w:wAfter w:w="52" w:type="dxa"/>
          <w:trHeight w:val="565"/>
          <w:jc w:val="center"/>
        </w:trPr>
        <w:tc>
          <w:tcPr>
            <w:tcW w:w="2303" w:type="dxa"/>
            <w:gridSpan w:val="3"/>
            <w:vMerge/>
            <w:tcBorders>
              <w:top w:val="nil"/>
              <w:left w:val="nil"/>
              <w:bottom w:val="nil"/>
              <w:right w:val="single" w:sz="8" w:space="0" w:color="000000"/>
            </w:tcBorders>
            <w:vAlign w:val="center"/>
            <w:hideMark/>
          </w:tcPr>
          <w:p w14:paraId="085508E7"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4143441C" w14:textId="26F667E8"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Preparation and promotion methodology for specific type of internal audits</w:t>
            </w:r>
          </w:p>
        </w:tc>
        <w:tc>
          <w:tcPr>
            <w:tcW w:w="1194" w:type="dxa"/>
            <w:gridSpan w:val="2"/>
            <w:shd w:val="clear" w:color="000000" w:fill="FFFF99"/>
            <w:vAlign w:val="center"/>
            <w:hideMark/>
          </w:tcPr>
          <w:p w14:paraId="4C98B6DF" w14:textId="0DF7D14D"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18" w:type="dxa"/>
            <w:gridSpan w:val="3"/>
            <w:shd w:val="clear" w:color="000000" w:fill="FFFF99"/>
            <w:vAlign w:val="center"/>
            <w:hideMark/>
          </w:tcPr>
          <w:p w14:paraId="19AC548B" w14:textId="5C83F08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MF - PIFC</w:t>
            </w:r>
          </w:p>
        </w:tc>
        <w:tc>
          <w:tcPr>
            <w:tcW w:w="1644" w:type="dxa"/>
            <w:gridSpan w:val="3"/>
            <w:shd w:val="clear" w:color="000000" w:fill="FFFF99"/>
            <w:vAlign w:val="center"/>
            <w:hideMark/>
          </w:tcPr>
          <w:p w14:paraId="03340F93" w14:textId="0C396EAD"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shd w:val="clear" w:color="000000" w:fill="FFFF99"/>
            <w:vAlign w:val="center"/>
            <w:hideMark/>
          </w:tcPr>
          <w:p w14:paraId="7F461AEB"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shd w:val="clear" w:color="000000" w:fill="FFFF99"/>
            <w:vAlign w:val="center"/>
            <w:hideMark/>
          </w:tcPr>
          <w:p w14:paraId="3F83A322" w14:textId="1B3C8913"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506" w:type="dxa"/>
            <w:gridSpan w:val="4"/>
            <w:shd w:val="clear" w:color="000000" w:fill="FFFF99"/>
            <w:vAlign w:val="center"/>
            <w:hideMark/>
          </w:tcPr>
          <w:p w14:paraId="38162033" w14:textId="19296252" w:rsidR="00DF7303" w:rsidRPr="00D30847" w:rsidRDefault="00DF7303" w:rsidP="00DF7303">
            <w:pPr>
              <w:spacing w:after="0" w:line="240" w:lineRule="auto"/>
              <w:jc w:val="center"/>
              <w:rPr>
                <w:rFonts w:ascii="Arial" w:eastAsia="Times New Roman" w:hAnsi="Arial" w:cs="Arial"/>
                <w:sz w:val="12"/>
                <w:szCs w:val="12"/>
                <w:lang w:val="en-GB" w:eastAsia="mk-MK"/>
              </w:rPr>
            </w:pPr>
          </w:p>
        </w:tc>
      </w:tr>
      <w:tr w:rsidR="00DF7303" w:rsidRPr="00D30847" w14:paraId="4B403D1A" w14:textId="77777777" w:rsidTr="00FD4DDE">
        <w:trPr>
          <w:gridBefore w:val="3"/>
          <w:gridAfter w:val="1"/>
          <w:wBefore w:w="37" w:type="dxa"/>
          <w:wAfter w:w="52" w:type="dxa"/>
          <w:trHeight w:val="663"/>
          <w:jc w:val="center"/>
        </w:trPr>
        <w:tc>
          <w:tcPr>
            <w:tcW w:w="2303" w:type="dxa"/>
            <w:gridSpan w:val="3"/>
            <w:tcBorders>
              <w:top w:val="nil"/>
              <w:left w:val="nil"/>
              <w:bottom w:val="nil"/>
              <w:right w:val="single" w:sz="8" w:space="0" w:color="000000"/>
            </w:tcBorders>
            <w:vAlign w:val="center"/>
          </w:tcPr>
          <w:p w14:paraId="3B316E78"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tcPr>
          <w:p w14:paraId="7267B939" w14:textId="1D1CDB8C"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Analysis of the situation and determination of the need for the establishment of a Central Unit for IT internal audits in the Ministry of Finance</w:t>
            </w:r>
          </w:p>
        </w:tc>
        <w:tc>
          <w:tcPr>
            <w:tcW w:w="1194" w:type="dxa"/>
            <w:gridSpan w:val="2"/>
            <w:shd w:val="clear" w:color="000000" w:fill="FFFF99"/>
            <w:vAlign w:val="center"/>
          </w:tcPr>
          <w:p w14:paraId="1039B26D" w14:textId="77252294"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2027</w:t>
            </w:r>
          </w:p>
        </w:tc>
        <w:tc>
          <w:tcPr>
            <w:tcW w:w="1418" w:type="dxa"/>
            <w:gridSpan w:val="3"/>
            <w:shd w:val="clear" w:color="000000" w:fill="FFFF99"/>
            <w:vAlign w:val="center"/>
          </w:tcPr>
          <w:p w14:paraId="107EB6AC" w14:textId="316EF911"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MF - PIFC</w:t>
            </w:r>
          </w:p>
        </w:tc>
        <w:tc>
          <w:tcPr>
            <w:tcW w:w="1644" w:type="dxa"/>
            <w:gridSpan w:val="3"/>
            <w:shd w:val="clear" w:color="000000" w:fill="FFFF99"/>
            <w:vAlign w:val="center"/>
          </w:tcPr>
          <w:p w14:paraId="6832AB5D"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SIGMA/EU</w:t>
            </w:r>
          </w:p>
        </w:tc>
        <w:tc>
          <w:tcPr>
            <w:tcW w:w="1758" w:type="dxa"/>
            <w:gridSpan w:val="4"/>
            <w:shd w:val="clear" w:color="000000" w:fill="FFFF99"/>
            <w:vAlign w:val="center"/>
          </w:tcPr>
          <w:p w14:paraId="7AE5088A" w14:textId="3C76F7C6"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25,000</w:t>
            </w:r>
          </w:p>
        </w:tc>
        <w:tc>
          <w:tcPr>
            <w:tcW w:w="1842" w:type="dxa"/>
            <w:gridSpan w:val="4"/>
            <w:shd w:val="clear" w:color="000000" w:fill="FFFF99"/>
            <w:vAlign w:val="center"/>
          </w:tcPr>
          <w:p w14:paraId="3F859CB4" w14:textId="66AC7D0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color w:val="000000" w:themeColor="text1"/>
                <w:sz w:val="12"/>
                <w:szCs w:val="12"/>
                <w:lang w:val="en-GB" w:eastAsia="mk-MK"/>
              </w:rPr>
              <w:t>National budget and donors funds</w:t>
            </w:r>
          </w:p>
        </w:tc>
        <w:tc>
          <w:tcPr>
            <w:tcW w:w="1506" w:type="dxa"/>
            <w:gridSpan w:val="4"/>
            <w:shd w:val="clear" w:color="000000" w:fill="FFFF99"/>
            <w:noWrap/>
            <w:vAlign w:val="center"/>
          </w:tcPr>
          <w:p w14:paraId="03D987ED" w14:textId="29C5826D" w:rsidR="00DF7303" w:rsidRPr="00D30847" w:rsidRDefault="00DF7303" w:rsidP="00DF7303">
            <w:pPr>
              <w:spacing w:after="0" w:line="240" w:lineRule="auto"/>
              <w:jc w:val="center"/>
              <w:rPr>
                <w:rFonts w:ascii="Arial" w:eastAsia="Times New Roman" w:hAnsi="Arial" w:cs="Arial"/>
                <w:sz w:val="12"/>
                <w:szCs w:val="12"/>
                <w:lang w:val="en-GB" w:eastAsia="mk-MK"/>
              </w:rPr>
            </w:pPr>
          </w:p>
        </w:tc>
      </w:tr>
      <w:tr w:rsidR="00DF7303" w:rsidRPr="00D30847" w14:paraId="75082745" w14:textId="77777777" w:rsidTr="00FD4DDE">
        <w:trPr>
          <w:gridBefore w:val="3"/>
          <w:gridAfter w:val="1"/>
          <w:wBefore w:w="37" w:type="dxa"/>
          <w:wAfter w:w="52" w:type="dxa"/>
          <w:trHeight w:val="241"/>
          <w:jc w:val="center"/>
        </w:trPr>
        <w:tc>
          <w:tcPr>
            <w:tcW w:w="13501" w:type="dxa"/>
            <w:gridSpan w:val="28"/>
            <w:shd w:val="clear" w:color="000000" w:fill="1F3864"/>
            <w:vAlign w:val="center"/>
            <w:hideMark/>
          </w:tcPr>
          <w:p w14:paraId="7A74FC83" w14:textId="7BF1879F" w:rsidR="00DF7303" w:rsidRPr="00D30847" w:rsidRDefault="00DF7303" w:rsidP="00DF7303">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PILLAR VII. External audit and parliamentary oversight</w:t>
            </w:r>
          </w:p>
        </w:tc>
      </w:tr>
      <w:tr w:rsidR="00DF7303" w:rsidRPr="00D30847" w14:paraId="6A9663D8" w14:textId="77777777" w:rsidTr="00FD4DDE">
        <w:trPr>
          <w:gridBefore w:val="3"/>
          <w:gridAfter w:val="1"/>
          <w:wBefore w:w="37" w:type="dxa"/>
          <w:wAfter w:w="52" w:type="dxa"/>
          <w:trHeight w:val="250"/>
          <w:jc w:val="center"/>
        </w:trPr>
        <w:tc>
          <w:tcPr>
            <w:tcW w:w="13501" w:type="dxa"/>
            <w:gridSpan w:val="28"/>
            <w:shd w:val="clear" w:color="000000" w:fill="1F3864"/>
            <w:vAlign w:val="center"/>
            <w:hideMark/>
          </w:tcPr>
          <w:p w14:paraId="54D781AB" w14:textId="1C3B5EDB" w:rsidR="00DF7303" w:rsidRPr="00D30847" w:rsidRDefault="00DF7303" w:rsidP="00DF7303">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PRIORITY 1. External audit</w:t>
            </w:r>
          </w:p>
        </w:tc>
      </w:tr>
      <w:tr w:rsidR="00DF7303" w:rsidRPr="00D30847" w14:paraId="5680DCF8" w14:textId="77777777" w:rsidTr="00FD4DDE">
        <w:trPr>
          <w:gridBefore w:val="3"/>
          <w:gridAfter w:val="1"/>
          <w:wBefore w:w="37" w:type="dxa"/>
          <w:wAfter w:w="52" w:type="dxa"/>
          <w:trHeight w:val="238"/>
          <w:jc w:val="center"/>
        </w:trPr>
        <w:tc>
          <w:tcPr>
            <w:tcW w:w="2303" w:type="dxa"/>
            <w:gridSpan w:val="3"/>
            <w:shd w:val="clear" w:color="000000" w:fill="9BD2ED"/>
            <w:vAlign w:val="center"/>
            <w:hideMark/>
          </w:tcPr>
          <w:p w14:paraId="268156CC"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lastRenderedPageBreak/>
              <w:t>Outcome(s)</w:t>
            </w:r>
          </w:p>
        </w:tc>
        <w:tc>
          <w:tcPr>
            <w:tcW w:w="1836" w:type="dxa"/>
            <w:gridSpan w:val="5"/>
            <w:shd w:val="clear" w:color="000000" w:fill="9BD2ED"/>
            <w:vAlign w:val="center"/>
            <w:hideMark/>
          </w:tcPr>
          <w:p w14:paraId="4AEB9737" w14:textId="02ACD411"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w:t>
            </w:r>
          </w:p>
        </w:tc>
        <w:tc>
          <w:tcPr>
            <w:tcW w:w="1194" w:type="dxa"/>
            <w:gridSpan w:val="2"/>
            <w:shd w:val="clear" w:color="000000" w:fill="9BD2ED"/>
            <w:vAlign w:val="center"/>
            <w:hideMark/>
          </w:tcPr>
          <w:p w14:paraId="4B150148" w14:textId="3B502FDF"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 Source</w:t>
            </w:r>
          </w:p>
        </w:tc>
        <w:tc>
          <w:tcPr>
            <w:tcW w:w="1418" w:type="dxa"/>
            <w:gridSpan w:val="3"/>
            <w:shd w:val="clear" w:color="000000" w:fill="9BD2ED"/>
            <w:vAlign w:val="center"/>
            <w:hideMark/>
          </w:tcPr>
          <w:p w14:paraId="7FDEFAFF" w14:textId="024559BA"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FY23</w:t>
            </w:r>
          </w:p>
        </w:tc>
        <w:tc>
          <w:tcPr>
            <w:tcW w:w="1644" w:type="dxa"/>
            <w:gridSpan w:val="3"/>
            <w:shd w:val="clear" w:color="000000" w:fill="9BD2ED"/>
            <w:vAlign w:val="center"/>
            <w:hideMark/>
          </w:tcPr>
          <w:p w14:paraId="285012A8" w14:textId="398FE26D"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FY25</w:t>
            </w:r>
          </w:p>
        </w:tc>
        <w:tc>
          <w:tcPr>
            <w:tcW w:w="1758" w:type="dxa"/>
            <w:gridSpan w:val="4"/>
            <w:shd w:val="clear" w:color="000000" w:fill="9BD2ED"/>
            <w:vAlign w:val="center"/>
            <w:hideMark/>
          </w:tcPr>
          <w:p w14:paraId="22E880FD" w14:textId="5FEE4FBB"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w:t>
            </w:r>
          </w:p>
        </w:tc>
        <w:tc>
          <w:tcPr>
            <w:tcW w:w="1842" w:type="dxa"/>
            <w:gridSpan w:val="4"/>
            <w:shd w:val="clear" w:color="000000" w:fill="9BD2ED"/>
            <w:vAlign w:val="center"/>
            <w:hideMark/>
          </w:tcPr>
          <w:p w14:paraId="4CA9281A" w14:textId="5475AB7F"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FY27</w:t>
            </w:r>
          </w:p>
        </w:tc>
        <w:tc>
          <w:tcPr>
            <w:tcW w:w="1506" w:type="dxa"/>
            <w:gridSpan w:val="4"/>
            <w:shd w:val="clear" w:color="000000" w:fill="9BD2ED"/>
            <w:vAlign w:val="center"/>
            <w:hideMark/>
          </w:tcPr>
          <w:p w14:paraId="10743E25" w14:textId="41411CED"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FY28</w:t>
            </w:r>
          </w:p>
        </w:tc>
      </w:tr>
      <w:tr w:rsidR="00DF7303" w:rsidRPr="00D30847" w14:paraId="532AB83B" w14:textId="77777777" w:rsidTr="00FD4DDE">
        <w:trPr>
          <w:gridBefore w:val="3"/>
          <w:gridAfter w:val="1"/>
          <w:wBefore w:w="37" w:type="dxa"/>
          <w:wAfter w:w="52" w:type="dxa"/>
          <w:trHeight w:val="601"/>
          <w:jc w:val="center"/>
        </w:trPr>
        <w:tc>
          <w:tcPr>
            <w:tcW w:w="2303" w:type="dxa"/>
            <w:gridSpan w:val="3"/>
            <w:shd w:val="clear" w:color="000000" w:fill="FFFF99"/>
            <w:hideMark/>
          </w:tcPr>
          <w:p w14:paraId="28A9F388" w14:textId="31069E0F"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 Reduced tax evasion and increasing fiscal discipline / increasing revenues in the Budget of RNM</w:t>
            </w:r>
          </w:p>
        </w:tc>
        <w:tc>
          <w:tcPr>
            <w:tcW w:w="1836" w:type="dxa"/>
            <w:gridSpan w:val="5"/>
            <w:shd w:val="clear" w:color="000000" w:fill="FFFF99"/>
            <w:hideMark/>
          </w:tcPr>
          <w:p w14:paraId="1AF06F4A" w14:textId="2CBEAD52"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Established amount of funds that have not been paid in the Budget of RNM</w:t>
            </w:r>
          </w:p>
        </w:tc>
        <w:tc>
          <w:tcPr>
            <w:tcW w:w="1194" w:type="dxa"/>
            <w:gridSpan w:val="2"/>
            <w:shd w:val="clear" w:color="000000" w:fill="FFFF99"/>
            <w:hideMark/>
          </w:tcPr>
          <w:p w14:paraId="14EA3D48" w14:textId="149FB85A"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SAO Annual report on the performed audits and operation</w:t>
            </w:r>
          </w:p>
        </w:tc>
        <w:tc>
          <w:tcPr>
            <w:tcW w:w="1418" w:type="dxa"/>
            <w:gridSpan w:val="3"/>
            <w:shd w:val="clear" w:color="000000" w:fill="FFFF99"/>
            <w:vAlign w:val="center"/>
            <w:hideMark/>
          </w:tcPr>
          <w:p w14:paraId="793DACFF"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17,000 euros</w:t>
            </w:r>
          </w:p>
        </w:tc>
        <w:tc>
          <w:tcPr>
            <w:tcW w:w="1644" w:type="dxa"/>
            <w:gridSpan w:val="3"/>
            <w:shd w:val="clear" w:color="000000" w:fill="FFFF99"/>
            <w:vAlign w:val="center"/>
            <w:hideMark/>
          </w:tcPr>
          <w:p w14:paraId="4E22BB88"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16,000 euros</w:t>
            </w:r>
          </w:p>
        </w:tc>
        <w:tc>
          <w:tcPr>
            <w:tcW w:w="1758" w:type="dxa"/>
            <w:gridSpan w:val="4"/>
            <w:shd w:val="clear" w:color="000000" w:fill="FFFF99"/>
            <w:vAlign w:val="center"/>
            <w:hideMark/>
          </w:tcPr>
          <w:p w14:paraId="258124DA"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11,000 euros</w:t>
            </w:r>
          </w:p>
        </w:tc>
        <w:tc>
          <w:tcPr>
            <w:tcW w:w="1842" w:type="dxa"/>
            <w:gridSpan w:val="4"/>
            <w:shd w:val="clear" w:color="000000" w:fill="FFFF99"/>
            <w:vAlign w:val="center"/>
            <w:hideMark/>
          </w:tcPr>
          <w:p w14:paraId="666F8DDE"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9,000 euros</w:t>
            </w:r>
          </w:p>
        </w:tc>
        <w:tc>
          <w:tcPr>
            <w:tcW w:w="1506" w:type="dxa"/>
            <w:gridSpan w:val="4"/>
            <w:shd w:val="clear" w:color="000000" w:fill="FFFF99"/>
            <w:vAlign w:val="center"/>
            <w:hideMark/>
          </w:tcPr>
          <w:p w14:paraId="60A27336"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7000 Eur</w:t>
            </w:r>
          </w:p>
        </w:tc>
      </w:tr>
      <w:tr w:rsidR="00DF7303" w:rsidRPr="00D30847" w14:paraId="6A404C4F" w14:textId="77777777" w:rsidTr="00FD4DDE">
        <w:trPr>
          <w:gridBefore w:val="3"/>
          <w:gridAfter w:val="1"/>
          <w:wBefore w:w="37" w:type="dxa"/>
          <w:wAfter w:w="52" w:type="dxa"/>
          <w:trHeight w:val="680"/>
          <w:jc w:val="center"/>
        </w:trPr>
        <w:tc>
          <w:tcPr>
            <w:tcW w:w="2303" w:type="dxa"/>
            <w:gridSpan w:val="3"/>
            <w:shd w:val="clear" w:color="000000" w:fill="FFFF99"/>
            <w:hideMark/>
          </w:tcPr>
          <w:p w14:paraId="28EA9291" w14:textId="27BF0BC3"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II. Reduced tax evasion and increasing  fiscal discipline / increase in revenues in the budgets of LSG  and the City of Skopje</w:t>
            </w:r>
          </w:p>
        </w:tc>
        <w:tc>
          <w:tcPr>
            <w:tcW w:w="1836" w:type="dxa"/>
            <w:gridSpan w:val="5"/>
            <w:shd w:val="clear" w:color="000000" w:fill="FFFF99"/>
            <w:hideMark/>
          </w:tcPr>
          <w:p w14:paraId="4A058411" w14:textId="31B0ED1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Established amount of funds that have not been paid into the Budget of the municipalities and the city of Skopje</w:t>
            </w:r>
          </w:p>
        </w:tc>
        <w:tc>
          <w:tcPr>
            <w:tcW w:w="1194" w:type="dxa"/>
            <w:gridSpan w:val="2"/>
            <w:shd w:val="clear" w:color="000000" w:fill="FFFF99"/>
            <w:hideMark/>
          </w:tcPr>
          <w:p w14:paraId="50A84D47" w14:textId="5EB0FAF6"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SAO Annual report on the performed audits and operation</w:t>
            </w:r>
          </w:p>
        </w:tc>
        <w:tc>
          <w:tcPr>
            <w:tcW w:w="1418" w:type="dxa"/>
            <w:gridSpan w:val="3"/>
            <w:shd w:val="clear" w:color="000000" w:fill="FFFF99"/>
            <w:vAlign w:val="center"/>
            <w:hideMark/>
          </w:tcPr>
          <w:p w14:paraId="63A9731C"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12,000 euros</w:t>
            </w:r>
          </w:p>
        </w:tc>
        <w:tc>
          <w:tcPr>
            <w:tcW w:w="1644" w:type="dxa"/>
            <w:gridSpan w:val="3"/>
            <w:shd w:val="clear" w:color="000000" w:fill="FFFF99"/>
            <w:vAlign w:val="center"/>
            <w:hideMark/>
          </w:tcPr>
          <w:p w14:paraId="76B1DC99"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8,000 euros</w:t>
            </w:r>
          </w:p>
        </w:tc>
        <w:tc>
          <w:tcPr>
            <w:tcW w:w="1758" w:type="dxa"/>
            <w:gridSpan w:val="4"/>
            <w:shd w:val="clear" w:color="000000" w:fill="FFFF99"/>
            <w:vAlign w:val="center"/>
            <w:hideMark/>
          </w:tcPr>
          <w:p w14:paraId="2068DB36"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6,000 euros</w:t>
            </w:r>
          </w:p>
        </w:tc>
        <w:tc>
          <w:tcPr>
            <w:tcW w:w="1842" w:type="dxa"/>
            <w:gridSpan w:val="4"/>
            <w:shd w:val="clear" w:color="000000" w:fill="FFFF99"/>
            <w:vAlign w:val="center"/>
            <w:hideMark/>
          </w:tcPr>
          <w:p w14:paraId="71AE6362"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4,000 euros</w:t>
            </w:r>
          </w:p>
        </w:tc>
        <w:tc>
          <w:tcPr>
            <w:tcW w:w="1506" w:type="dxa"/>
            <w:gridSpan w:val="4"/>
            <w:shd w:val="clear" w:color="000000" w:fill="FFFF99"/>
            <w:vAlign w:val="center"/>
            <w:hideMark/>
          </w:tcPr>
          <w:p w14:paraId="4A278C5B"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2,000 euros</w:t>
            </w:r>
          </w:p>
        </w:tc>
      </w:tr>
      <w:tr w:rsidR="00DF7303" w:rsidRPr="00D30847" w14:paraId="7E4A8A02" w14:textId="77777777" w:rsidTr="00FD4DDE">
        <w:trPr>
          <w:gridBefore w:val="3"/>
          <w:gridAfter w:val="1"/>
          <w:wBefore w:w="37" w:type="dxa"/>
          <w:wAfter w:w="52" w:type="dxa"/>
          <w:trHeight w:val="680"/>
          <w:jc w:val="center"/>
        </w:trPr>
        <w:tc>
          <w:tcPr>
            <w:tcW w:w="2303" w:type="dxa"/>
            <w:gridSpan w:val="3"/>
            <w:shd w:val="clear" w:color="000000" w:fill="FFFF99"/>
          </w:tcPr>
          <w:p w14:paraId="3FBC56F4" w14:textId="072CF9FF"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III. Adhered principles when awarding public procurement contracts</w:t>
            </w:r>
          </w:p>
        </w:tc>
        <w:tc>
          <w:tcPr>
            <w:tcW w:w="1836" w:type="dxa"/>
            <w:gridSpan w:val="5"/>
            <w:shd w:val="clear" w:color="000000" w:fill="FFFF99"/>
          </w:tcPr>
          <w:p w14:paraId="3760A9D4" w14:textId="4E1DB73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Established amount of funds during the awarding of contracts for public procurement where irregularities were identified  with the audits;</w:t>
            </w:r>
          </w:p>
        </w:tc>
        <w:tc>
          <w:tcPr>
            <w:tcW w:w="1194" w:type="dxa"/>
            <w:gridSpan w:val="2"/>
            <w:shd w:val="clear" w:color="000000" w:fill="FFFF99"/>
          </w:tcPr>
          <w:p w14:paraId="12600608" w14:textId="31A6651A"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SAO Annual report on performed audits and operations</w:t>
            </w:r>
          </w:p>
        </w:tc>
        <w:tc>
          <w:tcPr>
            <w:tcW w:w="1418" w:type="dxa"/>
            <w:gridSpan w:val="3"/>
            <w:shd w:val="clear" w:color="000000" w:fill="FFFF99"/>
            <w:vAlign w:val="center"/>
          </w:tcPr>
          <w:p w14:paraId="08D4167C"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10,900 euros</w:t>
            </w:r>
          </w:p>
        </w:tc>
        <w:tc>
          <w:tcPr>
            <w:tcW w:w="1644" w:type="dxa"/>
            <w:gridSpan w:val="3"/>
            <w:shd w:val="clear" w:color="000000" w:fill="FFFF99"/>
            <w:vAlign w:val="center"/>
          </w:tcPr>
          <w:p w14:paraId="4B6F41A7"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8,100 euros</w:t>
            </w:r>
          </w:p>
        </w:tc>
        <w:tc>
          <w:tcPr>
            <w:tcW w:w="1758" w:type="dxa"/>
            <w:gridSpan w:val="4"/>
            <w:shd w:val="clear" w:color="000000" w:fill="FFFF99"/>
            <w:vAlign w:val="center"/>
          </w:tcPr>
          <w:p w14:paraId="06367CC3"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7,500 euros</w:t>
            </w:r>
          </w:p>
        </w:tc>
        <w:tc>
          <w:tcPr>
            <w:tcW w:w="1842" w:type="dxa"/>
            <w:gridSpan w:val="4"/>
            <w:shd w:val="clear" w:color="000000" w:fill="FFFF99"/>
            <w:vAlign w:val="center"/>
          </w:tcPr>
          <w:p w14:paraId="735CF730"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p w14:paraId="5083EF09" w14:textId="77777777" w:rsidR="00DF7303" w:rsidRPr="00D30847" w:rsidRDefault="00DF7303" w:rsidP="00DF7303">
            <w:pPr>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7.300 euros</w:t>
            </w:r>
          </w:p>
        </w:tc>
        <w:tc>
          <w:tcPr>
            <w:tcW w:w="1506" w:type="dxa"/>
            <w:gridSpan w:val="4"/>
            <w:shd w:val="clear" w:color="000000" w:fill="FFFF99"/>
            <w:vAlign w:val="center"/>
          </w:tcPr>
          <w:p w14:paraId="70761D2F"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≥7.000 euros</w:t>
            </w:r>
          </w:p>
        </w:tc>
      </w:tr>
      <w:tr w:rsidR="00DF7303" w:rsidRPr="00D30847" w14:paraId="014831CD" w14:textId="77777777" w:rsidTr="00FD4DDE">
        <w:trPr>
          <w:gridBefore w:val="3"/>
          <w:gridAfter w:val="1"/>
          <w:wBefore w:w="37" w:type="dxa"/>
          <w:wAfter w:w="52" w:type="dxa"/>
          <w:trHeight w:val="781"/>
          <w:jc w:val="center"/>
        </w:trPr>
        <w:tc>
          <w:tcPr>
            <w:tcW w:w="2303" w:type="dxa"/>
            <w:gridSpan w:val="3"/>
            <w:shd w:val="clear" w:color="000000" w:fill="FFFF99"/>
          </w:tcPr>
          <w:p w14:paraId="0C9D6B56"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p w14:paraId="0E2B786B" w14:textId="79FF7840" w:rsidR="00DF7303" w:rsidRPr="00D30847" w:rsidRDefault="00DF7303" w:rsidP="00DF7303">
            <w:pP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IV. Scope of audits of LGUs and the City of Skopje, PE at the central and local level and trade companies in state ownership</w:t>
            </w:r>
          </w:p>
        </w:tc>
        <w:tc>
          <w:tcPr>
            <w:tcW w:w="1836" w:type="dxa"/>
            <w:gridSpan w:val="5"/>
            <w:shd w:val="clear" w:color="000000" w:fill="FFFF99"/>
          </w:tcPr>
          <w:p w14:paraId="34B760DC" w14:textId="58B52C61"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covered audits of LGUs and the City of Skopje, PE at the central and local level and trade companies in state ownership</w:t>
            </w:r>
          </w:p>
        </w:tc>
        <w:tc>
          <w:tcPr>
            <w:tcW w:w="1194" w:type="dxa"/>
            <w:gridSpan w:val="2"/>
            <w:shd w:val="clear" w:color="000000" w:fill="FFFF99"/>
          </w:tcPr>
          <w:p w14:paraId="7A0BB667" w14:textId="742BA25E"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SAO Annual report on performed audits and operations</w:t>
            </w:r>
          </w:p>
        </w:tc>
        <w:tc>
          <w:tcPr>
            <w:tcW w:w="1418" w:type="dxa"/>
            <w:gridSpan w:val="3"/>
            <w:shd w:val="clear" w:color="000000" w:fill="FFFF99"/>
            <w:vAlign w:val="center"/>
          </w:tcPr>
          <w:p w14:paraId="2E618F7F"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12</w:t>
            </w:r>
          </w:p>
        </w:tc>
        <w:tc>
          <w:tcPr>
            <w:tcW w:w="1644" w:type="dxa"/>
            <w:gridSpan w:val="3"/>
            <w:shd w:val="clear" w:color="000000" w:fill="FFFF99"/>
            <w:vAlign w:val="center"/>
          </w:tcPr>
          <w:p w14:paraId="6FCABB33"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14</w:t>
            </w:r>
          </w:p>
        </w:tc>
        <w:tc>
          <w:tcPr>
            <w:tcW w:w="1758" w:type="dxa"/>
            <w:gridSpan w:val="4"/>
            <w:shd w:val="clear" w:color="000000" w:fill="FFFF99"/>
            <w:vAlign w:val="center"/>
          </w:tcPr>
          <w:p w14:paraId="4F7C78FB"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15</w:t>
            </w:r>
          </w:p>
        </w:tc>
        <w:tc>
          <w:tcPr>
            <w:tcW w:w="1842" w:type="dxa"/>
            <w:gridSpan w:val="4"/>
            <w:shd w:val="clear" w:color="000000" w:fill="FFFF99"/>
            <w:vAlign w:val="center"/>
          </w:tcPr>
          <w:p w14:paraId="753A0CEC"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16</w:t>
            </w:r>
          </w:p>
        </w:tc>
        <w:tc>
          <w:tcPr>
            <w:tcW w:w="1506" w:type="dxa"/>
            <w:gridSpan w:val="4"/>
            <w:shd w:val="clear" w:color="000000" w:fill="FFFF99"/>
            <w:vAlign w:val="center"/>
          </w:tcPr>
          <w:p w14:paraId="4F0EAE79"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17</w:t>
            </w:r>
          </w:p>
        </w:tc>
      </w:tr>
      <w:tr w:rsidR="00DF7303" w:rsidRPr="00D30847" w14:paraId="477B420C" w14:textId="77777777" w:rsidTr="00FD4DDE">
        <w:trPr>
          <w:gridBefore w:val="3"/>
          <w:gridAfter w:val="1"/>
          <w:wBefore w:w="37" w:type="dxa"/>
          <w:wAfter w:w="52" w:type="dxa"/>
          <w:trHeight w:val="196"/>
          <w:jc w:val="center"/>
        </w:trPr>
        <w:tc>
          <w:tcPr>
            <w:tcW w:w="13501" w:type="dxa"/>
            <w:gridSpan w:val="28"/>
            <w:shd w:val="clear" w:color="000000" w:fill="9BD2ED"/>
            <w:vAlign w:val="center"/>
            <w:hideMark/>
          </w:tcPr>
          <w:p w14:paraId="49AB30C8" w14:textId="63512E9D" w:rsidR="00DF7303" w:rsidRPr="00D30847" w:rsidRDefault="00DF7303" w:rsidP="00DF7303">
            <w:pPr>
              <w:spacing w:after="0" w:line="240" w:lineRule="auto"/>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xml:space="preserve">Measure 1. </w:t>
            </w:r>
            <w:r w:rsidR="001F4B45" w:rsidRPr="00D30847">
              <w:rPr>
                <w:rFonts w:ascii="Arial" w:eastAsia="Times New Roman" w:hAnsi="Arial" w:cs="Arial"/>
                <w:b/>
                <w:bCs/>
                <w:sz w:val="12"/>
                <w:szCs w:val="12"/>
                <w:lang w:val="en-GB" w:eastAsia="mk-MK"/>
              </w:rPr>
              <w:t xml:space="preserve">Strengthen the </w:t>
            </w:r>
            <w:r w:rsidR="007263B4" w:rsidRPr="00D30847">
              <w:rPr>
                <w:rFonts w:ascii="Arial" w:eastAsia="Times New Roman" w:hAnsi="Arial" w:cs="Arial"/>
                <w:b/>
                <w:bCs/>
                <w:sz w:val="12"/>
                <w:szCs w:val="12"/>
                <w:lang w:val="en-GB" w:eastAsia="mk-MK"/>
              </w:rPr>
              <w:t>legal framework for external audit</w:t>
            </w:r>
          </w:p>
        </w:tc>
      </w:tr>
      <w:tr w:rsidR="00DF7303" w:rsidRPr="00D30847" w14:paraId="70F5FCC7" w14:textId="77777777" w:rsidTr="00FD4DDE">
        <w:trPr>
          <w:gridBefore w:val="3"/>
          <w:gridAfter w:val="1"/>
          <w:wBefore w:w="37" w:type="dxa"/>
          <w:wAfter w:w="52" w:type="dxa"/>
          <w:trHeight w:val="263"/>
          <w:jc w:val="center"/>
        </w:trPr>
        <w:tc>
          <w:tcPr>
            <w:tcW w:w="1288" w:type="dxa"/>
            <w:tcBorders>
              <w:top w:val="nil"/>
              <w:left w:val="nil"/>
              <w:bottom w:val="nil"/>
              <w:right w:val="nil"/>
            </w:tcBorders>
            <w:shd w:val="clear" w:color="auto" w:fill="auto"/>
            <w:noWrap/>
            <w:vAlign w:val="bottom"/>
            <w:hideMark/>
          </w:tcPr>
          <w:p w14:paraId="5EA1A00C"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015" w:type="dxa"/>
            <w:gridSpan w:val="2"/>
            <w:tcBorders>
              <w:top w:val="nil"/>
              <w:left w:val="nil"/>
              <w:bottom w:val="nil"/>
              <w:right w:val="single" w:sz="8" w:space="0" w:color="000000"/>
            </w:tcBorders>
            <w:shd w:val="clear" w:color="auto" w:fill="auto"/>
            <w:noWrap/>
            <w:vAlign w:val="bottom"/>
            <w:hideMark/>
          </w:tcPr>
          <w:p w14:paraId="7985D674"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bottom w:val="single" w:sz="8" w:space="0" w:color="000000"/>
            </w:tcBorders>
            <w:shd w:val="clear" w:color="000000" w:fill="9BD2ED"/>
            <w:vAlign w:val="center"/>
            <w:hideMark/>
          </w:tcPr>
          <w:p w14:paraId="1E812823" w14:textId="4D590A14"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indicators</w:t>
            </w:r>
          </w:p>
        </w:tc>
        <w:tc>
          <w:tcPr>
            <w:tcW w:w="1194" w:type="dxa"/>
            <w:gridSpan w:val="2"/>
            <w:shd w:val="clear" w:color="000000" w:fill="9BD2ED"/>
            <w:vAlign w:val="center"/>
            <w:hideMark/>
          </w:tcPr>
          <w:p w14:paraId="5BED9444" w14:textId="6BE49181"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 source</w:t>
            </w:r>
          </w:p>
        </w:tc>
        <w:tc>
          <w:tcPr>
            <w:tcW w:w="1418" w:type="dxa"/>
            <w:gridSpan w:val="3"/>
            <w:shd w:val="clear" w:color="000000" w:fill="9BD2ED"/>
            <w:vAlign w:val="center"/>
            <w:hideMark/>
          </w:tcPr>
          <w:p w14:paraId="445DCE78" w14:textId="39746C44"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FY23</w:t>
            </w:r>
          </w:p>
        </w:tc>
        <w:tc>
          <w:tcPr>
            <w:tcW w:w="1644" w:type="dxa"/>
            <w:gridSpan w:val="3"/>
            <w:shd w:val="clear" w:color="000000" w:fill="9BD2ED"/>
            <w:vAlign w:val="center"/>
            <w:hideMark/>
          </w:tcPr>
          <w:p w14:paraId="5DC69C4C" w14:textId="426A3D2D"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FG25</w:t>
            </w:r>
          </w:p>
        </w:tc>
        <w:tc>
          <w:tcPr>
            <w:tcW w:w="1758" w:type="dxa"/>
            <w:gridSpan w:val="4"/>
            <w:shd w:val="clear" w:color="000000" w:fill="9BD2ED"/>
            <w:vAlign w:val="center"/>
            <w:hideMark/>
          </w:tcPr>
          <w:p w14:paraId="2766ED1F" w14:textId="00B9C456"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FG26</w:t>
            </w:r>
          </w:p>
        </w:tc>
        <w:tc>
          <w:tcPr>
            <w:tcW w:w="1842" w:type="dxa"/>
            <w:gridSpan w:val="4"/>
            <w:shd w:val="clear" w:color="000000" w:fill="9BD2ED"/>
            <w:vAlign w:val="center"/>
            <w:hideMark/>
          </w:tcPr>
          <w:p w14:paraId="32A38C1D" w14:textId="71ADDAAD" w:rsidR="00DF7303" w:rsidRPr="00D30847" w:rsidRDefault="00DF7303" w:rsidP="00DF7303">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FG27</w:t>
            </w:r>
          </w:p>
        </w:tc>
        <w:tc>
          <w:tcPr>
            <w:tcW w:w="1506" w:type="dxa"/>
            <w:gridSpan w:val="4"/>
            <w:shd w:val="clear" w:color="000000" w:fill="9BD2ED"/>
            <w:vAlign w:val="center"/>
            <w:hideMark/>
          </w:tcPr>
          <w:p w14:paraId="474303CF" w14:textId="35AB0AF9"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FG28</w:t>
            </w:r>
          </w:p>
        </w:tc>
      </w:tr>
      <w:tr w:rsidR="00DF7303" w:rsidRPr="00D30847" w14:paraId="69352398" w14:textId="77777777" w:rsidTr="00FD4DDE">
        <w:trPr>
          <w:gridBefore w:val="3"/>
          <w:gridAfter w:val="1"/>
          <w:wBefore w:w="37" w:type="dxa"/>
          <w:wAfter w:w="52" w:type="dxa"/>
          <w:trHeight w:val="1429"/>
          <w:jc w:val="center"/>
        </w:trPr>
        <w:tc>
          <w:tcPr>
            <w:tcW w:w="1288" w:type="dxa"/>
            <w:tcBorders>
              <w:top w:val="nil"/>
              <w:left w:val="nil"/>
              <w:bottom w:val="nil"/>
              <w:right w:val="nil"/>
            </w:tcBorders>
            <w:shd w:val="clear" w:color="auto" w:fill="auto"/>
            <w:noWrap/>
            <w:vAlign w:val="bottom"/>
            <w:hideMark/>
          </w:tcPr>
          <w:p w14:paraId="27EF63AB"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25CF56E3"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tc>
        <w:tc>
          <w:tcPr>
            <w:tcW w:w="1836" w:type="dxa"/>
            <w:gridSpan w:val="5"/>
            <w:vMerge w:val="restart"/>
            <w:tcBorders>
              <w:left w:val="single" w:sz="8" w:space="0" w:color="000000"/>
            </w:tcBorders>
            <w:shd w:val="clear" w:color="000000" w:fill="FFFF99"/>
            <w:vAlign w:val="center"/>
            <w:hideMark/>
          </w:tcPr>
          <w:p w14:paraId="59EBEA12" w14:textId="11931E1D"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Adopted amendments to the Constitution of RNM regulation of the SAO as a constitutional category </w:t>
            </w:r>
          </w:p>
        </w:tc>
        <w:tc>
          <w:tcPr>
            <w:tcW w:w="1194" w:type="dxa"/>
            <w:gridSpan w:val="2"/>
            <w:shd w:val="clear" w:color="000000" w:fill="FFFF99"/>
            <w:vAlign w:val="center"/>
            <w:hideMark/>
          </w:tcPr>
          <w:p w14:paraId="4A7F99D8" w14:textId="08180DAE"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Submitted proposal-amendment of the Constitution of the RNM for the regulation of SAO as a constitutional category;</w:t>
            </w:r>
          </w:p>
        </w:tc>
        <w:tc>
          <w:tcPr>
            <w:tcW w:w="1418" w:type="dxa"/>
            <w:gridSpan w:val="3"/>
            <w:shd w:val="clear" w:color="000000" w:fill="FFFF99"/>
            <w:vAlign w:val="center"/>
            <w:hideMark/>
          </w:tcPr>
          <w:p w14:paraId="1D416A58" w14:textId="77777777"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The legal framework contains satisfactory provisions for the independence and mandate of the SAO, but its independence is not yet guaranteed by the Constitution.</w:t>
            </w:r>
          </w:p>
          <w:p w14:paraId="078D3D4F" w14:textId="719961B2"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 proposal-amendment of the Constitution of the RNM has been prepared for the regulation of SAO as a constitutional category and submitted to the authorized proposer of the constitutional amendment to be submitted to the Assembly of the RNM;</w:t>
            </w:r>
          </w:p>
        </w:tc>
        <w:tc>
          <w:tcPr>
            <w:tcW w:w="1644" w:type="dxa"/>
            <w:gridSpan w:val="3"/>
            <w:shd w:val="clear" w:color="000000" w:fill="FFFF99"/>
            <w:vAlign w:val="center"/>
            <w:hideMark/>
          </w:tcPr>
          <w:p w14:paraId="5075BA84" w14:textId="52547CF1"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758" w:type="dxa"/>
            <w:gridSpan w:val="4"/>
            <w:shd w:val="clear" w:color="000000" w:fill="FFFF99"/>
            <w:vAlign w:val="center"/>
            <w:hideMark/>
          </w:tcPr>
          <w:p w14:paraId="4F814A58" w14:textId="0E4A10E1"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vMerge w:val="restart"/>
            <w:shd w:val="clear" w:color="000000" w:fill="FFFF99"/>
            <w:vAlign w:val="center"/>
            <w:hideMark/>
          </w:tcPr>
          <w:p w14:paraId="2E0DFD7E" w14:textId="37907EB6"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506" w:type="dxa"/>
            <w:gridSpan w:val="4"/>
            <w:vMerge w:val="restart"/>
            <w:shd w:val="clear" w:color="000000" w:fill="FFFF99"/>
            <w:vAlign w:val="center"/>
            <w:hideMark/>
          </w:tcPr>
          <w:p w14:paraId="69C29759" w14:textId="2164C670"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Adopted amendments to the Constitution of RNM for the regulation of SAO as a constitutional category </w:t>
            </w:r>
          </w:p>
        </w:tc>
      </w:tr>
      <w:tr w:rsidR="00DF7303" w:rsidRPr="00D30847" w14:paraId="5E82FBE2" w14:textId="77777777" w:rsidTr="00FD4DDE">
        <w:trPr>
          <w:gridBefore w:val="3"/>
          <w:gridAfter w:val="1"/>
          <w:wBefore w:w="37" w:type="dxa"/>
          <w:wAfter w:w="52" w:type="dxa"/>
          <w:trHeight w:val="1110"/>
          <w:jc w:val="center"/>
        </w:trPr>
        <w:tc>
          <w:tcPr>
            <w:tcW w:w="1288" w:type="dxa"/>
            <w:tcBorders>
              <w:top w:val="nil"/>
              <w:left w:val="nil"/>
              <w:bottom w:val="nil"/>
              <w:right w:val="nil"/>
            </w:tcBorders>
            <w:shd w:val="clear" w:color="auto" w:fill="auto"/>
            <w:noWrap/>
            <w:vAlign w:val="bottom"/>
            <w:hideMark/>
          </w:tcPr>
          <w:p w14:paraId="36A37E7F"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3938A6C7"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tc>
        <w:tc>
          <w:tcPr>
            <w:tcW w:w="1836" w:type="dxa"/>
            <w:gridSpan w:val="5"/>
            <w:vMerge/>
            <w:tcBorders>
              <w:left w:val="single" w:sz="8" w:space="0" w:color="000000"/>
            </w:tcBorders>
            <w:shd w:val="clear" w:color="000000" w:fill="FFFF99"/>
            <w:vAlign w:val="center"/>
            <w:hideMark/>
          </w:tcPr>
          <w:p w14:paraId="4D62F590"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tc>
        <w:tc>
          <w:tcPr>
            <w:tcW w:w="1194" w:type="dxa"/>
            <w:gridSpan w:val="2"/>
            <w:shd w:val="clear" w:color="000000" w:fill="FFFF99"/>
            <w:vAlign w:val="center"/>
            <w:hideMark/>
          </w:tcPr>
          <w:p w14:paraId="687363E9" w14:textId="6236EE51"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 new draft law on state audit has been submitted to strengthen the financial and operational independence of the SAO..</w:t>
            </w:r>
          </w:p>
        </w:tc>
        <w:tc>
          <w:tcPr>
            <w:tcW w:w="1418" w:type="dxa"/>
            <w:gridSpan w:val="3"/>
            <w:shd w:val="clear" w:color="000000" w:fill="FFFF99"/>
            <w:vAlign w:val="center"/>
            <w:hideMark/>
          </w:tcPr>
          <w:p w14:paraId="2DCCD03D" w14:textId="77777777"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644" w:type="dxa"/>
            <w:gridSpan w:val="3"/>
            <w:shd w:val="clear" w:color="000000" w:fill="FFFF99"/>
            <w:vAlign w:val="center"/>
            <w:hideMark/>
          </w:tcPr>
          <w:p w14:paraId="255D91E6" w14:textId="1D9BBF1A"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 new draft Law on State Audit to strengthen the financial and operational independence of the SAO to be approved and adopted by the RNM Assembly.</w:t>
            </w:r>
          </w:p>
        </w:tc>
        <w:tc>
          <w:tcPr>
            <w:tcW w:w="1758" w:type="dxa"/>
            <w:gridSpan w:val="4"/>
            <w:shd w:val="clear" w:color="000000" w:fill="FFFF99"/>
            <w:vAlign w:val="center"/>
            <w:hideMark/>
          </w:tcPr>
          <w:p w14:paraId="11B2E0F3" w14:textId="3D59D10D"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p>
        </w:tc>
        <w:tc>
          <w:tcPr>
            <w:tcW w:w="1842" w:type="dxa"/>
            <w:gridSpan w:val="4"/>
            <w:vMerge/>
            <w:vAlign w:val="center"/>
            <w:hideMark/>
          </w:tcPr>
          <w:p w14:paraId="166C8D31"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506" w:type="dxa"/>
            <w:gridSpan w:val="4"/>
            <w:vMerge/>
            <w:vAlign w:val="center"/>
            <w:hideMark/>
          </w:tcPr>
          <w:p w14:paraId="5D714C24" w14:textId="77777777" w:rsidR="00DF7303" w:rsidRPr="00D30847" w:rsidRDefault="00DF7303" w:rsidP="00DF7303">
            <w:pPr>
              <w:spacing w:after="0" w:line="240" w:lineRule="auto"/>
              <w:rPr>
                <w:rFonts w:ascii="Arial" w:eastAsia="Times New Roman" w:hAnsi="Arial" w:cs="Arial"/>
                <w:sz w:val="12"/>
                <w:szCs w:val="12"/>
                <w:lang w:val="en-GB" w:eastAsia="mk-MK"/>
              </w:rPr>
            </w:pPr>
          </w:p>
        </w:tc>
      </w:tr>
      <w:tr w:rsidR="00DF7303" w:rsidRPr="00D30847" w14:paraId="2EE520ED" w14:textId="77777777" w:rsidTr="00FD4DDE">
        <w:trPr>
          <w:gridBefore w:val="3"/>
          <w:gridAfter w:val="1"/>
          <w:wBefore w:w="37" w:type="dxa"/>
          <w:wAfter w:w="52" w:type="dxa"/>
          <w:trHeight w:val="270"/>
          <w:jc w:val="center"/>
        </w:trPr>
        <w:tc>
          <w:tcPr>
            <w:tcW w:w="1288" w:type="dxa"/>
            <w:tcBorders>
              <w:top w:val="nil"/>
              <w:left w:val="nil"/>
              <w:bottom w:val="nil"/>
              <w:right w:val="nil"/>
            </w:tcBorders>
            <w:shd w:val="clear" w:color="auto" w:fill="auto"/>
            <w:noWrap/>
            <w:vAlign w:val="bottom"/>
            <w:hideMark/>
          </w:tcPr>
          <w:p w14:paraId="62060223"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1B8CEE48"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089DF369"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Activity</w:t>
            </w:r>
          </w:p>
        </w:tc>
        <w:tc>
          <w:tcPr>
            <w:tcW w:w="1194" w:type="dxa"/>
            <w:gridSpan w:val="2"/>
            <w:shd w:val="clear" w:color="000000" w:fill="9BD2ED"/>
            <w:vAlign w:val="center"/>
            <w:hideMark/>
          </w:tcPr>
          <w:p w14:paraId="2E8FBFEA" w14:textId="04907821"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Period of realization</w:t>
            </w:r>
          </w:p>
        </w:tc>
        <w:tc>
          <w:tcPr>
            <w:tcW w:w="1418" w:type="dxa"/>
            <w:gridSpan w:val="3"/>
            <w:shd w:val="clear" w:color="000000" w:fill="9BD2ED"/>
            <w:vAlign w:val="center"/>
            <w:hideMark/>
          </w:tcPr>
          <w:p w14:paraId="5BC23365" w14:textId="0A06B1ED"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 institution</w:t>
            </w:r>
          </w:p>
        </w:tc>
        <w:tc>
          <w:tcPr>
            <w:tcW w:w="1644" w:type="dxa"/>
            <w:gridSpan w:val="3"/>
            <w:shd w:val="clear" w:color="000000" w:fill="9BD2ED"/>
            <w:vAlign w:val="center"/>
            <w:hideMark/>
          </w:tcPr>
          <w:p w14:paraId="443A9D28" w14:textId="5780FA14"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 partners</w:t>
            </w:r>
          </w:p>
        </w:tc>
        <w:tc>
          <w:tcPr>
            <w:tcW w:w="1758" w:type="dxa"/>
            <w:gridSpan w:val="4"/>
            <w:shd w:val="clear" w:color="000000" w:fill="9BD2ED"/>
            <w:vAlign w:val="center"/>
            <w:hideMark/>
          </w:tcPr>
          <w:p w14:paraId="17ABDDDA"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376AB143" w14:textId="3058BE15" w:rsidR="00DF7303" w:rsidRPr="00D30847" w:rsidRDefault="00DF7303" w:rsidP="00DF7303">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 of financing</w:t>
            </w:r>
          </w:p>
        </w:tc>
        <w:tc>
          <w:tcPr>
            <w:tcW w:w="1506" w:type="dxa"/>
            <w:gridSpan w:val="4"/>
            <w:shd w:val="clear" w:color="000000" w:fill="9BD2ED"/>
            <w:vAlign w:val="center"/>
            <w:hideMark/>
          </w:tcPr>
          <w:p w14:paraId="131F329B"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DF7303" w:rsidRPr="00D30847" w14:paraId="5737DF1B" w14:textId="77777777" w:rsidTr="00FD4DDE">
        <w:trPr>
          <w:gridBefore w:val="3"/>
          <w:gridAfter w:val="1"/>
          <w:wBefore w:w="37" w:type="dxa"/>
          <w:wAfter w:w="52" w:type="dxa"/>
          <w:trHeight w:val="831"/>
          <w:jc w:val="center"/>
        </w:trPr>
        <w:tc>
          <w:tcPr>
            <w:tcW w:w="1288" w:type="dxa"/>
            <w:tcBorders>
              <w:top w:val="nil"/>
              <w:left w:val="nil"/>
              <w:bottom w:val="nil"/>
              <w:right w:val="nil"/>
            </w:tcBorders>
            <w:shd w:val="clear" w:color="auto" w:fill="auto"/>
            <w:noWrap/>
            <w:vAlign w:val="bottom"/>
            <w:hideMark/>
          </w:tcPr>
          <w:p w14:paraId="272CFBEA"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p>
        </w:tc>
        <w:tc>
          <w:tcPr>
            <w:tcW w:w="1015" w:type="dxa"/>
            <w:gridSpan w:val="2"/>
            <w:tcBorders>
              <w:top w:val="nil"/>
              <w:left w:val="nil"/>
              <w:bottom w:val="nil"/>
              <w:right w:val="single" w:sz="8" w:space="0" w:color="000000"/>
            </w:tcBorders>
            <w:shd w:val="clear" w:color="auto" w:fill="auto"/>
            <w:noWrap/>
            <w:vAlign w:val="bottom"/>
            <w:hideMark/>
          </w:tcPr>
          <w:p w14:paraId="03C9155B"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5444F343" w14:textId="3AE6FBF0"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Approval of  constitutional changes to achieve constitutional independence of the SAO in accordance with the principles, standards and guidelines of INTOSAI</w:t>
            </w:r>
          </w:p>
        </w:tc>
        <w:tc>
          <w:tcPr>
            <w:tcW w:w="1194" w:type="dxa"/>
            <w:gridSpan w:val="2"/>
            <w:shd w:val="clear" w:color="000000" w:fill="FFFF99"/>
            <w:vAlign w:val="center"/>
            <w:hideMark/>
          </w:tcPr>
          <w:p w14:paraId="74353BCF" w14:textId="4AD63856"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2025-2028</w:t>
            </w:r>
          </w:p>
        </w:tc>
        <w:tc>
          <w:tcPr>
            <w:tcW w:w="1418" w:type="dxa"/>
            <w:gridSpan w:val="3"/>
            <w:shd w:val="clear" w:color="000000" w:fill="FFFF99"/>
            <w:vAlign w:val="center"/>
            <w:hideMark/>
          </w:tcPr>
          <w:p w14:paraId="394478AC"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SAO</w:t>
            </w:r>
          </w:p>
        </w:tc>
        <w:tc>
          <w:tcPr>
            <w:tcW w:w="1644" w:type="dxa"/>
            <w:gridSpan w:val="3"/>
            <w:shd w:val="clear" w:color="000000" w:fill="FFFF99"/>
            <w:vAlign w:val="center"/>
            <w:hideMark/>
          </w:tcPr>
          <w:p w14:paraId="12D63DB9" w14:textId="2212BD7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Authorized proposer of the constitutional amendment;</w:t>
            </w:r>
            <w:r w:rsidRPr="00D30847">
              <w:rPr>
                <w:rFonts w:ascii="Arial" w:eastAsia="Times New Roman" w:hAnsi="Arial" w:cs="Arial"/>
                <w:sz w:val="12"/>
                <w:szCs w:val="12"/>
                <w:lang w:val="en-GB" w:eastAsia="mk-MK"/>
              </w:rPr>
              <w:br/>
              <w:t>Assembly of RNM</w:t>
            </w:r>
          </w:p>
        </w:tc>
        <w:tc>
          <w:tcPr>
            <w:tcW w:w="1758" w:type="dxa"/>
            <w:gridSpan w:val="4"/>
            <w:shd w:val="clear" w:color="000000" w:fill="FFFF99"/>
            <w:vAlign w:val="center"/>
            <w:hideMark/>
          </w:tcPr>
          <w:p w14:paraId="400A9083"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7,000 </w:t>
            </w:r>
          </w:p>
        </w:tc>
        <w:tc>
          <w:tcPr>
            <w:tcW w:w="1842" w:type="dxa"/>
            <w:gridSpan w:val="4"/>
            <w:shd w:val="clear" w:color="000000" w:fill="FFFF99"/>
            <w:vAlign w:val="center"/>
            <w:hideMark/>
          </w:tcPr>
          <w:p w14:paraId="7056D52B" w14:textId="43FB8720"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 funding</w:t>
            </w:r>
          </w:p>
          <w:p w14:paraId="4E3CBBD2" w14:textId="77777777" w:rsidR="00DF7303" w:rsidRPr="00D30847" w:rsidRDefault="00DF7303" w:rsidP="00DF7303">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NDI and others</w:t>
            </w:r>
          </w:p>
        </w:tc>
        <w:tc>
          <w:tcPr>
            <w:tcW w:w="1506" w:type="dxa"/>
            <w:gridSpan w:val="4"/>
            <w:shd w:val="clear" w:color="000000" w:fill="FFFF99"/>
            <w:vAlign w:val="center"/>
            <w:hideMark/>
          </w:tcPr>
          <w:p w14:paraId="0AFE4208" w14:textId="163F3537" w:rsidR="00DF7303" w:rsidRPr="00D30847" w:rsidRDefault="00DF7303" w:rsidP="00DF7303">
            <w:pPr>
              <w:spacing w:after="0" w:line="240" w:lineRule="auto"/>
              <w:jc w:val="center"/>
              <w:rPr>
                <w:rFonts w:ascii="Arial" w:eastAsia="Times New Roman" w:hAnsi="Arial" w:cs="Arial"/>
                <w:sz w:val="12"/>
                <w:szCs w:val="12"/>
                <w:lang w:val="en-GB" w:eastAsia="mk-MK"/>
              </w:rPr>
            </w:pPr>
          </w:p>
        </w:tc>
      </w:tr>
      <w:tr w:rsidR="00DF7303" w:rsidRPr="00D30847" w14:paraId="7A3EFD65" w14:textId="77777777" w:rsidTr="00FD4DDE">
        <w:trPr>
          <w:gridBefore w:val="3"/>
          <w:gridAfter w:val="1"/>
          <w:wBefore w:w="37" w:type="dxa"/>
          <w:wAfter w:w="52" w:type="dxa"/>
          <w:trHeight w:val="973"/>
          <w:jc w:val="center"/>
        </w:trPr>
        <w:tc>
          <w:tcPr>
            <w:tcW w:w="1288" w:type="dxa"/>
            <w:tcBorders>
              <w:top w:val="nil"/>
              <w:left w:val="nil"/>
              <w:bottom w:val="single" w:sz="8" w:space="0" w:color="000000"/>
              <w:right w:val="nil"/>
            </w:tcBorders>
            <w:shd w:val="clear" w:color="auto" w:fill="auto"/>
            <w:noWrap/>
            <w:vAlign w:val="bottom"/>
            <w:hideMark/>
          </w:tcPr>
          <w:p w14:paraId="1577037A"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tc>
        <w:tc>
          <w:tcPr>
            <w:tcW w:w="1015" w:type="dxa"/>
            <w:gridSpan w:val="2"/>
            <w:tcBorders>
              <w:top w:val="nil"/>
              <w:left w:val="nil"/>
              <w:bottom w:val="single" w:sz="8" w:space="0" w:color="000000"/>
              <w:right w:val="single" w:sz="8" w:space="0" w:color="000000"/>
            </w:tcBorders>
            <w:shd w:val="clear" w:color="auto" w:fill="auto"/>
            <w:noWrap/>
            <w:vAlign w:val="bottom"/>
            <w:hideMark/>
          </w:tcPr>
          <w:p w14:paraId="11CD0BAE"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tc>
        <w:tc>
          <w:tcPr>
            <w:tcW w:w="1836" w:type="dxa"/>
            <w:gridSpan w:val="5"/>
            <w:tcBorders>
              <w:left w:val="single" w:sz="8" w:space="0" w:color="000000"/>
              <w:bottom w:val="single" w:sz="8" w:space="0" w:color="000000"/>
            </w:tcBorders>
            <w:shd w:val="clear" w:color="000000" w:fill="FFFF99"/>
            <w:vAlign w:val="center"/>
            <w:hideMark/>
          </w:tcPr>
          <w:p w14:paraId="0245DA12" w14:textId="3EC6C71F"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Approval of external audit legal framework aimed at strengthening financial and operational independence of SAO in line with INTOSAI principles, standards and guidelines</w:t>
            </w:r>
          </w:p>
        </w:tc>
        <w:tc>
          <w:tcPr>
            <w:tcW w:w="1194" w:type="dxa"/>
            <w:gridSpan w:val="2"/>
            <w:tcBorders>
              <w:bottom w:val="single" w:sz="8" w:space="0" w:color="000000"/>
            </w:tcBorders>
            <w:shd w:val="clear" w:color="000000" w:fill="FFFF99"/>
            <w:vAlign w:val="center"/>
            <w:hideMark/>
          </w:tcPr>
          <w:p w14:paraId="4CCB9F6F" w14:textId="173C2591"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w:t>
            </w:r>
          </w:p>
        </w:tc>
        <w:tc>
          <w:tcPr>
            <w:tcW w:w="1418" w:type="dxa"/>
            <w:gridSpan w:val="3"/>
            <w:tcBorders>
              <w:bottom w:val="single" w:sz="8" w:space="0" w:color="000000"/>
            </w:tcBorders>
            <w:shd w:val="clear" w:color="000000" w:fill="FFFF99"/>
            <w:vAlign w:val="center"/>
            <w:hideMark/>
          </w:tcPr>
          <w:p w14:paraId="3AB03653"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SAO</w:t>
            </w:r>
          </w:p>
        </w:tc>
        <w:tc>
          <w:tcPr>
            <w:tcW w:w="1644" w:type="dxa"/>
            <w:gridSpan w:val="3"/>
            <w:tcBorders>
              <w:bottom w:val="single" w:sz="8" w:space="0" w:color="000000"/>
            </w:tcBorders>
            <w:shd w:val="clear" w:color="000000" w:fill="FFFF99"/>
            <w:vAlign w:val="center"/>
            <w:hideMark/>
          </w:tcPr>
          <w:p w14:paraId="1520E632" w14:textId="59E109E9" w:rsidR="00DF7303" w:rsidRPr="00D30847" w:rsidRDefault="00DF7303" w:rsidP="00DF7303">
            <w:pPr>
              <w:spacing w:after="24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Ministry of Finance, Government of RNM and Assembly of RNM</w:t>
            </w:r>
          </w:p>
        </w:tc>
        <w:tc>
          <w:tcPr>
            <w:tcW w:w="1758" w:type="dxa"/>
            <w:gridSpan w:val="4"/>
            <w:tcBorders>
              <w:bottom w:val="single" w:sz="8" w:space="0" w:color="000000"/>
            </w:tcBorders>
            <w:shd w:val="clear" w:color="000000" w:fill="FFFF99"/>
            <w:vAlign w:val="center"/>
            <w:hideMark/>
          </w:tcPr>
          <w:p w14:paraId="2A2BD00D"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14,000 </w:t>
            </w:r>
          </w:p>
        </w:tc>
        <w:tc>
          <w:tcPr>
            <w:tcW w:w="1842" w:type="dxa"/>
            <w:gridSpan w:val="4"/>
            <w:tcBorders>
              <w:bottom w:val="single" w:sz="8" w:space="0" w:color="000000"/>
            </w:tcBorders>
            <w:shd w:val="clear" w:color="000000" w:fill="FFFF99"/>
            <w:vAlign w:val="center"/>
            <w:hideMark/>
          </w:tcPr>
          <w:p w14:paraId="6DD94BED" w14:textId="29462848"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 funding</w:t>
            </w:r>
          </w:p>
          <w:p w14:paraId="4442AEB2" w14:textId="77777777" w:rsidR="00DF7303" w:rsidRPr="00D30847" w:rsidRDefault="00DF7303" w:rsidP="00DF7303">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NDI and others</w:t>
            </w:r>
          </w:p>
        </w:tc>
        <w:tc>
          <w:tcPr>
            <w:tcW w:w="1506" w:type="dxa"/>
            <w:gridSpan w:val="4"/>
            <w:tcBorders>
              <w:bottom w:val="single" w:sz="8" w:space="0" w:color="000000"/>
            </w:tcBorders>
            <w:shd w:val="clear" w:color="000000" w:fill="FFFF99"/>
            <w:vAlign w:val="center"/>
            <w:hideMark/>
          </w:tcPr>
          <w:p w14:paraId="4D34B635" w14:textId="3A6402A0" w:rsidR="00DF7303" w:rsidRPr="00D30847" w:rsidRDefault="00DF7303" w:rsidP="00DF7303">
            <w:pPr>
              <w:spacing w:after="0" w:line="240" w:lineRule="auto"/>
              <w:jc w:val="center"/>
              <w:rPr>
                <w:rFonts w:ascii="Arial" w:eastAsia="Times New Roman" w:hAnsi="Arial" w:cs="Arial"/>
                <w:sz w:val="12"/>
                <w:szCs w:val="12"/>
                <w:lang w:val="en-GB" w:eastAsia="mk-MK"/>
              </w:rPr>
            </w:pPr>
          </w:p>
        </w:tc>
      </w:tr>
      <w:tr w:rsidR="00DF7303" w:rsidRPr="00D30847" w14:paraId="60C26129" w14:textId="77777777" w:rsidTr="00FD4DDE">
        <w:trPr>
          <w:gridBefore w:val="3"/>
          <w:gridAfter w:val="1"/>
          <w:wBefore w:w="37" w:type="dxa"/>
          <w:wAfter w:w="52" w:type="dxa"/>
          <w:trHeight w:val="205"/>
          <w:jc w:val="center"/>
        </w:trPr>
        <w:tc>
          <w:tcPr>
            <w:tcW w:w="13501" w:type="dxa"/>
            <w:gridSpan w:val="28"/>
            <w:shd w:val="clear" w:color="000000" w:fill="9BD2ED"/>
            <w:vAlign w:val="center"/>
            <w:hideMark/>
          </w:tcPr>
          <w:p w14:paraId="5D8C0C58" w14:textId="20F51837" w:rsidR="00DF7303" w:rsidRPr="00D30847" w:rsidRDefault="00DF7303" w:rsidP="00DF7303">
            <w:pPr>
              <w:spacing w:after="0" w:line="240" w:lineRule="auto"/>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Measure 2. Strengthening the institutional capacity and human resource capacities of the SAO</w:t>
            </w:r>
          </w:p>
        </w:tc>
      </w:tr>
      <w:tr w:rsidR="00DF7303" w:rsidRPr="00D30847" w14:paraId="6AACD72A" w14:textId="77777777" w:rsidTr="00FD4DDE">
        <w:trPr>
          <w:gridBefore w:val="3"/>
          <w:gridAfter w:val="1"/>
          <w:wBefore w:w="37" w:type="dxa"/>
          <w:wAfter w:w="52" w:type="dxa"/>
          <w:trHeight w:val="110"/>
          <w:jc w:val="center"/>
        </w:trPr>
        <w:tc>
          <w:tcPr>
            <w:tcW w:w="2303" w:type="dxa"/>
            <w:gridSpan w:val="3"/>
            <w:vMerge w:val="restart"/>
            <w:tcBorders>
              <w:top w:val="nil"/>
              <w:left w:val="nil"/>
              <w:bottom w:val="nil"/>
              <w:right w:val="single" w:sz="8" w:space="0" w:color="000000"/>
            </w:tcBorders>
            <w:shd w:val="clear" w:color="auto" w:fill="auto"/>
            <w:noWrap/>
            <w:vAlign w:val="bottom"/>
            <w:hideMark/>
          </w:tcPr>
          <w:p w14:paraId="1C164FE4"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top w:val="single" w:sz="8" w:space="0" w:color="000000"/>
              <w:left w:val="single" w:sz="8" w:space="0" w:color="000000"/>
              <w:bottom w:val="single" w:sz="8" w:space="0" w:color="000000"/>
              <w:right w:val="single" w:sz="8" w:space="0" w:color="000000"/>
            </w:tcBorders>
            <w:shd w:val="clear" w:color="000000" w:fill="9BD2ED"/>
            <w:vAlign w:val="center"/>
            <w:hideMark/>
          </w:tcPr>
          <w:p w14:paraId="1F03AA2F" w14:textId="79487034"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indicators</w:t>
            </w:r>
          </w:p>
        </w:tc>
        <w:tc>
          <w:tcPr>
            <w:tcW w:w="1194" w:type="dxa"/>
            <w:gridSpan w:val="2"/>
            <w:tcBorders>
              <w:top w:val="single" w:sz="8" w:space="0" w:color="000000"/>
              <w:left w:val="single" w:sz="8" w:space="0" w:color="000000"/>
              <w:bottom w:val="single" w:sz="8" w:space="0" w:color="000000"/>
            </w:tcBorders>
            <w:shd w:val="clear" w:color="000000" w:fill="9BD2ED"/>
            <w:vAlign w:val="center"/>
            <w:hideMark/>
          </w:tcPr>
          <w:p w14:paraId="6AA48412" w14:textId="6B0564E9"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 source</w:t>
            </w:r>
          </w:p>
        </w:tc>
        <w:tc>
          <w:tcPr>
            <w:tcW w:w="1418" w:type="dxa"/>
            <w:gridSpan w:val="3"/>
            <w:shd w:val="clear" w:color="000000" w:fill="9BD2ED"/>
            <w:vAlign w:val="center"/>
            <w:hideMark/>
          </w:tcPr>
          <w:p w14:paraId="446B8CD1" w14:textId="7979FBD9"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FY23</w:t>
            </w:r>
          </w:p>
        </w:tc>
        <w:tc>
          <w:tcPr>
            <w:tcW w:w="1644" w:type="dxa"/>
            <w:gridSpan w:val="3"/>
            <w:shd w:val="clear" w:color="000000" w:fill="9BD2ED"/>
            <w:vAlign w:val="center"/>
            <w:hideMark/>
          </w:tcPr>
          <w:p w14:paraId="6D060571" w14:textId="57BF9B4F"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FG25</w:t>
            </w:r>
          </w:p>
        </w:tc>
        <w:tc>
          <w:tcPr>
            <w:tcW w:w="1758" w:type="dxa"/>
            <w:gridSpan w:val="4"/>
            <w:shd w:val="clear" w:color="000000" w:fill="9BD2ED"/>
            <w:vAlign w:val="center"/>
            <w:hideMark/>
          </w:tcPr>
          <w:p w14:paraId="1B0B9FE3" w14:textId="6CB5F9B1"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FG26</w:t>
            </w:r>
          </w:p>
        </w:tc>
        <w:tc>
          <w:tcPr>
            <w:tcW w:w="1842" w:type="dxa"/>
            <w:gridSpan w:val="4"/>
            <w:shd w:val="clear" w:color="000000" w:fill="9BD2ED"/>
            <w:vAlign w:val="center"/>
            <w:hideMark/>
          </w:tcPr>
          <w:p w14:paraId="2801873B" w14:textId="1C38ECE5"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FG27</w:t>
            </w:r>
          </w:p>
        </w:tc>
        <w:tc>
          <w:tcPr>
            <w:tcW w:w="1506" w:type="dxa"/>
            <w:gridSpan w:val="4"/>
            <w:shd w:val="clear" w:color="000000" w:fill="9BD2ED"/>
            <w:vAlign w:val="center"/>
            <w:hideMark/>
          </w:tcPr>
          <w:p w14:paraId="5DADAC03" w14:textId="4EE4CEC1"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FG28</w:t>
            </w:r>
          </w:p>
        </w:tc>
      </w:tr>
      <w:tr w:rsidR="00DF7303" w:rsidRPr="00D30847" w14:paraId="5758B275" w14:textId="77777777" w:rsidTr="00FD4DDE">
        <w:trPr>
          <w:gridBefore w:val="3"/>
          <w:gridAfter w:val="1"/>
          <w:wBefore w:w="37" w:type="dxa"/>
          <w:wAfter w:w="52" w:type="dxa"/>
          <w:trHeight w:val="966"/>
          <w:jc w:val="center"/>
        </w:trPr>
        <w:tc>
          <w:tcPr>
            <w:tcW w:w="2303" w:type="dxa"/>
            <w:gridSpan w:val="3"/>
            <w:vMerge/>
            <w:tcBorders>
              <w:top w:val="nil"/>
              <w:left w:val="nil"/>
              <w:bottom w:val="nil"/>
              <w:right w:val="single" w:sz="8" w:space="0" w:color="000000"/>
            </w:tcBorders>
            <w:vAlign w:val="center"/>
            <w:hideMark/>
          </w:tcPr>
          <w:p w14:paraId="03C74B91"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top w:val="single" w:sz="8" w:space="0" w:color="000000"/>
              <w:left w:val="single" w:sz="8" w:space="0" w:color="000000"/>
              <w:bottom w:val="single" w:sz="8" w:space="0" w:color="000000"/>
              <w:right w:val="single" w:sz="8" w:space="0" w:color="000000"/>
            </w:tcBorders>
            <w:shd w:val="clear" w:color="000000" w:fill="FFFF99"/>
            <w:vAlign w:val="center"/>
            <w:hideMark/>
          </w:tcPr>
          <w:p w14:paraId="0FAA9CF8" w14:textId="2AEE2A2A"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implementation of SAO  Development 2023-2027</w:t>
            </w:r>
          </w:p>
        </w:tc>
        <w:tc>
          <w:tcPr>
            <w:tcW w:w="1194" w:type="dxa"/>
            <w:gridSpan w:val="2"/>
            <w:tcBorders>
              <w:top w:val="single" w:sz="8" w:space="0" w:color="000000"/>
              <w:left w:val="single" w:sz="8" w:space="0" w:color="000000"/>
              <w:bottom w:val="single" w:sz="8" w:space="0" w:color="000000"/>
            </w:tcBorders>
            <w:shd w:val="clear" w:color="000000" w:fill="FFFF99"/>
            <w:vAlign w:val="center"/>
            <w:hideMark/>
          </w:tcPr>
          <w:p w14:paraId="1F549EC7" w14:textId="7987CB2A"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SAO Annual report on performed audits and operations</w:t>
            </w:r>
          </w:p>
        </w:tc>
        <w:tc>
          <w:tcPr>
            <w:tcW w:w="1418" w:type="dxa"/>
            <w:gridSpan w:val="3"/>
            <w:shd w:val="clear" w:color="000000" w:fill="FFFF99"/>
            <w:vAlign w:val="center"/>
            <w:hideMark/>
          </w:tcPr>
          <w:p w14:paraId="28E31CBD" w14:textId="77777777"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implementation of the activities determined in the Strategy for the Development of SAO 2023 - 2027 -</w:t>
            </w:r>
          </w:p>
          <w:p w14:paraId="0C5BF31D" w14:textId="3BF8D595"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 </w:t>
            </w:r>
          </w:p>
        </w:tc>
        <w:tc>
          <w:tcPr>
            <w:tcW w:w="1644" w:type="dxa"/>
            <w:gridSpan w:val="3"/>
            <w:shd w:val="clear" w:color="000000" w:fill="FFFF99"/>
            <w:vAlign w:val="center"/>
            <w:hideMark/>
          </w:tcPr>
          <w:p w14:paraId="3739C628" w14:textId="77777777"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implementation of the activities determined in the Strategy for the Development of SAO 2023 - 2027 -</w:t>
            </w:r>
          </w:p>
          <w:p w14:paraId="5F00A4D5" w14:textId="54267D0F"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60%</w:t>
            </w:r>
          </w:p>
        </w:tc>
        <w:tc>
          <w:tcPr>
            <w:tcW w:w="1758" w:type="dxa"/>
            <w:gridSpan w:val="4"/>
            <w:shd w:val="clear" w:color="000000" w:fill="FFFF99"/>
            <w:vAlign w:val="center"/>
            <w:hideMark/>
          </w:tcPr>
          <w:p w14:paraId="6A8C66E3" w14:textId="77777777"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implementation of the activities determined in the Strategy for the Development of SAO 2023 - 2027 -</w:t>
            </w:r>
          </w:p>
          <w:p w14:paraId="0FEE7FB2" w14:textId="639890AC"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-80%</w:t>
            </w:r>
          </w:p>
        </w:tc>
        <w:tc>
          <w:tcPr>
            <w:tcW w:w="1842" w:type="dxa"/>
            <w:gridSpan w:val="4"/>
            <w:shd w:val="clear" w:color="000000" w:fill="FFFF99"/>
            <w:vAlign w:val="center"/>
            <w:hideMark/>
          </w:tcPr>
          <w:p w14:paraId="12A188E8"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implementation of the activities determined in the Strategy for the Development of SAO 2023 - 2027 -</w:t>
            </w:r>
          </w:p>
          <w:p w14:paraId="27A7AD9F" w14:textId="6EF309B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-100%</w:t>
            </w:r>
          </w:p>
        </w:tc>
        <w:tc>
          <w:tcPr>
            <w:tcW w:w="1506" w:type="dxa"/>
            <w:gridSpan w:val="4"/>
            <w:shd w:val="clear" w:color="000000" w:fill="FFFF99"/>
            <w:vAlign w:val="center"/>
            <w:hideMark/>
          </w:tcPr>
          <w:p w14:paraId="2E58AD1F" w14:textId="7CC8E5F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implementation of the Strategy for the Development of SAO 2023 - 2027-</w:t>
            </w:r>
          </w:p>
          <w:p w14:paraId="68D53B81" w14:textId="1AF652A2"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100%</w:t>
            </w:r>
          </w:p>
        </w:tc>
      </w:tr>
      <w:tr w:rsidR="00DF7303" w:rsidRPr="00D30847" w14:paraId="25B471F1" w14:textId="77777777" w:rsidTr="00FD4DDE">
        <w:trPr>
          <w:gridBefore w:val="3"/>
          <w:gridAfter w:val="1"/>
          <w:wBefore w:w="37" w:type="dxa"/>
          <w:wAfter w:w="52" w:type="dxa"/>
          <w:trHeight w:val="554"/>
          <w:jc w:val="center"/>
        </w:trPr>
        <w:tc>
          <w:tcPr>
            <w:tcW w:w="2303" w:type="dxa"/>
            <w:gridSpan w:val="3"/>
            <w:vMerge/>
            <w:tcBorders>
              <w:top w:val="nil"/>
              <w:left w:val="nil"/>
              <w:bottom w:val="nil"/>
              <w:right w:val="single" w:sz="8" w:space="0" w:color="000000"/>
            </w:tcBorders>
            <w:vAlign w:val="center"/>
            <w:hideMark/>
          </w:tcPr>
          <w:p w14:paraId="00C3103E"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top w:val="single" w:sz="8" w:space="0" w:color="000000"/>
              <w:left w:val="single" w:sz="8" w:space="0" w:color="000000"/>
              <w:bottom w:val="single" w:sz="8" w:space="0" w:color="000000"/>
              <w:right w:val="single" w:sz="8" w:space="0" w:color="000000"/>
            </w:tcBorders>
            <w:shd w:val="clear" w:color="000000" w:fill="FFFF99"/>
            <w:vAlign w:val="center"/>
            <w:hideMark/>
          </w:tcPr>
          <w:p w14:paraId="5652D6EA" w14:textId="2A6C2771"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audit scope of  total public expenditures</w:t>
            </w:r>
          </w:p>
        </w:tc>
        <w:tc>
          <w:tcPr>
            <w:tcW w:w="1194" w:type="dxa"/>
            <w:gridSpan w:val="2"/>
            <w:tcBorders>
              <w:top w:val="single" w:sz="8" w:space="0" w:color="000000"/>
              <w:left w:val="single" w:sz="8" w:space="0" w:color="000000"/>
              <w:bottom w:val="single" w:sz="8" w:space="0" w:color="000000"/>
            </w:tcBorders>
            <w:shd w:val="clear" w:color="000000" w:fill="FFFF99"/>
            <w:vAlign w:val="center"/>
            <w:hideMark/>
          </w:tcPr>
          <w:p w14:paraId="430BB849" w14:textId="3E52B65E"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SAO Annual report on performed audits and operations</w:t>
            </w:r>
          </w:p>
        </w:tc>
        <w:tc>
          <w:tcPr>
            <w:tcW w:w="1418" w:type="dxa"/>
            <w:gridSpan w:val="3"/>
            <w:shd w:val="clear" w:color="000000" w:fill="FFFF99"/>
            <w:vAlign w:val="center"/>
            <w:hideMark/>
          </w:tcPr>
          <w:p w14:paraId="33A98F54"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59%</w:t>
            </w:r>
          </w:p>
        </w:tc>
        <w:tc>
          <w:tcPr>
            <w:tcW w:w="1644" w:type="dxa"/>
            <w:gridSpan w:val="3"/>
            <w:shd w:val="clear" w:color="000000" w:fill="FFFF99"/>
            <w:vAlign w:val="center"/>
            <w:hideMark/>
          </w:tcPr>
          <w:p w14:paraId="0AEC55F2" w14:textId="422BBE0D"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≥60,5%</w:t>
            </w:r>
          </w:p>
        </w:tc>
        <w:tc>
          <w:tcPr>
            <w:tcW w:w="1758" w:type="dxa"/>
            <w:gridSpan w:val="4"/>
            <w:shd w:val="clear" w:color="000000" w:fill="FFFF99"/>
            <w:vAlign w:val="center"/>
            <w:hideMark/>
          </w:tcPr>
          <w:p w14:paraId="27A9E2E2" w14:textId="2326D9E8"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≥61%</w:t>
            </w:r>
          </w:p>
        </w:tc>
        <w:tc>
          <w:tcPr>
            <w:tcW w:w="1842" w:type="dxa"/>
            <w:gridSpan w:val="4"/>
            <w:shd w:val="clear" w:color="000000" w:fill="FFFF99"/>
            <w:vAlign w:val="center"/>
            <w:hideMark/>
          </w:tcPr>
          <w:p w14:paraId="3B71B3E5" w14:textId="24826350"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≥61,5%</w:t>
            </w:r>
          </w:p>
        </w:tc>
        <w:tc>
          <w:tcPr>
            <w:tcW w:w="1506" w:type="dxa"/>
            <w:gridSpan w:val="4"/>
            <w:shd w:val="clear" w:color="000000" w:fill="FFFF99"/>
            <w:vAlign w:val="center"/>
            <w:hideMark/>
          </w:tcPr>
          <w:p w14:paraId="140F3016" w14:textId="3928B93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≥62%</w:t>
            </w:r>
          </w:p>
        </w:tc>
      </w:tr>
      <w:tr w:rsidR="00DF7303" w:rsidRPr="00D30847" w14:paraId="74E55DF5" w14:textId="77777777" w:rsidTr="00FD4DDE">
        <w:trPr>
          <w:gridBefore w:val="3"/>
          <w:gridAfter w:val="1"/>
          <w:wBefore w:w="37" w:type="dxa"/>
          <w:wAfter w:w="52" w:type="dxa"/>
          <w:trHeight w:val="1398"/>
          <w:jc w:val="center"/>
        </w:trPr>
        <w:tc>
          <w:tcPr>
            <w:tcW w:w="2303" w:type="dxa"/>
            <w:gridSpan w:val="3"/>
            <w:vMerge/>
            <w:tcBorders>
              <w:top w:val="nil"/>
              <w:left w:val="nil"/>
              <w:bottom w:val="nil"/>
              <w:right w:val="single" w:sz="8" w:space="0" w:color="000000"/>
            </w:tcBorders>
            <w:vAlign w:val="center"/>
            <w:hideMark/>
          </w:tcPr>
          <w:p w14:paraId="1683FC00"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top w:val="single" w:sz="8" w:space="0" w:color="000000"/>
              <w:left w:val="single" w:sz="8" w:space="0" w:color="000000"/>
              <w:bottom w:val="single" w:sz="8" w:space="0" w:color="000000"/>
              <w:right w:val="single" w:sz="8" w:space="0" w:color="000000"/>
            </w:tcBorders>
            <w:shd w:val="clear" w:color="000000" w:fill="FFFF99"/>
            <w:vAlign w:val="center"/>
            <w:hideMark/>
          </w:tcPr>
          <w:p w14:paraId="6067507C" w14:textId="2E499C8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Perception of stakeholders' on SAO  added value</w:t>
            </w:r>
          </w:p>
        </w:tc>
        <w:tc>
          <w:tcPr>
            <w:tcW w:w="1194" w:type="dxa"/>
            <w:gridSpan w:val="2"/>
            <w:tcBorders>
              <w:top w:val="single" w:sz="8" w:space="0" w:color="000000"/>
              <w:left w:val="single" w:sz="8" w:space="0" w:color="000000"/>
              <w:bottom w:val="single" w:sz="8" w:space="0" w:color="000000"/>
            </w:tcBorders>
            <w:shd w:val="clear" w:color="000000" w:fill="FFFF99"/>
            <w:vAlign w:val="center"/>
            <w:hideMark/>
          </w:tcPr>
          <w:p w14:paraId="76877FA2" w14:textId="62609F8E"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Results of stakeholder surveys on the added value of SAO</w:t>
            </w:r>
          </w:p>
        </w:tc>
        <w:tc>
          <w:tcPr>
            <w:tcW w:w="1418" w:type="dxa"/>
            <w:gridSpan w:val="3"/>
            <w:shd w:val="clear" w:color="000000" w:fill="FFFF99"/>
            <w:vAlign w:val="center"/>
            <w:hideMark/>
          </w:tcPr>
          <w:p w14:paraId="47385AD8" w14:textId="0C1665E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Progress has been made in raising public awareness of the SAO's activities, increasing media interest, as well as in implementing the SAO Communication Strategy</w:t>
            </w:r>
          </w:p>
        </w:tc>
        <w:tc>
          <w:tcPr>
            <w:tcW w:w="1644" w:type="dxa"/>
            <w:gridSpan w:val="3"/>
            <w:shd w:val="clear" w:color="000000" w:fill="FFFF99"/>
            <w:vAlign w:val="center"/>
            <w:hideMark/>
          </w:tcPr>
          <w:p w14:paraId="5801E703" w14:textId="34FC71A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Stakeholders' perception of the added value of SAO-81%</w:t>
            </w:r>
          </w:p>
        </w:tc>
        <w:tc>
          <w:tcPr>
            <w:tcW w:w="1758" w:type="dxa"/>
            <w:gridSpan w:val="4"/>
            <w:shd w:val="clear" w:color="000000" w:fill="FFFF99"/>
            <w:vAlign w:val="center"/>
            <w:hideMark/>
          </w:tcPr>
          <w:p w14:paraId="5C08300F" w14:textId="1C765569"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Stakeholders' perception of the added value of SAO-82%</w:t>
            </w:r>
          </w:p>
        </w:tc>
        <w:tc>
          <w:tcPr>
            <w:tcW w:w="1842" w:type="dxa"/>
            <w:gridSpan w:val="4"/>
            <w:shd w:val="clear" w:color="000000" w:fill="FFFF99"/>
            <w:vAlign w:val="center"/>
            <w:hideMark/>
          </w:tcPr>
          <w:p w14:paraId="4128A4B6" w14:textId="60A4C304"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Stakeholders' perception of the added value of SAO-83%</w:t>
            </w:r>
          </w:p>
        </w:tc>
        <w:tc>
          <w:tcPr>
            <w:tcW w:w="1506" w:type="dxa"/>
            <w:gridSpan w:val="4"/>
            <w:shd w:val="clear" w:color="000000" w:fill="FFFF99"/>
            <w:vAlign w:val="center"/>
            <w:hideMark/>
          </w:tcPr>
          <w:p w14:paraId="4F43BE39" w14:textId="51816B95"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Stakeholders' perception of the added value of SAO-85%</w:t>
            </w:r>
          </w:p>
        </w:tc>
      </w:tr>
      <w:tr w:rsidR="00DF7303" w:rsidRPr="00D30847" w14:paraId="304BA504" w14:textId="77777777" w:rsidTr="00FD4DDE">
        <w:trPr>
          <w:gridBefore w:val="3"/>
          <w:gridAfter w:val="1"/>
          <w:wBefore w:w="37" w:type="dxa"/>
          <w:wAfter w:w="52" w:type="dxa"/>
          <w:trHeight w:val="239"/>
          <w:jc w:val="center"/>
        </w:trPr>
        <w:tc>
          <w:tcPr>
            <w:tcW w:w="2303" w:type="dxa"/>
            <w:gridSpan w:val="3"/>
            <w:vMerge/>
            <w:tcBorders>
              <w:top w:val="nil"/>
              <w:left w:val="nil"/>
              <w:bottom w:val="nil"/>
              <w:right w:val="single" w:sz="8" w:space="0" w:color="000000"/>
            </w:tcBorders>
            <w:vAlign w:val="center"/>
            <w:hideMark/>
          </w:tcPr>
          <w:p w14:paraId="1E526443"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top w:val="single" w:sz="8" w:space="0" w:color="000000"/>
              <w:left w:val="single" w:sz="8" w:space="0" w:color="000000"/>
              <w:bottom w:val="single" w:sz="8" w:space="0" w:color="000000"/>
              <w:right w:val="single" w:sz="8" w:space="0" w:color="000000"/>
            </w:tcBorders>
            <w:shd w:val="clear" w:color="000000" w:fill="9BD2ED"/>
            <w:vAlign w:val="center"/>
            <w:hideMark/>
          </w:tcPr>
          <w:p w14:paraId="59DD1350"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Activity</w:t>
            </w:r>
          </w:p>
        </w:tc>
        <w:tc>
          <w:tcPr>
            <w:tcW w:w="1194" w:type="dxa"/>
            <w:gridSpan w:val="2"/>
            <w:tcBorders>
              <w:top w:val="single" w:sz="8" w:space="0" w:color="000000"/>
              <w:left w:val="single" w:sz="8" w:space="0" w:color="000000"/>
              <w:bottom w:val="single" w:sz="8" w:space="0" w:color="000000"/>
            </w:tcBorders>
            <w:shd w:val="clear" w:color="000000" w:fill="9BD2ED"/>
            <w:vAlign w:val="center"/>
            <w:hideMark/>
          </w:tcPr>
          <w:p w14:paraId="113ACE04" w14:textId="2ACC365C"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Period of realization</w:t>
            </w:r>
          </w:p>
        </w:tc>
        <w:tc>
          <w:tcPr>
            <w:tcW w:w="1418" w:type="dxa"/>
            <w:gridSpan w:val="3"/>
            <w:shd w:val="clear" w:color="000000" w:fill="9BD2ED"/>
            <w:vAlign w:val="center"/>
            <w:hideMark/>
          </w:tcPr>
          <w:p w14:paraId="17FE1CCA" w14:textId="774E34AB"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 institution</w:t>
            </w:r>
          </w:p>
        </w:tc>
        <w:tc>
          <w:tcPr>
            <w:tcW w:w="1644" w:type="dxa"/>
            <w:gridSpan w:val="3"/>
            <w:shd w:val="clear" w:color="000000" w:fill="9BD2ED"/>
            <w:vAlign w:val="center"/>
            <w:hideMark/>
          </w:tcPr>
          <w:p w14:paraId="0AA320BE" w14:textId="0E478EBE"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 partners</w:t>
            </w:r>
          </w:p>
        </w:tc>
        <w:tc>
          <w:tcPr>
            <w:tcW w:w="1758" w:type="dxa"/>
            <w:gridSpan w:val="4"/>
            <w:shd w:val="clear" w:color="000000" w:fill="9BD2ED"/>
            <w:vAlign w:val="center"/>
            <w:hideMark/>
          </w:tcPr>
          <w:p w14:paraId="2F2BC4B5"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3D26299F" w14:textId="11DAF79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 of financing</w:t>
            </w:r>
          </w:p>
        </w:tc>
        <w:tc>
          <w:tcPr>
            <w:tcW w:w="1506" w:type="dxa"/>
            <w:gridSpan w:val="4"/>
            <w:shd w:val="clear" w:color="000000" w:fill="9BD2ED"/>
            <w:vAlign w:val="center"/>
            <w:hideMark/>
          </w:tcPr>
          <w:p w14:paraId="7C1798BE"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DF7303" w:rsidRPr="00D30847" w14:paraId="18D17CD8" w14:textId="77777777" w:rsidTr="00FD4DDE">
        <w:trPr>
          <w:gridBefore w:val="3"/>
          <w:gridAfter w:val="1"/>
          <w:wBefore w:w="37" w:type="dxa"/>
          <w:wAfter w:w="52" w:type="dxa"/>
          <w:trHeight w:val="961"/>
          <w:jc w:val="center"/>
        </w:trPr>
        <w:tc>
          <w:tcPr>
            <w:tcW w:w="2303" w:type="dxa"/>
            <w:gridSpan w:val="3"/>
            <w:vMerge/>
            <w:tcBorders>
              <w:top w:val="nil"/>
              <w:left w:val="nil"/>
              <w:bottom w:val="nil"/>
              <w:right w:val="single" w:sz="8" w:space="0" w:color="000000"/>
            </w:tcBorders>
            <w:vAlign w:val="center"/>
            <w:hideMark/>
          </w:tcPr>
          <w:p w14:paraId="610644D2"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top w:val="single" w:sz="8" w:space="0" w:color="000000"/>
              <w:left w:val="single" w:sz="8" w:space="0" w:color="000000"/>
              <w:bottom w:val="single" w:sz="8" w:space="0" w:color="000000"/>
              <w:right w:val="single" w:sz="8" w:space="0" w:color="000000"/>
            </w:tcBorders>
            <w:shd w:val="clear" w:color="000000" w:fill="FFFF99"/>
            <w:vAlign w:val="center"/>
            <w:hideMark/>
          </w:tcPr>
          <w:p w14:paraId="488B193C" w14:textId="74823FA1"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Implementation of  adopted strategic, planning and methodological acts of the SAO and adoption of new methodological acts of SAO</w:t>
            </w:r>
          </w:p>
        </w:tc>
        <w:tc>
          <w:tcPr>
            <w:tcW w:w="1194" w:type="dxa"/>
            <w:gridSpan w:val="2"/>
            <w:tcBorders>
              <w:top w:val="single" w:sz="8" w:space="0" w:color="000000"/>
              <w:left w:val="single" w:sz="8" w:space="0" w:color="000000"/>
              <w:bottom w:val="single" w:sz="8" w:space="0" w:color="000000"/>
            </w:tcBorders>
            <w:shd w:val="clear" w:color="000000" w:fill="FFFF99"/>
            <w:vAlign w:val="center"/>
            <w:hideMark/>
          </w:tcPr>
          <w:p w14:paraId="1B53F0AF" w14:textId="1550986D"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2025 - 2028</w:t>
            </w:r>
          </w:p>
        </w:tc>
        <w:tc>
          <w:tcPr>
            <w:tcW w:w="1418" w:type="dxa"/>
            <w:gridSpan w:val="3"/>
            <w:shd w:val="clear" w:color="000000" w:fill="FFFF99"/>
            <w:vAlign w:val="center"/>
            <w:hideMark/>
          </w:tcPr>
          <w:p w14:paraId="7E4533E6"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SAO</w:t>
            </w:r>
          </w:p>
        </w:tc>
        <w:tc>
          <w:tcPr>
            <w:tcW w:w="1644" w:type="dxa"/>
            <w:gridSpan w:val="3"/>
            <w:shd w:val="clear" w:color="000000" w:fill="FFFF99"/>
            <w:vAlign w:val="center"/>
            <w:hideMark/>
          </w:tcPr>
          <w:p w14:paraId="3FE505F3" w14:textId="3159B8D1"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758" w:type="dxa"/>
            <w:gridSpan w:val="4"/>
            <w:shd w:val="clear" w:color="000000" w:fill="FFFF99"/>
            <w:vAlign w:val="center"/>
            <w:hideMark/>
          </w:tcPr>
          <w:p w14:paraId="47DE6291" w14:textId="0A317143"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500.000</w:t>
            </w:r>
          </w:p>
        </w:tc>
        <w:tc>
          <w:tcPr>
            <w:tcW w:w="1842" w:type="dxa"/>
            <w:gridSpan w:val="4"/>
            <w:shd w:val="clear" w:color="000000" w:fill="FFFF99"/>
            <w:vAlign w:val="center"/>
            <w:hideMark/>
          </w:tcPr>
          <w:p w14:paraId="397842BF" w14:textId="3B14B7A3"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 funding</w:t>
            </w:r>
          </w:p>
          <w:p w14:paraId="55A56CB5" w14:textId="77777777"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WFD, NDI, USAID, UNDP, </w:t>
            </w:r>
            <w:proofErr w:type="spellStart"/>
            <w:r w:rsidRPr="00D30847">
              <w:rPr>
                <w:rFonts w:ascii="Arial" w:eastAsia="Times New Roman" w:hAnsi="Arial" w:cs="Arial"/>
                <w:sz w:val="12"/>
                <w:szCs w:val="12"/>
                <w:lang w:val="en-GB" w:eastAsia="mk-MK"/>
              </w:rPr>
              <w:t>UnWomen</w:t>
            </w:r>
            <w:proofErr w:type="spellEnd"/>
            <w:r w:rsidRPr="00D30847">
              <w:rPr>
                <w:rFonts w:ascii="Arial" w:eastAsia="Times New Roman" w:hAnsi="Arial" w:cs="Arial"/>
                <w:sz w:val="12"/>
                <w:szCs w:val="12"/>
                <w:lang w:val="en-GB" w:eastAsia="mk-MK"/>
              </w:rPr>
              <w:t xml:space="preserve"> and others</w:t>
            </w:r>
          </w:p>
          <w:p w14:paraId="564C8A17" w14:textId="4C07A4C5" w:rsidR="00DF7303" w:rsidRPr="00D30847" w:rsidRDefault="00DF7303" w:rsidP="00DF7303">
            <w:pPr>
              <w:spacing w:after="0" w:line="240" w:lineRule="auto"/>
              <w:rPr>
                <w:rFonts w:ascii="Arial" w:eastAsia="Times New Roman" w:hAnsi="Arial" w:cs="Arial"/>
                <w:sz w:val="12"/>
                <w:szCs w:val="12"/>
                <w:lang w:val="en-GB" w:eastAsia="mk-MK"/>
              </w:rPr>
            </w:pPr>
          </w:p>
        </w:tc>
        <w:tc>
          <w:tcPr>
            <w:tcW w:w="1506" w:type="dxa"/>
            <w:gridSpan w:val="4"/>
            <w:shd w:val="clear" w:color="000000" w:fill="FFFF99"/>
            <w:vAlign w:val="center"/>
            <w:hideMark/>
          </w:tcPr>
          <w:p w14:paraId="515A85F2" w14:textId="60E89E23" w:rsidR="00DF7303" w:rsidRPr="00D30847" w:rsidRDefault="00DF7303" w:rsidP="00DF7303">
            <w:pPr>
              <w:spacing w:after="0" w:line="240" w:lineRule="auto"/>
              <w:jc w:val="center"/>
              <w:rPr>
                <w:rFonts w:ascii="Arial" w:eastAsia="Times New Roman" w:hAnsi="Arial" w:cs="Arial"/>
                <w:sz w:val="12"/>
                <w:szCs w:val="12"/>
                <w:lang w:val="en-GB" w:eastAsia="mk-MK"/>
              </w:rPr>
            </w:pPr>
          </w:p>
        </w:tc>
      </w:tr>
      <w:tr w:rsidR="00DF7303" w:rsidRPr="00D30847" w14:paraId="133B39C9" w14:textId="77777777" w:rsidTr="00FD4DDE">
        <w:trPr>
          <w:gridBefore w:val="3"/>
          <w:gridAfter w:val="1"/>
          <w:wBefore w:w="37" w:type="dxa"/>
          <w:wAfter w:w="52" w:type="dxa"/>
          <w:trHeight w:val="790"/>
          <w:jc w:val="center"/>
        </w:trPr>
        <w:tc>
          <w:tcPr>
            <w:tcW w:w="2303" w:type="dxa"/>
            <w:gridSpan w:val="3"/>
            <w:vMerge/>
            <w:tcBorders>
              <w:top w:val="nil"/>
              <w:left w:val="nil"/>
              <w:bottom w:val="nil"/>
              <w:right w:val="single" w:sz="8" w:space="0" w:color="000000"/>
            </w:tcBorders>
            <w:vAlign w:val="center"/>
            <w:hideMark/>
          </w:tcPr>
          <w:p w14:paraId="37AF1B79"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53BDC2DA" w14:textId="45568466" w:rsidR="00DF7303" w:rsidRPr="00D30847" w:rsidRDefault="00DF7303" w:rsidP="00EA6895">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Strengthen the capacity to conduct audits</w:t>
            </w:r>
          </w:p>
        </w:tc>
        <w:tc>
          <w:tcPr>
            <w:tcW w:w="1194" w:type="dxa"/>
            <w:gridSpan w:val="2"/>
            <w:shd w:val="clear" w:color="000000" w:fill="FFFF99"/>
            <w:vAlign w:val="center"/>
            <w:hideMark/>
          </w:tcPr>
          <w:p w14:paraId="31E9137E" w14:textId="68742771"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2025- 2028</w:t>
            </w:r>
          </w:p>
        </w:tc>
        <w:tc>
          <w:tcPr>
            <w:tcW w:w="1418" w:type="dxa"/>
            <w:gridSpan w:val="3"/>
            <w:shd w:val="clear" w:color="000000" w:fill="FFFF99"/>
            <w:vAlign w:val="center"/>
            <w:hideMark/>
          </w:tcPr>
          <w:p w14:paraId="559D8AA2"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SAO</w:t>
            </w:r>
          </w:p>
        </w:tc>
        <w:tc>
          <w:tcPr>
            <w:tcW w:w="1644" w:type="dxa"/>
            <w:gridSpan w:val="3"/>
            <w:shd w:val="clear" w:color="000000" w:fill="FFFF99"/>
            <w:vAlign w:val="center"/>
            <w:hideMark/>
          </w:tcPr>
          <w:p w14:paraId="17DC5C18" w14:textId="5A13E6C4"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758" w:type="dxa"/>
            <w:gridSpan w:val="4"/>
            <w:shd w:val="clear" w:color="000000" w:fill="FFFF99"/>
            <w:vAlign w:val="center"/>
            <w:hideMark/>
          </w:tcPr>
          <w:p w14:paraId="69BF69AE" w14:textId="5D809341"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5.482.000 </w:t>
            </w:r>
          </w:p>
          <w:p w14:paraId="6D4ECFC7" w14:textId="2C3AA246"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 </w:t>
            </w:r>
          </w:p>
        </w:tc>
        <w:tc>
          <w:tcPr>
            <w:tcW w:w="1842" w:type="dxa"/>
            <w:gridSpan w:val="4"/>
            <w:shd w:val="clear" w:color="000000" w:fill="FFFF99"/>
            <w:vAlign w:val="center"/>
            <w:hideMark/>
          </w:tcPr>
          <w:p w14:paraId="038605CD" w14:textId="279BC310"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 funding</w:t>
            </w:r>
          </w:p>
          <w:p w14:paraId="47992A5E" w14:textId="77777777"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WFD, NDI, USAID, UNDP, </w:t>
            </w:r>
            <w:proofErr w:type="spellStart"/>
            <w:r w:rsidRPr="00D30847">
              <w:rPr>
                <w:rFonts w:ascii="Arial" w:eastAsia="Times New Roman" w:hAnsi="Arial" w:cs="Arial"/>
                <w:sz w:val="12"/>
                <w:szCs w:val="12"/>
                <w:lang w:val="en-GB" w:eastAsia="mk-MK"/>
              </w:rPr>
              <w:t>UnWomen</w:t>
            </w:r>
            <w:proofErr w:type="spellEnd"/>
            <w:r w:rsidRPr="00D30847">
              <w:rPr>
                <w:rFonts w:ascii="Arial" w:eastAsia="Times New Roman" w:hAnsi="Arial" w:cs="Arial"/>
                <w:sz w:val="12"/>
                <w:szCs w:val="12"/>
                <w:lang w:val="en-GB" w:eastAsia="mk-MK"/>
              </w:rPr>
              <w:t xml:space="preserve"> and others</w:t>
            </w:r>
          </w:p>
        </w:tc>
        <w:tc>
          <w:tcPr>
            <w:tcW w:w="1506" w:type="dxa"/>
            <w:gridSpan w:val="4"/>
            <w:shd w:val="clear" w:color="000000" w:fill="FFFF99"/>
            <w:vAlign w:val="center"/>
            <w:hideMark/>
          </w:tcPr>
          <w:p w14:paraId="59FB2805" w14:textId="5707975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DF7303" w:rsidRPr="00D30847" w14:paraId="1DEC70CB" w14:textId="77777777" w:rsidTr="00FD4DDE">
        <w:trPr>
          <w:gridBefore w:val="3"/>
          <w:gridAfter w:val="1"/>
          <w:wBefore w:w="37" w:type="dxa"/>
          <w:wAfter w:w="52" w:type="dxa"/>
          <w:trHeight w:val="1330"/>
          <w:jc w:val="center"/>
        </w:trPr>
        <w:tc>
          <w:tcPr>
            <w:tcW w:w="2303" w:type="dxa"/>
            <w:gridSpan w:val="3"/>
            <w:vMerge/>
            <w:tcBorders>
              <w:top w:val="nil"/>
              <w:left w:val="nil"/>
              <w:bottom w:val="nil"/>
              <w:right w:val="single" w:sz="8" w:space="0" w:color="000000"/>
            </w:tcBorders>
            <w:vAlign w:val="center"/>
            <w:hideMark/>
          </w:tcPr>
          <w:p w14:paraId="6224920F" w14:textId="644A4D7E"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30043293" w14:textId="47893C51"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 Increasing the visibility of the SAO and communication with the stakeholders</w:t>
            </w:r>
          </w:p>
        </w:tc>
        <w:tc>
          <w:tcPr>
            <w:tcW w:w="1194" w:type="dxa"/>
            <w:gridSpan w:val="2"/>
            <w:shd w:val="clear" w:color="000000" w:fill="FFFF99"/>
            <w:vAlign w:val="center"/>
            <w:hideMark/>
          </w:tcPr>
          <w:p w14:paraId="2C15052C" w14:textId="52879F2C"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2025 - 2028</w:t>
            </w:r>
          </w:p>
        </w:tc>
        <w:tc>
          <w:tcPr>
            <w:tcW w:w="1418" w:type="dxa"/>
            <w:gridSpan w:val="3"/>
            <w:shd w:val="clear" w:color="000000" w:fill="FFFF99"/>
            <w:vAlign w:val="center"/>
            <w:hideMark/>
          </w:tcPr>
          <w:p w14:paraId="3D7445AC"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SAO</w:t>
            </w:r>
          </w:p>
        </w:tc>
        <w:tc>
          <w:tcPr>
            <w:tcW w:w="1644" w:type="dxa"/>
            <w:gridSpan w:val="3"/>
            <w:shd w:val="clear" w:color="000000" w:fill="FFFF99"/>
            <w:vAlign w:val="center"/>
            <w:hideMark/>
          </w:tcPr>
          <w:p w14:paraId="30A1A569" w14:textId="5BD9E963" w:rsidR="00DF7303" w:rsidRPr="00D30847" w:rsidRDefault="00DF7303" w:rsidP="00DF7303">
            <w:pPr>
              <w:spacing w:after="0" w:line="240" w:lineRule="auto"/>
              <w:jc w:val="both"/>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Stakeholders (Assembly, Government, Ministry of Finance, Public Prosecutor's Office, Ministry of Interior, State Commission for Prevention of Corruption, audited entities, the public).</w:t>
            </w:r>
          </w:p>
        </w:tc>
        <w:tc>
          <w:tcPr>
            <w:tcW w:w="1758" w:type="dxa"/>
            <w:gridSpan w:val="4"/>
            <w:shd w:val="clear" w:color="000000" w:fill="FFFF99"/>
            <w:vAlign w:val="center"/>
            <w:hideMark/>
          </w:tcPr>
          <w:p w14:paraId="44538363" w14:textId="35E614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1.000.000</w:t>
            </w:r>
          </w:p>
          <w:p w14:paraId="52E4496D" w14:textId="56ABE86E" w:rsidR="00DF7303" w:rsidRPr="00D30847" w:rsidRDefault="00DF7303" w:rsidP="00DF7303">
            <w:pPr>
              <w:spacing w:after="0" w:line="240" w:lineRule="auto"/>
              <w:rPr>
                <w:rFonts w:ascii="Arial" w:eastAsia="Times New Roman" w:hAnsi="Arial" w:cs="Arial"/>
                <w:sz w:val="12"/>
                <w:szCs w:val="12"/>
                <w:lang w:val="en-GB" w:eastAsia="mk-MK"/>
              </w:rPr>
            </w:pPr>
          </w:p>
        </w:tc>
        <w:tc>
          <w:tcPr>
            <w:tcW w:w="1842" w:type="dxa"/>
            <w:gridSpan w:val="4"/>
            <w:shd w:val="clear" w:color="000000" w:fill="FFFF99"/>
            <w:vAlign w:val="center"/>
            <w:hideMark/>
          </w:tcPr>
          <w:p w14:paraId="1AE1B9FC" w14:textId="33037321"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 funding</w:t>
            </w:r>
          </w:p>
          <w:p w14:paraId="60A8B4CA" w14:textId="77777777"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WFD, NDI, USAID, UNDP, </w:t>
            </w:r>
            <w:proofErr w:type="spellStart"/>
            <w:r w:rsidRPr="00D30847">
              <w:rPr>
                <w:rFonts w:ascii="Arial" w:eastAsia="Times New Roman" w:hAnsi="Arial" w:cs="Arial"/>
                <w:sz w:val="12"/>
                <w:szCs w:val="12"/>
                <w:lang w:val="en-GB" w:eastAsia="mk-MK"/>
              </w:rPr>
              <w:t>UnWomen</w:t>
            </w:r>
            <w:proofErr w:type="spellEnd"/>
            <w:r w:rsidRPr="00D30847">
              <w:rPr>
                <w:rFonts w:ascii="Arial" w:eastAsia="Times New Roman" w:hAnsi="Arial" w:cs="Arial"/>
                <w:sz w:val="12"/>
                <w:szCs w:val="12"/>
                <w:lang w:val="en-GB" w:eastAsia="mk-MK"/>
              </w:rPr>
              <w:t xml:space="preserve"> and others</w:t>
            </w:r>
          </w:p>
        </w:tc>
        <w:tc>
          <w:tcPr>
            <w:tcW w:w="1506" w:type="dxa"/>
            <w:gridSpan w:val="4"/>
            <w:shd w:val="clear" w:color="000000" w:fill="FFFF99"/>
            <w:vAlign w:val="center"/>
            <w:hideMark/>
          </w:tcPr>
          <w:p w14:paraId="432C84B8" w14:textId="59465473" w:rsidR="00DF7303" w:rsidRPr="00D30847" w:rsidRDefault="00DF7303" w:rsidP="00DF7303">
            <w:pPr>
              <w:spacing w:after="0" w:line="240" w:lineRule="auto"/>
              <w:jc w:val="center"/>
              <w:rPr>
                <w:rFonts w:ascii="Arial" w:eastAsia="Times New Roman" w:hAnsi="Arial" w:cs="Arial"/>
                <w:sz w:val="12"/>
                <w:szCs w:val="12"/>
                <w:lang w:val="en-GB" w:eastAsia="mk-MK"/>
              </w:rPr>
            </w:pPr>
          </w:p>
        </w:tc>
      </w:tr>
      <w:tr w:rsidR="00DF7303" w:rsidRPr="00D30847" w14:paraId="028197C6" w14:textId="77777777" w:rsidTr="00FD4DDE">
        <w:trPr>
          <w:gridBefore w:val="3"/>
          <w:gridAfter w:val="1"/>
          <w:wBefore w:w="37" w:type="dxa"/>
          <w:wAfter w:w="52" w:type="dxa"/>
          <w:trHeight w:val="250"/>
          <w:jc w:val="center"/>
        </w:trPr>
        <w:tc>
          <w:tcPr>
            <w:tcW w:w="13501" w:type="dxa"/>
            <w:gridSpan w:val="28"/>
            <w:shd w:val="clear" w:color="000000" w:fill="1F3864"/>
            <w:vAlign w:val="center"/>
            <w:hideMark/>
          </w:tcPr>
          <w:p w14:paraId="12AFEF72" w14:textId="5F4F7670" w:rsidR="00DF7303" w:rsidRPr="00D30847" w:rsidRDefault="00DF7303" w:rsidP="00DF7303">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lastRenderedPageBreak/>
              <w:t>PILLAR VII. External audit and parliamentary oversight</w:t>
            </w:r>
          </w:p>
        </w:tc>
      </w:tr>
      <w:tr w:rsidR="00DF7303" w:rsidRPr="00D30847" w14:paraId="0FAA86E9" w14:textId="77777777" w:rsidTr="00FD4DDE">
        <w:trPr>
          <w:gridBefore w:val="3"/>
          <w:gridAfter w:val="1"/>
          <w:wBefore w:w="37" w:type="dxa"/>
          <w:wAfter w:w="52" w:type="dxa"/>
          <w:trHeight w:val="277"/>
          <w:jc w:val="center"/>
        </w:trPr>
        <w:tc>
          <w:tcPr>
            <w:tcW w:w="13501" w:type="dxa"/>
            <w:gridSpan w:val="28"/>
            <w:shd w:val="clear" w:color="000000" w:fill="1F3864"/>
            <w:vAlign w:val="center"/>
            <w:hideMark/>
          </w:tcPr>
          <w:p w14:paraId="40A8329D" w14:textId="4D1A0BF6" w:rsidR="00DF7303" w:rsidRPr="00D30847" w:rsidRDefault="00DF7303" w:rsidP="00DF7303">
            <w:pPr>
              <w:spacing w:after="0" w:line="240" w:lineRule="auto"/>
              <w:jc w:val="both"/>
              <w:rPr>
                <w:rFonts w:ascii="Arial" w:eastAsia="Times New Roman" w:hAnsi="Arial" w:cs="Arial"/>
                <w:b/>
                <w:bCs/>
                <w:color w:val="FFFFFF"/>
                <w:sz w:val="12"/>
                <w:szCs w:val="12"/>
                <w:lang w:val="en-GB" w:eastAsia="mk-MK"/>
              </w:rPr>
            </w:pPr>
            <w:r w:rsidRPr="00D30847">
              <w:rPr>
                <w:rFonts w:ascii="Arial" w:eastAsia="Times New Roman" w:hAnsi="Arial" w:cs="Arial"/>
                <w:b/>
                <w:bCs/>
                <w:color w:val="FFFFFF"/>
                <w:sz w:val="12"/>
                <w:szCs w:val="12"/>
                <w:lang w:val="en-GB" w:eastAsia="mk-MK"/>
              </w:rPr>
              <w:t>PRIORITY 2. Parliamentary oversight</w:t>
            </w:r>
          </w:p>
        </w:tc>
      </w:tr>
      <w:tr w:rsidR="00DF7303" w:rsidRPr="00D30847" w14:paraId="615F62C9" w14:textId="77777777" w:rsidTr="00FD4DDE">
        <w:trPr>
          <w:gridBefore w:val="3"/>
          <w:gridAfter w:val="1"/>
          <w:wBefore w:w="37" w:type="dxa"/>
          <w:wAfter w:w="52" w:type="dxa"/>
          <w:trHeight w:val="271"/>
          <w:jc w:val="center"/>
        </w:trPr>
        <w:tc>
          <w:tcPr>
            <w:tcW w:w="2303" w:type="dxa"/>
            <w:gridSpan w:val="3"/>
            <w:shd w:val="clear" w:color="000000" w:fill="9BD2ED"/>
            <w:vAlign w:val="center"/>
            <w:hideMark/>
          </w:tcPr>
          <w:p w14:paraId="1C0642E8"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Outcome(s)</w:t>
            </w:r>
          </w:p>
        </w:tc>
        <w:tc>
          <w:tcPr>
            <w:tcW w:w="1836" w:type="dxa"/>
            <w:gridSpan w:val="5"/>
            <w:shd w:val="clear" w:color="000000" w:fill="9BD2ED"/>
            <w:vAlign w:val="center"/>
            <w:hideMark/>
          </w:tcPr>
          <w:p w14:paraId="374182D7" w14:textId="1E5B4D2F"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w:t>
            </w:r>
          </w:p>
        </w:tc>
        <w:tc>
          <w:tcPr>
            <w:tcW w:w="1194" w:type="dxa"/>
            <w:gridSpan w:val="2"/>
            <w:shd w:val="clear" w:color="000000" w:fill="9BD2ED"/>
            <w:vAlign w:val="center"/>
            <w:hideMark/>
          </w:tcPr>
          <w:p w14:paraId="674553A9" w14:textId="2592CA53"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 Source</w:t>
            </w:r>
          </w:p>
        </w:tc>
        <w:tc>
          <w:tcPr>
            <w:tcW w:w="1418" w:type="dxa"/>
            <w:gridSpan w:val="3"/>
            <w:shd w:val="clear" w:color="000000" w:fill="9BD2ED"/>
            <w:vAlign w:val="center"/>
            <w:hideMark/>
          </w:tcPr>
          <w:p w14:paraId="69A76743" w14:textId="37F22F6E"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FY23</w:t>
            </w:r>
          </w:p>
        </w:tc>
        <w:tc>
          <w:tcPr>
            <w:tcW w:w="1644" w:type="dxa"/>
            <w:gridSpan w:val="3"/>
            <w:shd w:val="clear" w:color="000000" w:fill="9BD2ED"/>
            <w:vAlign w:val="center"/>
            <w:hideMark/>
          </w:tcPr>
          <w:p w14:paraId="5631729E" w14:textId="61125DA2"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FY25</w:t>
            </w:r>
          </w:p>
        </w:tc>
        <w:tc>
          <w:tcPr>
            <w:tcW w:w="1758" w:type="dxa"/>
            <w:gridSpan w:val="4"/>
            <w:shd w:val="clear" w:color="000000" w:fill="9BD2ED"/>
            <w:vAlign w:val="center"/>
            <w:hideMark/>
          </w:tcPr>
          <w:p w14:paraId="42070C36" w14:textId="189F056B"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FY26</w:t>
            </w:r>
          </w:p>
        </w:tc>
        <w:tc>
          <w:tcPr>
            <w:tcW w:w="1842" w:type="dxa"/>
            <w:gridSpan w:val="4"/>
            <w:shd w:val="clear" w:color="000000" w:fill="9BD2ED"/>
            <w:vAlign w:val="center"/>
            <w:hideMark/>
          </w:tcPr>
          <w:p w14:paraId="236C5447" w14:textId="279F8D20"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FY27</w:t>
            </w:r>
          </w:p>
        </w:tc>
        <w:tc>
          <w:tcPr>
            <w:tcW w:w="1506" w:type="dxa"/>
            <w:gridSpan w:val="4"/>
            <w:shd w:val="clear" w:color="000000" w:fill="9BD2ED"/>
            <w:vAlign w:val="center"/>
            <w:hideMark/>
          </w:tcPr>
          <w:p w14:paraId="0DE9E769" w14:textId="2EF5C165"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FY28</w:t>
            </w:r>
          </w:p>
        </w:tc>
      </w:tr>
      <w:tr w:rsidR="00DF7303" w:rsidRPr="00D30847" w14:paraId="5F270C21" w14:textId="77777777" w:rsidTr="00FD4DDE">
        <w:trPr>
          <w:gridBefore w:val="3"/>
          <w:gridAfter w:val="1"/>
          <w:wBefore w:w="37" w:type="dxa"/>
          <w:wAfter w:w="52" w:type="dxa"/>
          <w:trHeight w:val="655"/>
          <w:jc w:val="center"/>
        </w:trPr>
        <w:tc>
          <w:tcPr>
            <w:tcW w:w="2303" w:type="dxa"/>
            <w:gridSpan w:val="3"/>
            <w:tcBorders>
              <w:bottom w:val="single" w:sz="8" w:space="0" w:color="000000"/>
            </w:tcBorders>
            <w:shd w:val="clear" w:color="000000" w:fill="FFFF99"/>
            <w:vAlign w:val="center"/>
            <w:hideMark/>
          </w:tcPr>
          <w:p w14:paraId="235DA957" w14:textId="2A609F81"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I. Enhanced effects of audit</w:t>
            </w:r>
          </w:p>
        </w:tc>
        <w:tc>
          <w:tcPr>
            <w:tcW w:w="1836" w:type="dxa"/>
            <w:gridSpan w:val="5"/>
            <w:tcBorders>
              <w:bottom w:val="single" w:sz="8" w:space="0" w:color="000000"/>
            </w:tcBorders>
            <w:shd w:val="clear" w:color="000000" w:fill="FFFF99"/>
            <w:vAlign w:val="center"/>
            <w:hideMark/>
          </w:tcPr>
          <w:p w14:paraId="5B362CCB" w14:textId="039EC80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Percentage of external audit recommendations for which corrective measures have been taken</w:t>
            </w:r>
          </w:p>
        </w:tc>
        <w:tc>
          <w:tcPr>
            <w:tcW w:w="1194" w:type="dxa"/>
            <w:gridSpan w:val="2"/>
            <w:tcBorders>
              <w:bottom w:val="single" w:sz="8" w:space="0" w:color="000000"/>
            </w:tcBorders>
            <w:shd w:val="clear" w:color="000000" w:fill="FFFF99"/>
            <w:vAlign w:val="center"/>
            <w:hideMark/>
          </w:tcPr>
          <w:p w14:paraId="48615ECF" w14:textId="6186F196"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SAO Annual report on the performed audits and operation</w:t>
            </w:r>
          </w:p>
        </w:tc>
        <w:tc>
          <w:tcPr>
            <w:tcW w:w="1418" w:type="dxa"/>
            <w:gridSpan w:val="3"/>
            <w:tcBorders>
              <w:bottom w:val="single" w:sz="8" w:space="0" w:color="000000"/>
            </w:tcBorders>
            <w:shd w:val="clear" w:color="000000" w:fill="FFFF99"/>
            <w:vAlign w:val="center"/>
            <w:hideMark/>
          </w:tcPr>
          <w:p w14:paraId="5A7EF6BA" w14:textId="2508FF15"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71%</w:t>
            </w:r>
          </w:p>
        </w:tc>
        <w:tc>
          <w:tcPr>
            <w:tcW w:w="1644" w:type="dxa"/>
            <w:gridSpan w:val="3"/>
            <w:tcBorders>
              <w:bottom w:val="single" w:sz="8" w:space="0" w:color="000000"/>
            </w:tcBorders>
            <w:shd w:val="clear" w:color="000000" w:fill="FFFF99"/>
            <w:vAlign w:val="center"/>
            <w:hideMark/>
          </w:tcPr>
          <w:p w14:paraId="53CC1B01"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≥72%</w:t>
            </w:r>
          </w:p>
        </w:tc>
        <w:tc>
          <w:tcPr>
            <w:tcW w:w="1758" w:type="dxa"/>
            <w:gridSpan w:val="4"/>
            <w:tcBorders>
              <w:bottom w:val="single" w:sz="8" w:space="0" w:color="000000"/>
            </w:tcBorders>
            <w:shd w:val="clear" w:color="000000" w:fill="FFFF99"/>
            <w:vAlign w:val="center"/>
            <w:hideMark/>
          </w:tcPr>
          <w:p w14:paraId="5834E29C"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≥74%</w:t>
            </w:r>
          </w:p>
        </w:tc>
        <w:tc>
          <w:tcPr>
            <w:tcW w:w="1842" w:type="dxa"/>
            <w:gridSpan w:val="4"/>
            <w:tcBorders>
              <w:bottom w:val="single" w:sz="8" w:space="0" w:color="000000"/>
            </w:tcBorders>
            <w:shd w:val="clear" w:color="000000" w:fill="FFFF99"/>
            <w:vAlign w:val="center"/>
            <w:hideMark/>
          </w:tcPr>
          <w:p w14:paraId="7FE64E10"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≥76%</w:t>
            </w:r>
          </w:p>
        </w:tc>
        <w:tc>
          <w:tcPr>
            <w:tcW w:w="1506" w:type="dxa"/>
            <w:gridSpan w:val="4"/>
            <w:tcBorders>
              <w:bottom w:val="single" w:sz="8" w:space="0" w:color="000000"/>
            </w:tcBorders>
            <w:shd w:val="clear" w:color="000000" w:fill="FFFF99"/>
            <w:vAlign w:val="center"/>
            <w:hideMark/>
          </w:tcPr>
          <w:p w14:paraId="414DC262"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≥78%</w:t>
            </w:r>
          </w:p>
        </w:tc>
      </w:tr>
      <w:tr w:rsidR="00DF7303" w:rsidRPr="00D30847" w14:paraId="1737A8EB" w14:textId="77777777" w:rsidTr="00FD4DDE">
        <w:trPr>
          <w:gridBefore w:val="3"/>
          <w:gridAfter w:val="1"/>
          <w:wBefore w:w="37" w:type="dxa"/>
          <w:wAfter w:w="52" w:type="dxa"/>
          <w:trHeight w:val="227"/>
          <w:jc w:val="center"/>
        </w:trPr>
        <w:tc>
          <w:tcPr>
            <w:tcW w:w="13501" w:type="dxa"/>
            <w:gridSpan w:val="28"/>
            <w:shd w:val="clear" w:color="000000" w:fill="9BD2ED"/>
            <w:vAlign w:val="center"/>
            <w:hideMark/>
          </w:tcPr>
          <w:p w14:paraId="780948B8" w14:textId="2DB265E4" w:rsidR="00DF7303" w:rsidRPr="00D30847" w:rsidRDefault="00DF7303" w:rsidP="00DF7303">
            <w:pPr>
              <w:spacing w:after="0" w:line="240" w:lineRule="auto"/>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Measure 1. Establishing a mechanism for reviewing the audit reports and the measures taken following the recommendations given in the audit reports in the RNM Assembly</w:t>
            </w:r>
          </w:p>
        </w:tc>
      </w:tr>
      <w:tr w:rsidR="00DF7303" w:rsidRPr="00D30847" w14:paraId="4C7D646F" w14:textId="77777777" w:rsidTr="00FD4DDE">
        <w:trPr>
          <w:gridBefore w:val="3"/>
          <w:gridAfter w:val="1"/>
          <w:wBefore w:w="37" w:type="dxa"/>
          <w:wAfter w:w="52" w:type="dxa"/>
          <w:trHeight w:val="273"/>
          <w:jc w:val="center"/>
        </w:trPr>
        <w:tc>
          <w:tcPr>
            <w:tcW w:w="2303" w:type="dxa"/>
            <w:gridSpan w:val="3"/>
            <w:vMerge w:val="restart"/>
            <w:tcBorders>
              <w:top w:val="nil"/>
              <w:left w:val="nil"/>
              <w:bottom w:val="nil"/>
              <w:right w:val="single" w:sz="8" w:space="0" w:color="000000"/>
            </w:tcBorders>
            <w:shd w:val="clear" w:color="auto" w:fill="auto"/>
            <w:noWrap/>
            <w:vAlign w:val="bottom"/>
            <w:hideMark/>
          </w:tcPr>
          <w:p w14:paraId="4D57EC67"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41150BA0" w14:textId="358260E6"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indicators</w:t>
            </w:r>
          </w:p>
        </w:tc>
        <w:tc>
          <w:tcPr>
            <w:tcW w:w="1194" w:type="dxa"/>
            <w:gridSpan w:val="2"/>
            <w:shd w:val="clear" w:color="000000" w:fill="9BD2ED"/>
            <w:vAlign w:val="center"/>
            <w:hideMark/>
          </w:tcPr>
          <w:p w14:paraId="5F6BDBA7" w14:textId="65CC2D58"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 source</w:t>
            </w:r>
          </w:p>
        </w:tc>
        <w:tc>
          <w:tcPr>
            <w:tcW w:w="1418" w:type="dxa"/>
            <w:gridSpan w:val="3"/>
            <w:shd w:val="clear" w:color="000000" w:fill="9BD2ED"/>
            <w:vAlign w:val="center"/>
            <w:hideMark/>
          </w:tcPr>
          <w:p w14:paraId="47D69066" w14:textId="652E95BA"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FY23</w:t>
            </w:r>
          </w:p>
        </w:tc>
        <w:tc>
          <w:tcPr>
            <w:tcW w:w="1644" w:type="dxa"/>
            <w:gridSpan w:val="3"/>
            <w:shd w:val="clear" w:color="000000" w:fill="9BD2ED"/>
            <w:vAlign w:val="center"/>
            <w:hideMark/>
          </w:tcPr>
          <w:p w14:paraId="0D6E8721" w14:textId="4732FD40"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FG25</w:t>
            </w:r>
          </w:p>
        </w:tc>
        <w:tc>
          <w:tcPr>
            <w:tcW w:w="1758" w:type="dxa"/>
            <w:gridSpan w:val="4"/>
            <w:shd w:val="clear" w:color="000000" w:fill="9BD2ED"/>
            <w:vAlign w:val="center"/>
            <w:hideMark/>
          </w:tcPr>
          <w:p w14:paraId="6442A9F2" w14:textId="0A2A63AF"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FG26</w:t>
            </w:r>
          </w:p>
        </w:tc>
        <w:tc>
          <w:tcPr>
            <w:tcW w:w="1842" w:type="dxa"/>
            <w:gridSpan w:val="4"/>
            <w:shd w:val="clear" w:color="000000" w:fill="9BD2ED"/>
            <w:vAlign w:val="center"/>
            <w:hideMark/>
          </w:tcPr>
          <w:p w14:paraId="6C7E8227" w14:textId="173EE57A"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FG27</w:t>
            </w:r>
          </w:p>
        </w:tc>
        <w:tc>
          <w:tcPr>
            <w:tcW w:w="1506" w:type="dxa"/>
            <w:gridSpan w:val="4"/>
            <w:shd w:val="clear" w:color="000000" w:fill="9BD2ED"/>
            <w:vAlign w:val="center"/>
            <w:hideMark/>
          </w:tcPr>
          <w:p w14:paraId="4C53F8D2" w14:textId="62F635EF"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FG28</w:t>
            </w:r>
          </w:p>
        </w:tc>
      </w:tr>
      <w:tr w:rsidR="00DF7303" w:rsidRPr="00D30847" w14:paraId="6479D4E9" w14:textId="77777777" w:rsidTr="00FD4DDE">
        <w:trPr>
          <w:gridBefore w:val="3"/>
          <w:gridAfter w:val="1"/>
          <w:wBefore w:w="37" w:type="dxa"/>
          <w:wAfter w:w="52" w:type="dxa"/>
          <w:trHeight w:val="1078"/>
          <w:jc w:val="center"/>
        </w:trPr>
        <w:tc>
          <w:tcPr>
            <w:tcW w:w="2303" w:type="dxa"/>
            <w:gridSpan w:val="3"/>
            <w:vMerge/>
            <w:tcBorders>
              <w:top w:val="nil"/>
              <w:left w:val="nil"/>
              <w:bottom w:val="nil"/>
              <w:right w:val="single" w:sz="8" w:space="0" w:color="000000"/>
            </w:tcBorders>
            <w:vAlign w:val="center"/>
            <w:hideMark/>
          </w:tcPr>
          <w:p w14:paraId="0182CF7E"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125ECE19" w14:textId="4416B250"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audit reports that are under the scrutiny of the Parliament</w:t>
            </w:r>
          </w:p>
        </w:tc>
        <w:tc>
          <w:tcPr>
            <w:tcW w:w="1194" w:type="dxa"/>
            <w:gridSpan w:val="2"/>
            <w:shd w:val="clear" w:color="000000" w:fill="FFFF99"/>
            <w:vAlign w:val="center"/>
            <w:hideMark/>
          </w:tcPr>
          <w:p w14:paraId="5A1546D6" w14:textId="1051A584"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SAO Annual report on the performed audits and operation</w:t>
            </w:r>
          </w:p>
        </w:tc>
        <w:tc>
          <w:tcPr>
            <w:tcW w:w="1418" w:type="dxa"/>
            <w:gridSpan w:val="3"/>
            <w:shd w:val="clear" w:color="000000" w:fill="FFFF99"/>
            <w:vAlign w:val="center"/>
            <w:hideMark/>
          </w:tcPr>
          <w:p w14:paraId="7D4B5618" w14:textId="1A801002"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Considered one final audit report on the audit of financial statements and compliance audit of the Commission /Parent Working Body</w:t>
            </w:r>
          </w:p>
        </w:tc>
        <w:tc>
          <w:tcPr>
            <w:tcW w:w="1644" w:type="dxa"/>
            <w:gridSpan w:val="3"/>
            <w:shd w:val="clear" w:color="000000" w:fill="FFFF99"/>
            <w:vAlign w:val="center"/>
            <w:hideMark/>
          </w:tcPr>
          <w:p w14:paraId="2E5D680F"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Number of audit reports that have been reviewed by the Assembly</w:t>
            </w:r>
          </w:p>
          <w:p w14:paraId="563DC6C4" w14:textId="469EAA5F"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002B1263" w:rsidRPr="00D30847">
              <w:rPr>
                <w:rFonts w:ascii="Arial" w:eastAsia="Times New Roman" w:hAnsi="Arial" w:cs="Arial"/>
                <w:sz w:val="12"/>
                <w:szCs w:val="12"/>
                <w:lang w:val="en-GB" w:eastAsia="mk-MK"/>
              </w:rPr>
              <w:t>3</w:t>
            </w:r>
          </w:p>
        </w:tc>
        <w:tc>
          <w:tcPr>
            <w:tcW w:w="1758" w:type="dxa"/>
            <w:gridSpan w:val="4"/>
            <w:shd w:val="clear" w:color="000000" w:fill="FFFF99"/>
            <w:vAlign w:val="center"/>
            <w:hideMark/>
          </w:tcPr>
          <w:p w14:paraId="0D3F1E6A"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audit reports that have been reviewed by the Assembly</w:t>
            </w:r>
          </w:p>
          <w:p w14:paraId="3D90C0CE" w14:textId="56D81DEF"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w:t>
            </w:r>
            <w:r w:rsidR="002B1263" w:rsidRPr="00D30847">
              <w:rPr>
                <w:rFonts w:ascii="Arial" w:eastAsia="Times New Roman" w:hAnsi="Arial" w:cs="Arial"/>
                <w:sz w:val="12"/>
                <w:szCs w:val="12"/>
                <w:lang w:val="en-GB" w:eastAsia="mk-MK"/>
              </w:rPr>
              <w:t>4</w:t>
            </w:r>
          </w:p>
        </w:tc>
        <w:tc>
          <w:tcPr>
            <w:tcW w:w="1842" w:type="dxa"/>
            <w:gridSpan w:val="4"/>
            <w:shd w:val="clear" w:color="000000" w:fill="FFFF99"/>
            <w:vAlign w:val="center"/>
            <w:hideMark/>
          </w:tcPr>
          <w:p w14:paraId="0A25AA32"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audit reports that have been reviewed by the Assembly</w:t>
            </w:r>
          </w:p>
          <w:p w14:paraId="2E21B325" w14:textId="61FEEF98"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≥4</w:t>
            </w:r>
          </w:p>
        </w:tc>
        <w:tc>
          <w:tcPr>
            <w:tcW w:w="1506" w:type="dxa"/>
            <w:gridSpan w:val="4"/>
            <w:shd w:val="clear" w:color="000000" w:fill="FFFF99"/>
            <w:vAlign w:val="center"/>
            <w:hideMark/>
          </w:tcPr>
          <w:p w14:paraId="4935D6E2"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audit reports that have been reviewed by the Assembly</w:t>
            </w:r>
          </w:p>
          <w:p w14:paraId="3B4F18DE" w14:textId="31818AEC"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≥5</w:t>
            </w:r>
          </w:p>
        </w:tc>
      </w:tr>
      <w:tr w:rsidR="00DF7303" w:rsidRPr="00D30847" w14:paraId="0E10619A" w14:textId="77777777" w:rsidTr="00FD4DDE">
        <w:trPr>
          <w:gridBefore w:val="3"/>
          <w:gridAfter w:val="1"/>
          <w:wBefore w:w="37" w:type="dxa"/>
          <w:wAfter w:w="52" w:type="dxa"/>
          <w:trHeight w:val="360"/>
          <w:jc w:val="center"/>
        </w:trPr>
        <w:tc>
          <w:tcPr>
            <w:tcW w:w="2303" w:type="dxa"/>
            <w:gridSpan w:val="3"/>
            <w:vMerge/>
            <w:tcBorders>
              <w:top w:val="nil"/>
              <w:left w:val="nil"/>
              <w:bottom w:val="nil"/>
              <w:right w:val="single" w:sz="8" w:space="0" w:color="000000"/>
            </w:tcBorders>
            <w:vAlign w:val="center"/>
            <w:hideMark/>
          </w:tcPr>
          <w:p w14:paraId="30E9EDCD"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19548E51"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Activity</w:t>
            </w:r>
          </w:p>
        </w:tc>
        <w:tc>
          <w:tcPr>
            <w:tcW w:w="1194" w:type="dxa"/>
            <w:gridSpan w:val="2"/>
            <w:shd w:val="clear" w:color="000000" w:fill="9BD2ED"/>
            <w:vAlign w:val="center"/>
            <w:hideMark/>
          </w:tcPr>
          <w:p w14:paraId="5BE47FC8" w14:textId="22328808"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Period of realization</w:t>
            </w:r>
          </w:p>
        </w:tc>
        <w:tc>
          <w:tcPr>
            <w:tcW w:w="1418" w:type="dxa"/>
            <w:gridSpan w:val="3"/>
            <w:shd w:val="clear" w:color="000000" w:fill="9BD2ED"/>
            <w:vAlign w:val="center"/>
            <w:hideMark/>
          </w:tcPr>
          <w:p w14:paraId="68070AFF" w14:textId="30051EC6"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 institution</w:t>
            </w:r>
          </w:p>
        </w:tc>
        <w:tc>
          <w:tcPr>
            <w:tcW w:w="1644" w:type="dxa"/>
            <w:gridSpan w:val="3"/>
            <w:shd w:val="clear" w:color="000000" w:fill="9BD2ED"/>
            <w:vAlign w:val="center"/>
            <w:hideMark/>
          </w:tcPr>
          <w:p w14:paraId="713DD5B0" w14:textId="0EF38A16"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 partners</w:t>
            </w:r>
          </w:p>
        </w:tc>
        <w:tc>
          <w:tcPr>
            <w:tcW w:w="1758" w:type="dxa"/>
            <w:gridSpan w:val="4"/>
            <w:shd w:val="clear" w:color="000000" w:fill="9BD2ED"/>
            <w:vAlign w:val="center"/>
            <w:hideMark/>
          </w:tcPr>
          <w:p w14:paraId="6C3BC735"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4C562946" w14:textId="195FE57C" w:rsidR="00DF7303" w:rsidRPr="00D30847" w:rsidRDefault="00DF7303" w:rsidP="00DF7303">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 of financing</w:t>
            </w:r>
          </w:p>
        </w:tc>
        <w:tc>
          <w:tcPr>
            <w:tcW w:w="1506" w:type="dxa"/>
            <w:gridSpan w:val="4"/>
            <w:shd w:val="clear" w:color="000000" w:fill="9BD2ED"/>
            <w:vAlign w:val="center"/>
            <w:hideMark/>
          </w:tcPr>
          <w:p w14:paraId="207A475C"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DF7303" w:rsidRPr="00D30847" w14:paraId="7BA2F70B" w14:textId="77777777" w:rsidTr="00FD4DDE">
        <w:trPr>
          <w:gridBefore w:val="3"/>
          <w:gridAfter w:val="1"/>
          <w:wBefore w:w="37" w:type="dxa"/>
          <w:wAfter w:w="52" w:type="dxa"/>
          <w:trHeight w:val="591"/>
          <w:jc w:val="center"/>
        </w:trPr>
        <w:tc>
          <w:tcPr>
            <w:tcW w:w="2303" w:type="dxa"/>
            <w:gridSpan w:val="3"/>
            <w:vMerge/>
            <w:tcBorders>
              <w:top w:val="nil"/>
              <w:left w:val="nil"/>
              <w:bottom w:val="nil"/>
              <w:right w:val="single" w:sz="8" w:space="0" w:color="000000"/>
            </w:tcBorders>
            <w:vAlign w:val="center"/>
            <w:hideMark/>
          </w:tcPr>
          <w:p w14:paraId="257D07DF"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48A3AEF5" w14:textId="3BF1C768"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Implementation of concluded Memorandum of Cooperation between the Assembly and the SAO.</w:t>
            </w:r>
          </w:p>
        </w:tc>
        <w:tc>
          <w:tcPr>
            <w:tcW w:w="1194" w:type="dxa"/>
            <w:gridSpan w:val="2"/>
            <w:shd w:val="clear" w:color="000000" w:fill="FFFF99"/>
            <w:vAlign w:val="center"/>
            <w:hideMark/>
          </w:tcPr>
          <w:p w14:paraId="4A7BC8A4" w14:textId="3DF2CBB5"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Q4/2022-Q4/2028</w:t>
            </w:r>
          </w:p>
        </w:tc>
        <w:tc>
          <w:tcPr>
            <w:tcW w:w="1418" w:type="dxa"/>
            <w:gridSpan w:val="3"/>
            <w:shd w:val="clear" w:color="000000" w:fill="FFFF99"/>
            <w:vAlign w:val="center"/>
            <w:hideMark/>
          </w:tcPr>
          <w:p w14:paraId="09CD1B0A"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SAO</w:t>
            </w:r>
          </w:p>
        </w:tc>
        <w:tc>
          <w:tcPr>
            <w:tcW w:w="1644" w:type="dxa"/>
            <w:gridSpan w:val="3"/>
            <w:shd w:val="clear" w:color="000000" w:fill="FFFF99"/>
            <w:vAlign w:val="center"/>
            <w:hideMark/>
          </w:tcPr>
          <w:p w14:paraId="1C9311D9" w14:textId="55F7428F"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Assembly of  RNM</w:t>
            </w:r>
          </w:p>
        </w:tc>
        <w:tc>
          <w:tcPr>
            <w:tcW w:w="1758" w:type="dxa"/>
            <w:gridSpan w:val="4"/>
            <w:shd w:val="clear" w:color="000000" w:fill="FFFF99"/>
            <w:vAlign w:val="center"/>
            <w:hideMark/>
          </w:tcPr>
          <w:p w14:paraId="512062AF"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0</w:t>
            </w:r>
          </w:p>
        </w:tc>
        <w:tc>
          <w:tcPr>
            <w:tcW w:w="1842" w:type="dxa"/>
            <w:gridSpan w:val="4"/>
            <w:shd w:val="clear" w:color="000000" w:fill="FFFF99"/>
            <w:vAlign w:val="center"/>
            <w:hideMark/>
          </w:tcPr>
          <w:p w14:paraId="6276BDE5" w14:textId="55483CAA"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506" w:type="dxa"/>
            <w:gridSpan w:val="4"/>
            <w:shd w:val="clear" w:color="000000" w:fill="FFFF99"/>
            <w:vAlign w:val="center"/>
            <w:hideMark/>
          </w:tcPr>
          <w:p w14:paraId="005FF0BB" w14:textId="5F327B21" w:rsidR="00DF7303" w:rsidRPr="00D30847" w:rsidRDefault="00DF7303" w:rsidP="00DF7303">
            <w:pPr>
              <w:spacing w:after="0" w:line="240" w:lineRule="auto"/>
              <w:jc w:val="center"/>
              <w:rPr>
                <w:rFonts w:ascii="Arial" w:eastAsia="Times New Roman" w:hAnsi="Arial" w:cs="Arial"/>
                <w:sz w:val="12"/>
                <w:szCs w:val="12"/>
                <w:lang w:val="en-GB" w:eastAsia="mk-MK"/>
              </w:rPr>
            </w:pPr>
          </w:p>
        </w:tc>
      </w:tr>
      <w:tr w:rsidR="00DF7303" w:rsidRPr="00D30847" w14:paraId="7F8C3212" w14:textId="77777777" w:rsidTr="00FD4DDE">
        <w:trPr>
          <w:gridBefore w:val="3"/>
          <w:gridAfter w:val="1"/>
          <w:wBefore w:w="37" w:type="dxa"/>
          <w:wAfter w:w="52" w:type="dxa"/>
          <w:trHeight w:val="758"/>
          <w:jc w:val="center"/>
        </w:trPr>
        <w:tc>
          <w:tcPr>
            <w:tcW w:w="2303" w:type="dxa"/>
            <w:gridSpan w:val="3"/>
            <w:vMerge/>
            <w:tcBorders>
              <w:top w:val="nil"/>
              <w:left w:val="nil"/>
              <w:bottom w:val="nil"/>
              <w:right w:val="single" w:sz="8" w:space="0" w:color="000000"/>
            </w:tcBorders>
            <w:vAlign w:val="center"/>
            <w:hideMark/>
          </w:tcPr>
          <w:p w14:paraId="35EC5B48"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4776ABCD" w14:textId="118A68D6"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 Preparation of final/proposal procedures in the SAO and the Assembly for submission and review of audit reports and other documents.</w:t>
            </w:r>
          </w:p>
        </w:tc>
        <w:tc>
          <w:tcPr>
            <w:tcW w:w="1194" w:type="dxa"/>
            <w:gridSpan w:val="2"/>
            <w:shd w:val="clear" w:color="000000" w:fill="FFFF99"/>
            <w:vAlign w:val="center"/>
            <w:hideMark/>
          </w:tcPr>
          <w:p w14:paraId="2EA9BEBA" w14:textId="785C1D00"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Q</w:t>
            </w:r>
            <w:r w:rsidR="002B1263" w:rsidRPr="00D30847">
              <w:rPr>
                <w:rFonts w:ascii="Arial" w:eastAsia="Times New Roman" w:hAnsi="Arial" w:cs="Arial"/>
                <w:sz w:val="12"/>
                <w:szCs w:val="12"/>
                <w:lang w:val="en-GB" w:eastAsia="mk-MK"/>
              </w:rPr>
              <w:t>2/</w:t>
            </w:r>
            <w:r w:rsidRPr="00D30847">
              <w:rPr>
                <w:rFonts w:ascii="Arial" w:eastAsia="Times New Roman" w:hAnsi="Arial" w:cs="Arial"/>
                <w:sz w:val="12"/>
                <w:szCs w:val="12"/>
                <w:lang w:val="en-GB" w:eastAsia="mk-MK"/>
              </w:rPr>
              <w:t>2022-Q4/2028</w:t>
            </w:r>
          </w:p>
        </w:tc>
        <w:tc>
          <w:tcPr>
            <w:tcW w:w="1418" w:type="dxa"/>
            <w:gridSpan w:val="3"/>
            <w:shd w:val="clear" w:color="000000" w:fill="FFFF99"/>
            <w:vAlign w:val="center"/>
            <w:hideMark/>
          </w:tcPr>
          <w:p w14:paraId="4106A496"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SAO</w:t>
            </w:r>
          </w:p>
        </w:tc>
        <w:tc>
          <w:tcPr>
            <w:tcW w:w="1644" w:type="dxa"/>
            <w:gridSpan w:val="3"/>
            <w:shd w:val="clear" w:color="000000" w:fill="FFFF99"/>
            <w:vAlign w:val="center"/>
            <w:hideMark/>
          </w:tcPr>
          <w:p w14:paraId="36E4DF1E" w14:textId="5578DA64"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Assembly of  RNM</w:t>
            </w:r>
          </w:p>
        </w:tc>
        <w:tc>
          <w:tcPr>
            <w:tcW w:w="1758" w:type="dxa"/>
            <w:gridSpan w:val="4"/>
            <w:shd w:val="clear" w:color="000000" w:fill="FFFF99"/>
            <w:vAlign w:val="center"/>
            <w:hideMark/>
          </w:tcPr>
          <w:p w14:paraId="05504676" w14:textId="7879C073"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146,000</w:t>
            </w:r>
          </w:p>
        </w:tc>
        <w:tc>
          <w:tcPr>
            <w:tcW w:w="1842" w:type="dxa"/>
            <w:gridSpan w:val="4"/>
            <w:shd w:val="clear" w:color="000000" w:fill="FFFF99"/>
            <w:vAlign w:val="center"/>
            <w:hideMark/>
          </w:tcPr>
          <w:p w14:paraId="5ABB22E0" w14:textId="77777777" w:rsidR="00A33C9E" w:rsidRPr="00D30847" w:rsidRDefault="00A33C9E" w:rsidP="00A33C9E">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 financing</w:t>
            </w:r>
          </w:p>
          <w:p w14:paraId="228CA452" w14:textId="5835C49D" w:rsidR="00DF7303" w:rsidRPr="00D30847" w:rsidRDefault="00A33C9E" w:rsidP="00A33C9E">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NDI, </w:t>
            </w:r>
            <w:r w:rsidRPr="00D30847">
              <w:rPr>
                <w:rFonts w:cs="Calibri"/>
                <w:sz w:val="12"/>
                <w:szCs w:val="12"/>
                <w:lang w:val="en-GB"/>
              </w:rPr>
              <w:t>WFD, USAID, UNDP</w:t>
            </w:r>
            <w:r w:rsidRPr="00D30847">
              <w:rPr>
                <w:rFonts w:ascii="Arial" w:eastAsia="Times New Roman" w:hAnsi="Arial" w:cs="Arial"/>
                <w:sz w:val="12"/>
                <w:szCs w:val="12"/>
                <w:lang w:val="en-GB" w:eastAsia="mk-MK"/>
              </w:rPr>
              <w:t xml:space="preserve"> and others</w:t>
            </w:r>
          </w:p>
        </w:tc>
        <w:tc>
          <w:tcPr>
            <w:tcW w:w="1506" w:type="dxa"/>
            <w:gridSpan w:val="4"/>
            <w:shd w:val="clear" w:color="000000" w:fill="FFFF99"/>
            <w:vAlign w:val="center"/>
            <w:hideMark/>
          </w:tcPr>
          <w:p w14:paraId="0888B4C9" w14:textId="5ADAFC43"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r>
      <w:tr w:rsidR="00DF7303" w:rsidRPr="00D30847" w14:paraId="3DE56A2A" w14:textId="77777777" w:rsidTr="00FD4DDE">
        <w:trPr>
          <w:gridBefore w:val="3"/>
          <w:gridAfter w:val="1"/>
          <w:wBefore w:w="37" w:type="dxa"/>
          <w:wAfter w:w="52" w:type="dxa"/>
          <w:trHeight w:val="268"/>
          <w:jc w:val="center"/>
        </w:trPr>
        <w:tc>
          <w:tcPr>
            <w:tcW w:w="13501" w:type="dxa"/>
            <w:gridSpan w:val="28"/>
            <w:shd w:val="clear" w:color="000000" w:fill="9BD2ED"/>
            <w:vAlign w:val="center"/>
            <w:hideMark/>
          </w:tcPr>
          <w:p w14:paraId="49903F9E" w14:textId="08F10116" w:rsidR="00DF7303" w:rsidRPr="00D30847" w:rsidRDefault="00DF7303" w:rsidP="00DF7303">
            <w:pPr>
              <w:spacing w:after="0" w:line="240" w:lineRule="auto"/>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Measure 2. Strengthening the institutional capacities for reviewing audit reports in the Assembly of RNM</w:t>
            </w:r>
          </w:p>
        </w:tc>
      </w:tr>
      <w:tr w:rsidR="00DF7303" w:rsidRPr="00D30847" w14:paraId="4DBD7FDB" w14:textId="77777777" w:rsidTr="00FD4DDE">
        <w:trPr>
          <w:gridBefore w:val="3"/>
          <w:gridAfter w:val="1"/>
          <w:wBefore w:w="37" w:type="dxa"/>
          <w:wAfter w:w="52" w:type="dxa"/>
          <w:trHeight w:val="247"/>
          <w:jc w:val="center"/>
        </w:trPr>
        <w:tc>
          <w:tcPr>
            <w:tcW w:w="2303" w:type="dxa"/>
            <w:gridSpan w:val="3"/>
            <w:vMerge w:val="restart"/>
            <w:tcBorders>
              <w:top w:val="nil"/>
              <w:left w:val="nil"/>
              <w:bottom w:val="nil"/>
              <w:right w:val="single" w:sz="8" w:space="0" w:color="000000"/>
            </w:tcBorders>
            <w:shd w:val="clear" w:color="auto" w:fill="auto"/>
            <w:noWrap/>
            <w:vAlign w:val="bottom"/>
            <w:hideMark/>
          </w:tcPr>
          <w:p w14:paraId="252697F7"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w:t>
            </w:r>
          </w:p>
        </w:tc>
        <w:tc>
          <w:tcPr>
            <w:tcW w:w="1836" w:type="dxa"/>
            <w:gridSpan w:val="5"/>
            <w:tcBorders>
              <w:left w:val="single" w:sz="8" w:space="0" w:color="000000"/>
            </w:tcBorders>
            <w:shd w:val="clear" w:color="000000" w:fill="9BD2ED"/>
            <w:vAlign w:val="center"/>
            <w:hideMark/>
          </w:tcPr>
          <w:p w14:paraId="54A095E0" w14:textId="4F06D265"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Performance indicators</w:t>
            </w:r>
          </w:p>
        </w:tc>
        <w:tc>
          <w:tcPr>
            <w:tcW w:w="1194" w:type="dxa"/>
            <w:gridSpan w:val="2"/>
            <w:shd w:val="clear" w:color="000000" w:fill="9BD2ED"/>
            <w:vAlign w:val="center"/>
            <w:hideMark/>
          </w:tcPr>
          <w:p w14:paraId="2FA2A697" w14:textId="53C24AF3"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Data source</w:t>
            </w:r>
          </w:p>
        </w:tc>
        <w:tc>
          <w:tcPr>
            <w:tcW w:w="1418" w:type="dxa"/>
            <w:gridSpan w:val="3"/>
            <w:shd w:val="clear" w:color="000000" w:fill="9BD2ED"/>
            <w:vAlign w:val="center"/>
            <w:hideMark/>
          </w:tcPr>
          <w:p w14:paraId="0DDDBE22" w14:textId="3F7B9843"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Baseline FY23</w:t>
            </w:r>
          </w:p>
        </w:tc>
        <w:tc>
          <w:tcPr>
            <w:tcW w:w="1644" w:type="dxa"/>
            <w:gridSpan w:val="3"/>
            <w:shd w:val="clear" w:color="000000" w:fill="9BD2ED"/>
            <w:vAlign w:val="center"/>
            <w:hideMark/>
          </w:tcPr>
          <w:p w14:paraId="0ED3D893" w14:textId="038D2074"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FG25</w:t>
            </w:r>
          </w:p>
        </w:tc>
        <w:tc>
          <w:tcPr>
            <w:tcW w:w="1758" w:type="dxa"/>
            <w:gridSpan w:val="4"/>
            <w:shd w:val="clear" w:color="000000" w:fill="9BD2ED"/>
            <w:vAlign w:val="center"/>
            <w:hideMark/>
          </w:tcPr>
          <w:p w14:paraId="7028380C" w14:textId="5822BB03"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FG26</w:t>
            </w:r>
          </w:p>
        </w:tc>
        <w:tc>
          <w:tcPr>
            <w:tcW w:w="1842" w:type="dxa"/>
            <w:gridSpan w:val="4"/>
            <w:shd w:val="clear" w:color="000000" w:fill="9BD2ED"/>
            <w:vAlign w:val="center"/>
            <w:hideMark/>
          </w:tcPr>
          <w:p w14:paraId="51FB0A7C" w14:textId="476D36C2" w:rsidR="00DF7303" w:rsidRPr="00D30847" w:rsidRDefault="00DF7303" w:rsidP="00DF7303">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FG27</w:t>
            </w:r>
          </w:p>
        </w:tc>
        <w:tc>
          <w:tcPr>
            <w:tcW w:w="1506" w:type="dxa"/>
            <w:gridSpan w:val="4"/>
            <w:shd w:val="clear" w:color="000000" w:fill="9BD2ED"/>
            <w:vAlign w:val="center"/>
            <w:hideMark/>
          </w:tcPr>
          <w:p w14:paraId="26CE2711" w14:textId="43DA940E"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Target FG28</w:t>
            </w:r>
          </w:p>
        </w:tc>
      </w:tr>
      <w:tr w:rsidR="00DF7303" w:rsidRPr="00D30847" w14:paraId="4F557E12" w14:textId="77777777" w:rsidTr="00FD4DDE">
        <w:trPr>
          <w:gridBefore w:val="3"/>
          <w:gridAfter w:val="1"/>
          <w:wBefore w:w="37" w:type="dxa"/>
          <w:wAfter w:w="52" w:type="dxa"/>
          <w:trHeight w:val="1540"/>
          <w:jc w:val="center"/>
        </w:trPr>
        <w:tc>
          <w:tcPr>
            <w:tcW w:w="2303" w:type="dxa"/>
            <w:gridSpan w:val="3"/>
            <w:vMerge/>
            <w:tcBorders>
              <w:top w:val="nil"/>
              <w:left w:val="nil"/>
              <w:bottom w:val="nil"/>
              <w:right w:val="single" w:sz="8" w:space="0" w:color="000000"/>
            </w:tcBorders>
            <w:vAlign w:val="center"/>
            <w:hideMark/>
          </w:tcPr>
          <w:p w14:paraId="79DED5BD"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74BAA40D" w14:textId="216CD608"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MPs trained on the role of the SAO</w:t>
            </w:r>
          </w:p>
        </w:tc>
        <w:tc>
          <w:tcPr>
            <w:tcW w:w="1194" w:type="dxa"/>
            <w:gridSpan w:val="2"/>
            <w:shd w:val="clear" w:color="000000" w:fill="FFFF99"/>
            <w:vAlign w:val="center"/>
            <w:hideMark/>
          </w:tcPr>
          <w:p w14:paraId="3734723F" w14:textId="2925238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SAO Annual report on the performed audits and operation</w:t>
            </w:r>
          </w:p>
        </w:tc>
        <w:tc>
          <w:tcPr>
            <w:tcW w:w="1418" w:type="dxa"/>
            <w:gridSpan w:val="3"/>
            <w:shd w:val="clear" w:color="000000" w:fill="FFFF99"/>
            <w:vAlign w:val="center"/>
            <w:hideMark/>
          </w:tcPr>
          <w:p w14:paraId="720FA789" w14:textId="3BB9B942"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Cooperation between the SAO and the Assembly has improved, but it needs to be strengthened in the coming period in accordance with the signed Memorandum of Cooperation</w:t>
            </w:r>
          </w:p>
        </w:tc>
        <w:tc>
          <w:tcPr>
            <w:tcW w:w="1644" w:type="dxa"/>
            <w:gridSpan w:val="3"/>
            <w:shd w:val="clear" w:color="000000" w:fill="FFFF99"/>
            <w:vAlign w:val="center"/>
            <w:hideMark/>
          </w:tcPr>
          <w:p w14:paraId="5D9B2C01" w14:textId="1554D81C"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MPs trained for the role of SAO-10</w:t>
            </w:r>
          </w:p>
        </w:tc>
        <w:tc>
          <w:tcPr>
            <w:tcW w:w="1758" w:type="dxa"/>
            <w:gridSpan w:val="4"/>
            <w:shd w:val="clear" w:color="000000" w:fill="FFFF99"/>
            <w:vAlign w:val="center"/>
            <w:hideMark/>
          </w:tcPr>
          <w:p w14:paraId="24F3F84F" w14:textId="5F04F18A"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deputies trained for the role of SAO-15</w:t>
            </w:r>
          </w:p>
        </w:tc>
        <w:tc>
          <w:tcPr>
            <w:tcW w:w="1842" w:type="dxa"/>
            <w:gridSpan w:val="4"/>
            <w:shd w:val="clear" w:color="000000" w:fill="FFFF99"/>
            <w:vAlign w:val="center"/>
            <w:hideMark/>
          </w:tcPr>
          <w:p w14:paraId="3E89AF4A" w14:textId="5BB32FCB"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MPs trained for the role of SAO-20</w:t>
            </w:r>
          </w:p>
        </w:tc>
        <w:tc>
          <w:tcPr>
            <w:tcW w:w="1506" w:type="dxa"/>
            <w:gridSpan w:val="4"/>
            <w:shd w:val="clear" w:color="000000" w:fill="FFFF99"/>
            <w:vAlign w:val="center"/>
            <w:hideMark/>
          </w:tcPr>
          <w:p w14:paraId="43167363" w14:textId="043D77D6"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Number of MPs trained for the role of SAO-25</w:t>
            </w:r>
          </w:p>
        </w:tc>
      </w:tr>
      <w:tr w:rsidR="00DF7303" w:rsidRPr="00D30847" w14:paraId="53062160" w14:textId="77777777" w:rsidTr="00FD4DDE">
        <w:trPr>
          <w:gridBefore w:val="3"/>
          <w:gridAfter w:val="1"/>
          <w:wBefore w:w="37" w:type="dxa"/>
          <w:wAfter w:w="52" w:type="dxa"/>
          <w:trHeight w:val="257"/>
          <w:jc w:val="center"/>
        </w:trPr>
        <w:tc>
          <w:tcPr>
            <w:tcW w:w="2303" w:type="dxa"/>
            <w:gridSpan w:val="3"/>
            <w:vMerge/>
            <w:tcBorders>
              <w:top w:val="nil"/>
              <w:left w:val="nil"/>
              <w:bottom w:val="nil"/>
              <w:right w:val="single" w:sz="8" w:space="0" w:color="000000"/>
            </w:tcBorders>
            <w:vAlign w:val="center"/>
            <w:hideMark/>
          </w:tcPr>
          <w:p w14:paraId="1DD261F7"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9BD2ED"/>
            <w:vAlign w:val="center"/>
            <w:hideMark/>
          </w:tcPr>
          <w:p w14:paraId="2B050A03"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Activity</w:t>
            </w:r>
          </w:p>
        </w:tc>
        <w:tc>
          <w:tcPr>
            <w:tcW w:w="1194" w:type="dxa"/>
            <w:gridSpan w:val="2"/>
            <w:shd w:val="clear" w:color="000000" w:fill="9BD2ED"/>
            <w:vAlign w:val="center"/>
            <w:hideMark/>
          </w:tcPr>
          <w:p w14:paraId="7B5DE14A" w14:textId="3A1DAC70"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Period of realization</w:t>
            </w:r>
          </w:p>
        </w:tc>
        <w:tc>
          <w:tcPr>
            <w:tcW w:w="1418" w:type="dxa"/>
            <w:gridSpan w:val="3"/>
            <w:shd w:val="clear" w:color="000000" w:fill="9BD2ED"/>
            <w:vAlign w:val="center"/>
            <w:hideMark/>
          </w:tcPr>
          <w:p w14:paraId="5B98C9AB" w14:textId="6148EF7E"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Responsible institution</w:t>
            </w:r>
          </w:p>
        </w:tc>
        <w:tc>
          <w:tcPr>
            <w:tcW w:w="1644" w:type="dxa"/>
            <w:gridSpan w:val="3"/>
            <w:shd w:val="clear" w:color="000000" w:fill="9BD2ED"/>
            <w:vAlign w:val="center"/>
            <w:hideMark/>
          </w:tcPr>
          <w:p w14:paraId="0F7D93A5" w14:textId="223EE0F6"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Other partners</w:t>
            </w:r>
          </w:p>
        </w:tc>
        <w:tc>
          <w:tcPr>
            <w:tcW w:w="1758" w:type="dxa"/>
            <w:gridSpan w:val="4"/>
            <w:shd w:val="clear" w:color="000000" w:fill="9BD2ED"/>
            <w:vAlign w:val="center"/>
            <w:hideMark/>
          </w:tcPr>
          <w:p w14:paraId="5F95D158"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Costs</w:t>
            </w:r>
          </w:p>
        </w:tc>
        <w:tc>
          <w:tcPr>
            <w:tcW w:w="1842" w:type="dxa"/>
            <w:gridSpan w:val="4"/>
            <w:shd w:val="clear" w:color="000000" w:fill="9BD2ED"/>
            <w:vAlign w:val="center"/>
            <w:hideMark/>
          </w:tcPr>
          <w:p w14:paraId="118D03D9" w14:textId="0E4C5AAA" w:rsidR="00DF7303" w:rsidRPr="00D30847" w:rsidRDefault="00DF7303" w:rsidP="00DF7303">
            <w:pPr>
              <w:spacing w:after="0" w:line="240" w:lineRule="auto"/>
              <w:jc w:val="both"/>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Source of financing</w:t>
            </w:r>
          </w:p>
        </w:tc>
        <w:tc>
          <w:tcPr>
            <w:tcW w:w="1506" w:type="dxa"/>
            <w:gridSpan w:val="4"/>
            <w:shd w:val="clear" w:color="000000" w:fill="9BD2ED"/>
            <w:vAlign w:val="center"/>
            <w:hideMark/>
          </w:tcPr>
          <w:p w14:paraId="69D95E5E" w14:textId="77777777" w:rsidR="00DF7303" w:rsidRPr="00D30847" w:rsidRDefault="00DF7303" w:rsidP="00DF7303">
            <w:pPr>
              <w:spacing w:after="0" w:line="240" w:lineRule="auto"/>
              <w:jc w:val="center"/>
              <w:rPr>
                <w:rFonts w:ascii="Arial" w:eastAsia="Times New Roman" w:hAnsi="Arial" w:cs="Arial"/>
                <w:b/>
                <w:bCs/>
                <w:sz w:val="12"/>
                <w:szCs w:val="12"/>
                <w:lang w:val="en-GB" w:eastAsia="mk-MK"/>
              </w:rPr>
            </w:pPr>
            <w:r w:rsidRPr="00D30847">
              <w:rPr>
                <w:rFonts w:ascii="Arial" w:eastAsia="Times New Roman" w:hAnsi="Arial" w:cs="Arial"/>
                <w:b/>
                <w:bCs/>
                <w:sz w:val="12"/>
                <w:szCs w:val="12"/>
                <w:lang w:val="en-GB" w:eastAsia="mk-MK"/>
              </w:rPr>
              <w:t> </w:t>
            </w:r>
          </w:p>
        </w:tc>
      </w:tr>
      <w:tr w:rsidR="00DF7303" w:rsidRPr="00D30847" w14:paraId="60B64F8A" w14:textId="77777777" w:rsidTr="00FD4DDE">
        <w:trPr>
          <w:gridBefore w:val="3"/>
          <w:gridAfter w:val="1"/>
          <w:wBefore w:w="37" w:type="dxa"/>
          <w:wAfter w:w="52" w:type="dxa"/>
          <w:trHeight w:val="686"/>
          <w:jc w:val="center"/>
        </w:trPr>
        <w:tc>
          <w:tcPr>
            <w:tcW w:w="2303" w:type="dxa"/>
            <w:gridSpan w:val="3"/>
            <w:vMerge/>
            <w:tcBorders>
              <w:top w:val="nil"/>
              <w:left w:val="nil"/>
              <w:bottom w:val="nil"/>
              <w:right w:val="single" w:sz="8" w:space="0" w:color="000000"/>
            </w:tcBorders>
            <w:vAlign w:val="center"/>
            <w:hideMark/>
          </w:tcPr>
          <w:p w14:paraId="2D3B48ED"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566978E6" w14:textId="08648A90"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 Preparation of a Training Plan for MPs and employees of the RNM Assembly Service in order to facilitate the understanding of the audit reports and preparation for a debate on the audit reports.</w:t>
            </w:r>
          </w:p>
        </w:tc>
        <w:tc>
          <w:tcPr>
            <w:tcW w:w="1194" w:type="dxa"/>
            <w:gridSpan w:val="2"/>
            <w:shd w:val="clear" w:color="000000" w:fill="FFFF99"/>
            <w:vAlign w:val="center"/>
            <w:hideMark/>
          </w:tcPr>
          <w:p w14:paraId="274FF05D" w14:textId="37B1AA9E" w:rsidR="00DF7303" w:rsidRPr="00D30847" w:rsidRDefault="00F043C3" w:rsidP="00DF7303">
            <w:pPr>
              <w:spacing w:after="0" w:line="240" w:lineRule="auto"/>
              <w:jc w:val="center"/>
              <w:rPr>
                <w:rFonts w:ascii="Arial" w:eastAsia="Times New Roman" w:hAnsi="Arial" w:cs="Arial"/>
                <w:sz w:val="12"/>
                <w:szCs w:val="12"/>
                <w:lang w:val="en-GB" w:eastAsia="mk-MK"/>
              </w:rPr>
            </w:pPr>
            <w:r>
              <w:rPr>
                <w:rFonts w:ascii="Arial" w:eastAsia="Times New Roman" w:hAnsi="Arial" w:cs="Arial"/>
                <w:sz w:val="12"/>
                <w:szCs w:val="12"/>
                <w:lang w:val="en-GB" w:eastAsia="mk-MK"/>
              </w:rPr>
              <w:t>Q4</w:t>
            </w:r>
            <w:r w:rsidR="00DF7303" w:rsidRPr="00D30847">
              <w:rPr>
                <w:rFonts w:ascii="Arial" w:eastAsia="Times New Roman" w:hAnsi="Arial" w:cs="Arial"/>
                <w:sz w:val="12"/>
                <w:szCs w:val="12"/>
                <w:lang w:val="en-GB" w:eastAsia="mk-MK"/>
              </w:rPr>
              <w:t>/202</w:t>
            </w:r>
            <w:r>
              <w:rPr>
                <w:rFonts w:ascii="Arial" w:eastAsia="Times New Roman" w:hAnsi="Arial" w:cs="Arial"/>
                <w:sz w:val="12"/>
                <w:szCs w:val="12"/>
                <w:lang w:val="en-GB" w:eastAsia="mk-MK"/>
              </w:rPr>
              <w:t>5</w:t>
            </w:r>
            <w:r w:rsidR="00DF7303" w:rsidRPr="00D30847">
              <w:rPr>
                <w:rFonts w:ascii="Arial" w:eastAsia="Times New Roman" w:hAnsi="Arial" w:cs="Arial"/>
                <w:sz w:val="12"/>
                <w:szCs w:val="12"/>
                <w:lang w:val="en-GB" w:eastAsia="mk-MK"/>
              </w:rPr>
              <w:t>-Q4/2028</w:t>
            </w:r>
          </w:p>
        </w:tc>
        <w:tc>
          <w:tcPr>
            <w:tcW w:w="1418" w:type="dxa"/>
            <w:gridSpan w:val="3"/>
            <w:shd w:val="clear" w:color="000000" w:fill="FFFF99"/>
            <w:vAlign w:val="center"/>
            <w:hideMark/>
          </w:tcPr>
          <w:p w14:paraId="40C4ED56"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SAO</w:t>
            </w:r>
          </w:p>
        </w:tc>
        <w:tc>
          <w:tcPr>
            <w:tcW w:w="1644" w:type="dxa"/>
            <w:gridSpan w:val="3"/>
            <w:shd w:val="clear" w:color="000000" w:fill="FFFF99"/>
            <w:vAlign w:val="center"/>
            <w:hideMark/>
          </w:tcPr>
          <w:p w14:paraId="5DD1D601" w14:textId="14246E96"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Assembly of  RNМ</w:t>
            </w:r>
          </w:p>
        </w:tc>
        <w:tc>
          <w:tcPr>
            <w:tcW w:w="1758" w:type="dxa"/>
            <w:gridSpan w:val="4"/>
            <w:shd w:val="clear" w:color="000000" w:fill="FFFF99"/>
            <w:vAlign w:val="center"/>
            <w:hideMark/>
          </w:tcPr>
          <w:p w14:paraId="560BD56E" w14:textId="49499AAF"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11,000</w:t>
            </w:r>
          </w:p>
        </w:tc>
        <w:tc>
          <w:tcPr>
            <w:tcW w:w="1842" w:type="dxa"/>
            <w:gridSpan w:val="4"/>
            <w:shd w:val="clear" w:color="000000" w:fill="FFFF99"/>
            <w:vAlign w:val="center"/>
            <w:hideMark/>
          </w:tcPr>
          <w:p w14:paraId="5167C9A5"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 financing</w:t>
            </w:r>
          </w:p>
          <w:p w14:paraId="068981D0" w14:textId="6F1CC67E"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NDI, </w:t>
            </w:r>
            <w:r w:rsidRPr="00D30847">
              <w:rPr>
                <w:rFonts w:cs="Calibri"/>
                <w:sz w:val="12"/>
                <w:szCs w:val="12"/>
                <w:lang w:val="en-GB"/>
              </w:rPr>
              <w:t>WFD, USAID, UNDP</w:t>
            </w:r>
            <w:r w:rsidRPr="00D30847">
              <w:rPr>
                <w:rFonts w:ascii="Arial" w:eastAsia="Times New Roman" w:hAnsi="Arial" w:cs="Arial"/>
                <w:sz w:val="12"/>
                <w:szCs w:val="12"/>
                <w:lang w:val="en-GB" w:eastAsia="mk-MK"/>
              </w:rPr>
              <w:t xml:space="preserve"> and others</w:t>
            </w:r>
          </w:p>
        </w:tc>
        <w:tc>
          <w:tcPr>
            <w:tcW w:w="1506" w:type="dxa"/>
            <w:gridSpan w:val="4"/>
            <w:shd w:val="clear" w:color="000000" w:fill="FFFF99"/>
            <w:vAlign w:val="center"/>
            <w:hideMark/>
          </w:tcPr>
          <w:p w14:paraId="6445B179" w14:textId="21E3A391" w:rsidR="00DF7303" w:rsidRPr="00D30847" w:rsidRDefault="00DF7303" w:rsidP="00DF7303">
            <w:pPr>
              <w:spacing w:after="0" w:line="240" w:lineRule="auto"/>
              <w:jc w:val="center"/>
              <w:rPr>
                <w:rFonts w:ascii="Arial" w:eastAsia="Times New Roman" w:hAnsi="Arial" w:cs="Arial"/>
                <w:sz w:val="12"/>
                <w:szCs w:val="12"/>
                <w:lang w:val="en-GB" w:eastAsia="mk-MK"/>
              </w:rPr>
            </w:pPr>
          </w:p>
        </w:tc>
      </w:tr>
      <w:tr w:rsidR="00DF7303" w:rsidRPr="00D30847" w14:paraId="22DA733E" w14:textId="77777777" w:rsidTr="00FD4DDE">
        <w:trPr>
          <w:gridBefore w:val="3"/>
          <w:gridAfter w:val="1"/>
          <w:wBefore w:w="37" w:type="dxa"/>
          <w:wAfter w:w="52" w:type="dxa"/>
          <w:trHeight w:val="1420"/>
          <w:jc w:val="center"/>
        </w:trPr>
        <w:tc>
          <w:tcPr>
            <w:tcW w:w="2303" w:type="dxa"/>
            <w:gridSpan w:val="3"/>
            <w:vMerge/>
            <w:tcBorders>
              <w:top w:val="nil"/>
              <w:left w:val="nil"/>
              <w:bottom w:val="nil"/>
              <w:right w:val="single" w:sz="8" w:space="0" w:color="000000"/>
            </w:tcBorders>
            <w:vAlign w:val="center"/>
            <w:hideMark/>
          </w:tcPr>
          <w:p w14:paraId="4D164024"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hideMark/>
          </w:tcPr>
          <w:p w14:paraId="69A78B34" w14:textId="6C778701"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2.</w:t>
            </w:r>
            <w:r w:rsidRPr="00D30847">
              <w:rPr>
                <w:rFonts w:ascii="Arial" w:eastAsia="Times New Roman" w:hAnsi="Arial" w:cs="Arial"/>
                <w:color w:val="FF0000"/>
                <w:sz w:val="12"/>
                <w:szCs w:val="12"/>
                <w:lang w:val="en-GB" w:eastAsia="mk-MK"/>
              </w:rPr>
              <w:t xml:space="preserve"> </w:t>
            </w:r>
            <w:r w:rsidRPr="00D30847">
              <w:rPr>
                <w:rFonts w:ascii="Arial" w:eastAsia="Times New Roman" w:hAnsi="Arial" w:cs="Arial"/>
                <w:sz w:val="12"/>
                <w:szCs w:val="12"/>
                <w:lang w:val="en-GB" w:eastAsia="mk-MK"/>
              </w:rPr>
              <w:t>Conducting trainings in accordance with the Training Plan for the Members of Parliament and employees of the RNM Assembly Service in order to facilitate the understanding of the audit reports and preparation for the debate on the audit reports.</w:t>
            </w:r>
          </w:p>
        </w:tc>
        <w:tc>
          <w:tcPr>
            <w:tcW w:w="1194" w:type="dxa"/>
            <w:gridSpan w:val="2"/>
            <w:shd w:val="clear" w:color="000000" w:fill="FFFF99"/>
            <w:vAlign w:val="center"/>
            <w:hideMark/>
          </w:tcPr>
          <w:p w14:paraId="5B9439D5" w14:textId="505F7EDE"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Q</w:t>
            </w:r>
            <w:r w:rsidR="00F043C3">
              <w:rPr>
                <w:rFonts w:ascii="Arial" w:eastAsia="Times New Roman" w:hAnsi="Arial" w:cs="Arial"/>
                <w:sz w:val="12"/>
                <w:szCs w:val="12"/>
                <w:lang w:val="en-GB" w:eastAsia="mk-MK"/>
              </w:rPr>
              <w:t>4/</w:t>
            </w:r>
            <w:r w:rsidRPr="00D30847">
              <w:rPr>
                <w:rFonts w:ascii="Arial" w:eastAsia="Times New Roman" w:hAnsi="Arial" w:cs="Arial"/>
                <w:sz w:val="12"/>
                <w:szCs w:val="12"/>
                <w:lang w:val="en-GB" w:eastAsia="mk-MK"/>
              </w:rPr>
              <w:t>202</w:t>
            </w:r>
            <w:r w:rsidR="00F043C3">
              <w:rPr>
                <w:rFonts w:ascii="Arial" w:eastAsia="Times New Roman" w:hAnsi="Arial" w:cs="Arial"/>
                <w:sz w:val="12"/>
                <w:szCs w:val="12"/>
                <w:lang w:val="en-GB" w:eastAsia="mk-MK"/>
              </w:rPr>
              <w:t>5</w:t>
            </w:r>
            <w:r w:rsidRPr="00D30847">
              <w:rPr>
                <w:rFonts w:ascii="Arial" w:eastAsia="Times New Roman" w:hAnsi="Arial" w:cs="Arial"/>
                <w:sz w:val="12"/>
                <w:szCs w:val="12"/>
                <w:lang w:val="en-GB" w:eastAsia="mk-MK"/>
              </w:rPr>
              <w:t>-Q4/2028</w:t>
            </w:r>
          </w:p>
        </w:tc>
        <w:tc>
          <w:tcPr>
            <w:tcW w:w="1418" w:type="dxa"/>
            <w:gridSpan w:val="3"/>
            <w:shd w:val="clear" w:color="000000" w:fill="FFFF99"/>
            <w:vAlign w:val="center"/>
            <w:hideMark/>
          </w:tcPr>
          <w:p w14:paraId="607B8874"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SAO</w:t>
            </w:r>
          </w:p>
        </w:tc>
        <w:tc>
          <w:tcPr>
            <w:tcW w:w="1644" w:type="dxa"/>
            <w:gridSpan w:val="3"/>
            <w:shd w:val="clear" w:color="000000" w:fill="FFFF99"/>
            <w:vAlign w:val="center"/>
            <w:hideMark/>
          </w:tcPr>
          <w:p w14:paraId="7E2EAF71" w14:textId="03340376"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Assembly of  RNМ</w:t>
            </w:r>
          </w:p>
        </w:tc>
        <w:tc>
          <w:tcPr>
            <w:tcW w:w="1758" w:type="dxa"/>
            <w:gridSpan w:val="4"/>
            <w:shd w:val="clear" w:color="000000" w:fill="FFFF99"/>
            <w:vAlign w:val="center"/>
            <w:hideMark/>
          </w:tcPr>
          <w:p w14:paraId="7EDDE54A" w14:textId="68E43071"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140.000</w:t>
            </w:r>
          </w:p>
        </w:tc>
        <w:tc>
          <w:tcPr>
            <w:tcW w:w="1842" w:type="dxa"/>
            <w:gridSpan w:val="4"/>
            <w:shd w:val="clear" w:color="000000" w:fill="FFFF99"/>
            <w:vAlign w:val="center"/>
            <w:hideMark/>
          </w:tcPr>
          <w:p w14:paraId="5D8EF313"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 financing</w:t>
            </w:r>
          </w:p>
          <w:p w14:paraId="50100654"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NDI, </w:t>
            </w:r>
            <w:r w:rsidRPr="00D30847">
              <w:rPr>
                <w:rFonts w:cs="Calibri"/>
                <w:sz w:val="12"/>
                <w:szCs w:val="12"/>
                <w:lang w:val="en-GB"/>
              </w:rPr>
              <w:t>WFD, USAID, UNDP</w:t>
            </w:r>
            <w:r w:rsidRPr="00D30847">
              <w:rPr>
                <w:rFonts w:ascii="Arial" w:eastAsia="Times New Roman" w:hAnsi="Arial" w:cs="Arial"/>
                <w:sz w:val="12"/>
                <w:szCs w:val="12"/>
                <w:lang w:val="en-GB" w:eastAsia="mk-MK"/>
              </w:rPr>
              <w:t xml:space="preserve"> and others</w:t>
            </w:r>
          </w:p>
          <w:p w14:paraId="0B987E8B" w14:textId="044D08DD" w:rsidR="00DF7303" w:rsidRPr="00D30847" w:rsidRDefault="00DF7303" w:rsidP="00DF7303">
            <w:pPr>
              <w:spacing w:after="0" w:line="240" w:lineRule="auto"/>
              <w:jc w:val="center"/>
              <w:rPr>
                <w:rFonts w:ascii="Arial" w:eastAsia="Times New Roman" w:hAnsi="Arial" w:cs="Arial"/>
                <w:sz w:val="12"/>
                <w:szCs w:val="12"/>
                <w:lang w:val="en-GB" w:eastAsia="mk-MK"/>
              </w:rPr>
            </w:pPr>
          </w:p>
        </w:tc>
        <w:tc>
          <w:tcPr>
            <w:tcW w:w="1506" w:type="dxa"/>
            <w:gridSpan w:val="4"/>
            <w:shd w:val="clear" w:color="000000" w:fill="FFFF99"/>
            <w:vAlign w:val="center"/>
            <w:hideMark/>
          </w:tcPr>
          <w:p w14:paraId="743B528A" w14:textId="31EB8BB2" w:rsidR="00DF7303" w:rsidRPr="00D30847" w:rsidRDefault="00DF7303" w:rsidP="00DF7303">
            <w:pPr>
              <w:spacing w:after="0" w:line="240" w:lineRule="auto"/>
              <w:jc w:val="center"/>
              <w:rPr>
                <w:rFonts w:ascii="Arial" w:eastAsia="Times New Roman" w:hAnsi="Arial" w:cs="Arial"/>
                <w:sz w:val="12"/>
                <w:szCs w:val="12"/>
                <w:lang w:val="en-GB" w:eastAsia="mk-MK"/>
              </w:rPr>
            </w:pPr>
          </w:p>
        </w:tc>
      </w:tr>
      <w:tr w:rsidR="00DF7303" w:rsidRPr="00D30847" w14:paraId="7C38B302" w14:textId="77777777" w:rsidTr="00FD4DDE">
        <w:trPr>
          <w:gridBefore w:val="3"/>
          <w:gridAfter w:val="1"/>
          <w:wBefore w:w="37" w:type="dxa"/>
          <w:wAfter w:w="52" w:type="dxa"/>
          <w:trHeight w:val="1104"/>
          <w:jc w:val="center"/>
        </w:trPr>
        <w:tc>
          <w:tcPr>
            <w:tcW w:w="2303" w:type="dxa"/>
            <w:gridSpan w:val="3"/>
            <w:vMerge/>
            <w:tcBorders>
              <w:top w:val="nil"/>
              <w:left w:val="nil"/>
              <w:bottom w:val="nil"/>
              <w:right w:val="single" w:sz="8" w:space="0" w:color="000000"/>
            </w:tcBorders>
            <w:vAlign w:val="center"/>
            <w:hideMark/>
          </w:tcPr>
          <w:p w14:paraId="3183D5C9" w14:textId="77777777" w:rsidR="00DF7303" w:rsidRPr="00D30847" w:rsidRDefault="00DF7303" w:rsidP="00DF7303">
            <w:pPr>
              <w:spacing w:after="0" w:line="240" w:lineRule="auto"/>
              <w:rPr>
                <w:rFonts w:ascii="Arial" w:eastAsia="Times New Roman" w:hAnsi="Arial" w:cs="Arial"/>
                <w:sz w:val="12"/>
                <w:szCs w:val="12"/>
                <w:lang w:val="en-GB" w:eastAsia="mk-MK"/>
              </w:rPr>
            </w:pPr>
          </w:p>
        </w:tc>
        <w:tc>
          <w:tcPr>
            <w:tcW w:w="1836" w:type="dxa"/>
            <w:gridSpan w:val="5"/>
            <w:tcBorders>
              <w:left w:val="single" w:sz="8" w:space="0" w:color="000000"/>
            </w:tcBorders>
            <w:shd w:val="clear" w:color="000000" w:fill="FFFF99"/>
            <w:vAlign w:val="center"/>
            <w:hideMark/>
          </w:tcPr>
          <w:p w14:paraId="31D8CA50" w14:textId="77777777"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3</w:t>
            </w:r>
            <w:r w:rsidRPr="00D30847">
              <w:rPr>
                <w:rFonts w:ascii="Arial" w:eastAsia="Times New Roman" w:hAnsi="Arial" w:cs="Arial"/>
                <w:color w:val="FF0000"/>
                <w:sz w:val="12"/>
                <w:szCs w:val="12"/>
                <w:lang w:val="en-GB" w:eastAsia="mk-MK"/>
              </w:rPr>
              <w:t xml:space="preserve">. </w:t>
            </w:r>
            <w:r w:rsidRPr="00D30847">
              <w:rPr>
                <w:rFonts w:ascii="Arial" w:eastAsia="Times New Roman" w:hAnsi="Arial" w:cs="Arial"/>
                <w:sz w:val="12"/>
                <w:szCs w:val="12"/>
                <w:lang w:val="en-GB" w:eastAsia="mk-MK"/>
              </w:rPr>
              <w:t>Implementation of activities for strengthening cooperation with Committee on Financing and Budget,</w:t>
            </w:r>
          </w:p>
          <w:p w14:paraId="7757E161" w14:textId="64D627D1" w:rsidR="00DF7303" w:rsidRPr="00D30847" w:rsidRDefault="00DF7303" w:rsidP="00DF7303">
            <w:pPr>
              <w:spacing w:after="0" w:line="240" w:lineRule="auto"/>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Parliamentary Institute and the Parliamentary budget office of the RNM Assembly.</w:t>
            </w:r>
          </w:p>
        </w:tc>
        <w:tc>
          <w:tcPr>
            <w:tcW w:w="1194" w:type="dxa"/>
            <w:gridSpan w:val="2"/>
            <w:shd w:val="clear" w:color="000000" w:fill="FFFF99"/>
            <w:vAlign w:val="center"/>
            <w:hideMark/>
          </w:tcPr>
          <w:p w14:paraId="016E4206" w14:textId="0737C152"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Q</w:t>
            </w:r>
            <w:r w:rsidR="000D34D1" w:rsidRPr="00D30847">
              <w:rPr>
                <w:rFonts w:ascii="Arial" w:eastAsia="Times New Roman" w:hAnsi="Arial" w:cs="Arial"/>
                <w:sz w:val="12"/>
                <w:szCs w:val="12"/>
                <w:lang w:val="en-GB" w:eastAsia="mk-MK"/>
              </w:rPr>
              <w:t>2</w:t>
            </w:r>
            <w:r w:rsidRPr="00D30847">
              <w:rPr>
                <w:rFonts w:ascii="Arial" w:eastAsia="Times New Roman" w:hAnsi="Arial" w:cs="Arial"/>
                <w:sz w:val="12"/>
                <w:szCs w:val="12"/>
                <w:lang w:val="en-GB" w:eastAsia="mk-MK"/>
              </w:rPr>
              <w:t>/202</w:t>
            </w:r>
            <w:r w:rsidR="000D34D1" w:rsidRPr="00D30847">
              <w:rPr>
                <w:rFonts w:ascii="Arial" w:eastAsia="Times New Roman" w:hAnsi="Arial" w:cs="Arial"/>
                <w:sz w:val="12"/>
                <w:szCs w:val="12"/>
                <w:lang w:val="en-GB" w:eastAsia="mk-MK"/>
              </w:rPr>
              <w:t>3</w:t>
            </w:r>
            <w:r w:rsidRPr="00D30847">
              <w:rPr>
                <w:rFonts w:ascii="Arial" w:eastAsia="Times New Roman" w:hAnsi="Arial" w:cs="Arial"/>
                <w:sz w:val="12"/>
                <w:szCs w:val="12"/>
                <w:lang w:val="en-GB" w:eastAsia="mk-MK"/>
              </w:rPr>
              <w:t>-Q4/2028</w:t>
            </w:r>
          </w:p>
        </w:tc>
        <w:tc>
          <w:tcPr>
            <w:tcW w:w="1418" w:type="dxa"/>
            <w:gridSpan w:val="3"/>
            <w:shd w:val="clear" w:color="000000" w:fill="FFFF99"/>
            <w:vAlign w:val="center"/>
            <w:hideMark/>
          </w:tcPr>
          <w:p w14:paraId="7DE79659"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SAO</w:t>
            </w:r>
          </w:p>
        </w:tc>
        <w:tc>
          <w:tcPr>
            <w:tcW w:w="1644" w:type="dxa"/>
            <w:gridSpan w:val="3"/>
            <w:shd w:val="clear" w:color="000000" w:fill="FFFF99"/>
            <w:vAlign w:val="center"/>
            <w:hideMark/>
          </w:tcPr>
          <w:p w14:paraId="387FE10D" w14:textId="753DE42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Committee on Financing and Budget, Parliamentary Institute and the Parliamentary budget office of the RNM Assembly.</w:t>
            </w:r>
          </w:p>
        </w:tc>
        <w:tc>
          <w:tcPr>
            <w:tcW w:w="1758" w:type="dxa"/>
            <w:gridSpan w:val="4"/>
            <w:shd w:val="clear" w:color="000000" w:fill="FFFF99"/>
            <w:vAlign w:val="center"/>
            <w:hideMark/>
          </w:tcPr>
          <w:p w14:paraId="1CE97363"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p>
          <w:p w14:paraId="42FC5144" w14:textId="0D547CE8"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120,000</w:t>
            </w:r>
          </w:p>
        </w:tc>
        <w:tc>
          <w:tcPr>
            <w:tcW w:w="1842" w:type="dxa"/>
            <w:gridSpan w:val="4"/>
            <w:shd w:val="clear" w:color="000000" w:fill="FFFF99"/>
            <w:vAlign w:val="center"/>
            <w:hideMark/>
          </w:tcPr>
          <w:p w14:paraId="14D3F2F4" w14:textId="77777777"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External financing</w:t>
            </w:r>
          </w:p>
          <w:p w14:paraId="2BA8AF65" w14:textId="4E623863" w:rsidR="00DF7303" w:rsidRPr="00D30847" w:rsidRDefault="00DF7303" w:rsidP="00DF7303">
            <w:pPr>
              <w:spacing w:after="0" w:line="240" w:lineRule="auto"/>
              <w:jc w:val="center"/>
              <w:rPr>
                <w:rFonts w:ascii="Arial" w:eastAsia="Times New Roman" w:hAnsi="Arial" w:cs="Arial"/>
                <w:sz w:val="12"/>
                <w:szCs w:val="12"/>
                <w:lang w:val="en-GB" w:eastAsia="mk-MK"/>
              </w:rPr>
            </w:pPr>
            <w:r w:rsidRPr="00D30847">
              <w:rPr>
                <w:rFonts w:ascii="Arial" w:eastAsia="Times New Roman" w:hAnsi="Arial" w:cs="Arial"/>
                <w:sz w:val="12"/>
                <w:szCs w:val="12"/>
                <w:lang w:val="en-GB" w:eastAsia="mk-MK"/>
              </w:rPr>
              <w:t xml:space="preserve">NDI, </w:t>
            </w:r>
            <w:r w:rsidRPr="00D30847">
              <w:rPr>
                <w:rFonts w:cs="Calibri"/>
                <w:sz w:val="12"/>
                <w:szCs w:val="12"/>
                <w:lang w:val="en-GB"/>
              </w:rPr>
              <w:t>WFD, USAID, UNDP</w:t>
            </w:r>
            <w:r w:rsidRPr="00D30847">
              <w:rPr>
                <w:rFonts w:ascii="Arial" w:eastAsia="Times New Roman" w:hAnsi="Arial" w:cs="Arial"/>
                <w:sz w:val="12"/>
                <w:szCs w:val="12"/>
                <w:lang w:val="en-GB" w:eastAsia="mk-MK"/>
              </w:rPr>
              <w:t xml:space="preserve"> and others</w:t>
            </w:r>
          </w:p>
        </w:tc>
        <w:tc>
          <w:tcPr>
            <w:tcW w:w="1506" w:type="dxa"/>
            <w:gridSpan w:val="4"/>
            <w:shd w:val="clear" w:color="000000" w:fill="FFFF99"/>
            <w:vAlign w:val="center"/>
            <w:hideMark/>
          </w:tcPr>
          <w:p w14:paraId="015D880B" w14:textId="27C45487" w:rsidR="00DF7303" w:rsidRPr="00D30847" w:rsidRDefault="00DF7303" w:rsidP="00DF7303">
            <w:pPr>
              <w:spacing w:after="0" w:line="240" w:lineRule="auto"/>
              <w:jc w:val="center"/>
              <w:rPr>
                <w:rFonts w:ascii="Arial" w:eastAsia="Times New Roman" w:hAnsi="Arial" w:cs="Arial"/>
                <w:sz w:val="12"/>
                <w:szCs w:val="12"/>
                <w:lang w:val="en-GB" w:eastAsia="mk-MK"/>
              </w:rPr>
            </w:pPr>
          </w:p>
        </w:tc>
      </w:tr>
    </w:tbl>
    <w:p w14:paraId="2871FA76" w14:textId="77777777" w:rsidR="001D4926" w:rsidRPr="00D30847" w:rsidRDefault="001D4926" w:rsidP="001D4926">
      <w:pPr>
        <w:pStyle w:val="Heading1"/>
        <w:spacing w:line="240" w:lineRule="auto"/>
        <w:ind w:firstLine="720"/>
        <w:jc w:val="both"/>
        <w:rPr>
          <w:rFonts w:eastAsia="MS PGothic"/>
          <w:lang w:val="en-GB" w:eastAsia="zh-CN"/>
        </w:rPr>
        <w:sectPr w:rsidR="001D4926" w:rsidRPr="00D30847" w:rsidSect="00BF1348">
          <w:pgSz w:w="16838" w:h="11906" w:orient="landscape"/>
          <w:pgMar w:top="1440" w:right="1440" w:bottom="1560" w:left="1440" w:header="708" w:footer="708" w:gutter="0"/>
          <w:cols w:space="708"/>
          <w:docGrid w:linePitch="360"/>
        </w:sectPr>
      </w:pPr>
    </w:p>
    <w:p w14:paraId="37A259E2" w14:textId="77777777" w:rsidR="00CE502F" w:rsidRPr="00D30847" w:rsidRDefault="00CE502F" w:rsidP="00E84CD0">
      <w:pPr>
        <w:pStyle w:val="Heading1"/>
        <w:spacing w:line="240" w:lineRule="auto"/>
        <w:jc w:val="both"/>
        <w:rPr>
          <w:rFonts w:ascii="Calibri" w:eastAsia="MS PGothic" w:hAnsi="Calibri" w:cs="Calibri"/>
          <w:color w:val="2F5496"/>
          <w:kern w:val="0"/>
          <w:lang w:val="en-GB" w:eastAsia="zh-CN"/>
        </w:rPr>
      </w:pPr>
      <w:bookmarkStart w:id="81" w:name="_Toc187841828"/>
      <w:r w:rsidRPr="00D30847">
        <w:rPr>
          <w:rFonts w:ascii="Calibri" w:eastAsia="MS PGothic" w:hAnsi="Calibri" w:cs="Calibri"/>
          <w:color w:val="2F5496"/>
          <w:kern w:val="0"/>
          <w:lang w:val="en-GB" w:eastAsia="zh-CN"/>
        </w:rPr>
        <w:lastRenderedPageBreak/>
        <w:t xml:space="preserve">Annex </w:t>
      </w:r>
      <w:r w:rsidR="00C830E2" w:rsidRPr="00D30847">
        <w:rPr>
          <w:rFonts w:ascii="Calibri" w:eastAsia="MS PGothic" w:hAnsi="Calibri" w:cs="Calibri"/>
          <w:color w:val="2F5496"/>
          <w:kern w:val="0"/>
          <w:lang w:val="en-GB" w:eastAsia="zh-CN"/>
        </w:rPr>
        <w:t>III</w:t>
      </w:r>
      <w:r w:rsidRPr="00D30847">
        <w:rPr>
          <w:rFonts w:ascii="Calibri" w:eastAsia="MS PGothic" w:hAnsi="Calibri" w:cs="Calibri"/>
          <w:color w:val="2F5496"/>
          <w:kern w:val="0"/>
          <w:lang w:val="en-GB" w:eastAsia="zh-CN"/>
        </w:rPr>
        <w:t xml:space="preserve"> - Risk Management</w:t>
      </w:r>
      <w:bookmarkEnd w:id="81"/>
    </w:p>
    <w:p w14:paraId="6A5F04D9" w14:textId="546209A0" w:rsidR="00CE502F" w:rsidRPr="00D30847" w:rsidRDefault="00CE502F" w:rsidP="00E84CD0">
      <w:pPr>
        <w:spacing w:after="120" w:line="240" w:lineRule="auto"/>
        <w:jc w:val="both"/>
        <w:rPr>
          <w:rFonts w:cs="Calibri"/>
          <w:lang w:val="en-GB"/>
        </w:rPr>
      </w:pPr>
      <w:r w:rsidRPr="00D30847">
        <w:rPr>
          <w:rFonts w:cs="Calibri"/>
          <w:lang w:val="en-GB"/>
        </w:rPr>
        <w:t>Risk assessment regarding the implementation of reform measures envisaged in</w:t>
      </w:r>
      <w:r w:rsidR="00976389" w:rsidRPr="00D30847">
        <w:rPr>
          <w:rFonts w:cs="Calibri"/>
          <w:lang w:val="en-GB"/>
        </w:rPr>
        <w:t xml:space="preserve"> the PFM Reform Programme 202</w:t>
      </w:r>
      <w:r w:rsidR="003A1725" w:rsidRPr="00D30847">
        <w:rPr>
          <w:rFonts w:cs="Calibri"/>
          <w:lang w:val="en-GB"/>
        </w:rPr>
        <w:t>5</w:t>
      </w:r>
      <w:r w:rsidR="00976389" w:rsidRPr="00D30847">
        <w:rPr>
          <w:rFonts w:cs="Calibri"/>
          <w:lang w:val="en-GB"/>
        </w:rPr>
        <w:t>-202</w:t>
      </w:r>
      <w:r w:rsidR="003A1725" w:rsidRPr="00D30847">
        <w:rPr>
          <w:rFonts w:cs="Calibri"/>
          <w:lang w:val="en-GB"/>
        </w:rPr>
        <w:t>8</w:t>
      </w:r>
      <w:r w:rsidRPr="00D30847">
        <w:rPr>
          <w:rFonts w:cs="Calibri"/>
          <w:lang w:val="en-GB"/>
        </w:rPr>
        <w:t xml:space="preserve"> will be based on PFM SWG - Priority Coordinators and PFM Council actively monitoring the implementation of the activities, as well as the le</w:t>
      </w:r>
      <w:r w:rsidR="00D60E81" w:rsidRPr="00D30847">
        <w:rPr>
          <w:rFonts w:cs="Calibri"/>
          <w:lang w:val="en-GB"/>
        </w:rPr>
        <w:t>ssons learned in the period 2018-2024</w:t>
      </w:r>
      <w:r w:rsidRPr="00D30847">
        <w:rPr>
          <w:rFonts w:cs="Calibri"/>
          <w:lang w:val="en-GB"/>
        </w:rPr>
        <w:t>.</w:t>
      </w:r>
      <w:r w:rsidR="00976389" w:rsidRPr="00D30847">
        <w:rPr>
          <w:rFonts w:cs="Calibri"/>
          <w:lang w:val="en-GB"/>
        </w:rPr>
        <w:t xml:space="preserve"> </w:t>
      </w:r>
      <w:r w:rsidRPr="00D30847">
        <w:rPr>
          <w:rFonts w:cs="Calibri"/>
          <w:lang w:val="en-GB"/>
        </w:rPr>
        <w:t>Like in the previous programme period, risk monitoring under the new Programme will be incorporated in the monitoring and reporting framework, i.e. it will be an integral part of the progress monitoring reports.</w:t>
      </w:r>
      <w:r w:rsidR="00134B6E" w:rsidRPr="00D30847">
        <w:rPr>
          <w:rFonts w:cs="Calibri"/>
          <w:lang w:val="en-GB"/>
        </w:rPr>
        <w:t xml:space="preserve"> </w:t>
      </w:r>
      <w:r w:rsidRPr="00D30847">
        <w:rPr>
          <w:rFonts w:cs="Calibri"/>
          <w:lang w:val="en-GB"/>
        </w:rPr>
        <w:t>Risk assessment will be updated yearly in the Risk Assessment Plan.</w:t>
      </w:r>
      <w:r w:rsidR="00134B6E" w:rsidRPr="00D30847">
        <w:rPr>
          <w:rFonts w:cs="Calibri"/>
          <w:lang w:val="en-GB"/>
        </w:rPr>
        <w:t xml:space="preserve"> </w:t>
      </w:r>
      <w:r w:rsidRPr="00D30847">
        <w:rPr>
          <w:rFonts w:cs="Calibri"/>
          <w:lang w:val="en-GB"/>
        </w:rPr>
        <w:t>Priority Coordinators will monitor the implementation of the Annual Action Plan on regular basis, assess the risk level and define adequate measures to mitigate them, which are to be undertaken by the competent institutions within the set deadlines.</w:t>
      </w:r>
      <w:r w:rsidR="00134B6E" w:rsidRPr="00D30847">
        <w:rPr>
          <w:rFonts w:cs="Calibri"/>
          <w:lang w:val="en-GB"/>
        </w:rPr>
        <w:t xml:space="preserve"> </w:t>
      </w:r>
      <w:r w:rsidRPr="00D30847">
        <w:rPr>
          <w:rFonts w:cs="Calibri"/>
          <w:lang w:val="en-GB"/>
        </w:rPr>
        <w:t>The assessment should be updated whenever a significant change in the risk exposure occurs or when a new decision on mitigating or reducing the risk is adopted by the person in charge.</w:t>
      </w:r>
    </w:p>
    <w:p w14:paraId="5A49D930" w14:textId="77777777" w:rsidR="00CE502F" w:rsidRPr="00D30847" w:rsidRDefault="00CE502F" w:rsidP="00E84CD0">
      <w:pPr>
        <w:spacing w:after="120" w:line="240" w:lineRule="auto"/>
        <w:jc w:val="both"/>
        <w:rPr>
          <w:rFonts w:cs="Calibri"/>
          <w:lang w:val="en-GB"/>
        </w:rPr>
      </w:pPr>
      <w:r w:rsidRPr="00D30847">
        <w:rPr>
          <w:rFonts w:cs="Calibri"/>
          <w:lang w:val="en-GB"/>
        </w:rPr>
        <w:t>PFM SWG and PFM Council manage the risks in order to monitor the implementation and the progress of the undertaken corrective activities</w:t>
      </w:r>
    </w:p>
    <w:p w14:paraId="5E1DF6E7" w14:textId="77777777" w:rsidR="00CE502F" w:rsidRPr="00D30847" w:rsidRDefault="00CE502F" w:rsidP="00E84CD0">
      <w:pPr>
        <w:spacing w:after="120" w:line="240" w:lineRule="auto"/>
        <w:jc w:val="both"/>
        <w:rPr>
          <w:rFonts w:cs="Calibri"/>
          <w:lang w:val="en-GB"/>
        </w:rPr>
      </w:pPr>
      <w:r w:rsidRPr="00D30847">
        <w:rPr>
          <w:rFonts w:cs="Calibri"/>
          <w:lang w:val="en-GB"/>
        </w:rPr>
        <w:t>Key risks to implementation of each measure under a given priority identified in the Programme preparatory stage are presented in Chapter II: Pillars, Priorities, Measures and Results.</w:t>
      </w:r>
    </w:p>
    <w:p w14:paraId="3E95EE69" w14:textId="77777777" w:rsidR="00CE502F" w:rsidRPr="00D30847" w:rsidRDefault="00CE502F" w:rsidP="00E84CD0">
      <w:pPr>
        <w:spacing w:after="120" w:line="240" w:lineRule="auto"/>
        <w:jc w:val="both"/>
        <w:rPr>
          <w:rFonts w:cs="Calibri"/>
          <w:lang w:val="en-GB"/>
        </w:rPr>
      </w:pPr>
      <w:r w:rsidRPr="00D30847">
        <w:rPr>
          <w:rFonts w:cs="Calibri"/>
          <w:lang w:val="en-GB"/>
        </w:rPr>
        <w:t>The Table below summarises the key risks identified in the preparatory stage, to be the basis for further risk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381"/>
        <w:gridCol w:w="3819"/>
        <w:gridCol w:w="2254"/>
      </w:tblGrid>
      <w:tr w:rsidR="00681A06" w:rsidRPr="00D30847" w14:paraId="1685B23A" w14:textId="77777777" w:rsidTr="00E935CF">
        <w:tc>
          <w:tcPr>
            <w:tcW w:w="9016" w:type="dxa"/>
            <w:gridSpan w:val="4"/>
            <w:shd w:val="clear" w:color="auto" w:fill="002060"/>
          </w:tcPr>
          <w:p w14:paraId="18E7FA9A" w14:textId="77777777" w:rsidR="00681A06" w:rsidRPr="00D30847" w:rsidRDefault="00681A06" w:rsidP="00E935CF">
            <w:pPr>
              <w:spacing w:after="0" w:line="240" w:lineRule="auto"/>
              <w:jc w:val="center"/>
              <w:rPr>
                <w:rFonts w:cs="Calibri"/>
                <w:b/>
                <w:sz w:val="18"/>
                <w:szCs w:val="18"/>
                <w:lang w:val="en-GB"/>
              </w:rPr>
            </w:pPr>
            <w:r w:rsidRPr="00D30847">
              <w:rPr>
                <w:rFonts w:cs="Calibri"/>
                <w:b/>
                <w:sz w:val="18"/>
                <w:szCs w:val="18"/>
                <w:lang w:val="en-GB"/>
              </w:rPr>
              <w:t>List of risks</w:t>
            </w:r>
          </w:p>
        </w:tc>
      </w:tr>
      <w:tr w:rsidR="00C57990" w:rsidRPr="00D30847" w14:paraId="2356D02C" w14:textId="77777777" w:rsidTr="00E935CF">
        <w:tc>
          <w:tcPr>
            <w:tcW w:w="562" w:type="dxa"/>
            <w:shd w:val="clear" w:color="auto" w:fill="D9E2F3"/>
          </w:tcPr>
          <w:p w14:paraId="22130B1A" w14:textId="77777777" w:rsidR="00681A06" w:rsidRPr="00D30847" w:rsidRDefault="00681A06" w:rsidP="00E935CF">
            <w:pPr>
              <w:spacing w:after="0" w:line="240" w:lineRule="auto"/>
              <w:rPr>
                <w:rFonts w:cs="Calibri"/>
                <w:b/>
                <w:sz w:val="18"/>
                <w:szCs w:val="18"/>
                <w:lang w:val="en-GB"/>
              </w:rPr>
            </w:pPr>
            <w:r w:rsidRPr="00D30847">
              <w:rPr>
                <w:rFonts w:cs="Calibri"/>
                <w:b/>
                <w:sz w:val="18"/>
                <w:szCs w:val="18"/>
                <w:lang w:val="en-GB"/>
              </w:rPr>
              <w:t>No.</w:t>
            </w:r>
          </w:p>
        </w:tc>
        <w:tc>
          <w:tcPr>
            <w:tcW w:w="2381" w:type="dxa"/>
            <w:shd w:val="clear" w:color="auto" w:fill="D9E2F3"/>
          </w:tcPr>
          <w:p w14:paraId="4F9DA87B" w14:textId="77777777" w:rsidR="00681A06" w:rsidRPr="00D30847" w:rsidRDefault="00681A06" w:rsidP="00E935CF">
            <w:pPr>
              <w:spacing w:after="0" w:line="240" w:lineRule="auto"/>
              <w:rPr>
                <w:rFonts w:cs="Calibri"/>
                <w:b/>
                <w:sz w:val="18"/>
                <w:szCs w:val="18"/>
                <w:lang w:val="en-GB"/>
              </w:rPr>
            </w:pPr>
            <w:r w:rsidRPr="00D30847">
              <w:rPr>
                <w:rFonts w:cs="Calibri"/>
                <w:b/>
                <w:sz w:val="18"/>
                <w:szCs w:val="18"/>
                <w:lang w:val="en-GB"/>
              </w:rPr>
              <w:t>Pillar/Priority</w:t>
            </w:r>
          </w:p>
        </w:tc>
        <w:tc>
          <w:tcPr>
            <w:tcW w:w="3819" w:type="dxa"/>
            <w:shd w:val="clear" w:color="auto" w:fill="D9E2F3"/>
          </w:tcPr>
          <w:p w14:paraId="6E554DD3" w14:textId="2A40AF74" w:rsidR="00681A06" w:rsidRPr="00D30847" w:rsidRDefault="00681A06" w:rsidP="00E935CF">
            <w:pPr>
              <w:spacing w:after="0" w:line="240" w:lineRule="auto"/>
              <w:rPr>
                <w:rFonts w:cs="Calibri"/>
                <w:b/>
                <w:sz w:val="18"/>
                <w:szCs w:val="18"/>
                <w:lang w:val="en-GB"/>
              </w:rPr>
            </w:pPr>
            <w:r w:rsidRPr="00D30847">
              <w:rPr>
                <w:rFonts w:cs="Calibri"/>
                <w:b/>
                <w:sz w:val="18"/>
                <w:szCs w:val="18"/>
                <w:lang w:val="en-GB"/>
              </w:rPr>
              <w:t>Risk</w:t>
            </w:r>
            <w:r w:rsidR="00E215BC" w:rsidRPr="00D30847">
              <w:rPr>
                <w:rFonts w:cs="Calibri"/>
                <w:b/>
                <w:sz w:val="18"/>
                <w:szCs w:val="18"/>
                <w:lang w:val="en-GB"/>
              </w:rPr>
              <w:t xml:space="preserve"> </w:t>
            </w:r>
            <w:r w:rsidRPr="00D30847">
              <w:rPr>
                <w:rFonts w:cs="Calibri"/>
                <w:b/>
                <w:sz w:val="18"/>
                <w:szCs w:val="18"/>
                <w:lang w:val="en-GB"/>
              </w:rPr>
              <w:t>trigger</w:t>
            </w:r>
            <w:r w:rsidR="00E215BC" w:rsidRPr="00D30847">
              <w:rPr>
                <w:rFonts w:cs="Calibri"/>
                <w:b/>
                <w:sz w:val="18"/>
                <w:szCs w:val="18"/>
                <w:lang w:val="en-GB"/>
              </w:rPr>
              <w:t xml:space="preserve"> </w:t>
            </w:r>
            <w:r w:rsidRPr="00D30847">
              <w:rPr>
                <w:rFonts w:cs="Calibri"/>
                <w:b/>
                <w:sz w:val="18"/>
                <w:szCs w:val="18"/>
                <w:lang w:val="en-GB"/>
              </w:rPr>
              <w:t>event, situation</w:t>
            </w:r>
            <w:r w:rsidR="00E215BC" w:rsidRPr="00D30847">
              <w:rPr>
                <w:rFonts w:cs="Calibri"/>
                <w:b/>
                <w:sz w:val="18"/>
                <w:szCs w:val="18"/>
                <w:lang w:val="en-GB"/>
              </w:rPr>
              <w:t xml:space="preserve"> </w:t>
            </w:r>
            <w:r w:rsidRPr="00D30847">
              <w:rPr>
                <w:rFonts w:cs="Calibri"/>
                <w:b/>
                <w:sz w:val="18"/>
                <w:szCs w:val="18"/>
                <w:lang w:val="en-GB"/>
              </w:rPr>
              <w:t>or</w:t>
            </w:r>
            <w:r w:rsidR="00E215BC" w:rsidRPr="00D30847">
              <w:rPr>
                <w:rFonts w:cs="Calibri"/>
                <w:b/>
                <w:sz w:val="18"/>
                <w:szCs w:val="18"/>
                <w:lang w:val="en-GB"/>
              </w:rPr>
              <w:t xml:space="preserve"> </w:t>
            </w:r>
            <w:r w:rsidRPr="00D30847">
              <w:rPr>
                <w:rFonts w:cs="Calibri"/>
                <w:b/>
                <w:sz w:val="18"/>
                <w:szCs w:val="18"/>
                <w:lang w:val="en-GB"/>
              </w:rPr>
              <w:t>factor</w:t>
            </w:r>
          </w:p>
        </w:tc>
        <w:tc>
          <w:tcPr>
            <w:tcW w:w="2254" w:type="dxa"/>
            <w:shd w:val="clear" w:color="auto" w:fill="D9E2F3"/>
          </w:tcPr>
          <w:p w14:paraId="59977B02" w14:textId="77777777" w:rsidR="00681A06" w:rsidRPr="00D30847" w:rsidRDefault="00681A06" w:rsidP="00E935CF">
            <w:pPr>
              <w:spacing w:after="0" w:line="240" w:lineRule="auto"/>
              <w:rPr>
                <w:rFonts w:cs="Calibri"/>
                <w:b/>
                <w:sz w:val="18"/>
                <w:szCs w:val="18"/>
                <w:lang w:val="en-GB"/>
              </w:rPr>
            </w:pPr>
            <w:r w:rsidRPr="00D30847">
              <w:rPr>
                <w:rFonts w:cs="Calibri"/>
                <w:b/>
                <w:sz w:val="18"/>
                <w:szCs w:val="18"/>
                <w:lang w:val="en-GB"/>
              </w:rPr>
              <w:t>Responsibility</w:t>
            </w:r>
          </w:p>
        </w:tc>
      </w:tr>
      <w:tr w:rsidR="00681A06" w:rsidRPr="00D30847" w14:paraId="590F8098" w14:textId="77777777" w:rsidTr="00E935CF">
        <w:trPr>
          <w:trHeight w:val="197"/>
        </w:trPr>
        <w:tc>
          <w:tcPr>
            <w:tcW w:w="9016" w:type="dxa"/>
            <w:gridSpan w:val="4"/>
            <w:shd w:val="clear" w:color="auto" w:fill="D9E2F3"/>
          </w:tcPr>
          <w:p w14:paraId="547CF6A8" w14:textId="11754301" w:rsidR="00681A06" w:rsidRPr="00D30847" w:rsidRDefault="00681A06" w:rsidP="00E935CF">
            <w:pPr>
              <w:spacing w:after="0" w:line="240" w:lineRule="auto"/>
              <w:rPr>
                <w:rFonts w:cs="Calibri"/>
                <w:b/>
                <w:sz w:val="18"/>
                <w:szCs w:val="18"/>
                <w:lang w:val="en-GB"/>
              </w:rPr>
            </w:pPr>
            <w:r w:rsidRPr="00D30847">
              <w:rPr>
                <w:rFonts w:cs="Calibri"/>
                <w:b/>
                <w:sz w:val="18"/>
                <w:szCs w:val="18"/>
                <w:lang w:val="en-GB"/>
              </w:rPr>
              <w:t xml:space="preserve">PILLAR I </w:t>
            </w:r>
            <w:r w:rsidR="00E215BC" w:rsidRPr="00D30847">
              <w:rPr>
                <w:rFonts w:cs="Calibri"/>
                <w:b/>
                <w:sz w:val="18"/>
                <w:szCs w:val="18"/>
                <w:lang w:val="en-GB"/>
              </w:rPr>
              <w:t>–</w:t>
            </w:r>
            <w:r w:rsidRPr="00D30847">
              <w:rPr>
                <w:rFonts w:cs="Calibri"/>
                <w:b/>
                <w:sz w:val="18"/>
                <w:szCs w:val="18"/>
                <w:lang w:val="en-GB"/>
              </w:rPr>
              <w:t xml:space="preserve"> Economic</w:t>
            </w:r>
            <w:r w:rsidR="00E215BC" w:rsidRPr="00D30847">
              <w:rPr>
                <w:rFonts w:cs="Calibri"/>
                <w:b/>
                <w:sz w:val="18"/>
                <w:szCs w:val="18"/>
                <w:lang w:val="en-GB"/>
              </w:rPr>
              <w:t xml:space="preserve"> </w:t>
            </w:r>
            <w:r w:rsidRPr="00D30847">
              <w:rPr>
                <w:rFonts w:cs="Calibri"/>
                <w:b/>
                <w:sz w:val="18"/>
                <w:szCs w:val="18"/>
                <w:lang w:val="en-GB"/>
              </w:rPr>
              <w:t>Analysis, Macroeconomic</w:t>
            </w:r>
            <w:r w:rsidR="00E215BC" w:rsidRPr="00D30847">
              <w:rPr>
                <w:rFonts w:cs="Calibri"/>
                <w:b/>
                <w:sz w:val="18"/>
                <w:szCs w:val="18"/>
                <w:lang w:val="en-GB"/>
              </w:rPr>
              <w:t xml:space="preserve"> </w:t>
            </w:r>
            <w:r w:rsidRPr="00D30847">
              <w:rPr>
                <w:rFonts w:cs="Calibri"/>
                <w:b/>
                <w:sz w:val="18"/>
                <w:szCs w:val="18"/>
                <w:lang w:val="en-GB"/>
              </w:rPr>
              <w:t>and</w:t>
            </w:r>
            <w:r w:rsidR="00E215BC" w:rsidRPr="00D30847">
              <w:rPr>
                <w:rFonts w:cs="Calibri"/>
                <w:b/>
                <w:sz w:val="18"/>
                <w:szCs w:val="18"/>
                <w:lang w:val="en-GB"/>
              </w:rPr>
              <w:t xml:space="preserve"> </w:t>
            </w:r>
            <w:r w:rsidRPr="00D30847">
              <w:rPr>
                <w:rFonts w:cs="Calibri"/>
                <w:b/>
                <w:sz w:val="18"/>
                <w:szCs w:val="18"/>
                <w:lang w:val="en-GB"/>
              </w:rPr>
              <w:t>Fiscal</w:t>
            </w:r>
            <w:r w:rsidR="00E215BC" w:rsidRPr="00D30847">
              <w:rPr>
                <w:rFonts w:cs="Calibri"/>
                <w:b/>
                <w:sz w:val="18"/>
                <w:szCs w:val="18"/>
                <w:lang w:val="en-GB"/>
              </w:rPr>
              <w:t xml:space="preserve"> </w:t>
            </w:r>
            <w:r w:rsidRPr="00D30847">
              <w:rPr>
                <w:rFonts w:cs="Calibri"/>
                <w:b/>
                <w:sz w:val="18"/>
                <w:szCs w:val="18"/>
                <w:lang w:val="en-GB"/>
              </w:rPr>
              <w:t>Framework</w:t>
            </w:r>
          </w:p>
        </w:tc>
      </w:tr>
      <w:tr w:rsidR="00681A06" w:rsidRPr="00D30847" w14:paraId="6024AB0B" w14:textId="77777777" w:rsidTr="00E935CF">
        <w:tc>
          <w:tcPr>
            <w:tcW w:w="562" w:type="dxa"/>
            <w:vMerge w:val="restart"/>
            <w:shd w:val="clear" w:color="auto" w:fill="auto"/>
          </w:tcPr>
          <w:p w14:paraId="42C520D5" w14:textId="77777777" w:rsidR="00681A06" w:rsidRPr="00D30847" w:rsidRDefault="00681A06" w:rsidP="00E935CF">
            <w:pPr>
              <w:spacing w:after="0" w:line="240" w:lineRule="auto"/>
              <w:rPr>
                <w:rFonts w:cs="Calibri"/>
                <w:sz w:val="18"/>
                <w:szCs w:val="18"/>
                <w:lang w:val="en-GB"/>
              </w:rPr>
            </w:pPr>
            <w:r w:rsidRPr="00D30847">
              <w:rPr>
                <w:rFonts w:cs="Calibri"/>
                <w:sz w:val="18"/>
                <w:szCs w:val="18"/>
                <w:lang w:val="en-GB"/>
              </w:rPr>
              <w:t>1</w:t>
            </w:r>
          </w:p>
        </w:tc>
        <w:tc>
          <w:tcPr>
            <w:tcW w:w="2381" w:type="dxa"/>
            <w:vMerge w:val="restart"/>
            <w:shd w:val="clear" w:color="auto" w:fill="auto"/>
          </w:tcPr>
          <w:p w14:paraId="1F896E83" w14:textId="77777777" w:rsidR="00681A06" w:rsidRPr="00D30847" w:rsidRDefault="00681A06" w:rsidP="00E935CF">
            <w:pPr>
              <w:spacing w:after="0" w:line="240" w:lineRule="auto"/>
              <w:rPr>
                <w:rFonts w:cs="Calibri"/>
                <w:b/>
                <w:sz w:val="18"/>
                <w:szCs w:val="18"/>
                <w:lang w:val="en-GB"/>
              </w:rPr>
            </w:pPr>
            <w:r w:rsidRPr="00D30847">
              <w:rPr>
                <w:rFonts w:cs="Calibri"/>
                <w:b/>
                <w:sz w:val="18"/>
                <w:szCs w:val="18"/>
                <w:lang w:val="en-GB"/>
              </w:rPr>
              <w:t xml:space="preserve">Priority 1: </w:t>
            </w:r>
          </w:p>
          <w:p w14:paraId="766156FA" w14:textId="6105083B" w:rsidR="00681A06" w:rsidRPr="00D30847" w:rsidRDefault="00681A06" w:rsidP="00E935CF">
            <w:pPr>
              <w:spacing w:after="0" w:line="240" w:lineRule="auto"/>
              <w:rPr>
                <w:rFonts w:cs="Calibri"/>
                <w:sz w:val="18"/>
                <w:szCs w:val="18"/>
                <w:lang w:val="en-GB"/>
              </w:rPr>
            </w:pPr>
            <w:r w:rsidRPr="00D30847">
              <w:rPr>
                <w:rFonts w:cs="Calibri"/>
                <w:sz w:val="18"/>
                <w:szCs w:val="18"/>
                <w:lang w:val="en-GB"/>
              </w:rPr>
              <w:t>Revenue</w:t>
            </w:r>
            <w:r w:rsidR="00E215BC" w:rsidRPr="00D30847">
              <w:rPr>
                <w:rFonts w:cs="Calibri"/>
                <w:sz w:val="18"/>
                <w:szCs w:val="18"/>
                <w:lang w:val="en-GB"/>
              </w:rPr>
              <w:t xml:space="preserve"> </w:t>
            </w:r>
            <w:r w:rsidRPr="00D30847">
              <w:rPr>
                <w:rFonts w:cs="Calibri"/>
                <w:sz w:val="18"/>
                <w:szCs w:val="18"/>
                <w:lang w:val="en-GB"/>
              </w:rPr>
              <w:t>Forecasting</w:t>
            </w:r>
            <w:r w:rsidR="00E215BC" w:rsidRPr="00D30847">
              <w:rPr>
                <w:rFonts w:cs="Calibri"/>
                <w:sz w:val="18"/>
                <w:szCs w:val="18"/>
                <w:lang w:val="en-GB"/>
              </w:rPr>
              <w:t xml:space="preserve"> </w:t>
            </w:r>
            <w:r w:rsidRPr="00D30847">
              <w:rPr>
                <w:rFonts w:cs="Calibri"/>
                <w:sz w:val="18"/>
                <w:szCs w:val="18"/>
                <w:lang w:val="en-GB"/>
              </w:rPr>
              <w:t>and</w:t>
            </w:r>
            <w:r w:rsidR="00E215BC" w:rsidRPr="00D30847">
              <w:rPr>
                <w:rFonts w:cs="Calibri"/>
                <w:sz w:val="18"/>
                <w:szCs w:val="18"/>
                <w:lang w:val="en-GB"/>
              </w:rPr>
              <w:t xml:space="preserve"> </w:t>
            </w:r>
            <w:r w:rsidRPr="00D30847">
              <w:rPr>
                <w:rFonts w:cs="Calibri"/>
                <w:sz w:val="18"/>
                <w:szCs w:val="18"/>
                <w:lang w:val="en-GB"/>
              </w:rPr>
              <w:t>Reporting</w:t>
            </w:r>
          </w:p>
        </w:tc>
        <w:tc>
          <w:tcPr>
            <w:tcW w:w="3819" w:type="dxa"/>
            <w:shd w:val="clear" w:color="auto" w:fill="auto"/>
          </w:tcPr>
          <w:p w14:paraId="0F52A84A" w14:textId="38FC037C" w:rsidR="00681A06" w:rsidRPr="00D30847" w:rsidRDefault="00E215BC" w:rsidP="00E935CF">
            <w:pPr>
              <w:spacing w:after="0" w:line="240" w:lineRule="auto"/>
              <w:rPr>
                <w:rFonts w:cs="Calibri"/>
                <w:sz w:val="18"/>
                <w:szCs w:val="18"/>
                <w:lang w:val="en-GB"/>
              </w:rPr>
            </w:pPr>
            <w:r w:rsidRPr="00D30847">
              <w:rPr>
                <w:rFonts w:cs="Calibri"/>
                <w:sz w:val="18"/>
                <w:szCs w:val="18"/>
                <w:lang w:val="en-GB"/>
              </w:rPr>
              <w:t>Lack of awareness and commitment from high-level officials</w:t>
            </w:r>
          </w:p>
        </w:tc>
        <w:tc>
          <w:tcPr>
            <w:tcW w:w="2254" w:type="dxa"/>
            <w:vMerge w:val="restart"/>
            <w:shd w:val="clear" w:color="auto" w:fill="auto"/>
          </w:tcPr>
          <w:p w14:paraId="710ECEE9" w14:textId="45828E88" w:rsidR="00681A06" w:rsidRPr="00D30847" w:rsidRDefault="003A1725" w:rsidP="00E935CF">
            <w:pPr>
              <w:spacing w:after="0" w:line="240" w:lineRule="auto"/>
              <w:rPr>
                <w:rFonts w:cs="Calibri"/>
                <w:sz w:val="18"/>
                <w:szCs w:val="18"/>
                <w:lang w:val="en-GB"/>
              </w:rPr>
            </w:pPr>
            <w:r w:rsidRPr="00D30847">
              <w:rPr>
                <w:rFonts w:cs="Calibri"/>
                <w:sz w:val="18"/>
                <w:szCs w:val="18"/>
                <w:lang w:val="en-GB"/>
              </w:rPr>
              <w:t>Ministry of Finance and  other relevant institutions</w:t>
            </w:r>
          </w:p>
        </w:tc>
      </w:tr>
      <w:tr w:rsidR="00F36337" w:rsidRPr="00D30847" w14:paraId="19CE9FE9" w14:textId="77777777" w:rsidTr="00E935CF">
        <w:tc>
          <w:tcPr>
            <w:tcW w:w="562" w:type="dxa"/>
            <w:vMerge/>
            <w:shd w:val="clear" w:color="auto" w:fill="auto"/>
          </w:tcPr>
          <w:p w14:paraId="79C29C22" w14:textId="77777777" w:rsidR="00F36337" w:rsidRPr="00D30847" w:rsidRDefault="00F36337" w:rsidP="00E935CF">
            <w:pPr>
              <w:spacing w:after="0" w:line="240" w:lineRule="auto"/>
              <w:rPr>
                <w:rFonts w:cs="Calibri"/>
                <w:sz w:val="18"/>
                <w:szCs w:val="18"/>
                <w:lang w:val="en-GB"/>
              </w:rPr>
            </w:pPr>
          </w:p>
        </w:tc>
        <w:tc>
          <w:tcPr>
            <w:tcW w:w="2381" w:type="dxa"/>
            <w:vMerge/>
            <w:shd w:val="clear" w:color="auto" w:fill="auto"/>
          </w:tcPr>
          <w:p w14:paraId="39ECCE12" w14:textId="77777777" w:rsidR="00F36337" w:rsidRPr="00D30847" w:rsidRDefault="00F36337" w:rsidP="00E935CF">
            <w:pPr>
              <w:spacing w:after="0" w:line="240" w:lineRule="auto"/>
              <w:rPr>
                <w:rFonts w:cs="Calibri"/>
                <w:b/>
                <w:sz w:val="18"/>
                <w:szCs w:val="18"/>
                <w:lang w:val="en-GB"/>
              </w:rPr>
            </w:pPr>
          </w:p>
        </w:tc>
        <w:tc>
          <w:tcPr>
            <w:tcW w:w="3819" w:type="dxa"/>
            <w:shd w:val="clear" w:color="auto" w:fill="auto"/>
          </w:tcPr>
          <w:p w14:paraId="4CAA5CFC" w14:textId="0AE7BD39" w:rsidR="00F36337" w:rsidRPr="00D30847" w:rsidRDefault="00E215BC" w:rsidP="00E935CF">
            <w:pPr>
              <w:spacing w:after="0" w:line="240" w:lineRule="auto"/>
              <w:rPr>
                <w:rFonts w:cs="Calibri"/>
                <w:sz w:val="18"/>
                <w:szCs w:val="18"/>
                <w:lang w:val="en-GB"/>
              </w:rPr>
            </w:pPr>
            <w:r w:rsidRPr="00D30847">
              <w:rPr>
                <w:rFonts w:cs="Calibri"/>
                <w:sz w:val="18"/>
                <w:szCs w:val="18"/>
                <w:lang w:val="en-GB"/>
              </w:rPr>
              <w:t>Lack of data availability</w:t>
            </w:r>
          </w:p>
        </w:tc>
        <w:tc>
          <w:tcPr>
            <w:tcW w:w="2254" w:type="dxa"/>
            <w:vMerge/>
            <w:shd w:val="clear" w:color="auto" w:fill="auto"/>
          </w:tcPr>
          <w:p w14:paraId="3EBDFE39" w14:textId="77777777" w:rsidR="00F36337" w:rsidRPr="00D30847" w:rsidRDefault="00F36337" w:rsidP="00E935CF">
            <w:pPr>
              <w:spacing w:after="0" w:line="240" w:lineRule="auto"/>
              <w:rPr>
                <w:rFonts w:cs="Calibri"/>
                <w:sz w:val="18"/>
                <w:szCs w:val="18"/>
                <w:lang w:val="en-GB"/>
              </w:rPr>
            </w:pPr>
          </w:p>
        </w:tc>
      </w:tr>
      <w:tr w:rsidR="00A824CE" w:rsidRPr="00D30847" w14:paraId="2D1843B2" w14:textId="77777777" w:rsidTr="00E935CF">
        <w:tc>
          <w:tcPr>
            <w:tcW w:w="562" w:type="dxa"/>
            <w:vMerge/>
            <w:shd w:val="clear" w:color="auto" w:fill="auto"/>
          </w:tcPr>
          <w:p w14:paraId="5D59ADC4" w14:textId="77777777" w:rsidR="00A824CE" w:rsidRPr="00D30847" w:rsidRDefault="00A824CE" w:rsidP="00E935CF">
            <w:pPr>
              <w:spacing w:after="0" w:line="240" w:lineRule="auto"/>
              <w:rPr>
                <w:rFonts w:cs="Calibri"/>
                <w:sz w:val="18"/>
                <w:szCs w:val="18"/>
                <w:lang w:val="en-GB"/>
              </w:rPr>
            </w:pPr>
          </w:p>
        </w:tc>
        <w:tc>
          <w:tcPr>
            <w:tcW w:w="2381" w:type="dxa"/>
            <w:vMerge/>
            <w:shd w:val="clear" w:color="auto" w:fill="auto"/>
          </w:tcPr>
          <w:p w14:paraId="546C1437" w14:textId="77777777" w:rsidR="00A824CE" w:rsidRPr="00D30847" w:rsidRDefault="00A824CE" w:rsidP="00E935CF">
            <w:pPr>
              <w:spacing w:after="0" w:line="240" w:lineRule="auto"/>
              <w:rPr>
                <w:rFonts w:cs="Calibri"/>
                <w:b/>
                <w:sz w:val="18"/>
                <w:szCs w:val="18"/>
                <w:lang w:val="en-GB"/>
              </w:rPr>
            </w:pPr>
          </w:p>
        </w:tc>
        <w:tc>
          <w:tcPr>
            <w:tcW w:w="3819" w:type="dxa"/>
            <w:shd w:val="clear" w:color="auto" w:fill="auto"/>
          </w:tcPr>
          <w:p w14:paraId="51505DEB" w14:textId="1100002B" w:rsidR="00A824CE" w:rsidRPr="00D30847" w:rsidRDefault="00E215BC" w:rsidP="00E935CF">
            <w:pPr>
              <w:spacing w:after="0" w:line="240" w:lineRule="auto"/>
              <w:rPr>
                <w:rFonts w:eastAsia="MS PGothic" w:cs="Calibri"/>
                <w:sz w:val="18"/>
                <w:szCs w:val="18"/>
                <w:lang w:val="en-GB" w:eastAsia="zh-CN"/>
              </w:rPr>
            </w:pPr>
            <w:r w:rsidRPr="00D30847">
              <w:rPr>
                <w:rFonts w:eastAsia="MS PGothic" w:cs="Calibri"/>
                <w:sz w:val="18"/>
                <w:szCs w:val="18"/>
                <w:lang w:val="en-GB" w:eastAsia="zh-CN"/>
              </w:rPr>
              <w:t>Excessive staff turnover</w:t>
            </w:r>
          </w:p>
        </w:tc>
        <w:tc>
          <w:tcPr>
            <w:tcW w:w="2254" w:type="dxa"/>
            <w:vMerge/>
            <w:shd w:val="clear" w:color="auto" w:fill="auto"/>
          </w:tcPr>
          <w:p w14:paraId="132FD558" w14:textId="77777777" w:rsidR="00A824CE" w:rsidRPr="00D30847" w:rsidRDefault="00A824CE" w:rsidP="00E935CF">
            <w:pPr>
              <w:spacing w:after="0" w:line="240" w:lineRule="auto"/>
              <w:rPr>
                <w:rFonts w:cs="Calibri"/>
                <w:sz w:val="18"/>
                <w:szCs w:val="18"/>
                <w:lang w:val="en-GB"/>
              </w:rPr>
            </w:pPr>
          </w:p>
        </w:tc>
      </w:tr>
      <w:tr w:rsidR="00A824CE" w:rsidRPr="00D30847" w14:paraId="12946D7B" w14:textId="77777777" w:rsidTr="00E935CF">
        <w:tc>
          <w:tcPr>
            <w:tcW w:w="562" w:type="dxa"/>
            <w:vMerge/>
            <w:shd w:val="clear" w:color="auto" w:fill="auto"/>
          </w:tcPr>
          <w:p w14:paraId="16E9DC62" w14:textId="77777777" w:rsidR="00A824CE" w:rsidRPr="00D30847" w:rsidRDefault="00A824CE" w:rsidP="00E935CF">
            <w:pPr>
              <w:spacing w:after="0" w:line="240" w:lineRule="auto"/>
              <w:rPr>
                <w:rFonts w:cs="Calibri"/>
                <w:sz w:val="18"/>
                <w:szCs w:val="18"/>
                <w:lang w:val="en-GB"/>
              </w:rPr>
            </w:pPr>
          </w:p>
        </w:tc>
        <w:tc>
          <w:tcPr>
            <w:tcW w:w="2381" w:type="dxa"/>
            <w:vMerge/>
            <w:shd w:val="clear" w:color="auto" w:fill="auto"/>
          </w:tcPr>
          <w:p w14:paraId="24B8517A" w14:textId="77777777" w:rsidR="00A824CE" w:rsidRPr="00D30847" w:rsidRDefault="00A824CE" w:rsidP="00E935CF">
            <w:pPr>
              <w:spacing w:after="0" w:line="240" w:lineRule="auto"/>
              <w:rPr>
                <w:rFonts w:cs="Calibri"/>
                <w:b/>
                <w:sz w:val="18"/>
                <w:szCs w:val="18"/>
                <w:lang w:val="en-GB"/>
              </w:rPr>
            </w:pPr>
          </w:p>
        </w:tc>
        <w:tc>
          <w:tcPr>
            <w:tcW w:w="3819" w:type="dxa"/>
            <w:shd w:val="clear" w:color="auto" w:fill="auto"/>
          </w:tcPr>
          <w:p w14:paraId="4E1A7FCC" w14:textId="3F73B0FF" w:rsidR="00A824CE" w:rsidRPr="00D30847" w:rsidRDefault="00E215BC" w:rsidP="00E935CF">
            <w:pPr>
              <w:spacing w:after="0" w:line="240" w:lineRule="auto"/>
              <w:rPr>
                <w:rFonts w:eastAsia="MS PGothic" w:cs="Calibri"/>
                <w:sz w:val="18"/>
                <w:szCs w:val="18"/>
                <w:lang w:val="en-GB" w:eastAsia="zh-CN"/>
              </w:rPr>
            </w:pPr>
            <w:r w:rsidRPr="00D30847">
              <w:rPr>
                <w:rFonts w:eastAsia="MS PGothic" w:cs="Calibri"/>
                <w:sz w:val="18"/>
                <w:szCs w:val="18"/>
                <w:lang w:val="en-GB" w:eastAsia="zh-CN"/>
              </w:rPr>
              <w:t>Due to the complexity of the model, it is not fully operational</w:t>
            </w:r>
          </w:p>
        </w:tc>
        <w:tc>
          <w:tcPr>
            <w:tcW w:w="2254" w:type="dxa"/>
            <w:vMerge/>
            <w:shd w:val="clear" w:color="auto" w:fill="auto"/>
          </w:tcPr>
          <w:p w14:paraId="69A5A413" w14:textId="77777777" w:rsidR="00A824CE" w:rsidRPr="00D30847" w:rsidRDefault="00A824CE" w:rsidP="00E935CF">
            <w:pPr>
              <w:spacing w:after="0" w:line="240" w:lineRule="auto"/>
              <w:rPr>
                <w:rFonts w:cs="Calibri"/>
                <w:sz w:val="18"/>
                <w:szCs w:val="18"/>
                <w:lang w:val="en-GB"/>
              </w:rPr>
            </w:pPr>
          </w:p>
        </w:tc>
      </w:tr>
      <w:tr w:rsidR="00A824CE" w:rsidRPr="00D30847" w14:paraId="3EB60959" w14:textId="77777777" w:rsidTr="00E935CF">
        <w:tc>
          <w:tcPr>
            <w:tcW w:w="562" w:type="dxa"/>
            <w:vMerge/>
            <w:shd w:val="clear" w:color="auto" w:fill="auto"/>
          </w:tcPr>
          <w:p w14:paraId="2F6660A8" w14:textId="77777777" w:rsidR="00A824CE" w:rsidRPr="00D30847" w:rsidRDefault="00A824CE" w:rsidP="00E935CF">
            <w:pPr>
              <w:spacing w:after="0" w:line="240" w:lineRule="auto"/>
              <w:rPr>
                <w:rFonts w:cs="Calibri"/>
                <w:sz w:val="18"/>
                <w:szCs w:val="18"/>
                <w:lang w:val="en-GB"/>
              </w:rPr>
            </w:pPr>
          </w:p>
        </w:tc>
        <w:tc>
          <w:tcPr>
            <w:tcW w:w="2381" w:type="dxa"/>
            <w:vMerge/>
            <w:shd w:val="clear" w:color="auto" w:fill="auto"/>
          </w:tcPr>
          <w:p w14:paraId="0596D664" w14:textId="77777777" w:rsidR="00A824CE" w:rsidRPr="00D30847" w:rsidRDefault="00A824CE" w:rsidP="00E935CF">
            <w:pPr>
              <w:spacing w:after="0" w:line="240" w:lineRule="auto"/>
              <w:rPr>
                <w:rFonts w:cs="Calibri"/>
                <w:b/>
                <w:sz w:val="18"/>
                <w:szCs w:val="18"/>
                <w:lang w:val="en-GB"/>
              </w:rPr>
            </w:pPr>
          </w:p>
        </w:tc>
        <w:tc>
          <w:tcPr>
            <w:tcW w:w="3819" w:type="dxa"/>
            <w:shd w:val="clear" w:color="auto" w:fill="auto"/>
          </w:tcPr>
          <w:p w14:paraId="06AB6724" w14:textId="227DE1A6" w:rsidR="00A824CE" w:rsidRPr="00D30847" w:rsidRDefault="00F36337" w:rsidP="00E935CF">
            <w:pPr>
              <w:spacing w:after="0" w:line="240" w:lineRule="auto"/>
              <w:rPr>
                <w:rFonts w:eastAsia="MS PGothic" w:cs="Calibri"/>
                <w:sz w:val="18"/>
                <w:szCs w:val="18"/>
                <w:lang w:val="en-GB" w:eastAsia="zh-CN"/>
              </w:rPr>
            </w:pPr>
            <w:r w:rsidRPr="00D30847">
              <w:rPr>
                <w:rFonts w:eastAsia="MS PGothic" w:cs="Calibri"/>
                <w:sz w:val="18"/>
                <w:szCs w:val="18"/>
                <w:lang w:val="en-GB" w:eastAsia="zh-CN"/>
              </w:rPr>
              <w:t>Lack</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of</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data</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availability</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for</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regular</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updating</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of</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the</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models</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with</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latest</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tax</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data</w:t>
            </w:r>
          </w:p>
        </w:tc>
        <w:tc>
          <w:tcPr>
            <w:tcW w:w="2254" w:type="dxa"/>
            <w:vMerge/>
            <w:shd w:val="clear" w:color="auto" w:fill="auto"/>
          </w:tcPr>
          <w:p w14:paraId="78A07504" w14:textId="77777777" w:rsidR="00A824CE" w:rsidRPr="00D30847" w:rsidRDefault="00A824CE" w:rsidP="00E935CF">
            <w:pPr>
              <w:spacing w:after="0" w:line="240" w:lineRule="auto"/>
              <w:rPr>
                <w:rFonts w:cs="Calibri"/>
                <w:sz w:val="18"/>
                <w:szCs w:val="18"/>
                <w:lang w:val="en-GB"/>
              </w:rPr>
            </w:pPr>
          </w:p>
        </w:tc>
      </w:tr>
      <w:tr w:rsidR="00681A06" w:rsidRPr="00D30847" w14:paraId="196FA327" w14:textId="77777777" w:rsidTr="00E935CF">
        <w:tc>
          <w:tcPr>
            <w:tcW w:w="562" w:type="dxa"/>
            <w:vMerge/>
            <w:shd w:val="clear" w:color="auto" w:fill="auto"/>
          </w:tcPr>
          <w:p w14:paraId="68916E93" w14:textId="77777777" w:rsidR="00681A06" w:rsidRPr="00D30847" w:rsidRDefault="00681A06" w:rsidP="00E935CF">
            <w:pPr>
              <w:spacing w:after="0" w:line="240" w:lineRule="auto"/>
              <w:rPr>
                <w:rFonts w:cs="Calibri"/>
                <w:sz w:val="18"/>
                <w:szCs w:val="18"/>
                <w:lang w:val="en-GB"/>
              </w:rPr>
            </w:pPr>
          </w:p>
        </w:tc>
        <w:tc>
          <w:tcPr>
            <w:tcW w:w="2381" w:type="dxa"/>
            <w:vMerge/>
            <w:shd w:val="clear" w:color="auto" w:fill="auto"/>
          </w:tcPr>
          <w:p w14:paraId="2E4BF60A" w14:textId="77777777" w:rsidR="00681A06" w:rsidRPr="00D30847" w:rsidRDefault="00681A06" w:rsidP="00E935CF">
            <w:pPr>
              <w:spacing w:after="0" w:line="240" w:lineRule="auto"/>
              <w:rPr>
                <w:rFonts w:cs="Calibri"/>
                <w:b/>
                <w:sz w:val="18"/>
                <w:szCs w:val="18"/>
                <w:lang w:val="en-GB"/>
              </w:rPr>
            </w:pPr>
          </w:p>
        </w:tc>
        <w:tc>
          <w:tcPr>
            <w:tcW w:w="3819" w:type="dxa"/>
            <w:shd w:val="clear" w:color="auto" w:fill="auto"/>
          </w:tcPr>
          <w:p w14:paraId="332AA20B" w14:textId="54A477CF" w:rsidR="00681A06" w:rsidRPr="00D30847" w:rsidRDefault="00F36337" w:rsidP="00E935CF">
            <w:pPr>
              <w:spacing w:after="0" w:line="240" w:lineRule="auto"/>
              <w:rPr>
                <w:rFonts w:eastAsia="MS PGothic" w:cs="Calibri"/>
                <w:sz w:val="18"/>
                <w:szCs w:val="18"/>
                <w:lang w:val="en-GB" w:eastAsia="zh-CN"/>
              </w:rPr>
            </w:pPr>
            <w:r w:rsidRPr="00D30847">
              <w:rPr>
                <w:rFonts w:eastAsia="MS PGothic" w:cs="Calibri"/>
                <w:sz w:val="18"/>
                <w:szCs w:val="18"/>
                <w:lang w:val="en-GB" w:eastAsia="zh-CN"/>
              </w:rPr>
              <w:t>Insufficient</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training</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of</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the</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staff</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in</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fully</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utilizing</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the</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tax</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models</w:t>
            </w:r>
          </w:p>
        </w:tc>
        <w:tc>
          <w:tcPr>
            <w:tcW w:w="2254" w:type="dxa"/>
            <w:vMerge/>
            <w:shd w:val="clear" w:color="auto" w:fill="auto"/>
          </w:tcPr>
          <w:p w14:paraId="0597539F" w14:textId="77777777" w:rsidR="00681A06" w:rsidRPr="00D30847" w:rsidRDefault="00681A06" w:rsidP="00E935CF">
            <w:pPr>
              <w:spacing w:after="0" w:line="240" w:lineRule="auto"/>
              <w:rPr>
                <w:rFonts w:cs="Calibri"/>
                <w:sz w:val="18"/>
                <w:szCs w:val="18"/>
                <w:lang w:val="en-GB"/>
              </w:rPr>
            </w:pPr>
          </w:p>
        </w:tc>
      </w:tr>
      <w:tr w:rsidR="00F36337" w:rsidRPr="00D30847" w14:paraId="14BF4DFD" w14:textId="77777777" w:rsidTr="006C2FDD">
        <w:trPr>
          <w:trHeight w:val="169"/>
        </w:trPr>
        <w:tc>
          <w:tcPr>
            <w:tcW w:w="562" w:type="dxa"/>
            <w:vMerge/>
            <w:shd w:val="clear" w:color="auto" w:fill="auto"/>
          </w:tcPr>
          <w:p w14:paraId="624AD58B" w14:textId="77777777" w:rsidR="00F36337" w:rsidRPr="00D30847" w:rsidRDefault="00F36337" w:rsidP="00E935CF">
            <w:pPr>
              <w:spacing w:after="0" w:line="240" w:lineRule="auto"/>
              <w:rPr>
                <w:rFonts w:cs="Calibri"/>
                <w:sz w:val="18"/>
                <w:szCs w:val="18"/>
                <w:lang w:val="en-GB"/>
              </w:rPr>
            </w:pPr>
          </w:p>
        </w:tc>
        <w:tc>
          <w:tcPr>
            <w:tcW w:w="2381" w:type="dxa"/>
            <w:vMerge/>
            <w:shd w:val="clear" w:color="auto" w:fill="auto"/>
          </w:tcPr>
          <w:p w14:paraId="6BEF2A4F" w14:textId="77777777" w:rsidR="00F36337" w:rsidRPr="00D30847" w:rsidRDefault="00F36337" w:rsidP="00E935CF">
            <w:pPr>
              <w:spacing w:after="0" w:line="240" w:lineRule="auto"/>
              <w:rPr>
                <w:rFonts w:cs="Calibri"/>
                <w:sz w:val="18"/>
                <w:szCs w:val="18"/>
                <w:lang w:val="en-GB"/>
              </w:rPr>
            </w:pPr>
          </w:p>
        </w:tc>
        <w:tc>
          <w:tcPr>
            <w:tcW w:w="3819" w:type="dxa"/>
            <w:shd w:val="clear" w:color="auto" w:fill="auto"/>
          </w:tcPr>
          <w:p w14:paraId="42271E87" w14:textId="25908A71" w:rsidR="00F36337" w:rsidRPr="00D30847" w:rsidRDefault="00F36337" w:rsidP="00E935CF">
            <w:pPr>
              <w:spacing w:after="0" w:line="240" w:lineRule="auto"/>
              <w:rPr>
                <w:rFonts w:eastAsia="MS PGothic" w:cs="Calibri"/>
                <w:sz w:val="18"/>
                <w:szCs w:val="18"/>
                <w:lang w:val="en-GB" w:eastAsia="zh-CN"/>
              </w:rPr>
            </w:pPr>
            <w:r w:rsidRPr="00D30847">
              <w:rPr>
                <w:rFonts w:eastAsia="MS PGothic" w:cs="Calibri"/>
                <w:sz w:val="18"/>
                <w:szCs w:val="18"/>
                <w:lang w:val="en-GB" w:eastAsia="zh-CN"/>
              </w:rPr>
              <w:t>Internal</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resistance</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to</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reform</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processes</w:t>
            </w:r>
          </w:p>
        </w:tc>
        <w:tc>
          <w:tcPr>
            <w:tcW w:w="2254" w:type="dxa"/>
            <w:vMerge/>
            <w:shd w:val="clear" w:color="auto" w:fill="auto"/>
          </w:tcPr>
          <w:p w14:paraId="71CB0658" w14:textId="77777777" w:rsidR="00F36337" w:rsidRPr="00D30847" w:rsidRDefault="00F36337" w:rsidP="00E935CF">
            <w:pPr>
              <w:spacing w:after="0" w:line="240" w:lineRule="auto"/>
              <w:rPr>
                <w:rFonts w:cs="Calibri"/>
                <w:sz w:val="18"/>
                <w:szCs w:val="18"/>
                <w:lang w:val="en-GB"/>
              </w:rPr>
            </w:pPr>
          </w:p>
        </w:tc>
      </w:tr>
      <w:tr w:rsidR="00BE579B" w:rsidRPr="00D30847" w14:paraId="66D9A3FB" w14:textId="77777777" w:rsidTr="00E935CF">
        <w:tc>
          <w:tcPr>
            <w:tcW w:w="562" w:type="dxa"/>
            <w:vMerge w:val="restart"/>
            <w:shd w:val="clear" w:color="auto" w:fill="auto"/>
          </w:tcPr>
          <w:p w14:paraId="0A1FABAB" w14:textId="77777777" w:rsidR="00BE579B" w:rsidRPr="00D30847" w:rsidRDefault="00BE579B" w:rsidP="00E935CF">
            <w:pPr>
              <w:spacing w:after="0" w:line="240" w:lineRule="auto"/>
              <w:rPr>
                <w:rFonts w:cs="Calibri"/>
                <w:sz w:val="18"/>
                <w:szCs w:val="18"/>
                <w:lang w:val="en-GB"/>
              </w:rPr>
            </w:pPr>
            <w:r w:rsidRPr="00D30847">
              <w:rPr>
                <w:rFonts w:cs="Calibri"/>
                <w:sz w:val="18"/>
                <w:szCs w:val="18"/>
                <w:lang w:val="en-GB"/>
              </w:rPr>
              <w:t>2</w:t>
            </w:r>
          </w:p>
        </w:tc>
        <w:tc>
          <w:tcPr>
            <w:tcW w:w="2381" w:type="dxa"/>
            <w:vMerge w:val="restart"/>
            <w:shd w:val="clear" w:color="auto" w:fill="auto"/>
          </w:tcPr>
          <w:p w14:paraId="7C0980E8" w14:textId="77777777" w:rsidR="00BE579B" w:rsidRPr="00D30847" w:rsidRDefault="00BE579B" w:rsidP="00E935CF">
            <w:pPr>
              <w:spacing w:after="0" w:line="240" w:lineRule="auto"/>
              <w:rPr>
                <w:rFonts w:cs="Calibri"/>
                <w:b/>
                <w:sz w:val="18"/>
                <w:szCs w:val="18"/>
                <w:lang w:val="en-GB"/>
              </w:rPr>
            </w:pPr>
            <w:r w:rsidRPr="00D30847">
              <w:rPr>
                <w:rFonts w:cs="Calibri"/>
                <w:b/>
                <w:sz w:val="18"/>
                <w:szCs w:val="18"/>
                <w:lang w:val="en-GB"/>
              </w:rPr>
              <w:t xml:space="preserve">Priority 2: </w:t>
            </w:r>
          </w:p>
          <w:p w14:paraId="13A3308E" w14:textId="41E10F2D" w:rsidR="00BE579B" w:rsidRPr="00D30847" w:rsidRDefault="00BE579B" w:rsidP="00E935CF">
            <w:pPr>
              <w:spacing w:after="0" w:line="240" w:lineRule="auto"/>
              <w:rPr>
                <w:rFonts w:cs="Calibri"/>
                <w:sz w:val="18"/>
                <w:szCs w:val="18"/>
                <w:lang w:val="en-GB"/>
              </w:rPr>
            </w:pPr>
            <w:r w:rsidRPr="00D30847">
              <w:rPr>
                <w:rFonts w:cs="Calibri"/>
                <w:sz w:val="18"/>
                <w:szCs w:val="18"/>
                <w:lang w:val="en-GB"/>
              </w:rPr>
              <w:t>Economic</w:t>
            </w:r>
            <w:r w:rsidR="00E215BC" w:rsidRPr="00D30847">
              <w:rPr>
                <w:rFonts w:cs="Calibri"/>
                <w:sz w:val="18"/>
                <w:szCs w:val="18"/>
                <w:lang w:val="en-GB"/>
              </w:rPr>
              <w:t xml:space="preserve"> </w:t>
            </w:r>
            <w:r w:rsidRPr="00D30847">
              <w:rPr>
                <w:rFonts w:cs="Calibri"/>
                <w:sz w:val="18"/>
                <w:szCs w:val="18"/>
                <w:lang w:val="en-GB"/>
              </w:rPr>
              <w:t>Analysis</w:t>
            </w:r>
            <w:r w:rsidR="00E215BC" w:rsidRPr="00D30847">
              <w:rPr>
                <w:rFonts w:cs="Calibri"/>
                <w:sz w:val="18"/>
                <w:szCs w:val="18"/>
                <w:lang w:val="en-GB"/>
              </w:rPr>
              <w:t xml:space="preserve"> </w:t>
            </w:r>
            <w:r w:rsidRPr="00D30847">
              <w:rPr>
                <w:rFonts w:cs="Calibri"/>
                <w:sz w:val="18"/>
                <w:szCs w:val="18"/>
                <w:lang w:val="en-GB"/>
              </w:rPr>
              <w:t>and</w:t>
            </w:r>
            <w:r w:rsidR="00E215BC" w:rsidRPr="00D30847">
              <w:rPr>
                <w:rFonts w:cs="Calibri"/>
                <w:sz w:val="18"/>
                <w:szCs w:val="18"/>
                <w:lang w:val="en-GB"/>
              </w:rPr>
              <w:t xml:space="preserve"> </w:t>
            </w:r>
            <w:r w:rsidRPr="00D30847">
              <w:rPr>
                <w:rFonts w:cs="Calibri"/>
                <w:sz w:val="18"/>
                <w:szCs w:val="18"/>
                <w:lang w:val="en-GB"/>
              </w:rPr>
              <w:t>Macroeconomic</w:t>
            </w:r>
            <w:r w:rsidR="00E215BC" w:rsidRPr="00D30847">
              <w:rPr>
                <w:rFonts w:cs="Calibri"/>
                <w:sz w:val="18"/>
                <w:szCs w:val="18"/>
                <w:lang w:val="en-GB"/>
              </w:rPr>
              <w:t xml:space="preserve"> </w:t>
            </w:r>
            <w:r w:rsidRPr="00D30847">
              <w:rPr>
                <w:rFonts w:cs="Calibri"/>
                <w:sz w:val="18"/>
                <w:szCs w:val="18"/>
                <w:lang w:val="en-GB"/>
              </w:rPr>
              <w:t>Forecasting</w:t>
            </w:r>
          </w:p>
        </w:tc>
        <w:tc>
          <w:tcPr>
            <w:tcW w:w="3819" w:type="dxa"/>
            <w:shd w:val="clear" w:color="auto" w:fill="auto"/>
          </w:tcPr>
          <w:p w14:paraId="768A7D31" w14:textId="10E91E19" w:rsidR="00BE579B" w:rsidRPr="00D30847" w:rsidRDefault="00BE579B" w:rsidP="006C2FDD">
            <w:pPr>
              <w:spacing w:after="0" w:line="240" w:lineRule="auto"/>
              <w:rPr>
                <w:rFonts w:eastAsia="MS PGothic" w:cs="Calibri"/>
                <w:sz w:val="18"/>
                <w:szCs w:val="18"/>
                <w:lang w:val="en-GB" w:eastAsia="zh-CN"/>
              </w:rPr>
            </w:pPr>
            <w:r w:rsidRPr="00D30847">
              <w:rPr>
                <w:rFonts w:eastAsia="MS PGothic" w:cs="Calibri"/>
                <w:sz w:val="18"/>
                <w:szCs w:val="18"/>
                <w:lang w:val="en-GB" w:eastAsia="zh-CN"/>
              </w:rPr>
              <w:t>Over</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optimistic</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growth</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forecasts</w:t>
            </w:r>
          </w:p>
        </w:tc>
        <w:tc>
          <w:tcPr>
            <w:tcW w:w="2254" w:type="dxa"/>
            <w:vMerge w:val="restart"/>
            <w:shd w:val="clear" w:color="auto" w:fill="auto"/>
          </w:tcPr>
          <w:p w14:paraId="39F1B730" w14:textId="77777777" w:rsidR="00BE579B" w:rsidRPr="00D30847" w:rsidRDefault="00BE579B" w:rsidP="00E935CF">
            <w:pPr>
              <w:spacing w:after="0" w:line="240" w:lineRule="auto"/>
              <w:rPr>
                <w:rFonts w:cs="Calibri"/>
                <w:sz w:val="18"/>
                <w:szCs w:val="18"/>
                <w:lang w:val="en-GB"/>
              </w:rPr>
            </w:pPr>
            <w:r w:rsidRPr="00D30847">
              <w:rPr>
                <w:rFonts w:cs="Calibri"/>
                <w:sz w:val="18"/>
                <w:szCs w:val="18"/>
                <w:lang w:val="en-GB"/>
              </w:rPr>
              <w:t>Ministry of Finance</w:t>
            </w:r>
          </w:p>
          <w:p w14:paraId="090D85FB" w14:textId="2A9C44D1" w:rsidR="00BE579B" w:rsidRPr="00D30847" w:rsidRDefault="00BE579B" w:rsidP="00E935CF">
            <w:pPr>
              <w:spacing w:after="0" w:line="240" w:lineRule="auto"/>
              <w:rPr>
                <w:rFonts w:cs="Calibri"/>
                <w:sz w:val="18"/>
                <w:szCs w:val="18"/>
                <w:lang w:val="en-GB"/>
              </w:rPr>
            </w:pPr>
          </w:p>
        </w:tc>
      </w:tr>
      <w:tr w:rsidR="00BE579B" w:rsidRPr="00D30847" w14:paraId="75CED4B5" w14:textId="77777777" w:rsidTr="00E935CF">
        <w:tc>
          <w:tcPr>
            <w:tcW w:w="562" w:type="dxa"/>
            <w:vMerge/>
            <w:shd w:val="clear" w:color="auto" w:fill="auto"/>
          </w:tcPr>
          <w:p w14:paraId="4674BE0F" w14:textId="77777777" w:rsidR="00BE579B" w:rsidRPr="00D30847" w:rsidRDefault="00BE579B" w:rsidP="00E935CF">
            <w:pPr>
              <w:spacing w:after="0" w:line="240" w:lineRule="auto"/>
              <w:rPr>
                <w:rFonts w:cs="Calibri"/>
                <w:sz w:val="18"/>
                <w:szCs w:val="18"/>
                <w:lang w:val="en-GB"/>
              </w:rPr>
            </w:pPr>
          </w:p>
        </w:tc>
        <w:tc>
          <w:tcPr>
            <w:tcW w:w="2381" w:type="dxa"/>
            <w:vMerge/>
            <w:shd w:val="clear" w:color="auto" w:fill="auto"/>
          </w:tcPr>
          <w:p w14:paraId="07AC122E" w14:textId="77777777" w:rsidR="00BE579B" w:rsidRPr="00D30847" w:rsidRDefault="00BE579B" w:rsidP="00E935CF">
            <w:pPr>
              <w:spacing w:after="0" w:line="240" w:lineRule="auto"/>
              <w:rPr>
                <w:rFonts w:cs="Calibri"/>
                <w:sz w:val="18"/>
                <w:szCs w:val="18"/>
                <w:lang w:val="en-GB"/>
              </w:rPr>
            </w:pPr>
          </w:p>
        </w:tc>
        <w:tc>
          <w:tcPr>
            <w:tcW w:w="3819" w:type="dxa"/>
            <w:shd w:val="clear" w:color="auto" w:fill="auto"/>
          </w:tcPr>
          <w:p w14:paraId="6F42222F" w14:textId="15862A83" w:rsidR="00BE579B" w:rsidRPr="00D30847" w:rsidRDefault="00BE579B" w:rsidP="00E935CF">
            <w:pPr>
              <w:spacing w:after="0" w:line="240" w:lineRule="auto"/>
              <w:rPr>
                <w:rFonts w:eastAsia="MS PGothic" w:cs="Calibri"/>
                <w:sz w:val="18"/>
                <w:szCs w:val="18"/>
                <w:lang w:val="en-GB" w:eastAsia="zh-CN"/>
              </w:rPr>
            </w:pPr>
            <w:r w:rsidRPr="00D30847">
              <w:rPr>
                <w:rFonts w:eastAsia="MS PGothic" w:cs="Calibri"/>
                <w:sz w:val="18"/>
                <w:szCs w:val="18"/>
                <w:lang w:val="en-GB" w:eastAsia="zh-CN"/>
              </w:rPr>
              <w:t>High staff turnover</w:t>
            </w:r>
          </w:p>
        </w:tc>
        <w:tc>
          <w:tcPr>
            <w:tcW w:w="2254" w:type="dxa"/>
            <w:vMerge/>
            <w:shd w:val="clear" w:color="auto" w:fill="auto"/>
          </w:tcPr>
          <w:p w14:paraId="57265D1C" w14:textId="77777777" w:rsidR="00BE579B" w:rsidRPr="00D30847" w:rsidRDefault="00BE579B" w:rsidP="00E935CF">
            <w:pPr>
              <w:spacing w:after="0" w:line="240" w:lineRule="auto"/>
              <w:rPr>
                <w:rFonts w:cs="Calibri"/>
                <w:sz w:val="18"/>
                <w:szCs w:val="18"/>
                <w:lang w:val="en-GB"/>
              </w:rPr>
            </w:pPr>
          </w:p>
        </w:tc>
      </w:tr>
      <w:tr w:rsidR="00BE579B" w:rsidRPr="00D30847" w14:paraId="424EF190" w14:textId="77777777" w:rsidTr="00E935CF">
        <w:trPr>
          <w:trHeight w:val="247"/>
        </w:trPr>
        <w:tc>
          <w:tcPr>
            <w:tcW w:w="562" w:type="dxa"/>
            <w:vMerge/>
            <w:shd w:val="clear" w:color="auto" w:fill="auto"/>
          </w:tcPr>
          <w:p w14:paraId="1AC32648" w14:textId="77777777" w:rsidR="00BE579B" w:rsidRPr="00D30847" w:rsidRDefault="00BE579B" w:rsidP="00E935CF">
            <w:pPr>
              <w:spacing w:after="0" w:line="240" w:lineRule="auto"/>
              <w:rPr>
                <w:rFonts w:cs="Calibri"/>
                <w:sz w:val="18"/>
                <w:szCs w:val="18"/>
                <w:lang w:val="en-GB"/>
              </w:rPr>
            </w:pPr>
          </w:p>
        </w:tc>
        <w:tc>
          <w:tcPr>
            <w:tcW w:w="2381" w:type="dxa"/>
            <w:vMerge/>
            <w:shd w:val="clear" w:color="auto" w:fill="auto"/>
          </w:tcPr>
          <w:p w14:paraId="4BA05BD1" w14:textId="77777777" w:rsidR="00BE579B" w:rsidRPr="00D30847" w:rsidRDefault="00BE579B" w:rsidP="00E935CF">
            <w:pPr>
              <w:spacing w:after="0" w:line="240" w:lineRule="auto"/>
              <w:rPr>
                <w:rFonts w:cs="Calibri"/>
                <w:sz w:val="18"/>
                <w:szCs w:val="18"/>
                <w:lang w:val="en-GB"/>
              </w:rPr>
            </w:pPr>
          </w:p>
        </w:tc>
        <w:tc>
          <w:tcPr>
            <w:tcW w:w="3819" w:type="dxa"/>
            <w:shd w:val="clear" w:color="auto" w:fill="auto"/>
          </w:tcPr>
          <w:p w14:paraId="61EF3B96" w14:textId="57198EE6" w:rsidR="00BE579B" w:rsidRPr="00D30847" w:rsidRDefault="00BE579B" w:rsidP="006C2FDD">
            <w:pPr>
              <w:spacing w:after="0" w:line="240" w:lineRule="auto"/>
              <w:rPr>
                <w:rFonts w:eastAsia="MS PGothic" w:cs="Calibri"/>
                <w:sz w:val="18"/>
                <w:szCs w:val="18"/>
                <w:lang w:val="en-GB" w:eastAsia="zh-CN"/>
              </w:rPr>
            </w:pPr>
            <w:r w:rsidRPr="00D30847">
              <w:rPr>
                <w:rFonts w:eastAsia="MS PGothic" w:cs="Calibri"/>
                <w:sz w:val="18"/>
                <w:szCs w:val="18"/>
                <w:lang w:val="en-GB" w:eastAsia="zh-CN"/>
              </w:rPr>
              <w:t>Failure to procure appropriate software</w:t>
            </w:r>
          </w:p>
        </w:tc>
        <w:tc>
          <w:tcPr>
            <w:tcW w:w="2254" w:type="dxa"/>
            <w:vMerge/>
            <w:shd w:val="clear" w:color="auto" w:fill="auto"/>
          </w:tcPr>
          <w:p w14:paraId="31CDE174" w14:textId="77777777" w:rsidR="00BE579B" w:rsidRPr="00D30847" w:rsidRDefault="00BE579B" w:rsidP="00E935CF">
            <w:pPr>
              <w:spacing w:after="0" w:line="240" w:lineRule="auto"/>
              <w:rPr>
                <w:rFonts w:cs="Calibri"/>
                <w:sz w:val="18"/>
                <w:szCs w:val="18"/>
                <w:lang w:val="en-GB"/>
              </w:rPr>
            </w:pPr>
          </w:p>
        </w:tc>
      </w:tr>
      <w:tr w:rsidR="00BE579B" w:rsidRPr="00D30847" w14:paraId="355EE9A4" w14:textId="77777777" w:rsidTr="00E935CF">
        <w:tc>
          <w:tcPr>
            <w:tcW w:w="562" w:type="dxa"/>
            <w:vMerge/>
            <w:shd w:val="clear" w:color="auto" w:fill="auto"/>
          </w:tcPr>
          <w:p w14:paraId="6995F3A8" w14:textId="77777777" w:rsidR="00BE579B" w:rsidRPr="00D30847" w:rsidRDefault="00BE579B" w:rsidP="00E935CF">
            <w:pPr>
              <w:spacing w:after="0" w:line="240" w:lineRule="auto"/>
              <w:rPr>
                <w:rFonts w:cs="Calibri"/>
                <w:sz w:val="18"/>
                <w:szCs w:val="18"/>
                <w:lang w:val="en-GB"/>
              </w:rPr>
            </w:pPr>
          </w:p>
        </w:tc>
        <w:tc>
          <w:tcPr>
            <w:tcW w:w="2381" w:type="dxa"/>
            <w:vMerge/>
            <w:shd w:val="clear" w:color="auto" w:fill="auto"/>
          </w:tcPr>
          <w:p w14:paraId="38B165C6" w14:textId="77777777" w:rsidR="00BE579B" w:rsidRPr="00D30847" w:rsidRDefault="00BE579B" w:rsidP="00E935CF">
            <w:pPr>
              <w:spacing w:after="0" w:line="240" w:lineRule="auto"/>
              <w:rPr>
                <w:rFonts w:cs="Calibri"/>
                <w:sz w:val="18"/>
                <w:szCs w:val="18"/>
                <w:lang w:val="en-GB"/>
              </w:rPr>
            </w:pPr>
          </w:p>
        </w:tc>
        <w:tc>
          <w:tcPr>
            <w:tcW w:w="3819" w:type="dxa"/>
            <w:shd w:val="clear" w:color="auto" w:fill="auto"/>
          </w:tcPr>
          <w:p w14:paraId="089A2C6F" w14:textId="0A8BE6F3" w:rsidR="00BE579B" w:rsidRPr="00D30847" w:rsidRDefault="00BE579B" w:rsidP="00E935CF">
            <w:pPr>
              <w:spacing w:after="0" w:line="240" w:lineRule="auto"/>
              <w:rPr>
                <w:rFonts w:eastAsia="MS PGothic" w:cs="Calibri"/>
                <w:sz w:val="18"/>
                <w:szCs w:val="18"/>
                <w:lang w:val="en-GB" w:eastAsia="zh-CN"/>
              </w:rPr>
            </w:pPr>
            <w:r w:rsidRPr="00D30847">
              <w:rPr>
                <w:rFonts w:eastAsia="MS PGothic" w:cs="Calibri"/>
                <w:sz w:val="18"/>
                <w:szCs w:val="18"/>
                <w:lang w:val="en-GB" w:eastAsia="zh-CN"/>
              </w:rPr>
              <w:t>Externalities, as in the case with the energy crisis, inflation pressures and war in Ukraine disrupting the quality of economic forecasting</w:t>
            </w:r>
          </w:p>
        </w:tc>
        <w:tc>
          <w:tcPr>
            <w:tcW w:w="2254" w:type="dxa"/>
            <w:vMerge/>
            <w:shd w:val="clear" w:color="auto" w:fill="auto"/>
          </w:tcPr>
          <w:p w14:paraId="1DA74716" w14:textId="77777777" w:rsidR="00BE579B" w:rsidRPr="00D30847" w:rsidRDefault="00BE579B" w:rsidP="00E935CF">
            <w:pPr>
              <w:spacing w:after="0" w:line="240" w:lineRule="auto"/>
              <w:rPr>
                <w:rFonts w:cs="Calibri"/>
                <w:sz w:val="18"/>
                <w:szCs w:val="18"/>
                <w:lang w:val="en-GB"/>
              </w:rPr>
            </w:pPr>
          </w:p>
        </w:tc>
      </w:tr>
      <w:tr w:rsidR="00BE579B" w:rsidRPr="00D30847" w14:paraId="1E8A3F2E" w14:textId="77777777" w:rsidTr="00E935CF">
        <w:tc>
          <w:tcPr>
            <w:tcW w:w="562" w:type="dxa"/>
            <w:vMerge/>
            <w:shd w:val="clear" w:color="auto" w:fill="auto"/>
          </w:tcPr>
          <w:p w14:paraId="1535F978" w14:textId="77777777" w:rsidR="00BE579B" w:rsidRPr="00D30847" w:rsidRDefault="00BE579B" w:rsidP="00E935CF">
            <w:pPr>
              <w:spacing w:after="0" w:line="240" w:lineRule="auto"/>
              <w:rPr>
                <w:rFonts w:cs="Calibri"/>
                <w:sz w:val="18"/>
                <w:szCs w:val="18"/>
                <w:lang w:val="en-GB"/>
              </w:rPr>
            </w:pPr>
          </w:p>
        </w:tc>
        <w:tc>
          <w:tcPr>
            <w:tcW w:w="2381" w:type="dxa"/>
            <w:vMerge/>
            <w:shd w:val="clear" w:color="auto" w:fill="auto"/>
          </w:tcPr>
          <w:p w14:paraId="52B02F9C" w14:textId="77777777" w:rsidR="00BE579B" w:rsidRPr="00D30847" w:rsidRDefault="00BE579B" w:rsidP="00E935CF">
            <w:pPr>
              <w:spacing w:after="0" w:line="240" w:lineRule="auto"/>
              <w:rPr>
                <w:rFonts w:cs="Calibri"/>
                <w:sz w:val="18"/>
                <w:szCs w:val="18"/>
                <w:lang w:val="en-GB"/>
              </w:rPr>
            </w:pPr>
          </w:p>
        </w:tc>
        <w:tc>
          <w:tcPr>
            <w:tcW w:w="3819" w:type="dxa"/>
            <w:shd w:val="clear" w:color="auto" w:fill="auto"/>
          </w:tcPr>
          <w:p w14:paraId="4C1F444B" w14:textId="3235C456" w:rsidR="00BE579B" w:rsidRPr="00D30847" w:rsidRDefault="00BE579B" w:rsidP="00E935CF">
            <w:pPr>
              <w:spacing w:after="0" w:line="240" w:lineRule="auto"/>
              <w:rPr>
                <w:rFonts w:cs="Calibri"/>
                <w:sz w:val="18"/>
                <w:szCs w:val="18"/>
                <w:lang w:val="en-GB"/>
              </w:rPr>
            </w:pPr>
            <w:r w:rsidRPr="00D30847">
              <w:rPr>
                <w:rFonts w:cs="Calibri"/>
                <w:sz w:val="18"/>
                <w:szCs w:val="18"/>
                <w:lang w:val="en-GB"/>
              </w:rPr>
              <w:t>Availability</w:t>
            </w:r>
            <w:r w:rsidR="00E215BC" w:rsidRPr="00D30847">
              <w:rPr>
                <w:rFonts w:cs="Calibri"/>
                <w:sz w:val="18"/>
                <w:szCs w:val="18"/>
                <w:lang w:val="en-GB"/>
              </w:rPr>
              <w:t xml:space="preserve"> </w:t>
            </w:r>
            <w:r w:rsidRPr="00D30847">
              <w:rPr>
                <w:rFonts w:cs="Calibri"/>
                <w:sz w:val="18"/>
                <w:szCs w:val="18"/>
                <w:lang w:val="en-GB"/>
              </w:rPr>
              <w:t>of</w:t>
            </w:r>
            <w:r w:rsidR="00E215BC" w:rsidRPr="00D30847">
              <w:rPr>
                <w:rFonts w:cs="Calibri"/>
                <w:sz w:val="18"/>
                <w:szCs w:val="18"/>
                <w:lang w:val="en-GB"/>
              </w:rPr>
              <w:t xml:space="preserve"> </w:t>
            </w:r>
            <w:r w:rsidRPr="00D30847">
              <w:rPr>
                <w:rFonts w:cs="Calibri"/>
                <w:sz w:val="18"/>
                <w:szCs w:val="18"/>
                <w:lang w:val="en-GB"/>
              </w:rPr>
              <w:t>official</w:t>
            </w:r>
            <w:r w:rsidR="00E215BC" w:rsidRPr="00D30847">
              <w:rPr>
                <w:rFonts w:cs="Calibri"/>
                <w:sz w:val="18"/>
                <w:szCs w:val="18"/>
                <w:lang w:val="en-GB"/>
              </w:rPr>
              <w:t xml:space="preserve"> </w:t>
            </w:r>
            <w:r w:rsidRPr="00D30847">
              <w:rPr>
                <w:rFonts w:cs="Calibri"/>
                <w:sz w:val="18"/>
                <w:szCs w:val="18"/>
                <w:lang w:val="en-GB"/>
              </w:rPr>
              <w:t>national</w:t>
            </w:r>
            <w:r w:rsidR="00E215BC" w:rsidRPr="00D30847">
              <w:rPr>
                <w:rFonts w:cs="Calibri"/>
                <w:sz w:val="18"/>
                <w:szCs w:val="18"/>
                <w:lang w:val="en-GB"/>
              </w:rPr>
              <w:t xml:space="preserve"> </w:t>
            </w:r>
            <w:r w:rsidRPr="00D30847">
              <w:rPr>
                <w:rFonts w:cs="Calibri"/>
                <w:sz w:val="18"/>
                <w:szCs w:val="18"/>
                <w:lang w:val="en-GB"/>
              </w:rPr>
              <w:t>statistical</w:t>
            </w:r>
            <w:r w:rsidR="00E215BC" w:rsidRPr="00D30847">
              <w:rPr>
                <w:rFonts w:cs="Calibri"/>
                <w:sz w:val="18"/>
                <w:szCs w:val="18"/>
                <w:lang w:val="en-GB"/>
              </w:rPr>
              <w:t xml:space="preserve"> </w:t>
            </w:r>
            <w:r w:rsidRPr="00D30847">
              <w:rPr>
                <w:rFonts w:cs="Calibri"/>
                <w:sz w:val="18"/>
                <w:szCs w:val="18"/>
                <w:lang w:val="en-GB"/>
              </w:rPr>
              <w:t>data</w:t>
            </w:r>
            <w:r w:rsidR="00E215BC" w:rsidRPr="00D30847">
              <w:rPr>
                <w:rFonts w:cs="Calibri"/>
                <w:sz w:val="18"/>
                <w:szCs w:val="18"/>
                <w:lang w:val="en-GB"/>
              </w:rPr>
              <w:t xml:space="preserve"> </w:t>
            </w:r>
            <w:r w:rsidRPr="00D30847">
              <w:rPr>
                <w:rFonts w:cs="Calibri"/>
                <w:sz w:val="18"/>
                <w:szCs w:val="18"/>
                <w:lang w:val="en-GB"/>
              </w:rPr>
              <w:t>as</w:t>
            </w:r>
            <w:r w:rsidR="00E215BC" w:rsidRPr="00D30847">
              <w:rPr>
                <w:rFonts w:cs="Calibri"/>
                <w:sz w:val="18"/>
                <w:szCs w:val="18"/>
                <w:lang w:val="en-GB"/>
              </w:rPr>
              <w:t xml:space="preserve"> </w:t>
            </w:r>
            <w:r w:rsidRPr="00D30847">
              <w:rPr>
                <w:rFonts w:cs="Calibri"/>
                <w:sz w:val="18"/>
                <w:szCs w:val="18"/>
                <w:lang w:val="en-GB"/>
              </w:rPr>
              <w:t>input</w:t>
            </w:r>
            <w:r w:rsidR="00E215BC" w:rsidRPr="00D30847">
              <w:rPr>
                <w:rFonts w:cs="Calibri"/>
                <w:sz w:val="18"/>
                <w:szCs w:val="18"/>
                <w:lang w:val="en-GB"/>
              </w:rPr>
              <w:t xml:space="preserve"> </w:t>
            </w:r>
            <w:r w:rsidRPr="00D30847">
              <w:rPr>
                <w:rFonts w:cs="Calibri"/>
                <w:sz w:val="18"/>
                <w:szCs w:val="18"/>
                <w:lang w:val="en-GB"/>
              </w:rPr>
              <w:t>for</w:t>
            </w:r>
            <w:r w:rsidR="00E215BC" w:rsidRPr="00D30847">
              <w:rPr>
                <w:rFonts w:cs="Calibri"/>
                <w:sz w:val="18"/>
                <w:szCs w:val="18"/>
                <w:lang w:val="en-GB"/>
              </w:rPr>
              <w:t xml:space="preserve"> </w:t>
            </w:r>
            <w:r w:rsidRPr="00D30847">
              <w:rPr>
                <w:rFonts w:cs="Calibri"/>
                <w:sz w:val="18"/>
                <w:szCs w:val="18"/>
                <w:lang w:val="en-GB"/>
              </w:rPr>
              <w:t>economic</w:t>
            </w:r>
            <w:r w:rsidR="00E215BC" w:rsidRPr="00D30847">
              <w:rPr>
                <w:rFonts w:cs="Calibri"/>
                <w:sz w:val="18"/>
                <w:szCs w:val="18"/>
                <w:lang w:val="en-GB"/>
              </w:rPr>
              <w:t xml:space="preserve"> </w:t>
            </w:r>
            <w:r w:rsidRPr="00D30847">
              <w:rPr>
                <w:rFonts w:cs="Calibri"/>
                <w:sz w:val="18"/>
                <w:szCs w:val="18"/>
                <w:lang w:val="en-GB"/>
              </w:rPr>
              <w:t>analysis</w:t>
            </w:r>
          </w:p>
        </w:tc>
        <w:tc>
          <w:tcPr>
            <w:tcW w:w="2254" w:type="dxa"/>
            <w:vMerge/>
            <w:shd w:val="clear" w:color="auto" w:fill="auto"/>
          </w:tcPr>
          <w:p w14:paraId="668BDC2B" w14:textId="77777777" w:rsidR="00BE579B" w:rsidRPr="00D30847" w:rsidRDefault="00BE579B" w:rsidP="00E935CF">
            <w:pPr>
              <w:spacing w:after="0" w:line="240" w:lineRule="auto"/>
              <w:rPr>
                <w:rFonts w:cs="Calibri"/>
                <w:sz w:val="18"/>
                <w:szCs w:val="18"/>
                <w:lang w:val="en-GB"/>
              </w:rPr>
            </w:pPr>
          </w:p>
        </w:tc>
      </w:tr>
      <w:tr w:rsidR="00BE579B" w:rsidRPr="00D30847" w14:paraId="3B170216" w14:textId="77777777" w:rsidTr="00E935CF">
        <w:tc>
          <w:tcPr>
            <w:tcW w:w="562" w:type="dxa"/>
            <w:vMerge/>
            <w:shd w:val="clear" w:color="auto" w:fill="auto"/>
          </w:tcPr>
          <w:p w14:paraId="38A68E38" w14:textId="77777777" w:rsidR="00BE579B" w:rsidRPr="00D30847" w:rsidRDefault="00BE579B" w:rsidP="00E935CF">
            <w:pPr>
              <w:spacing w:after="0" w:line="240" w:lineRule="auto"/>
              <w:rPr>
                <w:rFonts w:cs="Calibri"/>
                <w:sz w:val="18"/>
                <w:szCs w:val="18"/>
                <w:lang w:val="en-GB"/>
              </w:rPr>
            </w:pPr>
          </w:p>
        </w:tc>
        <w:tc>
          <w:tcPr>
            <w:tcW w:w="2381" w:type="dxa"/>
            <w:vMerge/>
            <w:shd w:val="clear" w:color="auto" w:fill="auto"/>
          </w:tcPr>
          <w:p w14:paraId="68AAD142" w14:textId="77777777" w:rsidR="00BE579B" w:rsidRPr="00D30847" w:rsidRDefault="00BE579B" w:rsidP="00E935CF">
            <w:pPr>
              <w:spacing w:after="0" w:line="240" w:lineRule="auto"/>
              <w:rPr>
                <w:rFonts w:cs="Calibri"/>
                <w:sz w:val="18"/>
                <w:szCs w:val="18"/>
                <w:lang w:val="en-GB"/>
              </w:rPr>
            </w:pPr>
          </w:p>
        </w:tc>
        <w:tc>
          <w:tcPr>
            <w:tcW w:w="3819" w:type="dxa"/>
            <w:shd w:val="clear" w:color="auto" w:fill="auto"/>
          </w:tcPr>
          <w:p w14:paraId="7C2AC5C9" w14:textId="2F54F480" w:rsidR="00BE579B" w:rsidRPr="00D30847" w:rsidRDefault="00BE579B" w:rsidP="00E935CF">
            <w:pPr>
              <w:spacing w:after="0" w:line="240" w:lineRule="auto"/>
              <w:rPr>
                <w:rFonts w:eastAsia="MS PGothic" w:cs="Calibri"/>
                <w:sz w:val="18"/>
                <w:szCs w:val="18"/>
                <w:lang w:val="en-GB" w:eastAsia="zh-CN"/>
              </w:rPr>
            </w:pPr>
            <w:r w:rsidRPr="00D30847">
              <w:rPr>
                <w:rFonts w:eastAsia="MS PGothic" w:cs="Calibri"/>
                <w:sz w:val="18"/>
                <w:szCs w:val="18"/>
                <w:lang w:val="en-GB" w:eastAsia="zh-CN"/>
              </w:rPr>
              <w:t>Certain</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sectors</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may</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not</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be</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able</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to</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provide</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data</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and</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analysis</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relevant</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to</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the</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preparation</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of</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the</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Fiscal</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Risk</w:t>
            </w:r>
            <w:r w:rsidR="00E215BC" w:rsidRPr="00D30847">
              <w:rPr>
                <w:rFonts w:eastAsia="MS PGothic" w:cs="Calibri"/>
                <w:sz w:val="18"/>
                <w:szCs w:val="18"/>
                <w:lang w:val="en-GB" w:eastAsia="zh-CN"/>
              </w:rPr>
              <w:t xml:space="preserve"> </w:t>
            </w:r>
            <w:r w:rsidRPr="00D30847">
              <w:rPr>
                <w:rFonts w:eastAsia="MS PGothic" w:cs="Calibri"/>
                <w:sz w:val="18"/>
                <w:szCs w:val="18"/>
                <w:lang w:val="en-GB" w:eastAsia="zh-CN"/>
              </w:rPr>
              <w:t>Statement</w:t>
            </w:r>
          </w:p>
        </w:tc>
        <w:tc>
          <w:tcPr>
            <w:tcW w:w="2254" w:type="dxa"/>
            <w:vMerge w:val="restart"/>
            <w:shd w:val="clear" w:color="auto" w:fill="auto"/>
          </w:tcPr>
          <w:p w14:paraId="0FF2B70B" w14:textId="4749FCF8" w:rsidR="00BE579B" w:rsidRPr="00D30847" w:rsidRDefault="00BE579B" w:rsidP="00E935CF">
            <w:pPr>
              <w:spacing w:after="0" w:line="240" w:lineRule="auto"/>
              <w:rPr>
                <w:rFonts w:cs="Calibri"/>
                <w:sz w:val="18"/>
                <w:szCs w:val="18"/>
                <w:lang w:val="en-GB"/>
              </w:rPr>
            </w:pPr>
            <w:r w:rsidRPr="00D30847">
              <w:rPr>
                <w:rFonts w:cs="Calibri"/>
                <w:sz w:val="18"/>
                <w:szCs w:val="18"/>
                <w:lang w:val="en-GB"/>
              </w:rPr>
              <w:t>Ministry</w:t>
            </w:r>
            <w:r w:rsidR="00E215BC" w:rsidRPr="00D30847">
              <w:rPr>
                <w:rFonts w:cs="Calibri"/>
                <w:sz w:val="18"/>
                <w:szCs w:val="18"/>
                <w:lang w:val="en-GB"/>
              </w:rPr>
              <w:t xml:space="preserve"> </w:t>
            </w:r>
            <w:r w:rsidRPr="00D30847">
              <w:rPr>
                <w:rFonts w:cs="Calibri"/>
                <w:sz w:val="18"/>
                <w:szCs w:val="18"/>
                <w:lang w:val="en-GB"/>
              </w:rPr>
              <w:t>of</w:t>
            </w:r>
            <w:r w:rsidR="00E215BC" w:rsidRPr="00D30847">
              <w:rPr>
                <w:rFonts w:cs="Calibri"/>
                <w:sz w:val="18"/>
                <w:szCs w:val="18"/>
                <w:lang w:val="en-GB"/>
              </w:rPr>
              <w:t xml:space="preserve"> </w:t>
            </w:r>
            <w:r w:rsidRPr="00D30847">
              <w:rPr>
                <w:rFonts w:cs="Calibri"/>
                <w:sz w:val="18"/>
                <w:szCs w:val="18"/>
                <w:lang w:val="en-GB"/>
              </w:rPr>
              <w:t>Finance</w:t>
            </w:r>
            <w:r w:rsidR="00E215BC" w:rsidRPr="00D30847">
              <w:rPr>
                <w:rFonts w:cs="Calibri"/>
                <w:sz w:val="18"/>
                <w:szCs w:val="18"/>
                <w:lang w:val="en-GB"/>
              </w:rPr>
              <w:t xml:space="preserve"> </w:t>
            </w:r>
            <w:r w:rsidRPr="00D30847">
              <w:rPr>
                <w:rFonts w:cs="Calibri"/>
                <w:sz w:val="18"/>
                <w:szCs w:val="18"/>
                <w:lang w:val="en-GB"/>
              </w:rPr>
              <w:t>and</w:t>
            </w:r>
            <w:r w:rsidR="00E215BC" w:rsidRPr="00D30847">
              <w:rPr>
                <w:rFonts w:cs="Calibri"/>
                <w:sz w:val="18"/>
                <w:szCs w:val="18"/>
                <w:lang w:val="en-GB"/>
              </w:rPr>
              <w:t xml:space="preserve"> </w:t>
            </w:r>
            <w:r w:rsidRPr="00D30847">
              <w:rPr>
                <w:rFonts w:cs="Calibri"/>
                <w:sz w:val="18"/>
                <w:szCs w:val="18"/>
                <w:lang w:val="en-GB"/>
              </w:rPr>
              <w:t>other</w:t>
            </w:r>
            <w:r w:rsidR="00E215BC" w:rsidRPr="00D30847">
              <w:rPr>
                <w:rFonts w:cs="Calibri"/>
                <w:sz w:val="18"/>
                <w:szCs w:val="18"/>
                <w:lang w:val="en-GB"/>
              </w:rPr>
              <w:t xml:space="preserve"> </w:t>
            </w:r>
            <w:r w:rsidRPr="00D30847">
              <w:rPr>
                <w:rFonts w:cs="Calibri"/>
                <w:sz w:val="18"/>
                <w:szCs w:val="18"/>
                <w:lang w:val="en-GB"/>
              </w:rPr>
              <w:t>relevant</w:t>
            </w:r>
            <w:r w:rsidR="00E215BC" w:rsidRPr="00D30847">
              <w:rPr>
                <w:rFonts w:cs="Calibri"/>
                <w:sz w:val="18"/>
                <w:szCs w:val="18"/>
                <w:lang w:val="en-GB"/>
              </w:rPr>
              <w:t xml:space="preserve"> </w:t>
            </w:r>
            <w:r w:rsidRPr="00D30847">
              <w:rPr>
                <w:rFonts w:cs="Calibri"/>
                <w:sz w:val="18"/>
                <w:szCs w:val="18"/>
                <w:lang w:val="en-GB"/>
              </w:rPr>
              <w:t>institutions</w:t>
            </w:r>
            <w:r w:rsidR="00E215BC" w:rsidRPr="00D30847">
              <w:rPr>
                <w:rFonts w:cs="Calibri"/>
                <w:sz w:val="18"/>
                <w:szCs w:val="18"/>
                <w:lang w:val="en-GB"/>
              </w:rPr>
              <w:t xml:space="preserve"> </w:t>
            </w:r>
            <w:r w:rsidRPr="00D30847">
              <w:rPr>
                <w:rFonts w:cs="Calibri"/>
                <w:sz w:val="18"/>
                <w:szCs w:val="18"/>
                <w:lang w:val="en-GB"/>
              </w:rPr>
              <w:t>and</w:t>
            </w:r>
            <w:r w:rsidR="00E215BC" w:rsidRPr="00D30847">
              <w:rPr>
                <w:rFonts w:cs="Calibri"/>
                <w:sz w:val="18"/>
                <w:szCs w:val="18"/>
                <w:lang w:val="en-GB"/>
              </w:rPr>
              <w:t xml:space="preserve"> </w:t>
            </w:r>
            <w:r w:rsidRPr="00D30847">
              <w:rPr>
                <w:rFonts w:cs="Calibri"/>
                <w:sz w:val="18"/>
                <w:szCs w:val="18"/>
                <w:lang w:val="en-GB"/>
              </w:rPr>
              <w:t>entities</w:t>
            </w:r>
          </w:p>
          <w:p w14:paraId="6D64E0C2" w14:textId="6F3750D4" w:rsidR="00BE579B" w:rsidRPr="00D30847" w:rsidRDefault="00BE579B" w:rsidP="00E935CF">
            <w:pPr>
              <w:spacing w:after="0" w:line="240" w:lineRule="auto"/>
              <w:rPr>
                <w:rFonts w:cs="Calibri"/>
                <w:sz w:val="18"/>
                <w:szCs w:val="18"/>
                <w:lang w:val="en-GB"/>
              </w:rPr>
            </w:pPr>
          </w:p>
          <w:p w14:paraId="520F626B" w14:textId="77777777" w:rsidR="00BE579B" w:rsidRPr="00D30847" w:rsidRDefault="00BE579B" w:rsidP="00E935CF">
            <w:pPr>
              <w:spacing w:after="0" w:line="240" w:lineRule="auto"/>
              <w:rPr>
                <w:rFonts w:cs="Calibri"/>
                <w:sz w:val="18"/>
                <w:szCs w:val="18"/>
                <w:lang w:val="en-GB"/>
              </w:rPr>
            </w:pPr>
          </w:p>
          <w:p w14:paraId="333F8B19" w14:textId="77777777" w:rsidR="00BE579B" w:rsidRPr="00D30847" w:rsidRDefault="00BE579B" w:rsidP="00E935CF">
            <w:pPr>
              <w:spacing w:after="0" w:line="240" w:lineRule="auto"/>
              <w:rPr>
                <w:rFonts w:cs="Calibri"/>
                <w:sz w:val="18"/>
                <w:szCs w:val="18"/>
                <w:lang w:val="en-GB"/>
              </w:rPr>
            </w:pPr>
          </w:p>
          <w:p w14:paraId="405940C8" w14:textId="77777777" w:rsidR="00BE579B" w:rsidRPr="00D30847" w:rsidRDefault="00BE579B" w:rsidP="00FE718E">
            <w:pPr>
              <w:spacing w:after="0" w:line="240" w:lineRule="auto"/>
              <w:rPr>
                <w:rFonts w:cs="Calibri"/>
                <w:sz w:val="18"/>
                <w:szCs w:val="18"/>
                <w:lang w:val="en-GB"/>
              </w:rPr>
            </w:pPr>
          </w:p>
        </w:tc>
      </w:tr>
      <w:tr w:rsidR="00BE579B" w:rsidRPr="00D30847" w14:paraId="41B0EFDA" w14:textId="77777777" w:rsidTr="00E935CF">
        <w:tc>
          <w:tcPr>
            <w:tcW w:w="562" w:type="dxa"/>
            <w:vMerge/>
            <w:shd w:val="clear" w:color="auto" w:fill="auto"/>
          </w:tcPr>
          <w:p w14:paraId="7CB7E021" w14:textId="77777777" w:rsidR="00BE579B" w:rsidRPr="00D30847" w:rsidRDefault="00BE579B" w:rsidP="00E935CF">
            <w:pPr>
              <w:spacing w:after="0" w:line="240" w:lineRule="auto"/>
              <w:rPr>
                <w:rFonts w:cs="Calibri"/>
                <w:sz w:val="18"/>
                <w:szCs w:val="18"/>
                <w:lang w:val="en-GB"/>
              </w:rPr>
            </w:pPr>
          </w:p>
        </w:tc>
        <w:tc>
          <w:tcPr>
            <w:tcW w:w="2381" w:type="dxa"/>
            <w:vMerge/>
            <w:shd w:val="clear" w:color="auto" w:fill="auto"/>
          </w:tcPr>
          <w:p w14:paraId="351E3F89" w14:textId="77777777" w:rsidR="00BE579B" w:rsidRPr="00D30847" w:rsidRDefault="00BE579B" w:rsidP="00E935CF">
            <w:pPr>
              <w:spacing w:after="0" w:line="240" w:lineRule="auto"/>
              <w:rPr>
                <w:rFonts w:cs="Calibri"/>
                <w:sz w:val="18"/>
                <w:szCs w:val="18"/>
                <w:lang w:val="en-GB"/>
              </w:rPr>
            </w:pPr>
          </w:p>
        </w:tc>
        <w:tc>
          <w:tcPr>
            <w:tcW w:w="3819" w:type="dxa"/>
            <w:shd w:val="clear" w:color="auto" w:fill="auto"/>
          </w:tcPr>
          <w:p w14:paraId="647833D3" w14:textId="6933D47C" w:rsidR="00BE579B" w:rsidRPr="00D30847" w:rsidRDefault="00E215BC" w:rsidP="00E935CF">
            <w:pPr>
              <w:spacing w:after="0" w:line="240" w:lineRule="auto"/>
              <w:rPr>
                <w:rFonts w:cs="Calibri"/>
                <w:sz w:val="18"/>
                <w:szCs w:val="18"/>
                <w:lang w:val="en-GB"/>
              </w:rPr>
            </w:pPr>
            <w:r w:rsidRPr="00D30847">
              <w:rPr>
                <w:rFonts w:eastAsia="MS PGothic" w:cs="Calibri"/>
                <w:sz w:val="18"/>
                <w:szCs w:val="18"/>
                <w:lang w:val="en-GB" w:eastAsia="zh-CN"/>
              </w:rPr>
              <w:t>Lack of adequate capacity in the Ministry of Finance to implement the activities for implementation of the fiscal risks analyses</w:t>
            </w:r>
          </w:p>
        </w:tc>
        <w:tc>
          <w:tcPr>
            <w:tcW w:w="2254" w:type="dxa"/>
            <w:vMerge/>
            <w:shd w:val="clear" w:color="auto" w:fill="auto"/>
          </w:tcPr>
          <w:p w14:paraId="7269034F" w14:textId="77777777" w:rsidR="00BE579B" w:rsidRPr="00D30847" w:rsidRDefault="00BE579B" w:rsidP="00E935CF">
            <w:pPr>
              <w:spacing w:after="0" w:line="240" w:lineRule="auto"/>
              <w:rPr>
                <w:rFonts w:cs="Calibri"/>
                <w:sz w:val="18"/>
                <w:szCs w:val="18"/>
                <w:lang w:val="en-GB"/>
              </w:rPr>
            </w:pPr>
          </w:p>
        </w:tc>
      </w:tr>
      <w:tr w:rsidR="00BE579B" w:rsidRPr="00D30847" w14:paraId="57E37ACC" w14:textId="77777777" w:rsidTr="00E935CF">
        <w:tc>
          <w:tcPr>
            <w:tcW w:w="562" w:type="dxa"/>
            <w:vMerge/>
            <w:shd w:val="clear" w:color="auto" w:fill="auto"/>
          </w:tcPr>
          <w:p w14:paraId="3BEE454E" w14:textId="77777777" w:rsidR="00BE579B" w:rsidRPr="00D30847" w:rsidRDefault="00BE579B" w:rsidP="00E935CF">
            <w:pPr>
              <w:spacing w:after="0" w:line="240" w:lineRule="auto"/>
              <w:rPr>
                <w:rFonts w:cs="Calibri"/>
                <w:sz w:val="18"/>
                <w:szCs w:val="18"/>
                <w:lang w:val="en-GB"/>
              </w:rPr>
            </w:pPr>
          </w:p>
        </w:tc>
        <w:tc>
          <w:tcPr>
            <w:tcW w:w="2381" w:type="dxa"/>
            <w:vMerge/>
            <w:shd w:val="clear" w:color="auto" w:fill="auto"/>
          </w:tcPr>
          <w:p w14:paraId="3EE58346" w14:textId="77777777" w:rsidR="00BE579B" w:rsidRPr="00D30847" w:rsidRDefault="00BE579B" w:rsidP="00E935CF">
            <w:pPr>
              <w:spacing w:after="0" w:line="240" w:lineRule="auto"/>
              <w:rPr>
                <w:rFonts w:cs="Calibri"/>
                <w:sz w:val="18"/>
                <w:szCs w:val="18"/>
                <w:lang w:val="en-GB"/>
              </w:rPr>
            </w:pPr>
          </w:p>
        </w:tc>
        <w:tc>
          <w:tcPr>
            <w:tcW w:w="3819" w:type="dxa"/>
            <w:shd w:val="clear" w:color="auto" w:fill="auto"/>
          </w:tcPr>
          <w:p w14:paraId="05E9E847" w14:textId="587D7B6A" w:rsidR="00BE579B" w:rsidRPr="00D30847" w:rsidRDefault="00E215BC" w:rsidP="00E935CF">
            <w:pPr>
              <w:spacing w:after="0" w:line="240" w:lineRule="auto"/>
              <w:rPr>
                <w:rFonts w:eastAsia="MS PGothic" w:cs="Calibri"/>
                <w:sz w:val="18"/>
                <w:szCs w:val="18"/>
                <w:lang w:val="en-GB" w:eastAsia="zh-CN"/>
              </w:rPr>
            </w:pPr>
            <w:r w:rsidRPr="00D30847">
              <w:rPr>
                <w:rFonts w:eastAsia="MS PGothic" w:cs="Calibri"/>
                <w:sz w:val="18"/>
                <w:szCs w:val="18"/>
                <w:lang w:val="en-GB" w:eastAsia="zh-CN"/>
              </w:rPr>
              <w:t>Inadequate and incomplete trainings of employees in relation to fiscal risks analyses in MoF</w:t>
            </w:r>
          </w:p>
        </w:tc>
        <w:tc>
          <w:tcPr>
            <w:tcW w:w="2254" w:type="dxa"/>
            <w:vMerge/>
            <w:shd w:val="clear" w:color="auto" w:fill="auto"/>
          </w:tcPr>
          <w:p w14:paraId="7980A915" w14:textId="77777777" w:rsidR="00BE579B" w:rsidRPr="00D30847" w:rsidDel="00BE579B" w:rsidRDefault="00BE579B" w:rsidP="00E935CF">
            <w:pPr>
              <w:spacing w:after="0" w:line="240" w:lineRule="auto"/>
              <w:rPr>
                <w:rFonts w:cs="Calibri"/>
                <w:sz w:val="18"/>
                <w:szCs w:val="18"/>
                <w:lang w:val="en-GB"/>
              </w:rPr>
            </w:pPr>
          </w:p>
        </w:tc>
      </w:tr>
      <w:tr w:rsidR="00097F96" w:rsidRPr="00D30847" w14:paraId="47E2D196" w14:textId="77777777" w:rsidTr="008F391C">
        <w:trPr>
          <w:trHeight w:val="1109"/>
        </w:trPr>
        <w:tc>
          <w:tcPr>
            <w:tcW w:w="562" w:type="dxa"/>
            <w:vMerge/>
            <w:shd w:val="clear" w:color="auto" w:fill="auto"/>
          </w:tcPr>
          <w:p w14:paraId="4CEABACD" w14:textId="77777777" w:rsidR="00097F96" w:rsidRPr="00D30847" w:rsidRDefault="00097F96" w:rsidP="00E935CF">
            <w:pPr>
              <w:spacing w:after="0" w:line="240" w:lineRule="auto"/>
              <w:rPr>
                <w:rFonts w:cs="Calibri"/>
                <w:sz w:val="18"/>
                <w:szCs w:val="18"/>
                <w:lang w:val="en-GB"/>
              </w:rPr>
            </w:pPr>
          </w:p>
        </w:tc>
        <w:tc>
          <w:tcPr>
            <w:tcW w:w="2381" w:type="dxa"/>
            <w:vMerge/>
            <w:shd w:val="clear" w:color="auto" w:fill="auto"/>
          </w:tcPr>
          <w:p w14:paraId="640D2A61" w14:textId="77777777" w:rsidR="00097F96" w:rsidRPr="00D30847" w:rsidRDefault="00097F96" w:rsidP="00E935CF">
            <w:pPr>
              <w:spacing w:after="0" w:line="240" w:lineRule="auto"/>
              <w:rPr>
                <w:rFonts w:cs="Calibri"/>
                <w:sz w:val="18"/>
                <w:szCs w:val="18"/>
                <w:lang w:val="en-GB"/>
              </w:rPr>
            </w:pPr>
          </w:p>
        </w:tc>
        <w:tc>
          <w:tcPr>
            <w:tcW w:w="3819" w:type="dxa"/>
            <w:shd w:val="clear" w:color="auto" w:fill="auto"/>
          </w:tcPr>
          <w:p w14:paraId="681FB842" w14:textId="1B971167" w:rsidR="00097F96" w:rsidRPr="00D30847" w:rsidRDefault="00097F96" w:rsidP="00E935CF">
            <w:pPr>
              <w:spacing w:after="0" w:line="240" w:lineRule="auto"/>
              <w:rPr>
                <w:rFonts w:eastAsia="MS PGothic" w:cs="Calibri"/>
                <w:sz w:val="18"/>
                <w:szCs w:val="18"/>
                <w:lang w:val="en-GB" w:eastAsia="zh-CN"/>
              </w:rPr>
            </w:pPr>
            <w:r w:rsidRPr="00D30847">
              <w:rPr>
                <w:rFonts w:eastAsia="MS PGothic" w:cs="Calibri"/>
                <w:sz w:val="18"/>
                <w:szCs w:val="18"/>
                <w:lang w:val="en-GB" w:eastAsia="zh-CN"/>
              </w:rPr>
              <w:t>Inadequate and incomplete training of employees in the MoF and Fiscal Council in relation to fiscal rules implementation</w:t>
            </w:r>
            <w:r w:rsidRPr="00D30847" w:rsidDel="001A65AD">
              <w:rPr>
                <w:rFonts w:eastAsia="MS PGothic" w:cs="Calibri"/>
                <w:sz w:val="18"/>
                <w:szCs w:val="18"/>
                <w:lang w:val="en-GB" w:eastAsia="zh-CN"/>
              </w:rPr>
              <w:t xml:space="preserve"> </w:t>
            </w:r>
          </w:p>
        </w:tc>
        <w:tc>
          <w:tcPr>
            <w:tcW w:w="2254" w:type="dxa"/>
            <w:vMerge/>
            <w:shd w:val="clear" w:color="auto" w:fill="auto"/>
          </w:tcPr>
          <w:p w14:paraId="23ECA0D5" w14:textId="77777777" w:rsidR="00097F96" w:rsidRPr="00D30847" w:rsidRDefault="00097F96" w:rsidP="00E935CF">
            <w:pPr>
              <w:spacing w:after="0" w:line="240" w:lineRule="auto"/>
              <w:rPr>
                <w:rFonts w:cs="Calibri"/>
                <w:sz w:val="18"/>
                <w:szCs w:val="18"/>
                <w:lang w:val="en-GB"/>
              </w:rPr>
            </w:pPr>
          </w:p>
        </w:tc>
      </w:tr>
      <w:tr w:rsidR="00681A06" w:rsidRPr="00D30847" w14:paraId="7BE2E57E" w14:textId="77777777" w:rsidTr="00E935CF">
        <w:tc>
          <w:tcPr>
            <w:tcW w:w="562" w:type="dxa"/>
            <w:vMerge w:val="restart"/>
            <w:shd w:val="clear" w:color="auto" w:fill="auto"/>
          </w:tcPr>
          <w:p w14:paraId="47DDDB96" w14:textId="77777777" w:rsidR="00681A06" w:rsidRPr="00D30847" w:rsidRDefault="00681A06" w:rsidP="00E935CF">
            <w:pPr>
              <w:spacing w:after="0" w:line="240" w:lineRule="auto"/>
              <w:rPr>
                <w:rFonts w:cs="Calibri"/>
                <w:sz w:val="18"/>
                <w:szCs w:val="18"/>
                <w:lang w:val="en-GB"/>
              </w:rPr>
            </w:pPr>
            <w:r w:rsidRPr="00D30847">
              <w:rPr>
                <w:rFonts w:cs="Calibri"/>
                <w:sz w:val="18"/>
                <w:szCs w:val="18"/>
                <w:lang w:val="en-GB"/>
              </w:rPr>
              <w:lastRenderedPageBreak/>
              <w:t>3</w:t>
            </w:r>
          </w:p>
        </w:tc>
        <w:tc>
          <w:tcPr>
            <w:tcW w:w="2381" w:type="dxa"/>
            <w:vMerge w:val="restart"/>
            <w:shd w:val="clear" w:color="auto" w:fill="auto"/>
          </w:tcPr>
          <w:p w14:paraId="253DE7AE" w14:textId="77777777" w:rsidR="00681A06" w:rsidRPr="00D30847" w:rsidRDefault="00681A06" w:rsidP="00E935CF">
            <w:pPr>
              <w:spacing w:after="0" w:line="240" w:lineRule="auto"/>
              <w:rPr>
                <w:rFonts w:cs="Calibri"/>
                <w:b/>
                <w:sz w:val="18"/>
                <w:szCs w:val="18"/>
                <w:lang w:val="en-GB"/>
              </w:rPr>
            </w:pPr>
            <w:r w:rsidRPr="00D30847">
              <w:rPr>
                <w:rFonts w:cs="Calibri"/>
                <w:b/>
                <w:sz w:val="18"/>
                <w:szCs w:val="18"/>
                <w:lang w:val="en-GB"/>
              </w:rPr>
              <w:t xml:space="preserve">Priority 3: </w:t>
            </w:r>
          </w:p>
          <w:p w14:paraId="52EDBE0D" w14:textId="43EF4F37" w:rsidR="00681A06" w:rsidRPr="00D30847" w:rsidRDefault="00681A06" w:rsidP="00E935CF">
            <w:pPr>
              <w:spacing w:after="0" w:line="240" w:lineRule="auto"/>
              <w:rPr>
                <w:rFonts w:cs="Calibri"/>
                <w:sz w:val="18"/>
                <w:szCs w:val="18"/>
                <w:lang w:val="en-GB"/>
              </w:rPr>
            </w:pPr>
            <w:r w:rsidRPr="00D30847">
              <w:rPr>
                <w:rFonts w:cs="Calibri"/>
                <w:sz w:val="18"/>
                <w:szCs w:val="18"/>
                <w:lang w:val="en-GB"/>
              </w:rPr>
              <w:t>Debt</w:t>
            </w:r>
            <w:r w:rsidR="00E215BC" w:rsidRPr="00D30847">
              <w:rPr>
                <w:rFonts w:cs="Calibri"/>
                <w:sz w:val="18"/>
                <w:szCs w:val="18"/>
                <w:lang w:val="en-GB"/>
              </w:rPr>
              <w:t xml:space="preserve"> </w:t>
            </w:r>
            <w:r w:rsidRPr="00D30847">
              <w:rPr>
                <w:rFonts w:cs="Calibri"/>
                <w:sz w:val="18"/>
                <w:szCs w:val="18"/>
                <w:lang w:val="en-GB"/>
              </w:rPr>
              <w:t>Management</w:t>
            </w:r>
          </w:p>
        </w:tc>
        <w:tc>
          <w:tcPr>
            <w:tcW w:w="3819" w:type="dxa"/>
            <w:shd w:val="clear" w:color="auto" w:fill="auto"/>
          </w:tcPr>
          <w:p w14:paraId="05A0C946" w14:textId="44A59AD3" w:rsidR="00681A06" w:rsidRPr="00D30847" w:rsidRDefault="00E83911" w:rsidP="00E935CF">
            <w:pPr>
              <w:spacing w:after="0" w:line="240" w:lineRule="auto"/>
              <w:rPr>
                <w:rFonts w:eastAsia="MS PGothic" w:cs="Calibri"/>
                <w:sz w:val="18"/>
                <w:szCs w:val="18"/>
                <w:lang w:val="en-GB" w:eastAsia="zh-CN"/>
              </w:rPr>
            </w:pPr>
            <w:r w:rsidRPr="00D30847">
              <w:rPr>
                <w:rFonts w:eastAsia="MS PGothic" w:cs="Calibri"/>
                <w:sz w:val="18"/>
                <w:szCs w:val="18"/>
                <w:lang w:val="en-GB" w:eastAsia="zh-CN"/>
              </w:rPr>
              <w:t>Externalities which can cause a deterioration of the international standing of the Government’s debt</w:t>
            </w:r>
          </w:p>
        </w:tc>
        <w:tc>
          <w:tcPr>
            <w:tcW w:w="2254" w:type="dxa"/>
            <w:vMerge w:val="restart"/>
            <w:shd w:val="clear" w:color="auto" w:fill="auto"/>
          </w:tcPr>
          <w:p w14:paraId="04564006" w14:textId="77777777" w:rsidR="00681A06" w:rsidRPr="00D30847" w:rsidRDefault="007F65F1" w:rsidP="00E935CF">
            <w:pPr>
              <w:spacing w:after="0" w:line="240" w:lineRule="auto"/>
              <w:rPr>
                <w:rFonts w:cs="Calibri"/>
                <w:sz w:val="18"/>
                <w:szCs w:val="18"/>
                <w:lang w:val="en-GB"/>
              </w:rPr>
            </w:pPr>
            <w:r w:rsidRPr="00D30847">
              <w:rPr>
                <w:rFonts w:cs="Calibri"/>
                <w:sz w:val="18"/>
                <w:szCs w:val="18"/>
                <w:lang w:val="en-GB"/>
              </w:rPr>
              <w:t>Ministry of F</w:t>
            </w:r>
            <w:r w:rsidR="00681A06" w:rsidRPr="00D30847">
              <w:rPr>
                <w:rFonts w:cs="Calibri"/>
                <w:sz w:val="18"/>
                <w:szCs w:val="18"/>
                <w:lang w:val="en-GB"/>
              </w:rPr>
              <w:t>inance</w:t>
            </w:r>
          </w:p>
        </w:tc>
      </w:tr>
      <w:tr w:rsidR="00681A06" w:rsidRPr="00D30847" w14:paraId="6D8420C0" w14:textId="77777777" w:rsidTr="00E935CF">
        <w:tc>
          <w:tcPr>
            <w:tcW w:w="562" w:type="dxa"/>
            <w:vMerge/>
            <w:shd w:val="clear" w:color="auto" w:fill="auto"/>
          </w:tcPr>
          <w:p w14:paraId="4A8AFF45" w14:textId="77777777" w:rsidR="00681A06" w:rsidRPr="00D30847" w:rsidRDefault="00681A06" w:rsidP="00E935CF">
            <w:pPr>
              <w:spacing w:after="0" w:line="240" w:lineRule="auto"/>
              <w:rPr>
                <w:rFonts w:cs="Calibri"/>
                <w:sz w:val="18"/>
                <w:szCs w:val="18"/>
                <w:lang w:val="en-GB"/>
              </w:rPr>
            </w:pPr>
          </w:p>
        </w:tc>
        <w:tc>
          <w:tcPr>
            <w:tcW w:w="2381" w:type="dxa"/>
            <w:vMerge/>
            <w:shd w:val="clear" w:color="auto" w:fill="auto"/>
          </w:tcPr>
          <w:p w14:paraId="516FD481" w14:textId="77777777" w:rsidR="00681A06" w:rsidRPr="00D30847" w:rsidRDefault="00681A06" w:rsidP="00E935CF">
            <w:pPr>
              <w:spacing w:after="0" w:line="240" w:lineRule="auto"/>
              <w:rPr>
                <w:rFonts w:cs="Calibri"/>
                <w:b/>
                <w:sz w:val="18"/>
                <w:szCs w:val="18"/>
                <w:lang w:val="en-GB"/>
              </w:rPr>
            </w:pPr>
          </w:p>
        </w:tc>
        <w:tc>
          <w:tcPr>
            <w:tcW w:w="3819" w:type="dxa"/>
            <w:shd w:val="clear" w:color="auto" w:fill="auto"/>
          </w:tcPr>
          <w:p w14:paraId="4A383BEB" w14:textId="082865E6" w:rsidR="00681A06" w:rsidRPr="00D30847" w:rsidRDefault="00134B6E" w:rsidP="00E935CF">
            <w:pPr>
              <w:spacing w:after="0" w:line="240" w:lineRule="auto"/>
              <w:rPr>
                <w:rFonts w:eastAsia="MS PGothic" w:cs="Calibri"/>
                <w:sz w:val="18"/>
                <w:szCs w:val="18"/>
                <w:lang w:val="en-GB" w:eastAsia="zh-CN"/>
              </w:rPr>
            </w:pPr>
            <w:r w:rsidRPr="00D30847">
              <w:rPr>
                <w:rFonts w:eastAsia="MS PGothic" w:cs="Calibri"/>
                <w:sz w:val="18"/>
                <w:szCs w:val="18"/>
                <w:lang w:val="en-GB" w:eastAsia="zh-CN"/>
              </w:rPr>
              <w:t>Insufficient</w:t>
            </w:r>
            <w:r w:rsidR="00E83911" w:rsidRPr="00D30847">
              <w:rPr>
                <w:rFonts w:eastAsia="MS PGothic" w:cs="Calibri"/>
                <w:sz w:val="18"/>
                <w:szCs w:val="18"/>
                <w:lang w:val="en-GB" w:eastAsia="zh-CN"/>
              </w:rPr>
              <w:t xml:space="preserve"> human capacity to carry out the activity</w:t>
            </w:r>
          </w:p>
        </w:tc>
        <w:tc>
          <w:tcPr>
            <w:tcW w:w="2254" w:type="dxa"/>
            <w:vMerge/>
            <w:shd w:val="clear" w:color="auto" w:fill="auto"/>
          </w:tcPr>
          <w:p w14:paraId="6A5F8527" w14:textId="77777777" w:rsidR="00681A06" w:rsidRPr="00D30847" w:rsidRDefault="00681A06" w:rsidP="00E935CF">
            <w:pPr>
              <w:spacing w:after="0" w:line="240" w:lineRule="auto"/>
              <w:rPr>
                <w:rFonts w:cs="Calibri"/>
                <w:sz w:val="18"/>
                <w:szCs w:val="18"/>
                <w:lang w:val="en-GB"/>
              </w:rPr>
            </w:pPr>
          </w:p>
        </w:tc>
      </w:tr>
      <w:tr w:rsidR="00681A06" w:rsidRPr="00D30847" w14:paraId="0BBF841B" w14:textId="77777777" w:rsidTr="00E935CF">
        <w:trPr>
          <w:trHeight w:val="171"/>
        </w:trPr>
        <w:tc>
          <w:tcPr>
            <w:tcW w:w="562" w:type="dxa"/>
            <w:vMerge/>
            <w:shd w:val="clear" w:color="auto" w:fill="auto"/>
          </w:tcPr>
          <w:p w14:paraId="00E9620F" w14:textId="77777777" w:rsidR="00681A06" w:rsidRPr="00D30847" w:rsidRDefault="00681A06" w:rsidP="00E935CF">
            <w:pPr>
              <w:spacing w:after="0" w:line="240" w:lineRule="auto"/>
              <w:rPr>
                <w:rFonts w:cs="Calibri"/>
                <w:sz w:val="18"/>
                <w:szCs w:val="18"/>
                <w:lang w:val="en-GB"/>
              </w:rPr>
            </w:pPr>
          </w:p>
        </w:tc>
        <w:tc>
          <w:tcPr>
            <w:tcW w:w="2381" w:type="dxa"/>
            <w:vMerge/>
            <w:shd w:val="clear" w:color="auto" w:fill="auto"/>
          </w:tcPr>
          <w:p w14:paraId="14639A1E" w14:textId="77777777" w:rsidR="00681A06" w:rsidRPr="00D30847" w:rsidRDefault="00681A06" w:rsidP="00E935CF">
            <w:pPr>
              <w:spacing w:after="0" w:line="240" w:lineRule="auto"/>
              <w:rPr>
                <w:rFonts w:cs="Calibri"/>
                <w:b/>
                <w:sz w:val="18"/>
                <w:szCs w:val="18"/>
                <w:lang w:val="en-GB"/>
              </w:rPr>
            </w:pPr>
          </w:p>
        </w:tc>
        <w:tc>
          <w:tcPr>
            <w:tcW w:w="3819" w:type="dxa"/>
            <w:tcBorders>
              <w:bottom w:val="single" w:sz="4" w:space="0" w:color="auto"/>
            </w:tcBorders>
            <w:shd w:val="clear" w:color="auto" w:fill="auto"/>
          </w:tcPr>
          <w:p w14:paraId="4C1C1B02" w14:textId="01044009" w:rsidR="00681A06" w:rsidRPr="00D30847" w:rsidRDefault="00681A06" w:rsidP="00E935CF">
            <w:pPr>
              <w:spacing w:after="0" w:line="240" w:lineRule="auto"/>
              <w:rPr>
                <w:rFonts w:eastAsia="MS PGothic" w:cs="Calibri"/>
                <w:sz w:val="18"/>
                <w:szCs w:val="18"/>
                <w:lang w:val="en-GB" w:eastAsia="zh-CN"/>
              </w:rPr>
            </w:pPr>
            <w:r w:rsidRPr="00D30847">
              <w:rPr>
                <w:rFonts w:eastAsia="MS PGothic" w:cs="Calibri"/>
                <w:sz w:val="18"/>
                <w:szCs w:val="18"/>
                <w:lang w:val="en-GB" w:eastAsia="zh-CN"/>
              </w:rPr>
              <w:t>Outflow</w:t>
            </w:r>
            <w:r w:rsidR="00E83911" w:rsidRPr="00D30847">
              <w:rPr>
                <w:rFonts w:eastAsia="MS PGothic" w:cs="Calibri"/>
                <w:sz w:val="18"/>
                <w:szCs w:val="18"/>
                <w:lang w:val="en-GB" w:eastAsia="zh-CN"/>
              </w:rPr>
              <w:t xml:space="preserve"> </w:t>
            </w:r>
            <w:r w:rsidRPr="00D30847">
              <w:rPr>
                <w:rFonts w:eastAsia="MS PGothic" w:cs="Calibri"/>
                <w:sz w:val="18"/>
                <w:szCs w:val="18"/>
                <w:lang w:val="en-GB" w:eastAsia="zh-CN"/>
              </w:rPr>
              <w:t>of</w:t>
            </w:r>
            <w:r w:rsidR="00E83911" w:rsidRPr="00D30847">
              <w:rPr>
                <w:rFonts w:eastAsia="MS PGothic" w:cs="Calibri"/>
                <w:sz w:val="18"/>
                <w:szCs w:val="18"/>
                <w:lang w:val="en-GB" w:eastAsia="zh-CN"/>
              </w:rPr>
              <w:t xml:space="preserve"> </w:t>
            </w:r>
            <w:r w:rsidRPr="00D30847">
              <w:rPr>
                <w:rFonts w:eastAsia="MS PGothic" w:cs="Calibri"/>
                <w:sz w:val="18"/>
                <w:szCs w:val="18"/>
                <w:lang w:val="en-GB" w:eastAsia="zh-CN"/>
              </w:rPr>
              <w:t>educated</w:t>
            </w:r>
            <w:r w:rsidR="00E83911" w:rsidRPr="00D30847">
              <w:rPr>
                <w:rFonts w:eastAsia="MS PGothic" w:cs="Calibri"/>
                <w:sz w:val="18"/>
                <w:szCs w:val="18"/>
                <w:lang w:val="en-GB" w:eastAsia="zh-CN"/>
              </w:rPr>
              <w:t xml:space="preserve"> </w:t>
            </w:r>
            <w:r w:rsidRPr="00D30847">
              <w:rPr>
                <w:rFonts w:eastAsia="MS PGothic" w:cs="Calibri"/>
                <w:sz w:val="18"/>
                <w:szCs w:val="18"/>
                <w:lang w:val="en-GB" w:eastAsia="zh-CN"/>
              </w:rPr>
              <w:t>staff</w:t>
            </w:r>
          </w:p>
        </w:tc>
        <w:tc>
          <w:tcPr>
            <w:tcW w:w="2254" w:type="dxa"/>
            <w:vMerge/>
            <w:shd w:val="clear" w:color="auto" w:fill="auto"/>
          </w:tcPr>
          <w:p w14:paraId="6D450436" w14:textId="77777777" w:rsidR="00681A06" w:rsidRPr="00D30847" w:rsidRDefault="00681A06" w:rsidP="00E935CF">
            <w:pPr>
              <w:spacing w:after="0" w:line="240" w:lineRule="auto"/>
              <w:rPr>
                <w:rFonts w:cs="Calibri"/>
                <w:sz w:val="18"/>
                <w:szCs w:val="18"/>
                <w:lang w:val="en-GB"/>
              </w:rPr>
            </w:pPr>
          </w:p>
        </w:tc>
      </w:tr>
      <w:tr w:rsidR="00681A06" w:rsidRPr="00D30847" w14:paraId="21F5B30F" w14:textId="77777777" w:rsidTr="00E935CF">
        <w:trPr>
          <w:trHeight w:val="558"/>
        </w:trPr>
        <w:tc>
          <w:tcPr>
            <w:tcW w:w="562" w:type="dxa"/>
            <w:vMerge/>
            <w:shd w:val="clear" w:color="auto" w:fill="auto"/>
          </w:tcPr>
          <w:p w14:paraId="4D3BB648" w14:textId="77777777" w:rsidR="00681A06" w:rsidRPr="00D30847" w:rsidRDefault="00681A06" w:rsidP="00E935CF">
            <w:pPr>
              <w:spacing w:after="0" w:line="240" w:lineRule="auto"/>
              <w:rPr>
                <w:rFonts w:cs="Calibri"/>
                <w:sz w:val="18"/>
                <w:szCs w:val="18"/>
                <w:lang w:val="en-GB"/>
              </w:rPr>
            </w:pPr>
          </w:p>
        </w:tc>
        <w:tc>
          <w:tcPr>
            <w:tcW w:w="2381" w:type="dxa"/>
            <w:vMerge/>
            <w:shd w:val="clear" w:color="auto" w:fill="auto"/>
          </w:tcPr>
          <w:p w14:paraId="06CCC406" w14:textId="77777777" w:rsidR="00681A06" w:rsidRPr="00D30847" w:rsidRDefault="00681A06" w:rsidP="00E935CF">
            <w:pPr>
              <w:spacing w:after="0" w:line="240" w:lineRule="auto"/>
              <w:rPr>
                <w:rFonts w:cs="Calibri"/>
                <w:b/>
                <w:sz w:val="18"/>
                <w:szCs w:val="18"/>
                <w:lang w:val="en-GB"/>
              </w:rPr>
            </w:pPr>
          </w:p>
        </w:tc>
        <w:tc>
          <w:tcPr>
            <w:tcW w:w="3819" w:type="dxa"/>
            <w:tcBorders>
              <w:bottom w:val="single" w:sz="4" w:space="0" w:color="auto"/>
            </w:tcBorders>
            <w:shd w:val="clear" w:color="auto" w:fill="auto"/>
          </w:tcPr>
          <w:p w14:paraId="7888C1D0" w14:textId="446B25A3" w:rsidR="00681A06" w:rsidRPr="00D30847" w:rsidRDefault="00E83911" w:rsidP="00E935CF">
            <w:pPr>
              <w:spacing w:after="0" w:line="240" w:lineRule="auto"/>
              <w:rPr>
                <w:rFonts w:eastAsia="MS PGothic" w:cs="Calibri"/>
                <w:sz w:val="18"/>
                <w:szCs w:val="18"/>
                <w:lang w:val="en-GB" w:eastAsia="zh-CN"/>
              </w:rPr>
            </w:pPr>
            <w:r w:rsidRPr="00D30847">
              <w:rPr>
                <w:rFonts w:eastAsia="Times New Roman" w:cs="Calibri"/>
                <w:color w:val="202124"/>
                <w:sz w:val="18"/>
                <w:szCs w:val="18"/>
                <w:lang w:val="en-GB"/>
              </w:rPr>
              <w:t>Political factors, as by amending government debt definition, general government debt stock will be increased</w:t>
            </w:r>
          </w:p>
        </w:tc>
        <w:tc>
          <w:tcPr>
            <w:tcW w:w="2254" w:type="dxa"/>
            <w:vMerge/>
            <w:shd w:val="clear" w:color="auto" w:fill="auto"/>
          </w:tcPr>
          <w:p w14:paraId="31804C23" w14:textId="77777777" w:rsidR="00681A06" w:rsidRPr="00D30847" w:rsidRDefault="00681A06" w:rsidP="00E935CF">
            <w:pPr>
              <w:spacing w:after="0" w:line="240" w:lineRule="auto"/>
              <w:rPr>
                <w:rFonts w:cs="Calibri"/>
                <w:sz w:val="18"/>
                <w:szCs w:val="18"/>
                <w:lang w:val="en-GB"/>
              </w:rPr>
            </w:pPr>
          </w:p>
        </w:tc>
      </w:tr>
      <w:tr w:rsidR="00681A06" w:rsidRPr="00D30847" w14:paraId="5CF32A56" w14:textId="77777777" w:rsidTr="00E935CF">
        <w:trPr>
          <w:trHeight w:val="194"/>
        </w:trPr>
        <w:tc>
          <w:tcPr>
            <w:tcW w:w="562" w:type="dxa"/>
            <w:vMerge/>
            <w:tcBorders>
              <w:bottom w:val="single" w:sz="4" w:space="0" w:color="auto"/>
            </w:tcBorders>
            <w:shd w:val="clear" w:color="auto" w:fill="auto"/>
          </w:tcPr>
          <w:p w14:paraId="69E2FFD8" w14:textId="77777777" w:rsidR="00681A06" w:rsidRPr="00D30847" w:rsidRDefault="00681A06" w:rsidP="00E935CF">
            <w:pPr>
              <w:spacing w:after="0" w:line="240" w:lineRule="auto"/>
              <w:rPr>
                <w:rFonts w:cs="Calibri"/>
                <w:sz w:val="18"/>
                <w:szCs w:val="18"/>
                <w:lang w:val="en-GB"/>
              </w:rPr>
            </w:pPr>
          </w:p>
        </w:tc>
        <w:tc>
          <w:tcPr>
            <w:tcW w:w="2381" w:type="dxa"/>
            <w:vMerge/>
            <w:tcBorders>
              <w:bottom w:val="single" w:sz="4" w:space="0" w:color="auto"/>
            </w:tcBorders>
            <w:shd w:val="clear" w:color="auto" w:fill="auto"/>
          </w:tcPr>
          <w:p w14:paraId="447DE08E" w14:textId="77777777" w:rsidR="00681A06" w:rsidRPr="00D30847" w:rsidRDefault="00681A06" w:rsidP="00E935CF">
            <w:pPr>
              <w:spacing w:after="0" w:line="240" w:lineRule="auto"/>
              <w:rPr>
                <w:rFonts w:cs="Calibri"/>
                <w:b/>
                <w:sz w:val="18"/>
                <w:szCs w:val="18"/>
                <w:lang w:val="en-GB"/>
              </w:rPr>
            </w:pPr>
          </w:p>
        </w:tc>
        <w:tc>
          <w:tcPr>
            <w:tcW w:w="3819" w:type="dxa"/>
            <w:tcBorders>
              <w:bottom w:val="single" w:sz="4" w:space="0" w:color="auto"/>
            </w:tcBorders>
            <w:shd w:val="clear" w:color="auto" w:fill="auto"/>
          </w:tcPr>
          <w:p w14:paraId="2C1C6E52" w14:textId="3077CA76" w:rsidR="00681A06" w:rsidRPr="00D30847" w:rsidRDefault="00E83911" w:rsidP="00E935CF">
            <w:pPr>
              <w:spacing w:after="0" w:line="240" w:lineRule="auto"/>
              <w:rPr>
                <w:rFonts w:eastAsia="Times New Roman" w:cs="Calibri"/>
                <w:color w:val="202124"/>
                <w:sz w:val="18"/>
                <w:szCs w:val="18"/>
                <w:lang w:val="en-GB"/>
              </w:rPr>
            </w:pPr>
            <w:r w:rsidRPr="00D30847">
              <w:rPr>
                <w:rFonts w:eastAsia="Times New Roman" w:cs="Calibri"/>
                <w:color w:val="202124"/>
                <w:sz w:val="18"/>
                <w:szCs w:val="18"/>
                <w:lang w:val="en-GB"/>
              </w:rPr>
              <w:t>Limited demand for the new instruments</w:t>
            </w:r>
          </w:p>
        </w:tc>
        <w:tc>
          <w:tcPr>
            <w:tcW w:w="2254" w:type="dxa"/>
            <w:vMerge/>
            <w:tcBorders>
              <w:bottom w:val="single" w:sz="4" w:space="0" w:color="auto"/>
            </w:tcBorders>
            <w:shd w:val="clear" w:color="auto" w:fill="auto"/>
          </w:tcPr>
          <w:p w14:paraId="59C1053F" w14:textId="77777777" w:rsidR="00681A06" w:rsidRPr="00D30847" w:rsidRDefault="00681A06" w:rsidP="00E935CF">
            <w:pPr>
              <w:spacing w:after="0" w:line="240" w:lineRule="auto"/>
              <w:rPr>
                <w:rFonts w:cs="Calibri"/>
                <w:sz w:val="18"/>
                <w:szCs w:val="18"/>
                <w:lang w:val="en-GB"/>
              </w:rPr>
            </w:pPr>
          </w:p>
        </w:tc>
      </w:tr>
      <w:tr w:rsidR="00681A06" w:rsidRPr="00D30847" w14:paraId="1D964C98" w14:textId="77777777" w:rsidTr="00E935CF">
        <w:tc>
          <w:tcPr>
            <w:tcW w:w="9016" w:type="dxa"/>
            <w:gridSpan w:val="4"/>
            <w:shd w:val="clear" w:color="auto" w:fill="D9E2F3"/>
          </w:tcPr>
          <w:p w14:paraId="77AC0705" w14:textId="0F5B2DF2" w:rsidR="00681A06" w:rsidRPr="00D30847" w:rsidRDefault="00681A06" w:rsidP="00E935CF">
            <w:pPr>
              <w:spacing w:after="0" w:line="240" w:lineRule="auto"/>
              <w:rPr>
                <w:rFonts w:cs="Calibri"/>
                <w:b/>
                <w:sz w:val="18"/>
                <w:szCs w:val="18"/>
                <w:lang w:val="en-GB"/>
              </w:rPr>
            </w:pPr>
            <w:r w:rsidRPr="00D30847">
              <w:rPr>
                <w:rFonts w:cs="Calibri"/>
                <w:b/>
                <w:sz w:val="18"/>
                <w:szCs w:val="18"/>
                <w:lang w:val="en-GB"/>
              </w:rPr>
              <w:t xml:space="preserve">PILLAR II </w:t>
            </w:r>
            <w:r w:rsidR="00E83911" w:rsidRPr="00D30847">
              <w:rPr>
                <w:rFonts w:cs="Calibri"/>
                <w:b/>
                <w:sz w:val="18"/>
                <w:szCs w:val="18"/>
                <w:lang w:val="en-GB"/>
              </w:rPr>
              <w:t>–</w:t>
            </w:r>
            <w:r w:rsidRPr="00D30847">
              <w:rPr>
                <w:rFonts w:cs="Calibri"/>
                <w:b/>
                <w:sz w:val="18"/>
                <w:szCs w:val="18"/>
                <w:lang w:val="en-GB"/>
              </w:rPr>
              <w:t xml:space="preserve"> Revenue</w:t>
            </w:r>
            <w:r w:rsidR="00E83911" w:rsidRPr="00D30847">
              <w:rPr>
                <w:rFonts w:cs="Calibri"/>
                <w:b/>
                <w:sz w:val="18"/>
                <w:szCs w:val="18"/>
                <w:lang w:val="en-GB"/>
              </w:rPr>
              <w:t xml:space="preserve"> </w:t>
            </w:r>
            <w:r w:rsidRPr="00D30847">
              <w:rPr>
                <w:rFonts w:cs="Calibri"/>
                <w:b/>
                <w:sz w:val="18"/>
                <w:szCs w:val="18"/>
                <w:lang w:val="en-GB"/>
              </w:rPr>
              <w:t>mobilization</w:t>
            </w:r>
          </w:p>
        </w:tc>
      </w:tr>
      <w:tr w:rsidR="0023109C" w:rsidRPr="00D30847" w14:paraId="3AC12EFA" w14:textId="77777777" w:rsidTr="00E935CF">
        <w:tc>
          <w:tcPr>
            <w:tcW w:w="562" w:type="dxa"/>
            <w:vMerge w:val="restart"/>
            <w:shd w:val="clear" w:color="auto" w:fill="auto"/>
          </w:tcPr>
          <w:p w14:paraId="2A052DC6" w14:textId="77777777" w:rsidR="0023109C" w:rsidRPr="00D30847" w:rsidRDefault="0023109C" w:rsidP="00E935CF">
            <w:pPr>
              <w:spacing w:after="0" w:line="240" w:lineRule="auto"/>
              <w:rPr>
                <w:rFonts w:cs="Calibri"/>
                <w:sz w:val="18"/>
                <w:szCs w:val="18"/>
                <w:lang w:val="en-GB"/>
              </w:rPr>
            </w:pPr>
            <w:r w:rsidRPr="00D30847">
              <w:rPr>
                <w:rFonts w:cs="Calibri"/>
                <w:sz w:val="18"/>
                <w:szCs w:val="18"/>
                <w:lang w:val="en-GB"/>
              </w:rPr>
              <w:t>4</w:t>
            </w:r>
          </w:p>
        </w:tc>
        <w:tc>
          <w:tcPr>
            <w:tcW w:w="2381" w:type="dxa"/>
            <w:vMerge w:val="restart"/>
            <w:shd w:val="clear" w:color="auto" w:fill="auto"/>
          </w:tcPr>
          <w:p w14:paraId="23B9D481" w14:textId="77777777" w:rsidR="0023109C" w:rsidRPr="00D30847" w:rsidRDefault="0023109C" w:rsidP="00E935CF">
            <w:pPr>
              <w:spacing w:after="0" w:line="240" w:lineRule="auto"/>
              <w:rPr>
                <w:rFonts w:cs="Calibri"/>
                <w:b/>
                <w:sz w:val="18"/>
                <w:szCs w:val="18"/>
                <w:lang w:val="en-GB"/>
              </w:rPr>
            </w:pPr>
            <w:r w:rsidRPr="00D30847">
              <w:rPr>
                <w:rFonts w:cs="Calibri"/>
                <w:b/>
                <w:sz w:val="18"/>
                <w:szCs w:val="18"/>
                <w:lang w:val="en-GB"/>
              </w:rPr>
              <w:t>Priority 1:</w:t>
            </w:r>
          </w:p>
          <w:p w14:paraId="2B1A2EF5" w14:textId="16491A2F" w:rsidR="0023109C" w:rsidRPr="00D30847" w:rsidRDefault="0023109C" w:rsidP="00E935CF">
            <w:pPr>
              <w:spacing w:after="0" w:line="240" w:lineRule="auto"/>
              <w:rPr>
                <w:rFonts w:cs="Calibri"/>
                <w:sz w:val="18"/>
                <w:szCs w:val="18"/>
                <w:lang w:val="en-GB"/>
              </w:rPr>
            </w:pPr>
            <w:r w:rsidRPr="00D30847">
              <w:rPr>
                <w:rFonts w:cs="Calibri"/>
                <w:sz w:val="18"/>
                <w:szCs w:val="18"/>
                <w:lang w:val="en-GB"/>
              </w:rPr>
              <w:t>Tax and Customs Policy</w:t>
            </w:r>
          </w:p>
        </w:tc>
        <w:tc>
          <w:tcPr>
            <w:tcW w:w="3819" w:type="dxa"/>
            <w:shd w:val="clear" w:color="auto" w:fill="auto"/>
          </w:tcPr>
          <w:p w14:paraId="26883B88" w14:textId="2BD92B46" w:rsidR="0023109C" w:rsidRPr="00D30847" w:rsidRDefault="0023109C" w:rsidP="00E935CF">
            <w:pPr>
              <w:spacing w:after="0" w:line="240" w:lineRule="auto"/>
              <w:rPr>
                <w:rFonts w:cs="Calibri"/>
                <w:sz w:val="18"/>
                <w:szCs w:val="18"/>
                <w:lang w:val="en-GB"/>
              </w:rPr>
            </w:pPr>
            <w:r w:rsidRPr="00D30847">
              <w:rPr>
                <w:rFonts w:cs="Calibri"/>
                <w:sz w:val="18"/>
                <w:szCs w:val="18"/>
                <w:lang w:val="en-GB"/>
              </w:rPr>
              <w:t>Human resources limitation</w:t>
            </w:r>
          </w:p>
        </w:tc>
        <w:tc>
          <w:tcPr>
            <w:tcW w:w="2254" w:type="dxa"/>
            <w:vMerge w:val="restart"/>
            <w:shd w:val="clear" w:color="auto" w:fill="auto"/>
          </w:tcPr>
          <w:p w14:paraId="536091AB" w14:textId="77777777" w:rsidR="0023109C" w:rsidRPr="00D30847" w:rsidRDefault="0023109C" w:rsidP="00E935CF">
            <w:pPr>
              <w:spacing w:after="0" w:line="240" w:lineRule="auto"/>
              <w:rPr>
                <w:rFonts w:cs="Calibri"/>
                <w:sz w:val="18"/>
                <w:szCs w:val="18"/>
                <w:lang w:val="en-GB"/>
              </w:rPr>
            </w:pPr>
            <w:r w:rsidRPr="00D30847">
              <w:rPr>
                <w:rFonts w:cs="Calibri"/>
                <w:sz w:val="18"/>
                <w:szCs w:val="18"/>
                <w:lang w:val="en-GB"/>
              </w:rPr>
              <w:t>Ministry of Finance</w:t>
            </w:r>
          </w:p>
        </w:tc>
      </w:tr>
      <w:tr w:rsidR="0023109C" w:rsidRPr="00D30847" w14:paraId="4EBBA5BC" w14:textId="77777777" w:rsidTr="00E935CF">
        <w:tc>
          <w:tcPr>
            <w:tcW w:w="562" w:type="dxa"/>
            <w:vMerge/>
            <w:shd w:val="clear" w:color="auto" w:fill="auto"/>
          </w:tcPr>
          <w:p w14:paraId="20340F34" w14:textId="77777777" w:rsidR="0023109C" w:rsidRPr="00D30847" w:rsidRDefault="0023109C" w:rsidP="00E935CF">
            <w:pPr>
              <w:spacing w:after="0" w:line="240" w:lineRule="auto"/>
              <w:rPr>
                <w:rFonts w:cs="Calibri"/>
                <w:sz w:val="18"/>
                <w:szCs w:val="18"/>
                <w:lang w:val="en-GB"/>
              </w:rPr>
            </w:pPr>
          </w:p>
        </w:tc>
        <w:tc>
          <w:tcPr>
            <w:tcW w:w="2381" w:type="dxa"/>
            <w:vMerge/>
            <w:shd w:val="clear" w:color="auto" w:fill="auto"/>
          </w:tcPr>
          <w:p w14:paraId="08380454" w14:textId="77777777" w:rsidR="0023109C" w:rsidRPr="00D30847" w:rsidRDefault="0023109C" w:rsidP="00E935CF">
            <w:pPr>
              <w:spacing w:after="0" w:line="240" w:lineRule="auto"/>
              <w:rPr>
                <w:rFonts w:cs="Calibri"/>
                <w:b/>
                <w:sz w:val="18"/>
                <w:szCs w:val="18"/>
                <w:lang w:val="en-GB"/>
              </w:rPr>
            </w:pPr>
          </w:p>
        </w:tc>
        <w:tc>
          <w:tcPr>
            <w:tcW w:w="3819" w:type="dxa"/>
            <w:shd w:val="clear" w:color="auto" w:fill="auto"/>
          </w:tcPr>
          <w:p w14:paraId="3EE636BB" w14:textId="77777777" w:rsidR="0023109C" w:rsidRPr="00D30847" w:rsidRDefault="0023109C" w:rsidP="0023109C">
            <w:pPr>
              <w:spacing w:after="0" w:line="240" w:lineRule="auto"/>
              <w:rPr>
                <w:rFonts w:eastAsia="Times New Roman" w:cs="Calibri"/>
                <w:color w:val="202124"/>
                <w:sz w:val="18"/>
                <w:szCs w:val="18"/>
                <w:lang w:val="en-GB"/>
              </w:rPr>
            </w:pPr>
            <w:r w:rsidRPr="00D30847">
              <w:rPr>
                <w:rFonts w:eastAsia="Times New Roman" w:cs="Calibri"/>
                <w:color w:val="202124"/>
                <w:sz w:val="18"/>
                <w:szCs w:val="18"/>
                <w:lang w:val="en-GB"/>
              </w:rPr>
              <w:t>Lack of political will to support reforms</w:t>
            </w:r>
          </w:p>
          <w:p w14:paraId="680AB419" w14:textId="4A2CF78A" w:rsidR="0023109C" w:rsidRPr="00D30847" w:rsidRDefault="0023109C" w:rsidP="00E935CF">
            <w:pPr>
              <w:spacing w:after="0" w:line="240" w:lineRule="auto"/>
              <w:rPr>
                <w:rFonts w:eastAsia="Times New Roman" w:cs="Calibri"/>
                <w:color w:val="202124"/>
                <w:sz w:val="18"/>
                <w:szCs w:val="18"/>
                <w:lang w:val="en-GB"/>
              </w:rPr>
            </w:pPr>
          </w:p>
        </w:tc>
        <w:tc>
          <w:tcPr>
            <w:tcW w:w="2254" w:type="dxa"/>
            <w:vMerge/>
            <w:shd w:val="clear" w:color="auto" w:fill="auto"/>
          </w:tcPr>
          <w:p w14:paraId="7DAC1C03" w14:textId="77777777" w:rsidR="0023109C" w:rsidRPr="00D30847" w:rsidRDefault="0023109C" w:rsidP="00E935CF">
            <w:pPr>
              <w:spacing w:after="0" w:line="240" w:lineRule="auto"/>
              <w:rPr>
                <w:rFonts w:cs="Calibri"/>
                <w:sz w:val="18"/>
                <w:szCs w:val="18"/>
                <w:lang w:val="en-GB"/>
              </w:rPr>
            </w:pPr>
          </w:p>
        </w:tc>
      </w:tr>
      <w:tr w:rsidR="0023109C" w:rsidRPr="00D30847" w14:paraId="32FED2C3" w14:textId="77777777" w:rsidTr="00E935CF">
        <w:tc>
          <w:tcPr>
            <w:tcW w:w="562" w:type="dxa"/>
            <w:vMerge/>
            <w:shd w:val="clear" w:color="auto" w:fill="auto"/>
          </w:tcPr>
          <w:p w14:paraId="0FD206E0" w14:textId="77777777" w:rsidR="0023109C" w:rsidRPr="00D30847" w:rsidRDefault="0023109C" w:rsidP="00E935CF">
            <w:pPr>
              <w:spacing w:after="0" w:line="240" w:lineRule="auto"/>
              <w:rPr>
                <w:rFonts w:cs="Calibri"/>
                <w:sz w:val="18"/>
                <w:szCs w:val="18"/>
                <w:lang w:val="en-GB"/>
              </w:rPr>
            </w:pPr>
          </w:p>
        </w:tc>
        <w:tc>
          <w:tcPr>
            <w:tcW w:w="2381" w:type="dxa"/>
            <w:vMerge/>
            <w:shd w:val="clear" w:color="auto" w:fill="auto"/>
          </w:tcPr>
          <w:p w14:paraId="075E703B" w14:textId="77777777" w:rsidR="0023109C" w:rsidRPr="00D30847" w:rsidRDefault="0023109C" w:rsidP="00E935CF">
            <w:pPr>
              <w:spacing w:after="0" w:line="240" w:lineRule="auto"/>
              <w:rPr>
                <w:rFonts w:cs="Calibri"/>
                <w:sz w:val="18"/>
                <w:szCs w:val="18"/>
                <w:lang w:val="en-GB"/>
              </w:rPr>
            </w:pPr>
          </w:p>
        </w:tc>
        <w:tc>
          <w:tcPr>
            <w:tcW w:w="3819" w:type="dxa"/>
            <w:shd w:val="clear" w:color="auto" w:fill="auto"/>
          </w:tcPr>
          <w:p w14:paraId="4D044B65" w14:textId="61BE83E2" w:rsidR="0023109C" w:rsidRPr="00D30847" w:rsidRDefault="0023109C" w:rsidP="00E935CF">
            <w:pPr>
              <w:spacing w:after="0" w:line="240" w:lineRule="auto"/>
              <w:rPr>
                <w:rFonts w:cs="Calibri"/>
                <w:sz w:val="18"/>
                <w:szCs w:val="18"/>
                <w:lang w:val="en-GB"/>
              </w:rPr>
            </w:pPr>
            <w:r w:rsidRPr="00D30847">
              <w:rPr>
                <w:rFonts w:eastAsia="Times New Roman" w:cs="Calibri"/>
                <w:color w:val="202124"/>
                <w:sz w:val="18"/>
                <w:szCs w:val="18"/>
                <w:lang w:val="en-GB"/>
              </w:rPr>
              <w:t>Internal resistance to modernization processes</w:t>
            </w:r>
          </w:p>
        </w:tc>
        <w:tc>
          <w:tcPr>
            <w:tcW w:w="2254" w:type="dxa"/>
            <w:vMerge/>
            <w:shd w:val="clear" w:color="auto" w:fill="auto"/>
          </w:tcPr>
          <w:p w14:paraId="38CD31DE" w14:textId="77777777" w:rsidR="0023109C" w:rsidRPr="00D30847" w:rsidRDefault="0023109C" w:rsidP="00E935CF">
            <w:pPr>
              <w:spacing w:after="0" w:line="240" w:lineRule="auto"/>
              <w:rPr>
                <w:rFonts w:cs="Calibri"/>
                <w:sz w:val="18"/>
                <w:szCs w:val="18"/>
                <w:lang w:val="en-GB"/>
              </w:rPr>
            </w:pPr>
          </w:p>
        </w:tc>
      </w:tr>
      <w:tr w:rsidR="0023109C" w:rsidRPr="00D30847" w14:paraId="2EB5EE7E" w14:textId="77777777" w:rsidTr="00E935CF">
        <w:tc>
          <w:tcPr>
            <w:tcW w:w="562" w:type="dxa"/>
            <w:vMerge/>
            <w:shd w:val="clear" w:color="auto" w:fill="auto"/>
          </w:tcPr>
          <w:p w14:paraId="74E856C2" w14:textId="77777777" w:rsidR="0023109C" w:rsidRPr="00D30847" w:rsidRDefault="0023109C" w:rsidP="00E935CF">
            <w:pPr>
              <w:spacing w:after="0" w:line="240" w:lineRule="auto"/>
              <w:rPr>
                <w:rFonts w:cs="Calibri"/>
                <w:sz w:val="18"/>
                <w:szCs w:val="18"/>
                <w:lang w:val="en-GB"/>
              </w:rPr>
            </w:pPr>
          </w:p>
        </w:tc>
        <w:tc>
          <w:tcPr>
            <w:tcW w:w="2381" w:type="dxa"/>
            <w:vMerge/>
            <w:shd w:val="clear" w:color="auto" w:fill="auto"/>
          </w:tcPr>
          <w:p w14:paraId="10553B1A" w14:textId="77777777" w:rsidR="0023109C" w:rsidRPr="00D30847" w:rsidRDefault="0023109C" w:rsidP="00E935CF">
            <w:pPr>
              <w:spacing w:after="0" w:line="240" w:lineRule="auto"/>
              <w:rPr>
                <w:rFonts w:cs="Calibri"/>
                <w:sz w:val="18"/>
                <w:szCs w:val="18"/>
                <w:lang w:val="en-GB"/>
              </w:rPr>
            </w:pPr>
          </w:p>
        </w:tc>
        <w:tc>
          <w:tcPr>
            <w:tcW w:w="3819" w:type="dxa"/>
            <w:shd w:val="clear" w:color="auto" w:fill="auto"/>
          </w:tcPr>
          <w:p w14:paraId="30C91A34" w14:textId="43D5E786" w:rsidR="0023109C" w:rsidRPr="00D30847" w:rsidRDefault="0023109C" w:rsidP="00E935CF">
            <w:pPr>
              <w:spacing w:after="0" w:line="240" w:lineRule="auto"/>
              <w:rPr>
                <w:rFonts w:cs="Calibri"/>
                <w:sz w:val="18"/>
                <w:szCs w:val="18"/>
                <w:lang w:val="en-GB"/>
              </w:rPr>
            </w:pPr>
            <w:r w:rsidRPr="00D30847">
              <w:rPr>
                <w:rFonts w:eastAsia="Times New Roman" w:cs="Calibri"/>
                <w:color w:val="202124"/>
                <w:sz w:val="18"/>
                <w:szCs w:val="18"/>
                <w:lang w:val="en-GB"/>
              </w:rPr>
              <w:t>Continuous outflow of staff</w:t>
            </w:r>
          </w:p>
        </w:tc>
        <w:tc>
          <w:tcPr>
            <w:tcW w:w="2254" w:type="dxa"/>
            <w:vMerge/>
            <w:shd w:val="clear" w:color="auto" w:fill="auto"/>
          </w:tcPr>
          <w:p w14:paraId="2DFF1ADA" w14:textId="77777777" w:rsidR="0023109C" w:rsidRPr="00D30847" w:rsidRDefault="0023109C" w:rsidP="00E935CF">
            <w:pPr>
              <w:spacing w:after="0" w:line="240" w:lineRule="auto"/>
              <w:rPr>
                <w:rFonts w:cs="Calibri"/>
                <w:sz w:val="18"/>
                <w:szCs w:val="18"/>
                <w:lang w:val="en-GB"/>
              </w:rPr>
            </w:pPr>
          </w:p>
        </w:tc>
      </w:tr>
      <w:tr w:rsidR="0023109C" w:rsidRPr="00D30847" w14:paraId="4939DB70" w14:textId="77777777" w:rsidTr="00E935CF">
        <w:tc>
          <w:tcPr>
            <w:tcW w:w="562" w:type="dxa"/>
            <w:vMerge/>
            <w:shd w:val="clear" w:color="auto" w:fill="auto"/>
          </w:tcPr>
          <w:p w14:paraId="0A163326" w14:textId="77777777" w:rsidR="0023109C" w:rsidRPr="00D30847" w:rsidRDefault="0023109C" w:rsidP="00E935CF">
            <w:pPr>
              <w:spacing w:after="0" w:line="240" w:lineRule="auto"/>
              <w:rPr>
                <w:rFonts w:cs="Calibri"/>
                <w:sz w:val="18"/>
                <w:szCs w:val="18"/>
                <w:lang w:val="en-GB"/>
              </w:rPr>
            </w:pPr>
          </w:p>
        </w:tc>
        <w:tc>
          <w:tcPr>
            <w:tcW w:w="2381" w:type="dxa"/>
            <w:vMerge/>
            <w:shd w:val="clear" w:color="auto" w:fill="auto"/>
          </w:tcPr>
          <w:p w14:paraId="10B4ED2F" w14:textId="77777777" w:rsidR="0023109C" w:rsidRPr="00D30847" w:rsidRDefault="0023109C" w:rsidP="00E935CF">
            <w:pPr>
              <w:spacing w:after="0" w:line="240" w:lineRule="auto"/>
              <w:rPr>
                <w:rFonts w:cs="Calibri"/>
                <w:sz w:val="18"/>
                <w:szCs w:val="18"/>
                <w:lang w:val="en-GB"/>
              </w:rPr>
            </w:pPr>
          </w:p>
        </w:tc>
        <w:tc>
          <w:tcPr>
            <w:tcW w:w="3819" w:type="dxa"/>
            <w:shd w:val="clear" w:color="auto" w:fill="auto"/>
          </w:tcPr>
          <w:p w14:paraId="07FBD648" w14:textId="2CBEC679" w:rsidR="0023109C" w:rsidRPr="00D30847" w:rsidRDefault="0023109C" w:rsidP="00E935CF">
            <w:pPr>
              <w:spacing w:after="0" w:line="240" w:lineRule="auto"/>
              <w:rPr>
                <w:rFonts w:eastAsia="Times New Roman" w:cs="Calibri"/>
                <w:color w:val="202124"/>
                <w:sz w:val="18"/>
                <w:szCs w:val="18"/>
                <w:lang w:val="en-GB"/>
              </w:rPr>
            </w:pPr>
            <w:r w:rsidRPr="00D30847">
              <w:rPr>
                <w:rFonts w:eastAsia="Times New Roman" w:cs="Calibri"/>
                <w:color w:val="202124"/>
                <w:sz w:val="18"/>
                <w:szCs w:val="18"/>
                <w:lang w:val="en-GB"/>
              </w:rPr>
              <w:t>Departure or reduced interest among donors to support the activities.</w:t>
            </w:r>
          </w:p>
        </w:tc>
        <w:tc>
          <w:tcPr>
            <w:tcW w:w="2254" w:type="dxa"/>
            <w:vMerge/>
            <w:shd w:val="clear" w:color="auto" w:fill="auto"/>
          </w:tcPr>
          <w:p w14:paraId="63583017" w14:textId="77777777" w:rsidR="0023109C" w:rsidRPr="00D30847" w:rsidRDefault="0023109C" w:rsidP="00E935CF">
            <w:pPr>
              <w:spacing w:after="0" w:line="240" w:lineRule="auto"/>
              <w:rPr>
                <w:rFonts w:cs="Calibri"/>
                <w:sz w:val="18"/>
                <w:szCs w:val="18"/>
                <w:lang w:val="en-GB"/>
              </w:rPr>
            </w:pPr>
          </w:p>
        </w:tc>
      </w:tr>
      <w:tr w:rsidR="001C5E1C" w:rsidRPr="00D30847" w14:paraId="48C1C663" w14:textId="77777777" w:rsidTr="00E935CF">
        <w:tc>
          <w:tcPr>
            <w:tcW w:w="562" w:type="dxa"/>
            <w:vMerge w:val="restart"/>
            <w:shd w:val="clear" w:color="auto" w:fill="auto"/>
          </w:tcPr>
          <w:p w14:paraId="148B34B0" w14:textId="77777777" w:rsidR="001C5E1C" w:rsidRPr="00D30847" w:rsidRDefault="001C5E1C" w:rsidP="00E935CF">
            <w:pPr>
              <w:spacing w:after="0" w:line="240" w:lineRule="auto"/>
              <w:rPr>
                <w:rFonts w:cs="Calibri"/>
                <w:sz w:val="18"/>
                <w:szCs w:val="18"/>
                <w:lang w:val="en-GB"/>
              </w:rPr>
            </w:pPr>
            <w:r w:rsidRPr="00D30847">
              <w:rPr>
                <w:rFonts w:cs="Calibri"/>
                <w:sz w:val="18"/>
                <w:szCs w:val="18"/>
                <w:lang w:val="en-GB"/>
              </w:rPr>
              <w:t>5</w:t>
            </w:r>
          </w:p>
        </w:tc>
        <w:tc>
          <w:tcPr>
            <w:tcW w:w="2381" w:type="dxa"/>
            <w:vMerge w:val="restart"/>
            <w:shd w:val="clear" w:color="auto" w:fill="auto"/>
          </w:tcPr>
          <w:p w14:paraId="3B710068" w14:textId="77777777" w:rsidR="001C5E1C" w:rsidRPr="00D30847" w:rsidRDefault="001C5E1C" w:rsidP="00E935CF">
            <w:pPr>
              <w:spacing w:after="0" w:line="240" w:lineRule="auto"/>
              <w:rPr>
                <w:rFonts w:cs="Calibri"/>
                <w:b/>
                <w:sz w:val="18"/>
                <w:szCs w:val="18"/>
                <w:lang w:val="en-GB"/>
              </w:rPr>
            </w:pPr>
            <w:r w:rsidRPr="00D30847">
              <w:rPr>
                <w:rFonts w:cs="Calibri"/>
                <w:b/>
                <w:sz w:val="18"/>
                <w:szCs w:val="18"/>
                <w:lang w:val="en-GB"/>
              </w:rPr>
              <w:t xml:space="preserve">Priority 2: </w:t>
            </w:r>
          </w:p>
          <w:p w14:paraId="79295FA8" w14:textId="0D7E45D5" w:rsidR="001C5E1C" w:rsidRPr="00D30847" w:rsidRDefault="001C5E1C" w:rsidP="00E935CF">
            <w:pPr>
              <w:spacing w:after="0" w:line="240" w:lineRule="auto"/>
              <w:rPr>
                <w:rFonts w:cs="Calibri"/>
                <w:sz w:val="18"/>
                <w:szCs w:val="18"/>
                <w:lang w:val="en-GB"/>
              </w:rPr>
            </w:pPr>
            <w:r w:rsidRPr="00D30847">
              <w:rPr>
                <w:rFonts w:cs="Calibri"/>
                <w:sz w:val="18"/>
                <w:szCs w:val="18"/>
                <w:lang w:val="en-GB"/>
              </w:rPr>
              <w:t>Tax</w:t>
            </w:r>
            <w:r w:rsidR="00E83911" w:rsidRPr="00D30847">
              <w:rPr>
                <w:rFonts w:cs="Calibri"/>
                <w:sz w:val="18"/>
                <w:szCs w:val="18"/>
                <w:lang w:val="en-GB"/>
              </w:rPr>
              <w:t xml:space="preserve"> </w:t>
            </w:r>
            <w:r w:rsidRPr="00D30847">
              <w:rPr>
                <w:rFonts w:cs="Calibri"/>
                <w:sz w:val="18"/>
                <w:szCs w:val="18"/>
                <w:lang w:val="en-GB"/>
              </w:rPr>
              <w:t>Administration</w:t>
            </w:r>
          </w:p>
        </w:tc>
        <w:tc>
          <w:tcPr>
            <w:tcW w:w="3819" w:type="dxa"/>
            <w:shd w:val="clear" w:color="auto" w:fill="auto"/>
          </w:tcPr>
          <w:p w14:paraId="4347B3FB" w14:textId="56524ABA" w:rsidR="001C5E1C" w:rsidRPr="00D30847" w:rsidRDefault="00E83911" w:rsidP="00E935CF">
            <w:pPr>
              <w:spacing w:after="0" w:line="240" w:lineRule="auto"/>
              <w:rPr>
                <w:rFonts w:cs="Calibri"/>
                <w:sz w:val="18"/>
                <w:szCs w:val="18"/>
                <w:lang w:val="en-GB"/>
              </w:rPr>
            </w:pPr>
            <w:r w:rsidRPr="00D30847">
              <w:rPr>
                <w:rFonts w:cs="Calibri"/>
                <w:sz w:val="18"/>
                <w:szCs w:val="18"/>
                <w:lang w:val="en-GB"/>
              </w:rPr>
              <w:t xml:space="preserve">Organizational and other risks that are related to the implementation of Tax Enforcement </w:t>
            </w:r>
            <w:proofErr w:type="spellStart"/>
            <w:r w:rsidRPr="00D30847">
              <w:rPr>
                <w:rFonts w:cs="Calibri"/>
                <w:sz w:val="18"/>
                <w:szCs w:val="18"/>
                <w:lang w:val="en-GB"/>
              </w:rPr>
              <w:t>Center</w:t>
            </w:r>
            <w:proofErr w:type="spellEnd"/>
          </w:p>
        </w:tc>
        <w:tc>
          <w:tcPr>
            <w:tcW w:w="2254" w:type="dxa"/>
            <w:vMerge w:val="restart"/>
            <w:shd w:val="clear" w:color="auto" w:fill="auto"/>
          </w:tcPr>
          <w:p w14:paraId="30D07914" w14:textId="77777777" w:rsidR="001C5E1C" w:rsidRPr="00D30847" w:rsidRDefault="001C5E1C" w:rsidP="00E935CF">
            <w:pPr>
              <w:spacing w:after="0" w:line="240" w:lineRule="auto"/>
              <w:rPr>
                <w:rFonts w:cs="Calibri"/>
                <w:sz w:val="18"/>
                <w:szCs w:val="18"/>
                <w:lang w:val="en-GB"/>
              </w:rPr>
            </w:pPr>
            <w:r w:rsidRPr="00D30847">
              <w:rPr>
                <w:rFonts w:cs="Calibri"/>
                <w:sz w:val="18"/>
                <w:szCs w:val="18"/>
                <w:lang w:val="en-GB"/>
              </w:rPr>
              <w:t>PRO</w:t>
            </w:r>
          </w:p>
        </w:tc>
      </w:tr>
      <w:tr w:rsidR="001C5E1C" w:rsidRPr="00D30847" w14:paraId="5C5B8C95" w14:textId="77777777" w:rsidTr="00E935CF">
        <w:tc>
          <w:tcPr>
            <w:tcW w:w="562" w:type="dxa"/>
            <w:vMerge/>
            <w:shd w:val="clear" w:color="auto" w:fill="auto"/>
          </w:tcPr>
          <w:p w14:paraId="4CE4A0CD" w14:textId="77777777" w:rsidR="001C5E1C" w:rsidRPr="00D30847" w:rsidRDefault="001C5E1C" w:rsidP="00E935CF">
            <w:pPr>
              <w:spacing w:after="0" w:line="240" w:lineRule="auto"/>
              <w:rPr>
                <w:rFonts w:cs="Calibri"/>
                <w:sz w:val="18"/>
                <w:szCs w:val="18"/>
                <w:lang w:val="en-GB"/>
              </w:rPr>
            </w:pPr>
          </w:p>
        </w:tc>
        <w:tc>
          <w:tcPr>
            <w:tcW w:w="2381" w:type="dxa"/>
            <w:vMerge/>
            <w:shd w:val="clear" w:color="auto" w:fill="auto"/>
          </w:tcPr>
          <w:p w14:paraId="79F9B455" w14:textId="77777777" w:rsidR="001C5E1C" w:rsidRPr="00D30847" w:rsidRDefault="001C5E1C" w:rsidP="00E935CF">
            <w:pPr>
              <w:spacing w:after="0" w:line="240" w:lineRule="auto"/>
              <w:rPr>
                <w:rFonts w:cs="Calibri"/>
                <w:sz w:val="18"/>
                <w:szCs w:val="18"/>
                <w:lang w:val="en-GB"/>
              </w:rPr>
            </w:pPr>
          </w:p>
        </w:tc>
        <w:tc>
          <w:tcPr>
            <w:tcW w:w="3819" w:type="dxa"/>
            <w:shd w:val="clear" w:color="auto" w:fill="auto"/>
          </w:tcPr>
          <w:p w14:paraId="7B88153D" w14:textId="146659A2" w:rsidR="001C5E1C" w:rsidRPr="00D30847" w:rsidRDefault="00E83911" w:rsidP="00E935CF">
            <w:pPr>
              <w:spacing w:after="0" w:line="240" w:lineRule="auto"/>
              <w:rPr>
                <w:rFonts w:cs="Calibri"/>
                <w:sz w:val="18"/>
                <w:szCs w:val="18"/>
                <w:lang w:val="en-GB"/>
              </w:rPr>
            </w:pPr>
            <w:r w:rsidRPr="00D30847">
              <w:rPr>
                <w:rFonts w:cs="Calibri"/>
                <w:sz w:val="18"/>
                <w:szCs w:val="18"/>
                <w:lang w:val="en-GB"/>
              </w:rPr>
              <w:t>Failure to implement compliance risk management</w:t>
            </w:r>
          </w:p>
        </w:tc>
        <w:tc>
          <w:tcPr>
            <w:tcW w:w="2254" w:type="dxa"/>
            <w:vMerge/>
            <w:shd w:val="clear" w:color="auto" w:fill="auto"/>
          </w:tcPr>
          <w:p w14:paraId="2EA3C8D0" w14:textId="77777777" w:rsidR="001C5E1C" w:rsidRPr="00D30847" w:rsidRDefault="001C5E1C" w:rsidP="00E935CF">
            <w:pPr>
              <w:spacing w:after="0" w:line="240" w:lineRule="auto"/>
              <w:rPr>
                <w:rFonts w:cs="Calibri"/>
                <w:sz w:val="18"/>
                <w:szCs w:val="18"/>
                <w:lang w:val="en-GB"/>
              </w:rPr>
            </w:pPr>
          </w:p>
        </w:tc>
      </w:tr>
      <w:tr w:rsidR="001C5E1C" w:rsidRPr="00D30847" w14:paraId="559EA857" w14:textId="77777777" w:rsidTr="00E935CF">
        <w:tc>
          <w:tcPr>
            <w:tcW w:w="562" w:type="dxa"/>
            <w:vMerge/>
            <w:shd w:val="clear" w:color="auto" w:fill="auto"/>
          </w:tcPr>
          <w:p w14:paraId="3F2D12BC" w14:textId="77777777" w:rsidR="001C5E1C" w:rsidRPr="00D30847" w:rsidRDefault="001C5E1C" w:rsidP="00E935CF">
            <w:pPr>
              <w:spacing w:after="0" w:line="240" w:lineRule="auto"/>
              <w:rPr>
                <w:rFonts w:cs="Calibri"/>
                <w:sz w:val="18"/>
                <w:szCs w:val="18"/>
                <w:lang w:val="en-GB"/>
              </w:rPr>
            </w:pPr>
          </w:p>
        </w:tc>
        <w:tc>
          <w:tcPr>
            <w:tcW w:w="2381" w:type="dxa"/>
            <w:vMerge/>
            <w:shd w:val="clear" w:color="auto" w:fill="auto"/>
          </w:tcPr>
          <w:p w14:paraId="3F3491A3" w14:textId="77777777" w:rsidR="001C5E1C" w:rsidRPr="00D30847" w:rsidRDefault="001C5E1C" w:rsidP="00E935CF">
            <w:pPr>
              <w:spacing w:after="0" w:line="240" w:lineRule="auto"/>
              <w:rPr>
                <w:rFonts w:cs="Calibri"/>
                <w:sz w:val="18"/>
                <w:szCs w:val="18"/>
                <w:lang w:val="en-GB"/>
              </w:rPr>
            </w:pPr>
          </w:p>
        </w:tc>
        <w:tc>
          <w:tcPr>
            <w:tcW w:w="3819" w:type="dxa"/>
            <w:shd w:val="clear" w:color="auto" w:fill="auto"/>
          </w:tcPr>
          <w:p w14:paraId="5EC3DDCC" w14:textId="611A8F2C" w:rsidR="001C5E1C" w:rsidRPr="00D30847" w:rsidRDefault="00E83911" w:rsidP="00E935CF">
            <w:pPr>
              <w:spacing w:after="0" w:line="240" w:lineRule="auto"/>
              <w:rPr>
                <w:rFonts w:cs="Calibri"/>
                <w:sz w:val="18"/>
                <w:szCs w:val="18"/>
                <w:lang w:val="en-GB"/>
              </w:rPr>
            </w:pPr>
            <w:r w:rsidRPr="00D30847">
              <w:rPr>
                <w:rFonts w:cs="Calibri"/>
                <w:sz w:val="18"/>
                <w:szCs w:val="18"/>
                <w:lang w:val="en-GB"/>
              </w:rPr>
              <w:t>The process of enacting legal amendments has been delayed</w:t>
            </w:r>
          </w:p>
        </w:tc>
        <w:tc>
          <w:tcPr>
            <w:tcW w:w="2254" w:type="dxa"/>
            <w:vMerge/>
            <w:shd w:val="clear" w:color="auto" w:fill="auto"/>
          </w:tcPr>
          <w:p w14:paraId="1B20D52C" w14:textId="77777777" w:rsidR="001C5E1C" w:rsidRPr="00D30847" w:rsidRDefault="001C5E1C" w:rsidP="00E935CF">
            <w:pPr>
              <w:spacing w:after="0" w:line="240" w:lineRule="auto"/>
              <w:rPr>
                <w:rFonts w:cs="Calibri"/>
                <w:sz w:val="18"/>
                <w:szCs w:val="18"/>
                <w:lang w:val="en-GB"/>
              </w:rPr>
            </w:pPr>
          </w:p>
        </w:tc>
      </w:tr>
      <w:tr w:rsidR="001C5E1C" w:rsidRPr="00D30847" w14:paraId="4826C657" w14:textId="77777777" w:rsidTr="00E935CF">
        <w:tc>
          <w:tcPr>
            <w:tcW w:w="562" w:type="dxa"/>
            <w:vMerge/>
            <w:shd w:val="clear" w:color="auto" w:fill="auto"/>
          </w:tcPr>
          <w:p w14:paraId="42ACE3A7" w14:textId="77777777" w:rsidR="001C5E1C" w:rsidRPr="00D30847" w:rsidRDefault="001C5E1C" w:rsidP="00E935CF">
            <w:pPr>
              <w:spacing w:after="0" w:line="240" w:lineRule="auto"/>
              <w:rPr>
                <w:rFonts w:cs="Calibri"/>
                <w:sz w:val="18"/>
                <w:szCs w:val="18"/>
                <w:lang w:val="en-GB"/>
              </w:rPr>
            </w:pPr>
          </w:p>
        </w:tc>
        <w:tc>
          <w:tcPr>
            <w:tcW w:w="2381" w:type="dxa"/>
            <w:vMerge/>
            <w:shd w:val="clear" w:color="auto" w:fill="auto"/>
          </w:tcPr>
          <w:p w14:paraId="7DA65388" w14:textId="77777777" w:rsidR="001C5E1C" w:rsidRPr="00D30847" w:rsidRDefault="001C5E1C" w:rsidP="00E935CF">
            <w:pPr>
              <w:spacing w:after="0" w:line="240" w:lineRule="auto"/>
              <w:rPr>
                <w:rFonts w:cs="Calibri"/>
                <w:sz w:val="18"/>
                <w:szCs w:val="18"/>
                <w:lang w:val="en-GB"/>
              </w:rPr>
            </w:pPr>
          </w:p>
        </w:tc>
        <w:tc>
          <w:tcPr>
            <w:tcW w:w="3819" w:type="dxa"/>
            <w:shd w:val="clear" w:color="auto" w:fill="auto"/>
          </w:tcPr>
          <w:p w14:paraId="70DF8EC0" w14:textId="66B7B033" w:rsidR="001C5E1C" w:rsidRPr="00D30847" w:rsidRDefault="00E83911" w:rsidP="00E935CF">
            <w:pPr>
              <w:spacing w:after="0" w:line="240" w:lineRule="auto"/>
              <w:rPr>
                <w:rFonts w:cs="Calibri"/>
                <w:sz w:val="18"/>
                <w:szCs w:val="18"/>
                <w:lang w:val="en-GB"/>
              </w:rPr>
            </w:pPr>
            <w:r w:rsidRPr="00D30847">
              <w:rPr>
                <w:rFonts w:cs="Calibri"/>
                <w:sz w:val="18"/>
                <w:szCs w:val="18"/>
                <w:lang w:val="en-GB"/>
              </w:rPr>
              <w:t>Insufficient commitment to reform</w:t>
            </w:r>
          </w:p>
        </w:tc>
        <w:tc>
          <w:tcPr>
            <w:tcW w:w="2254" w:type="dxa"/>
            <w:vMerge/>
            <w:shd w:val="clear" w:color="auto" w:fill="auto"/>
          </w:tcPr>
          <w:p w14:paraId="4B744FD0" w14:textId="77777777" w:rsidR="001C5E1C" w:rsidRPr="00D30847" w:rsidRDefault="001C5E1C" w:rsidP="00E935CF">
            <w:pPr>
              <w:spacing w:after="0" w:line="240" w:lineRule="auto"/>
              <w:rPr>
                <w:rFonts w:cs="Calibri"/>
                <w:sz w:val="18"/>
                <w:szCs w:val="18"/>
                <w:lang w:val="en-GB"/>
              </w:rPr>
            </w:pPr>
          </w:p>
        </w:tc>
      </w:tr>
      <w:tr w:rsidR="001C5E1C" w:rsidRPr="00D30847" w14:paraId="2FEEECF6" w14:textId="77777777" w:rsidTr="00E935CF">
        <w:tc>
          <w:tcPr>
            <w:tcW w:w="562" w:type="dxa"/>
            <w:vMerge/>
            <w:shd w:val="clear" w:color="auto" w:fill="auto"/>
          </w:tcPr>
          <w:p w14:paraId="1293C10A" w14:textId="77777777" w:rsidR="001C5E1C" w:rsidRPr="00D30847" w:rsidRDefault="001C5E1C" w:rsidP="00E935CF">
            <w:pPr>
              <w:spacing w:after="0" w:line="240" w:lineRule="auto"/>
              <w:rPr>
                <w:rFonts w:cs="Calibri"/>
                <w:sz w:val="18"/>
                <w:szCs w:val="18"/>
                <w:lang w:val="en-GB"/>
              </w:rPr>
            </w:pPr>
          </w:p>
        </w:tc>
        <w:tc>
          <w:tcPr>
            <w:tcW w:w="2381" w:type="dxa"/>
            <w:vMerge/>
            <w:shd w:val="clear" w:color="auto" w:fill="auto"/>
          </w:tcPr>
          <w:p w14:paraId="49615068" w14:textId="77777777" w:rsidR="001C5E1C" w:rsidRPr="00D30847" w:rsidRDefault="001C5E1C" w:rsidP="00E935CF">
            <w:pPr>
              <w:spacing w:after="0" w:line="240" w:lineRule="auto"/>
              <w:rPr>
                <w:rFonts w:cs="Calibri"/>
                <w:sz w:val="18"/>
                <w:szCs w:val="18"/>
                <w:lang w:val="en-GB"/>
              </w:rPr>
            </w:pPr>
          </w:p>
        </w:tc>
        <w:tc>
          <w:tcPr>
            <w:tcW w:w="3819" w:type="dxa"/>
            <w:shd w:val="clear" w:color="auto" w:fill="auto"/>
          </w:tcPr>
          <w:p w14:paraId="35569354" w14:textId="117DBCE7" w:rsidR="001C5E1C" w:rsidRPr="00D30847" w:rsidRDefault="001C5E1C" w:rsidP="00E935CF">
            <w:pPr>
              <w:spacing w:after="0" w:line="240" w:lineRule="auto"/>
              <w:rPr>
                <w:rFonts w:cs="Calibri"/>
                <w:sz w:val="18"/>
                <w:szCs w:val="18"/>
                <w:lang w:val="en-GB"/>
              </w:rPr>
            </w:pPr>
            <w:r w:rsidRPr="00D30847">
              <w:rPr>
                <w:rFonts w:cs="Calibri"/>
                <w:sz w:val="18"/>
                <w:szCs w:val="18"/>
                <w:lang w:val="en-GB"/>
              </w:rPr>
              <w:t>Lack</w:t>
            </w:r>
            <w:r w:rsidR="00E83911" w:rsidRPr="00D30847">
              <w:rPr>
                <w:rFonts w:cs="Calibri"/>
                <w:sz w:val="18"/>
                <w:szCs w:val="18"/>
                <w:lang w:val="en-GB"/>
              </w:rPr>
              <w:t xml:space="preserve"> </w:t>
            </w:r>
            <w:r w:rsidRPr="00D30847">
              <w:rPr>
                <w:rFonts w:cs="Calibri"/>
                <w:sz w:val="18"/>
                <w:szCs w:val="18"/>
                <w:lang w:val="en-GB"/>
              </w:rPr>
              <w:t>of</w:t>
            </w:r>
            <w:r w:rsidR="00E83911" w:rsidRPr="00D30847">
              <w:rPr>
                <w:rFonts w:cs="Calibri"/>
                <w:sz w:val="18"/>
                <w:szCs w:val="18"/>
                <w:lang w:val="en-GB"/>
              </w:rPr>
              <w:t xml:space="preserve"> </w:t>
            </w:r>
            <w:r w:rsidRPr="00D30847">
              <w:rPr>
                <w:rFonts w:cs="Calibri"/>
                <w:sz w:val="18"/>
                <w:szCs w:val="18"/>
                <w:lang w:val="en-GB"/>
              </w:rPr>
              <w:t>finance</w:t>
            </w:r>
          </w:p>
        </w:tc>
        <w:tc>
          <w:tcPr>
            <w:tcW w:w="2254" w:type="dxa"/>
            <w:vMerge/>
            <w:shd w:val="clear" w:color="auto" w:fill="auto"/>
          </w:tcPr>
          <w:p w14:paraId="555EC66B" w14:textId="77777777" w:rsidR="001C5E1C" w:rsidRPr="00D30847" w:rsidRDefault="001C5E1C" w:rsidP="00E935CF">
            <w:pPr>
              <w:spacing w:after="0" w:line="240" w:lineRule="auto"/>
              <w:rPr>
                <w:rFonts w:cs="Calibri"/>
                <w:sz w:val="18"/>
                <w:szCs w:val="18"/>
                <w:lang w:val="en-GB"/>
              </w:rPr>
            </w:pPr>
          </w:p>
        </w:tc>
      </w:tr>
      <w:tr w:rsidR="001C5E1C" w:rsidRPr="00D30847" w14:paraId="2B9510E1" w14:textId="77777777" w:rsidTr="00E935CF">
        <w:tc>
          <w:tcPr>
            <w:tcW w:w="562" w:type="dxa"/>
            <w:vMerge/>
            <w:shd w:val="clear" w:color="auto" w:fill="auto"/>
          </w:tcPr>
          <w:p w14:paraId="7C055708" w14:textId="77777777" w:rsidR="001C5E1C" w:rsidRPr="00D30847" w:rsidRDefault="001C5E1C" w:rsidP="00E935CF">
            <w:pPr>
              <w:spacing w:after="0" w:line="240" w:lineRule="auto"/>
              <w:rPr>
                <w:rFonts w:cs="Calibri"/>
                <w:sz w:val="18"/>
                <w:szCs w:val="18"/>
                <w:lang w:val="en-GB"/>
              </w:rPr>
            </w:pPr>
          </w:p>
        </w:tc>
        <w:tc>
          <w:tcPr>
            <w:tcW w:w="2381" w:type="dxa"/>
            <w:vMerge/>
            <w:shd w:val="clear" w:color="auto" w:fill="auto"/>
          </w:tcPr>
          <w:p w14:paraId="73E8BA8D" w14:textId="77777777" w:rsidR="001C5E1C" w:rsidRPr="00D30847" w:rsidRDefault="001C5E1C" w:rsidP="00E935CF">
            <w:pPr>
              <w:spacing w:after="0" w:line="240" w:lineRule="auto"/>
              <w:rPr>
                <w:rFonts w:cs="Calibri"/>
                <w:sz w:val="18"/>
                <w:szCs w:val="18"/>
                <w:lang w:val="en-GB"/>
              </w:rPr>
            </w:pPr>
          </w:p>
        </w:tc>
        <w:tc>
          <w:tcPr>
            <w:tcW w:w="3819" w:type="dxa"/>
            <w:shd w:val="clear" w:color="auto" w:fill="auto"/>
          </w:tcPr>
          <w:p w14:paraId="42499BBF" w14:textId="39BECA01" w:rsidR="001C5E1C" w:rsidRPr="00D30847" w:rsidRDefault="00E83911" w:rsidP="00E935CF">
            <w:pPr>
              <w:spacing w:after="0" w:line="240" w:lineRule="auto"/>
              <w:rPr>
                <w:rFonts w:cs="Calibri"/>
                <w:sz w:val="18"/>
                <w:szCs w:val="18"/>
                <w:lang w:val="en-GB"/>
              </w:rPr>
            </w:pPr>
            <w:r w:rsidRPr="00D30847">
              <w:rPr>
                <w:rFonts w:cs="Calibri"/>
                <w:sz w:val="18"/>
                <w:szCs w:val="18"/>
                <w:lang w:val="en-GB"/>
              </w:rPr>
              <w:t>Lack of capacity and commitment of the employees of the PRO, especially the IT staff</w:t>
            </w:r>
          </w:p>
        </w:tc>
        <w:tc>
          <w:tcPr>
            <w:tcW w:w="2254" w:type="dxa"/>
            <w:vMerge/>
            <w:shd w:val="clear" w:color="auto" w:fill="auto"/>
          </w:tcPr>
          <w:p w14:paraId="1CE8D737" w14:textId="77777777" w:rsidR="001C5E1C" w:rsidRPr="00D30847" w:rsidRDefault="001C5E1C" w:rsidP="00E935CF">
            <w:pPr>
              <w:spacing w:after="0" w:line="240" w:lineRule="auto"/>
              <w:rPr>
                <w:rFonts w:cs="Calibri"/>
                <w:sz w:val="18"/>
                <w:szCs w:val="18"/>
                <w:lang w:val="en-GB"/>
              </w:rPr>
            </w:pPr>
          </w:p>
        </w:tc>
      </w:tr>
      <w:tr w:rsidR="001C5E1C" w:rsidRPr="00D30847" w14:paraId="0795D4CE" w14:textId="77777777" w:rsidTr="00E935CF">
        <w:tc>
          <w:tcPr>
            <w:tcW w:w="562" w:type="dxa"/>
            <w:vMerge/>
            <w:shd w:val="clear" w:color="auto" w:fill="auto"/>
          </w:tcPr>
          <w:p w14:paraId="10B54E8C" w14:textId="77777777" w:rsidR="001C5E1C" w:rsidRPr="00D30847" w:rsidRDefault="001C5E1C" w:rsidP="00E935CF">
            <w:pPr>
              <w:spacing w:after="0" w:line="240" w:lineRule="auto"/>
              <w:rPr>
                <w:rFonts w:cs="Calibri"/>
                <w:sz w:val="18"/>
                <w:szCs w:val="18"/>
                <w:lang w:val="en-GB"/>
              </w:rPr>
            </w:pPr>
          </w:p>
        </w:tc>
        <w:tc>
          <w:tcPr>
            <w:tcW w:w="2381" w:type="dxa"/>
            <w:vMerge/>
            <w:shd w:val="clear" w:color="auto" w:fill="auto"/>
          </w:tcPr>
          <w:p w14:paraId="16931D4A" w14:textId="77777777" w:rsidR="001C5E1C" w:rsidRPr="00D30847" w:rsidRDefault="001C5E1C" w:rsidP="00E935CF">
            <w:pPr>
              <w:spacing w:after="0" w:line="240" w:lineRule="auto"/>
              <w:rPr>
                <w:rFonts w:cs="Calibri"/>
                <w:sz w:val="18"/>
                <w:szCs w:val="18"/>
                <w:lang w:val="en-GB"/>
              </w:rPr>
            </w:pPr>
          </w:p>
        </w:tc>
        <w:tc>
          <w:tcPr>
            <w:tcW w:w="3819" w:type="dxa"/>
            <w:shd w:val="clear" w:color="auto" w:fill="auto"/>
          </w:tcPr>
          <w:p w14:paraId="24D75DDA" w14:textId="53576075" w:rsidR="001C5E1C" w:rsidRPr="00D30847" w:rsidRDefault="00E83911" w:rsidP="00E935CF">
            <w:pPr>
              <w:spacing w:after="0" w:line="240" w:lineRule="auto"/>
              <w:rPr>
                <w:rFonts w:cs="Calibri"/>
                <w:sz w:val="18"/>
                <w:szCs w:val="18"/>
                <w:lang w:val="en-GB"/>
              </w:rPr>
            </w:pPr>
            <w:r w:rsidRPr="00D30847">
              <w:rPr>
                <w:rFonts w:cs="Calibri"/>
                <w:sz w:val="18"/>
                <w:szCs w:val="18"/>
                <w:lang w:val="en-GB"/>
              </w:rPr>
              <w:t>Major changes in legal provisions</w:t>
            </w:r>
          </w:p>
        </w:tc>
        <w:tc>
          <w:tcPr>
            <w:tcW w:w="2254" w:type="dxa"/>
            <w:vMerge/>
            <w:shd w:val="clear" w:color="auto" w:fill="auto"/>
          </w:tcPr>
          <w:p w14:paraId="75382FFC" w14:textId="77777777" w:rsidR="001C5E1C" w:rsidRPr="00D30847" w:rsidRDefault="001C5E1C" w:rsidP="00E935CF">
            <w:pPr>
              <w:spacing w:after="0" w:line="240" w:lineRule="auto"/>
              <w:rPr>
                <w:rFonts w:cs="Calibri"/>
                <w:sz w:val="18"/>
                <w:szCs w:val="18"/>
                <w:lang w:val="en-GB"/>
              </w:rPr>
            </w:pPr>
          </w:p>
        </w:tc>
      </w:tr>
      <w:tr w:rsidR="00681A06" w:rsidRPr="00D30847" w14:paraId="01FBBFE4" w14:textId="77777777" w:rsidTr="00E935CF">
        <w:tc>
          <w:tcPr>
            <w:tcW w:w="562" w:type="dxa"/>
            <w:vMerge w:val="restart"/>
            <w:shd w:val="clear" w:color="auto" w:fill="auto"/>
          </w:tcPr>
          <w:p w14:paraId="1A1198DD" w14:textId="77777777" w:rsidR="00681A06" w:rsidRPr="00D30847" w:rsidRDefault="00681A06" w:rsidP="00E935CF">
            <w:pPr>
              <w:spacing w:after="0" w:line="240" w:lineRule="auto"/>
              <w:rPr>
                <w:rFonts w:cs="Calibri"/>
                <w:sz w:val="18"/>
                <w:szCs w:val="18"/>
                <w:lang w:val="en-GB"/>
              </w:rPr>
            </w:pPr>
            <w:r w:rsidRPr="00D30847">
              <w:rPr>
                <w:rFonts w:cs="Calibri"/>
                <w:sz w:val="18"/>
                <w:szCs w:val="18"/>
                <w:lang w:val="en-GB"/>
              </w:rPr>
              <w:t>6</w:t>
            </w:r>
          </w:p>
        </w:tc>
        <w:tc>
          <w:tcPr>
            <w:tcW w:w="2381" w:type="dxa"/>
            <w:vMerge w:val="restart"/>
            <w:shd w:val="clear" w:color="auto" w:fill="auto"/>
          </w:tcPr>
          <w:p w14:paraId="30220857" w14:textId="77777777" w:rsidR="00681A06" w:rsidRPr="00D30847" w:rsidRDefault="00681A06" w:rsidP="00E935CF">
            <w:pPr>
              <w:spacing w:after="0" w:line="240" w:lineRule="auto"/>
              <w:rPr>
                <w:rFonts w:cs="Calibri"/>
                <w:b/>
                <w:sz w:val="18"/>
                <w:szCs w:val="18"/>
                <w:lang w:val="en-GB"/>
              </w:rPr>
            </w:pPr>
            <w:r w:rsidRPr="00D30847">
              <w:rPr>
                <w:rFonts w:cs="Calibri"/>
                <w:b/>
                <w:sz w:val="18"/>
                <w:szCs w:val="18"/>
                <w:lang w:val="en-GB"/>
              </w:rPr>
              <w:t xml:space="preserve">Priority 3: </w:t>
            </w:r>
          </w:p>
          <w:p w14:paraId="24A6B1F9" w14:textId="77777777" w:rsidR="00681A06" w:rsidRPr="00D30847" w:rsidRDefault="00681A06" w:rsidP="00E935CF">
            <w:pPr>
              <w:spacing w:after="0" w:line="240" w:lineRule="auto"/>
              <w:rPr>
                <w:rFonts w:cs="Calibri"/>
                <w:sz w:val="18"/>
                <w:szCs w:val="18"/>
                <w:lang w:val="en-GB"/>
              </w:rPr>
            </w:pPr>
            <w:r w:rsidRPr="00D30847">
              <w:rPr>
                <w:rFonts w:cs="Calibri"/>
                <w:sz w:val="18"/>
                <w:szCs w:val="18"/>
                <w:lang w:val="en-GB"/>
              </w:rPr>
              <w:t>Customs</w:t>
            </w:r>
          </w:p>
        </w:tc>
        <w:tc>
          <w:tcPr>
            <w:tcW w:w="3819" w:type="dxa"/>
            <w:shd w:val="clear" w:color="auto" w:fill="auto"/>
          </w:tcPr>
          <w:p w14:paraId="2A06520F" w14:textId="1BE730B0" w:rsidR="00681A06" w:rsidRPr="00D30847" w:rsidRDefault="00E83911" w:rsidP="00E935CF">
            <w:pPr>
              <w:spacing w:after="0" w:line="240" w:lineRule="auto"/>
              <w:jc w:val="both"/>
              <w:rPr>
                <w:rFonts w:cs="Calibri"/>
                <w:sz w:val="18"/>
                <w:szCs w:val="18"/>
                <w:lang w:val="en-GB"/>
              </w:rPr>
            </w:pPr>
            <w:r w:rsidRPr="00D30847">
              <w:rPr>
                <w:rFonts w:cs="Calibri"/>
                <w:sz w:val="18"/>
                <w:szCs w:val="18"/>
                <w:lang w:val="en-GB"/>
              </w:rPr>
              <w:t>Different levels of customs staffing can be an incentive for organized crime networks to redirect their operations to border points with weaker customs control</w:t>
            </w:r>
          </w:p>
        </w:tc>
        <w:tc>
          <w:tcPr>
            <w:tcW w:w="2254" w:type="dxa"/>
            <w:vMerge w:val="restart"/>
            <w:shd w:val="clear" w:color="auto" w:fill="auto"/>
          </w:tcPr>
          <w:p w14:paraId="4F86D08E" w14:textId="77777777" w:rsidR="00681A06" w:rsidRPr="00D30847" w:rsidRDefault="00681A06" w:rsidP="00E935CF">
            <w:pPr>
              <w:spacing w:after="0" w:line="240" w:lineRule="auto"/>
              <w:rPr>
                <w:rFonts w:cs="Calibri"/>
                <w:sz w:val="18"/>
                <w:szCs w:val="18"/>
                <w:lang w:val="en-GB"/>
              </w:rPr>
            </w:pPr>
            <w:r w:rsidRPr="00D30847">
              <w:rPr>
                <w:rFonts w:cs="Calibri"/>
                <w:sz w:val="18"/>
                <w:szCs w:val="18"/>
                <w:lang w:val="en-GB"/>
              </w:rPr>
              <w:t>Customs Administration</w:t>
            </w:r>
          </w:p>
        </w:tc>
      </w:tr>
      <w:tr w:rsidR="00681A06" w:rsidRPr="00D30847" w14:paraId="224AB04B" w14:textId="77777777" w:rsidTr="00E935CF">
        <w:trPr>
          <w:trHeight w:val="690"/>
        </w:trPr>
        <w:tc>
          <w:tcPr>
            <w:tcW w:w="562" w:type="dxa"/>
            <w:vMerge/>
            <w:shd w:val="clear" w:color="auto" w:fill="auto"/>
          </w:tcPr>
          <w:p w14:paraId="31FD3B50" w14:textId="77777777" w:rsidR="00681A06" w:rsidRPr="00D30847" w:rsidRDefault="00681A06" w:rsidP="00E935CF">
            <w:pPr>
              <w:spacing w:after="0" w:line="240" w:lineRule="auto"/>
              <w:rPr>
                <w:rFonts w:cs="Calibri"/>
                <w:sz w:val="18"/>
                <w:szCs w:val="18"/>
                <w:lang w:val="en-GB"/>
              </w:rPr>
            </w:pPr>
          </w:p>
        </w:tc>
        <w:tc>
          <w:tcPr>
            <w:tcW w:w="2381" w:type="dxa"/>
            <w:vMerge/>
            <w:shd w:val="clear" w:color="auto" w:fill="auto"/>
          </w:tcPr>
          <w:p w14:paraId="5AD9295B" w14:textId="77777777" w:rsidR="00681A06" w:rsidRPr="00D30847" w:rsidRDefault="00681A06" w:rsidP="00E935CF">
            <w:pPr>
              <w:spacing w:after="0" w:line="240" w:lineRule="auto"/>
              <w:rPr>
                <w:rFonts w:cs="Calibri"/>
                <w:b/>
                <w:sz w:val="18"/>
                <w:szCs w:val="18"/>
                <w:lang w:val="en-GB"/>
              </w:rPr>
            </w:pPr>
          </w:p>
        </w:tc>
        <w:tc>
          <w:tcPr>
            <w:tcW w:w="3819" w:type="dxa"/>
            <w:shd w:val="clear" w:color="auto" w:fill="auto"/>
          </w:tcPr>
          <w:p w14:paraId="581468DD" w14:textId="0B3892F1" w:rsidR="00681A06" w:rsidRPr="00D30847" w:rsidRDefault="00E83911" w:rsidP="00E935CF">
            <w:pPr>
              <w:spacing w:after="0" w:line="240" w:lineRule="auto"/>
              <w:jc w:val="both"/>
              <w:rPr>
                <w:rFonts w:cs="Calibri"/>
                <w:sz w:val="18"/>
                <w:szCs w:val="18"/>
                <w:lang w:val="en-GB"/>
              </w:rPr>
            </w:pPr>
            <w:r w:rsidRPr="00D30847">
              <w:rPr>
                <w:rFonts w:cs="Calibri"/>
                <w:sz w:val="18"/>
                <w:szCs w:val="18"/>
                <w:lang w:val="en-GB"/>
              </w:rPr>
              <w:t>Timely and quality implementation of trainings for handling the new sophisticated control equipment</w:t>
            </w:r>
          </w:p>
        </w:tc>
        <w:tc>
          <w:tcPr>
            <w:tcW w:w="2254" w:type="dxa"/>
            <w:vMerge/>
            <w:shd w:val="clear" w:color="auto" w:fill="auto"/>
          </w:tcPr>
          <w:p w14:paraId="2207DA34" w14:textId="77777777" w:rsidR="00681A06" w:rsidRPr="00D30847" w:rsidRDefault="00681A06" w:rsidP="00E935CF">
            <w:pPr>
              <w:spacing w:after="0" w:line="240" w:lineRule="auto"/>
              <w:rPr>
                <w:rFonts w:cs="Calibri"/>
                <w:sz w:val="18"/>
                <w:szCs w:val="18"/>
                <w:lang w:val="en-GB"/>
              </w:rPr>
            </w:pPr>
          </w:p>
        </w:tc>
      </w:tr>
      <w:tr w:rsidR="003F623B" w:rsidRPr="00D30847" w14:paraId="5514D979" w14:textId="77777777" w:rsidTr="00E935CF">
        <w:trPr>
          <w:trHeight w:val="690"/>
        </w:trPr>
        <w:tc>
          <w:tcPr>
            <w:tcW w:w="562" w:type="dxa"/>
            <w:vMerge/>
            <w:shd w:val="clear" w:color="auto" w:fill="auto"/>
          </w:tcPr>
          <w:p w14:paraId="7C405B9A" w14:textId="77777777" w:rsidR="003F623B" w:rsidRPr="00D30847" w:rsidRDefault="003F623B" w:rsidP="00E935CF">
            <w:pPr>
              <w:spacing w:after="0" w:line="240" w:lineRule="auto"/>
              <w:rPr>
                <w:rFonts w:cs="Calibri"/>
                <w:sz w:val="18"/>
                <w:szCs w:val="18"/>
                <w:lang w:val="en-GB"/>
              </w:rPr>
            </w:pPr>
          </w:p>
        </w:tc>
        <w:tc>
          <w:tcPr>
            <w:tcW w:w="2381" w:type="dxa"/>
            <w:vMerge/>
            <w:shd w:val="clear" w:color="auto" w:fill="auto"/>
          </w:tcPr>
          <w:p w14:paraId="4C071ECD" w14:textId="77777777" w:rsidR="003F623B" w:rsidRPr="00D30847" w:rsidRDefault="003F623B" w:rsidP="00E935CF">
            <w:pPr>
              <w:spacing w:after="0" w:line="240" w:lineRule="auto"/>
              <w:rPr>
                <w:rFonts w:cs="Calibri"/>
                <w:b/>
                <w:sz w:val="18"/>
                <w:szCs w:val="18"/>
                <w:lang w:val="en-GB"/>
              </w:rPr>
            </w:pPr>
          </w:p>
        </w:tc>
        <w:tc>
          <w:tcPr>
            <w:tcW w:w="3819" w:type="dxa"/>
            <w:shd w:val="clear" w:color="auto" w:fill="auto"/>
          </w:tcPr>
          <w:p w14:paraId="4835820D" w14:textId="558510E7" w:rsidR="003F623B" w:rsidRPr="00D30847" w:rsidRDefault="003F623B" w:rsidP="00E935CF">
            <w:pPr>
              <w:spacing w:after="0" w:line="240" w:lineRule="auto"/>
              <w:jc w:val="both"/>
              <w:rPr>
                <w:rFonts w:cs="Calibri"/>
                <w:sz w:val="18"/>
                <w:szCs w:val="18"/>
                <w:lang w:val="en-GB"/>
              </w:rPr>
            </w:pPr>
            <w:r w:rsidRPr="00D30847">
              <w:rPr>
                <w:rFonts w:cs="Calibri"/>
                <w:sz w:val="18"/>
                <w:szCs w:val="18"/>
                <w:lang w:val="en-GB"/>
              </w:rPr>
              <w:t>Untimely implementation of all phases in the process of harmonization with EU systems</w:t>
            </w:r>
          </w:p>
        </w:tc>
        <w:tc>
          <w:tcPr>
            <w:tcW w:w="2254" w:type="dxa"/>
            <w:vMerge/>
            <w:shd w:val="clear" w:color="auto" w:fill="auto"/>
          </w:tcPr>
          <w:p w14:paraId="47CB15EC" w14:textId="77777777" w:rsidR="003F623B" w:rsidRPr="00D30847" w:rsidRDefault="003F623B" w:rsidP="00E935CF">
            <w:pPr>
              <w:spacing w:after="0" w:line="240" w:lineRule="auto"/>
              <w:rPr>
                <w:rFonts w:cs="Calibri"/>
                <w:sz w:val="18"/>
                <w:szCs w:val="18"/>
                <w:lang w:val="en-GB"/>
              </w:rPr>
            </w:pPr>
          </w:p>
        </w:tc>
      </w:tr>
      <w:tr w:rsidR="003F623B" w:rsidRPr="00D30847" w14:paraId="799868BA" w14:textId="77777777" w:rsidTr="00E935CF">
        <w:trPr>
          <w:trHeight w:val="690"/>
        </w:trPr>
        <w:tc>
          <w:tcPr>
            <w:tcW w:w="562" w:type="dxa"/>
            <w:vMerge/>
            <w:shd w:val="clear" w:color="auto" w:fill="auto"/>
          </w:tcPr>
          <w:p w14:paraId="0546A568" w14:textId="77777777" w:rsidR="003F623B" w:rsidRPr="00D30847" w:rsidRDefault="003F623B" w:rsidP="00E935CF">
            <w:pPr>
              <w:spacing w:after="0" w:line="240" w:lineRule="auto"/>
              <w:rPr>
                <w:rFonts w:cs="Calibri"/>
                <w:sz w:val="18"/>
                <w:szCs w:val="18"/>
                <w:lang w:val="en-GB"/>
              </w:rPr>
            </w:pPr>
          </w:p>
        </w:tc>
        <w:tc>
          <w:tcPr>
            <w:tcW w:w="2381" w:type="dxa"/>
            <w:vMerge/>
            <w:shd w:val="clear" w:color="auto" w:fill="auto"/>
          </w:tcPr>
          <w:p w14:paraId="02443B4F" w14:textId="77777777" w:rsidR="003F623B" w:rsidRPr="00D30847" w:rsidRDefault="003F623B" w:rsidP="00E935CF">
            <w:pPr>
              <w:spacing w:after="0" w:line="240" w:lineRule="auto"/>
              <w:rPr>
                <w:rFonts w:cs="Calibri"/>
                <w:b/>
                <w:sz w:val="18"/>
                <w:szCs w:val="18"/>
                <w:lang w:val="en-GB"/>
              </w:rPr>
            </w:pPr>
          </w:p>
        </w:tc>
        <w:tc>
          <w:tcPr>
            <w:tcW w:w="3819" w:type="dxa"/>
            <w:shd w:val="clear" w:color="auto" w:fill="auto"/>
          </w:tcPr>
          <w:p w14:paraId="0EA405D7" w14:textId="02BAD4EC" w:rsidR="003F623B" w:rsidRPr="00D30847" w:rsidRDefault="003F623B" w:rsidP="00E935CF">
            <w:pPr>
              <w:spacing w:after="0" w:line="240" w:lineRule="auto"/>
              <w:jc w:val="both"/>
              <w:rPr>
                <w:rFonts w:cs="Calibri"/>
                <w:sz w:val="18"/>
                <w:szCs w:val="18"/>
                <w:lang w:val="en-GB"/>
              </w:rPr>
            </w:pPr>
            <w:r w:rsidRPr="00D30847">
              <w:rPr>
                <w:rFonts w:cs="Calibri"/>
                <w:sz w:val="18"/>
                <w:szCs w:val="18"/>
                <w:lang w:val="en-GB"/>
              </w:rPr>
              <w:t>Resistance of economic operators due to large financial investments and request for a transitional period</w:t>
            </w:r>
          </w:p>
        </w:tc>
        <w:tc>
          <w:tcPr>
            <w:tcW w:w="2254" w:type="dxa"/>
            <w:vMerge/>
            <w:shd w:val="clear" w:color="auto" w:fill="auto"/>
          </w:tcPr>
          <w:p w14:paraId="4580CF2A" w14:textId="77777777" w:rsidR="003F623B" w:rsidRPr="00D30847" w:rsidRDefault="003F623B" w:rsidP="00E935CF">
            <w:pPr>
              <w:spacing w:after="0" w:line="240" w:lineRule="auto"/>
              <w:rPr>
                <w:rFonts w:cs="Calibri"/>
                <w:sz w:val="18"/>
                <w:szCs w:val="18"/>
                <w:lang w:val="en-GB"/>
              </w:rPr>
            </w:pPr>
          </w:p>
        </w:tc>
      </w:tr>
      <w:tr w:rsidR="003F623B" w:rsidRPr="00D30847" w14:paraId="073E8281" w14:textId="77777777" w:rsidTr="00E935CF">
        <w:trPr>
          <w:trHeight w:val="690"/>
        </w:trPr>
        <w:tc>
          <w:tcPr>
            <w:tcW w:w="562" w:type="dxa"/>
            <w:vMerge/>
            <w:shd w:val="clear" w:color="auto" w:fill="auto"/>
          </w:tcPr>
          <w:p w14:paraId="52C3E561" w14:textId="77777777" w:rsidR="003F623B" w:rsidRPr="00D30847" w:rsidRDefault="003F623B" w:rsidP="00E935CF">
            <w:pPr>
              <w:spacing w:after="0" w:line="240" w:lineRule="auto"/>
              <w:rPr>
                <w:rFonts w:cs="Calibri"/>
                <w:sz w:val="18"/>
                <w:szCs w:val="18"/>
                <w:lang w:val="en-GB"/>
              </w:rPr>
            </w:pPr>
          </w:p>
        </w:tc>
        <w:tc>
          <w:tcPr>
            <w:tcW w:w="2381" w:type="dxa"/>
            <w:vMerge/>
            <w:shd w:val="clear" w:color="auto" w:fill="auto"/>
          </w:tcPr>
          <w:p w14:paraId="404394FA" w14:textId="77777777" w:rsidR="003F623B" w:rsidRPr="00D30847" w:rsidRDefault="003F623B" w:rsidP="00E935CF">
            <w:pPr>
              <w:spacing w:after="0" w:line="240" w:lineRule="auto"/>
              <w:rPr>
                <w:rFonts w:cs="Calibri"/>
                <w:b/>
                <w:sz w:val="18"/>
                <w:szCs w:val="18"/>
                <w:lang w:val="en-GB"/>
              </w:rPr>
            </w:pPr>
          </w:p>
        </w:tc>
        <w:tc>
          <w:tcPr>
            <w:tcW w:w="3819" w:type="dxa"/>
            <w:shd w:val="clear" w:color="auto" w:fill="auto"/>
          </w:tcPr>
          <w:p w14:paraId="5DE6830C" w14:textId="77777777" w:rsidR="003F623B" w:rsidRPr="00D30847" w:rsidRDefault="003F623B" w:rsidP="003F623B">
            <w:pPr>
              <w:spacing w:after="0" w:line="240" w:lineRule="auto"/>
              <w:rPr>
                <w:rFonts w:cs="Calibri"/>
                <w:sz w:val="20"/>
                <w:szCs w:val="20"/>
                <w:lang w:val="en-GB"/>
              </w:rPr>
            </w:pPr>
            <w:r w:rsidRPr="00D30847">
              <w:rPr>
                <w:rFonts w:cs="Calibri"/>
                <w:sz w:val="20"/>
                <w:szCs w:val="20"/>
                <w:lang w:val="en-GB"/>
              </w:rPr>
              <w:t>Uncertainty of the duration of the process of providing necessary prerequisites for implementation (choice of code issuer, secondary depository)</w:t>
            </w:r>
          </w:p>
          <w:p w14:paraId="7BB71362" w14:textId="77777777" w:rsidR="003F623B" w:rsidRPr="00D30847" w:rsidRDefault="003F623B" w:rsidP="00E935CF">
            <w:pPr>
              <w:spacing w:after="0" w:line="240" w:lineRule="auto"/>
              <w:jc w:val="both"/>
              <w:rPr>
                <w:rFonts w:cs="Calibri"/>
                <w:sz w:val="18"/>
                <w:szCs w:val="18"/>
                <w:lang w:val="en-GB"/>
              </w:rPr>
            </w:pPr>
          </w:p>
        </w:tc>
        <w:tc>
          <w:tcPr>
            <w:tcW w:w="2254" w:type="dxa"/>
            <w:vMerge/>
            <w:shd w:val="clear" w:color="auto" w:fill="auto"/>
          </w:tcPr>
          <w:p w14:paraId="396F8B44" w14:textId="77777777" w:rsidR="003F623B" w:rsidRPr="00D30847" w:rsidRDefault="003F623B" w:rsidP="00E935CF">
            <w:pPr>
              <w:spacing w:after="0" w:line="240" w:lineRule="auto"/>
              <w:rPr>
                <w:rFonts w:cs="Calibri"/>
                <w:sz w:val="18"/>
                <w:szCs w:val="18"/>
                <w:lang w:val="en-GB"/>
              </w:rPr>
            </w:pPr>
          </w:p>
        </w:tc>
      </w:tr>
      <w:tr w:rsidR="003F623B" w:rsidRPr="00D30847" w14:paraId="1D23590D" w14:textId="77777777" w:rsidTr="00E935CF">
        <w:trPr>
          <w:trHeight w:val="690"/>
        </w:trPr>
        <w:tc>
          <w:tcPr>
            <w:tcW w:w="562" w:type="dxa"/>
            <w:vMerge/>
            <w:shd w:val="clear" w:color="auto" w:fill="auto"/>
          </w:tcPr>
          <w:p w14:paraId="50EA2D1E" w14:textId="77777777" w:rsidR="003F623B" w:rsidRPr="00D30847" w:rsidRDefault="003F623B" w:rsidP="00E935CF">
            <w:pPr>
              <w:spacing w:after="0" w:line="240" w:lineRule="auto"/>
              <w:rPr>
                <w:rFonts w:cs="Calibri"/>
                <w:sz w:val="18"/>
                <w:szCs w:val="18"/>
                <w:lang w:val="en-GB"/>
              </w:rPr>
            </w:pPr>
          </w:p>
        </w:tc>
        <w:tc>
          <w:tcPr>
            <w:tcW w:w="2381" w:type="dxa"/>
            <w:vMerge/>
            <w:shd w:val="clear" w:color="auto" w:fill="auto"/>
          </w:tcPr>
          <w:p w14:paraId="42D1B08A" w14:textId="77777777" w:rsidR="003F623B" w:rsidRPr="00D30847" w:rsidRDefault="003F623B" w:rsidP="00E935CF">
            <w:pPr>
              <w:spacing w:after="0" w:line="240" w:lineRule="auto"/>
              <w:rPr>
                <w:rFonts w:cs="Calibri"/>
                <w:b/>
                <w:sz w:val="18"/>
                <w:szCs w:val="18"/>
                <w:lang w:val="en-GB"/>
              </w:rPr>
            </w:pPr>
          </w:p>
        </w:tc>
        <w:tc>
          <w:tcPr>
            <w:tcW w:w="3819" w:type="dxa"/>
            <w:shd w:val="clear" w:color="auto" w:fill="auto"/>
          </w:tcPr>
          <w:p w14:paraId="7ECF2C9D" w14:textId="77777777" w:rsidR="003F623B" w:rsidRPr="00D30847" w:rsidRDefault="003F623B" w:rsidP="003F623B">
            <w:pPr>
              <w:spacing w:after="0" w:line="240" w:lineRule="auto"/>
              <w:rPr>
                <w:rFonts w:cs="Calibri"/>
                <w:sz w:val="20"/>
                <w:szCs w:val="20"/>
                <w:lang w:val="en-GB"/>
              </w:rPr>
            </w:pPr>
            <w:r w:rsidRPr="00D30847">
              <w:rPr>
                <w:rFonts w:cs="Calibri"/>
                <w:sz w:val="20"/>
                <w:szCs w:val="20"/>
                <w:lang w:val="en-GB"/>
              </w:rPr>
              <w:t>Lack of organizational experience in the operation of such a system</w:t>
            </w:r>
          </w:p>
          <w:p w14:paraId="016E7368" w14:textId="77777777" w:rsidR="003F623B" w:rsidRPr="00D30847" w:rsidRDefault="003F623B" w:rsidP="003F623B">
            <w:pPr>
              <w:spacing w:after="0" w:line="240" w:lineRule="auto"/>
              <w:rPr>
                <w:rFonts w:cs="Calibri"/>
                <w:sz w:val="20"/>
                <w:szCs w:val="20"/>
                <w:lang w:val="en-GB"/>
              </w:rPr>
            </w:pPr>
          </w:p>
        </w:tc>
        <w:tc>
          <w:tcPr>
            <w:tcW w:w="2254" w:type="dxa"/>
            <w:vMerge/>
            <w:shd w:val="clear" w:color="auto" w:fill="auto"/>
          </w:tcPr>
          <w:p w14:paraId="054E0506" w14:textId="77777777" w:rsidR="003F623B" w:rsidRPr="00D30847" w:rsidRDefault="003F623B" w:rsidP="00E935CF">
            <w:pPr>
              <w:spacing w:after="0" w:line="240" w:lineRule="auto"/>
              <w:rPr>
                <w:rFonts w:cs="Calibri"/>
                <w:sz w:val="18"/>
                <w:szCs w:val="18"/>
                <w:lang w:val="en-GB"/>
              </w:rPr>
            </w:pPr>
          </w:p>
        </w:tc>
      </w:tr>
      <w:tr w:rsidR="003F623B" w:rsidRPr="00D30847" w14:paraId="4BB80276" w14:textId="77777777" w:rsidTr="00E935CF">
        <w:trPr>
          <w:trHeight w:val="690"/>
        </w:trPr>
        <w:tc>
          <w:tcPr>
            <w:tcW w:w="562" w:type="dxa"/>
            <w:vMerge/>
            <w:shd w:val="clear" w:color="auto" w:fill="auto"/>
          </w:tcPr>
          <w:p w14:paraId="1CEDED31" w14:textId="77777777" w:rsidR="003F623B" w:rsidRPr="00D30847" w:rsidRDefault="003F623B" w:rsidP="00E935CF">
            <w:pPr>
              <w:spacing w:after="0" w:line="240" w:lineRule="auto"/>
              <w:rPr>
                <w:rFonts w:cs="Calibri"/>
                <w:sz w:val="18"/>
                <w:szCs w:val="18"/>
                <w:lang w:val="en-GB"/>
              </w:rPr>
            </w:pPr>
          </w:p>
        </w:tc>
        <w:tc>
          <w:tcPr>
            <w:tcW w:w="2381" w:type="dxa"/>
            <w:vMerge/>
            <w:shd w:val="clear" w:color="auto" w:fill="auto"/>
          </w:tcPr>
          <w:p w14:paraId="6EB13F79" w14:textId="77777777" w:rsidR="003F623B" w:rsidRPr="00D30847" w:rsidRDefault="003F623B" w:rsidP="00E935CF">
            <w:pPr>
              <w:spacing w:after="0" w:line="240" w:lineRule="auto"/>
              <w:rPr>
                <w:rFonts w:cs="Calibri"/>
                <w:b/>
                <w:sz w:val="18"/>
                <w:szCs w:val="18"/>
                <w:lang w:val="en-GB"/>
              </w:rPr>
            </w:pPr>
          </w:p>
        </w:tc>
        <w:tc>
          <w:tcPr>
            <w:tcW w:w="3819" w:type="dxa"/>
            <w:shd w:val="clear" w:color="auto" w:fill="auto"/>
          </w:tcPr>
          <w:p w14:paraId="498DDDFA" w14:textId="6960BE9A" w:rsidR="003F623B" w:rsidRPr="00D30847" w:rsidRDefault="003F623B" w:rsidP="003F623B">
            <w:pPr>
              <w:spacing w:after="0" w:line="240" w:lineRule="auto"/>
              <w:rPr>
                <w:rFonts w:cs="Calibri"/>
                <w:sz w:val="20"/>
                <w:szCs w:val="20"/>
                <w:lang w:val="en-GB"/>
              </w:rPr>
            </w:pPr>
            <w:r w:rsidRPr="00D30847">
              <w:rPr>
                <w:rFonts w:cs="Calibri"/>
                <w:sz w:val="20"/>
                <w:szCs w:val="20"/>
                <w:lang w:val="en-GB"/>
              </w:rPr>
              <w:t>Unpredictability of the system testing process (mandatory trial period)</w:t>
            </w:r>
          </w:p>
          <w:p w14:paraId="20DCFA86" w14:textId="77777777" w:rsidR="003F623B" w:rsidRPr="00D30847" w:rsidRDefault="003F623B" w:rsidP="003F623B">
            <w:pPr>
              <w:spacing w:after="0" w:line="240" w:lineRule="auto"/>
              <w:rPr>
                <w:rFonts w:cs="Calibri"/>
                <w:sz w:val="20"/>
                <w:szCs w:val="20"/>
                <w:lang w:val="en-GB"/>
              </w:rPr>
            </w:pPr>
          </w:p>
        </w:tc>
        <w:tc>
          <w:tcPr>
            <w:tcW w:w="2254" w:type="dxa"/>
            <w:vMerge/>
            <w:shd w:val="clear" w:color="auto" w:fill="auto"/>
          </w:tcPr>
          <w:p w14:paraId="58839A01" w14:textId="77777777" w:rsidR="003F623B" w:rsidRPr="00D30847" w:rsidRDefault="003F623B" w:rsidP="00E935CF">
            <w:pPr>
              <w:spacing w:after="0" w:line="240" w:lineRule="auto"/>
              <w:rPr>
                <w:rFonts w:cs="Calibri"/>
                <w:sz w:val="18"/>
                <w:szCs w:val="18"/>
                <w:lang w:val="en-GB"/>
              </w:rPr>
            </w:pPr>
          </w:p>
        </w:tc>
      </w:tr>
      <w:tr w:rsidR="00681A06" w:rsidRPr="00D30847" w14:paraId="6B84011F" w14:textId="77777777" w:rsidTr="00E935CF">
        <w:trPr>
          <w:trHeight w:val="406"/>
        </w:trPr>
        <w:tc>
          <w:tcPr>
            <w:tcW w:w="562" w:type="dxa"/>
            <w:vMerge/>
            <w:shd w:val="clear" w:color="auto" w:fill="auto"/>
          </w:tcPr>
          <w:p w14:paraId="2659F7F4" w14:textId="77777777" w:rsidR="00681A06" w:rsidRPr="00D30847" w:rsidRDefault="00681A06" w:rsidP="00E935CF">
            <w:pPr>
              <w:spacing w:after="0" w:line="240" w:lineRule="auto"/>
              <w:rPr>
                <w:rFonts w:cs="Calibri"/>
                <w:sz w:val="18"/>
                <w:szCs w:val="18"/>
                <w:lang w:val="en-GB"/>
              </w:rPr>
            </w:pPr>
          </w:p>
        </w:tc>
        <w:tc>
          <w:tcPr>
            <w:tcW w:w="2381" w:type="dxa"/>
            <w:vMerge/>
            <w:shd w:val="clear" w:color="auto" w:fill="auto"/>
          </w:tcPr>
          <w:p w14:paraId="648A02C9" w14:textId="77777777" w:rsidR="00681A06" w:rsidRPr="00D30847" w:rsidRDefault="00681A06" w:rsidP="00E935CF">
            <w:pPr>
              <w:spacing w:after="0" w:line="240" w:lineRule="auto"/>
              <w:rPr>
                <w:rFonts w:cs="Calibri"/>
                <w:b/>
                <w:sz w:val="18"/>
                <w:szCs w:val="18"/>
                <w:lang w:val="en-GB"/>
              </w:rPr>
            </w:pPr>
          </w:p>
        </w:tc>
        <w:tc>
          <w:tcPr>
            <w:tcW w:w="3819" w:type="dxa"/>
            <w:shd w:val="clear" w:color="auto" w:fill="auto"/>
          </w:tcPr>
          <w:p w14:paraId="1D99CD3C" w14:textId="5D744BB0" w:rsidR="00681A06" w:rsidRPr="00D30847" w:rsidRDefault="003F623B" w:rsidP="003F623B">
            <w:pPr>
              <w:spacing w:after="0" w:line="240" w:lineRule="auto"/>
              <w:rPr>
                <w:rFonts w:cs="Calibri"/>
                <w:sz w:val="18"/>
                <w:szCs w:val="18"/>
                <w:lang w:val="en-GB"/>
              </w:rPr>
            </w:pPr>
            <w:r w:rsidRPr="00D30847">
              <w:rPr>
                <w:rFonts w:cs="Calibri"/>
                <w:sz w:val="20"/>
                <w:szCs w:val="20"/>
                <w:lang w:val="en-GB"/>
              </w:rPr>
              <w:t>Risk of problems when harmonizing the Track &amp; Trace system with the existing customs electronic system</w:t>
            </w:r>
          </w:p>
        </w:tc>
        <w:tc>
          <w:tcPr>
            <w:tcW w:w="2254" w:type="dxa"/>
            <w:vMerge/>
            <w:shd w:val="clear" w:color="auto" w:fill="auto"/>
          </w:tcPr>
          <w:p w14:paraId="30634613" w14:textId="77777777" w:rsidR="00681A06" w:rsidRPr="00D30847" w:rsidRDefault="00681A06" w:rsidP="00E935CF">
            <w:pPr>
              <w:spacing w:after="0" w:line="240" w:lineRule="auto"/>
              <w:rPr>
                <w:rFonts w:cs="Calibri"/>
                <w:sz w:val="18"/>
                <w:szCs w:val="18"/>
                <w:lang w:val="en-GB"/>
              </w:rPr>
            </w:pPr>
          </w:p>
        </w:tc>
      </w:tr>
      <w:tr w:rsidR="00681A06" w:rsidRPr="00D30847" w14:paraId="286DFA32" w14:textId="77777777" w:rsidTr="00E935CF">
        <w:tc>
          <w:tcPr>
            <w:tcW w:w="9016" w:type="dxa"/>
            <w:gridSpan w:val="4"/>
            <w:shd w:val="clear" w:color="auto" w:fill="D9E2F3"/>
          </w:tcPr>
          <w:p w14:paraId="422BE145" w14:textId="5CB62534" w:rsidR="00681A06" w:rsidRPr="00D30847" w:rsidRDefault="00681A06" w:rsidP="00E935CF">
            <w:pPr>
              <w:spacing w:after="0" w:line="240" w:lineRule="auto"/>
              <w:rPr>
                <w:rFonts w:cs="Calibri"/>
                <w:b/>
                <w:sz w:val="18"/>
                <w:szCs w:val="18"/>
                <w:lang w:val="en-GB"/>
              </w:rPr>
            </w:pPr>
            <w:r w:rsidRPr="00D30847">
              <w:rPr>
                <w:rFonts w:cs="Calibri"/>
                <w:b/>
                <w:sz w:val="18"/>
                <w:szCs w:val="18"/>
                <w:lang w:val="en-GB"/>
              </w:rPr>
              <w:t xml:space="preserve">PILLAR III </w:t>
            </w:r>
            <w:r w:rsidR="004766CA" w:rsidRPr="00D30847">
              <w:rPr>
                <w:rFonts w:cs="Calibri"/>
                <w:b/>
                <w:sz w:val="18"/>
                <w:szCs w:val="18"/>
                <w:lang w:val="en-GB"/>
              </w:rPr>
              <w:t>–</w:t>
            </w:r>
            <w:r w:rsidRPr="00D30847">
              <w:rPr>
                <w:rFonts w:cs="Calibri"/>
                <w:b/>
                <w:sz w:val="18"/>
                <w:szCs w:val="18"/>
                <w:lang w:val="en-GB"/>
              </w:rPr>
              <w:t xml:space="preserve"> Planning</w:t>
            </w:r>
            <w:r w:rsidR="004766CA" w:rsidRPr="00D30847">
              <w:rPr>
                <w:rFonts w:cs="Calibri"/>
                <w:b/>
                <w:sz w:val="18"/>
                <w:szCs w:val="18"/>
                <w:lang w:val="en-GB"/>
              </w:rPr>
              <w:t xml:space="preserve"> </w:t>
            </w:r>
            <w:r w:rsidRPr="00D30847">
              <w:rPr>
                <w:rFonts w:cs="Calibri"/>
                <w:b/>
                <w:sz w:val="18"/>
                <w:szCs w:val="18"/>
                <w:lang w:val="en-GB"/>
              </w:rPr>
              <w:t>and</w:t>
            </w:r>
            <w:r w:rsidR="004766CA" w:rsidRPr="00D30847">
              <w:rPr>
                <w:rFonts w:cs="Calibri"/>
                <w:b/>
                <w:sz w:val="18"/>
                <w:szCs w:val="18"/>
                <w:lang w:val="en-GB"/>
              </w:rPr>
              <w:t xml:space="preserve"> </w:t>
            </w:r>
            <w:r w:rsidRPr="00D30847">
              <w:rPr>
                <w:rFonts w:cs="Calibri"/>
                <w:b/>
                <w:sz w:val="18"/>
                <w:szCs w:val="18"/>
                <w:lang w:val="en-GB"/>
              </w:rPr>
              <w:t>Budget</w:t>
            </w:r>
          </w:p>
        </w:tc>
      </w:tr>
      <w:tr w:rsidR="00681A06" w:rsidRPr="00D30847" w14:paraId="42AEDD3C" w14:textId="77777777" w:rsidTr="00E935CF">
        <w:trPr>
          <w:trHeight w:val="475"/>
        </w:trPr>
        <w:tc>
          <w:tcPr>
            <w:tcW w:w="562" w:type="dxa"/>
            <w:shd w:val="clear" w:color="auto" w:fill="auto"/>
          </w:tcPr>
          <w:p w14:paraId="1E2419BF" w14:textId="77777777" w:rsidR="00681A06" w:rsidRPr="00D30847" w:rsidRDefault="00681A06" w:rsidP="00E935CF">
            <w:pPr>
              <w:spacing w:after="0" w:line="240" w:lineRule="auto"/>
              <w:rPr>
                <w:rFonts w:cs="Calibri"/>
                <w:sz w:val="18"/>
                <w:szCs w:val="18"/>
                <w:lang w:val="en-GB"/>
              </w:rPr>
            </w:pPr>
            <w:r w:rsidRPr="00D30847">
              <w:rPr>
                <w:rFonts w:cs="Calibri"/>
                <w:sz w:val="18"/>
                <w:szCs w:val="18"/>
                <w:lang w:val="en-GB"/>
              </w:rPr>
              <w:t>7</w:t>
            </w:r>
          </w:p>
        </w:tc>
        <w:tc>
          <w:tcPr>
            <w:tcW w:w="2381" w:type="dxa"/>
            <w:shd w:val="clear" w:color="auto" w:fill="auto"/>
          </w:tcPr>
          <w:p w14:paraId="69FC7619" w14:textId="77777777" w:rsidR="00681A06" w:rsidRPr="00D30847" w:rsidRDefault="00681A06" w:rsidP="00E935CF">
            <w:pPr>
              <w:spacing w:after="0" w:line="240" w:lineRule="auto"/>
              <w:rPr>
                <w:rFonts w:cs="Calibri"/>
                <w:b/>
                <w:sz w:val="18"/>
                <w:szCs w:val="18"/>
                <w:lang w:val="en-GB"/>
              </w:rPr>
            </w:pPr>
            <w:r w:rsidRPr="00D30847">
              <w:rPr>
                <w:rFonts w:cs="Calibri"/>
                <w:b/>
                <w:sz w:val="18"/>
                <w:szCs w:val="18"/>
                <w:lang w:val="en-GB"/>
              </w:rPr>
              <w:t xml:space="preserve">Priority 1: </w:t>
            </w:r>
          </w:p>
          <w:p w14:paraId="154B8263" w14:textId="72D0C3CA" w:rsidR="00681A06" w:rsidRPr="00D30847" w:rsidRDefault="00681A06" w:rsidP="00E935CF">
            <w:pPr>
              <w:spacing w:after="0" w:line="240" w:lineRule="auto"/>
              <w:rPr>
                <w:rFonts w:cs="Calibri"/>
                <w:sz w:val="18"/>
                <w:szCs w:val="18"/>
                <w:lang w:val="en-GB"/>
              </w:rPr>
            </w:pPr>
            <w:r w:rsidRPr="00D30847">
              <w:rPr>
                <w:rFonts w:cs="Calibri"/>
                <w:sz w:val="18"/>
                <w:szCs w:val="18"/>
                <w:lang w:val="en-GB"/>
              </w:rPr>
              <w:t>Budget</w:t>
            </w:r>
            <w:r w:rsidR="00E83911" w:rsidRPr="00D30847">
              <w:rPr>
                <w:rFonts w:cs="Calibri"/>
                <w:sz w:val="18"/>
                <w:szCs w:val="18"/>
                <w:lang w:val="en-GB"/>
              </w:rPr>
              <w:t xml:space="preserve"> </w:t>
            </w:r>
            <w:r w:rsidRPr="00D30847">
              <w:rPr>
                <w:rFonts w:cs="Calibri"/>
                <w:sz w:val="18"/>
                <w:szCs w:val="18"/>
                <w:lang w:val="en-GB"/>
              </w:rPr>
              <w:t>Planning</w:t>
            </w:r>
          </w:p>
        </w:tc>
        <w:tc>
          <w:tcPr>
            <w:tcW w:w="3819" w:type="dxa"/>
            <w:shd w:val="clear" w:color="auto" w:fill="auto"/>
          </w:tcPr>
          <w:p w14:paraId="0CD5D99F" w14:textId="57A93390" w:rsidR="00681A06" w:rsidRPr="00D30847" w:rsidRDefault="00E83911" w:rsidP="00E935CF">
            <w:pPr>
              <w:spacing w:after="0" w:line="240" w:lineRule="auto"/>
              <w:rPr>
                <w:rFonts w:cs="Calibri"/>
                <w:sz w:val="18"/>
                <w:szCs w:val="18"/>
                <w:lang w:val="en-GB"/>
              </w:rPr>
            </w:pPr>
            <w:r w:rsidRPr="00D30847">
              <w:rPr>
                <w:rFonts w:cs="Calibri"/>
                <w:sz w:val="18"/>
                <w:szCs w:val="18"/>
                <w:lang w:val="en-GB"/>
              </w:rPr>
              <w:t>Human potential for implementation</w:t>
            </w:r>
          </w:p>
        </w:tc>
        <w:tc>
          <w:tcPr>
            <w:tcW w:w="2254" w:type="dxa"/>
            <w:shd w:val="clear" w:color="auto" w:fill="auto"/>
          </w:tcPr>
          <w:p w14:paraId="030A7172" w14:textId="61626891" w:rsidR="00681A06" w:rsidRPr="00D30847" w:rsidRDefault="00681A06" w:rsidP="00E935CF">
            <w:pPr>
              <w:spacing w:after="0" w:line="240" w:lineRule="auto"/>
              <w:rPr>
                <w:rFonts w:cs="Calibri"/>
                <w:sz w:val="18"/>
                <w:szCs w:val="18"/>
                <w:lang w:val="en-GB"/>
              </w:rPr>
            </w:pPr>
            <w:r w:rsidRPr="00D30847">
              <w:rPr>
                <w:rFonts w:cs="Calibri"/>
                <w:sz w:val="18"/>
                <w:szCs w:val="18"/>
                <w:lang w:val="en-GB"/>
              </w:rPr>
              <w:t>Ministry</w:t>
            </w:r>
            <w:r w:rsidR="00E83911" w:rsidRPr="00D30847">
              <w:rPr>
                <w:rFonts w:cs="Calibri"/>
                <w:sz w:val="18"/>
                <w:szCs w:val="18"/>
                <w:lang w:val="en-GB"/>
              </w:rPr>
              <w:t xml:space="preserve"> </w:t>
            </w:r>
            <w:r w:rsidRPr="00D30847">
              <w:rPr>
                <w:rFonts w:cs="Calibri"/>
                <w:sz w:val="18"/>
                <w:szCs w:val="18"/>
                <w:lang w:val="en-GB"/>
              </w:rPr>
              <w:t>of</w:t>
            </w:r>
            <w:r w:rsidR="00E83911" w:rsidRPr="00D30847">
              <w:rPr>
                <w:rFonts w:cs="Calibri"/>
                <w:sz w:val="18"/>
                <w:szCs w:val="18"/>
                <w:lang w:val="en-GB"/>
              </w:rPr>
              <w:t xml:space="preserve"> </w:t>
            </w:r>
            <w:r w:rsidRPr="00D30847">
              <w:rPr>
                <w:rFonts w:cs="Calibri"/>
                <w:sz w:val="18"/>
                <w:szCs w:val="18"/>
                <w:lang w:val="en-GB"/>
              </w:rPr>
              <w:t>Finance</w:t>
            </w:r>
          </w:p>
        </w:tc>
      </w:tr>
      <w:tr w:rsidR="005F75B4" w:rsidRPr="00D30847" w14:paraId="4AEB8400" w14:textId="77777777" w:rsidTr="00CE2DF4">
        <w:trPr>
          <w:trHeight w:val="476"/>
        </w:trPr>
        <w:tc>
          <w:tcPr>
            <w:tcW w:w="562" w:type="dxa"/>
            <w:vMerge w:val="restart"/>
            <w:shd w:val="clear" w:color="auto" w:fill="auto"/>
          </w:tcPr>
          <w:p w14:paraId="496A10D4" w14:textId="77777777" w:rsidR="005F75B4" w:rsidRPr="00D30847" w:rsidRDefault="005F75B4" w:rsidP="005F75B4">
            <w:pPr>
              <w:spacing w:after="0" w:line="240" w:lineRule="auto"/>
              <w:rPr>
                <w:rFonts w:cs="Calibri"/>
                <w:sz w:val="18"/>
                <w:szCs w:val="18"/>
                <w:lang w:val="en-GB"/>
              </w:rPr>
            </w:pPr>
            <w:r w:rsidRPr="00D30847">
              <w:rPr>
                <w:rFonts w:cs="Calibri"/>
                <w:sz w:val="18"/>
                <w:szCs w:val="18"/>
                <w:lang w:val="en-GB"/>
              </w:rPr>
              <w:lastRenderedPageBreak/>
              <w:t>8</w:t>
            </w:r>
          </w:p>
        </w:tc>
        <w:tc>
          <w:tcPr>
            <w:tcW w:w="2381" w:type="dxa"/>
            <w:vMerge w:val="restart"/>
            <w:shd w:val="clear" w:color="auto" w:fill="auto"/>
          </w:tcPr>
          <w:p w14:paraId="0514712E" w14:textId="77777777" w:rsidR="005F75B4" w:rsidRPr="00D30847" w:rsidRDefault="005F75B4" w:rsidP="005F75B4">
            <w:pPr>
              <w:spacing w:after="0" w:line="240" w:lineRule="auto"/>
              <w:rPr>
                <w:rFonts w:cs="Calibri"/>
                <w:b/>
                <w:sz w:val="18"/>
                <w:szCs w:val="18"/>
                <w:lang w:val="en-GB"/>
              </w:rPr>
            </w:pPr>
            <w:r w:rsidRPr="00D30847">
              <w:rPr>
                <w:rFonts w:cs="Calibri"/>
                <w:b/>
                <w:sz w:val="18"/>
                <w:szCs w:val="18"/>
                <w:lang w:val="en-GB"/>
              </w:rPr>
              <w:t xml:space="preserve">Priority 2: </w:t>
            </w:r>
          </w:p>
          <w:p w14:paraId="7C46B538" w14:textId="3B9D1D10" w:rsidR="005F75B4" w:rsidRPr="00D30847" w:rsidRDefault="005F75B4" w:rsidP="005F75B4">
            <w:pPr>
              <w:spacing w:after="0" w:line="240" w:lineRule="auto"/>
              <w:rPr>
                <w:rFonts w:cs="Calibri"/>
                <w:sz w:val="18"/>
                <w:szCs w:val="18"/>
                <w:lang w:val="en-GB"/>
              </w:rPr>
            </w:pPr>
            <w:r w:rsidRPr="00D30847">
              <w:rPr>
                <w:rFonts w:cs="Calibri"/>
                <w:sz w:val="18"/>
                <w:szCs w:val="18"/>
                <w:lang w:val="en-GB"/>
              </w:rPr>
              <w:t>Strengthened</w:t>
            </w:r>
            <w:r w:rsidR="00134B6E" w:rsidRPr="00D30847">
              <w:rPr>
                <w:rFonts w:cs="Calibri"/>
                <w:sz w:val="18"/>
                <w:szCs w:val="18"/>
                <w:lang w:val="en-GB"/>
              </w:rPr>
              <w:t xml:space="preserve"> </w:t>
            </w:r>
            <w:r w:rsidRPr="00D30847">
              <w:rPr>
                <w:rFonts w:cs="Calibri"/>
                <w:sz w:val="18"/>
                <w:szCs w:val="18"/>
                <w:lang w:val="en-GB"/>
              </w:rPr>
              <w:t>Public</w:t>
            </w:r>
            <w:r w:rsidR="00134B6E" w:rsidRPr="00D30847">
              <w:rPr>
                <w:rFonts w:cs="Calibri"/>
                <w:sz w:val="18"/>
                <w:szCs w:val="18"/>
                <w:lang w:val="en-GB"/>
              </w:rPr>
              <w:t xml:space="preserve"> </w:t>
            </w:r>
            <w:r w:rsidRPr="00D30847">
              <w:rPr>
                <w:rFonts w:cs="Calibri"/>
                <w:sz w:val="18"/>
                <w:szCs w:val="18"/>
                <w:lang w:val="en-GB"/>
              </w:rPr>
              <w:t>Investment</w:t>
            </w:r>
            <w:r w:rsidR="00134B6E" w:rsidRPr="00D30847">
              <w:rPr>
                <w:rFonts w:cs="Calibri"/>
                <w:sz w:val="18"/>
                <w:szCs w:val="18"/>
                <w:lang w:val="en-GB"/>
              </w:rPr>
              <w:t xml:space="preserve"> </w:t>
            </w:r>
            <w:r w:rsidRPr="00D30847">
              <w:rPr>
                <w:rFonts w:cs="Calibri"/>
                <w:sz w:val="18"/>
                <w:szCs w:val="18"/>
                <w:lang w:val="en-GB"/>
              </w:rPr>
              <w:t>Management</w:t>
            </w:r>
          </w:p>
        </w:tc>
        <w:tc>
          <w:tcPr>
            <w:tcW w:w="3819" w:type="dxa"/>
            <w:shd w:val="clear" w:color="auto" w:fill="auto"/>
          </w:tcPr>
          <w:p w14:paraId="3FA3186F" w14:textId="160C43BD" w:rsidR="005F75B4" w:rsidRPr="00D30847" w:rsidRDefault="0003109D" w:rsidP="005F75B4">
            <w:pPr>
              <w:spacing w:after="0" w:line="240" w:lineRule="auto"/>
              <w:rPr>
                <w:rFonts w:cs="Calibri"/>
                <w:sz w:val="18"/>
                <w:szCs w:val="18"/>
                <w:lang w:val="en-GB"/>
              </w:rPr>
            </w:pPr>
            <w:r w:rsidRPr="00D30847">
              <w:rPr>
                <w:rFonts w:cs="Calibri"/>
                <w:sz w:val="18"/>
                <w:szCs w:val="18"/>
                <w:lang w:val="en-GB"/>
              </w:rPr>
              <w:t>Lack</w:t>
            </w:r>
            <w:r w:rsidR="00E83911" w:rsidRPr="00D30847">
              <w:rPr>
                <w:rFonts w:cs="Calibri"/>
                <w:sz w:val="18"/>
                <w:szCs w:val="18"/>
                <w:lang w:val="en-GB"/>
              </w:rPr>
              <w:t xml:space="preserve"> </w:t>
            </w:r>
            <w:r w:rsidRPr="00D30847">
              <w:rPr>
                <w:rFonts w:cs="Calibri"/>
                <w:sz w:val="18"/>
                <w:szCs w:val="18"/>
                <w:lang w:val="en-GB"/>
              </w:rPr>
              <w:t>of</w:t>
            </w:r>
            <w:r w:rsidR="00E83911" w:rsidRPr="00D30847">
              <w:rPr>
                <w:rFonts w:cs="Calibri"/>
                <w:sz w:val="18"/>
                <w:szCs w:val="18"/>
                <w:lang w:val="en-GB"/>
              </w:rPr>
              <w:t xml:space="preserve"> </w:t>
            </w:r>
            <w:r w:rsidRPr="00D30847">
              <w:rPr>
                <w:rFonts w:cs="Calibri"/>
                <w:sz w:val="18"/>
                <w:szCs w:val="18"/>
                <w:lang w:val="en-GB"/>
              </w:rPr>
              <w:t>political</w:t>
            </w:r>
            <w:r w:rsidR="00E83911" w:rsidRPr="00D30847">
              <w:rPr>
                <w:rFonts w:cs="Calibri"/>
                <w:sz w:val="18"/>
                <w:szCs w:val="18"/>
                <w:lang w:val="en-GB"/>
              </w:rPr>
              <w:t xml:space="preserve"> </w:t>
            </w:r>
            <w:r w:rsidRPr="00D30847">
              <w:rPr>
                <w:rFonts w:cs="Calibri"/>
                <w:sz w:val="18"/>
                <w:szCs w:val="18"/>
                <w:lang w:val="en-GB"/>
              </w:rPr>
              <w:t>will</w:t>
            </w:r>
            <w:r w:rsidR="00E83911" w:rsidRPr="00D30847">
              <w:rPr>
                <w:rFonts w:cs="Calibri"/>
                <w:sz w:val="18"/>
                <w:szCs w:val="18"/>
                <w:lang w:val="en-GB"/>
              </w:rPr>
              <w:t xml:space="preserve"> </w:t>
            </w:r>
            <w:r w:rsidRPr="00D30847">
              <w:rPr>
                <w:rFonts w:cs="Calibri"/>
                <w:sz w:val="18"/>
                <w:szCs w:val="18"/>
                <w:lang w:val="en-GB"/>
              </w:rPr>
              <w:t>to</w:t>
            </w:r>
            <w:r w:rsidR="00E83911" w:rsidRPr="00D30847">
              <w:rPr>
                <w:rFonts w:cs="Calibri"/>
                <w:sz w:val="18"/>
                <w:szCs w:val="18"/>
                <w:lang w:val="en-GB"/>
              </w:rPr>
              <w:t xml:space="preserve"> </w:t>
            </w:r>
            <w:r w:rsidRPr="00D30847">
              <w:rPr>
                <w:rFonts w:cs="Calibri"/>
                <w:sz w:val="18"/>
                <w:szCs w:val="18"/>
                <w:lang w:val="en-GB"/>
              </w:rPr>
              <w:t>support</w:t>
            </w:r>
            <w:r w:rsidR="00E83911" w:rsidRPr="00D30847">
              <w:rPr>
                <w:rFonts w:cs="Calibri"/>
                <w:sz w:val="18"/>
                <w:szCs w:val="18"/>
                <w:lang w:val="en-GB"/>
              </w:rPr>
              <w:t xml:space="preserve"> </w:t>
            </w:r>
            <w:r w:rsidRPr="00D30847">
              <w:rPr>
                <w:rFonts w:cs="Calibri"/>
                <w:sz w:val="18"/>
                <w:szCs w:val="18"/>
                <w:lang w:val="en-GB"/>
              </w:rPr>
              <w:t>reforms, insufficient</w:t>
            </w:r>
            <w:r w:rsidR="00E83911" w:rsidRPr="00D30847">
              <w:rPr>
                <w:rFonts w:cs="Calibri"/>
                <w:sz w:val="18"/>
                <w:szCs w:val="18"/>
                <w:lang w:val="en-GB"/>
              </w:rPr>
              <w:t xml:space="preserve"> </w:t>
            </w:r>
            <w:r w:rsidRPr="00D30847">
              <w:rPr>
                <w:rFonts w:cs="Calibri"/>
                <w:sz w:val="18"/>
                <w:szCs w:val="18"/>
                <w:lang w:val="en-GB"/>
              </w:rPr>
              <w:t>staff</w:t>
            </w:r>
            <w:r w:rsidR="00E83911" w:rsidRPr="00D30847">
              <w:rPr>
                <w:rFonts w:cs="Calibri"/>
                <w:sz w:val="18"/>
                <w:szCs w:val="18"/>
                <w:lang w:val="en-GB"/>
              </w:rPr>
              <w:t xml:space="preserve"> </w:t>
            </w:r>
            <w:r w:rsidRPr="00D30847">
              <w:rPr>
                <w:rFonts w:cs="Calibri"/>
                <w:sz w:val="18"/>
                <w:szCs w:val="18"/>
                <w:lang w:val="en-GB"/>
              </w:rPr>
              <w:t>and</w:t>
            </w:r>
            <w:r w:rsidR="00E83911" w:rsidRPr="00D30847">
              <w:rPr>
                <w:rFonts w:cs="Calibri"/>
                <w:sz w:val="18"/>
                <w:szCs w:val="18"/>
                <w:lang w:val="en-GB"/>
              </w:rPr>
              <w:t xml:space="preserve"> </w:t>
            </w:r>
            <w:r w:rsidRPr="00D30847">
              <w:rPr>
                <w:rFonts w:cs="Calibri"/>
                <w:sz w:val="18"/>
                <w:szCs w:val="18"/>
                <w:lang w:val="en-GB"/>
              </w:rPr>
              <w:t>lack</w:t>
            </w:r>
            <w:r w:rsidR="00E83911" w:rsidRPr="00D30847">
              <w:rPr>
                <w:rFonts w:cs="Calibri"/>
                <w:sz w:val="18"/>
                <w:szCs w:val="18"/>
                <w:lang w:val="en-GB"/>
              </w:rPr>
              <w:t xml:space="preserve"> </w:t>
            </w:r>
            <w:r w:rsidRPr="00D30847">
              <w:rPr>
                <w:rFonts w:cs="Calibri"/>
                <w:sz w:val="18"/>
                <w:szCs w:val="18"/>
                <w:lang w:val="en-GB"/>
              </w:rPr>
              <w:t>of</w:t>
            </w:r>
            <w:r w:rsidR="00E83911" w:rsidRPr="00D30847">
              <w:rPr>
                <w:rFonts w:cs="Calibri"/>
                <w:sz w:val="18"/>
                <w:szCs w:val="18"/>
                <w:lang w:val="en-GB"/>
              </w:rPr>
              <w:t xml:space="preserve"> </w:t>
            </w:r>
            <w:r w:rsidRPr="00D30847">
              <w:rPr>
                <w:rFonts w:cs="Calibri"/>
                <w:sz w:val="18"/>
                <w:szCs w:val="18"/>
                <w:lang w:val="en-GB"/>
              </w:rPr>
              <w:t>capacities, poor</w:t>
            </w:r>
            <w:r w:rsidR="00E83911" w:rsidRPr="00D30847">
              <w:rPr>
                <w:rFonts w:cs="Calibri"/>
                <w:sz w:val="18"/>
                <w:szCs w:val="18"/>
                <w:lang w:val="en-GB"/>
              </w:rPr>
              <w:t xml:space="preserve"> </w:t>
            </w:r>
            <w:r w:rsidRPr="00D30847">
              <w:rPr>
                <w:rFonts w:cs="Calibri"/>
                <w:sz w:val="18"/>
                <w:szCs w:val="18"/>
                <w:lang w:val="en-GB"/>
              </w:rPr>
              <w:t>coordination</w:t>
            </w:r>
            <w:r w:rsidR="00E83911" w:rsidRPr="00D30847">
              <w:rPr>
                <w:rFonts w:cs="Calibri"/>
                <w:sz w:val="18"/>
                <w:szCs w:val="18"/>
                <w:lang w:val="en-GB"/>
              </w:rPr>
              <w:t xml:space="preserve"> </w:t>
            </w:r>
            <w:r w:rsidRPr="00D30847">
              <w:rPr>
                <w:rFonts w:cs="Calibri"/>
                <w:sz w:val="18"/>
                <w:szCs w:val="18"/>
                <w:lang w:val="en-GB"/>
              </w:rPr>
              <w:t>between</w:t>
            </w:r>
            <w:r w:rsidR="00E83911" w:rsidRPr="00D30847">
              <w:rPr>
                <w:rFonts w:cs="Calibri"/>
                <w:sz w:val="18"/>
                <w:szCs w:val="18"/>
                <w:lang w:val="en-GB"/>
              </w:rPr>
              <w:t xml:space="preserve"> </w:t>
            </w:r>
            <w:r w:rsidRPr="00D30847">
              <w:rPr>
                <w:rFonts w:cs="Calibri"/>
                <w:sz w:val="18"/>
                <w:szCs w:val="18"/>
                <w:lang w:val="en-GB"/>
              </w:rPr>
              <w:t>institutions</w:t>
            </w:r>
            <w:r w:rsidR="005F75B4" w:rsidRPr="00D30847">
              <w:rPr>
                <w:rFonts w:cs="Calibri"/>
                <w:sz w:val="18"/>
                <w:szCs w:val="18"/>
                <w:lang w:val="en-GB"/>
              </w:rPr>
              <w:t xml:space="preserve">, </w:t>
            </w:r>
          </w:p>
        </w:tc>
        <w:tc>
          <w:tcPr>
            <w:tcW w:w="2254" w:type="dxa"/>
            <w:vMerge w:val="restart"/>
            <w:shd w:val="clear" w:color="auto" w:fill="auto"/>
          </w:tcPr>
          <w:p w14:paraId="6EED3429" w14:textId="6CAC7A16" w:rsidR="005F75B4" w:rsidRPr="00D30847" w:rsidRDefault="005F75B4" w:rsidP="005F75B4">
            <w:pPr>
              <w:spacing w:after="0" w:line="240" w:lineRule="auto"/>
              <w:rPr>
                <w:rFonts w:cs="Calibri"/>
                <w:sz w:val="18"/>
                <w:szCs w:val="18"/>
                <w:lang w:val="en-GB"/>
              </w:rPr>
            </w:pPr>
            <w:r w:rsidRPr="00D30847">
              <w:rPr>
                <w:rFonts w:cs="Calibri"/>
                <w:sz w:val="18"/>
                <w:szCs w:val="18"/>
                <w:lang w:val="en-GB"/>
              </w:rPr>
              <w:t>Ministry</w:t>
            </w:r>
            <w:r w:rsidR="00E83911" w:rsidRPr="00D30847">
              <w:rPr>
                <w:rFonts w:cs="Calibri"/>
                <w:sz w:val="18"/>
                <w:szCs w:val="18"/>
                <w:lang w:val="en-GB"/>
              </w:rPr>
              <w:t xml:space="preserve"> </w:t>
            </w:r>
            <w:r w:rsidRPr="00D30847">
              <w:rPr>
                <w:rFonts w:cs="Calibri"/>
                <w:sz w:val="18"/>
                <w:szCs w:val="18"/>
                <w:lang w:val="en-GB"/>
              </w:rPr>
              <w:t>of</w:t>
            </w:r>
            <w:r w:rsidR="00E83911" w:rsidRPr="00D30847">
              <w:rPr>
                <w:rFonts w:cs="Calibri"/>
                <w:sz w:val="18"/>
                <w:szCs w:val="18"/>
                <w:lang w:val="en-GB"/>
              </w:rPr>
              <w:t xml:space="preserve"> </w:t>
            </w:r>
            <w:r w:rsidRPr="00D30847">
              <w:rPr>
                <w:rFonts w:cs="Calibri"/>
                <w:sz w:val="18"/>
                <w:szCs w:val="18"/>
                <w:lang w:val="en-GB"/>
              </w:rPr>
              <w:t>Finance, BUs/</w:t>
            </w:r>
            <w:proofErr w:type="spellStart"/>
            <w:r w:rsidRPr="00D30847">
              <w:rPr>
                <w:rFonts w:cs="Calibri"/>
                <w:sz w:val="18"/>
                <w:szCs w:val="18"/>
                <w:lang w:val="en-GB"/>
              </w:rPr>
              <w:t>SoEs</w:t>
            </w:r>
            <w:proofErr w:type="spellEnd"/>
            <w:r w:rsidRPr="00D30847">
              <w:rPr>
                <w:rFonts w:cs="Calibri"/>
                <w:sz w:val="18"/>
                <w:szCs w:val="18"/>
                <w:lang w:val="en-GB"/>
              </w:rPr>
              <w:t>/LSGUs</w:t>
            </w:r>
          </w:p>
          <w:p w14:paraId="1CF700EF" w14:textId="74B981CA" w:rsidR="005F75B4" w:rsidRPr="00D30847" w:rsidRDefault="005F75B4" w:rsidP="005F75B4">
            <w:pPr>
              <w:spacing w:after="0" w:line="240" w:lineRule="auto"/>
              <w:rPr>
                <w:rFonts w:cs="Calibri"/>
                <w:sz w:val="18"/>
                <w:szCs w:val="18"/>
                <w:lang w:val="en-GB"/>
              </w:rPr>
            </w:pPr>
            <w:r w:rsidRPr="00D30847">
              <w:rPr>
                <w:rFonts w:cs="Calibri"/>
                <w:sz w:val="18"/>
                <w:szCs w:val="18"/>
                <w:lang w:val="en-GB"/>
              </w:rPr>
              <w:t>Government</w:t>
            </w:r>
            <w:r w:rsidR="00134B6E" w:rsidRPr="00D30847">
              <w:rPr>
                <w:rFonts w:cs="Calibri"/>
                <w:sz w:val="18"/>
                <w:szCs w:val="18"/>
                <w:lang w:val="en-GB"/>
              </w:rPr>
              <w:t xml:space="preserve"> </w:t>
            </w:r>
            <w:r w:rsidRPr="00D30847">
              <w:rPr>
                <w:rFonts w:cs="Calibri"/>
                <w:sz w:val="18"/>
                <w:szCs w:val="18"/>
                <w:lang w:val="en-GB"/>
              </w:rPr>
              <w:t>Cabinet, Municipal</w:t>
            </w:r>
            <w:r w:rsidR="00E83911" w:rsidRPr="00D30847">
              <w:rPr>
                <w:rFonts w:cs="Calibri"/>
                <w:sz w:val="18"/>
                <w:szCs w:val="18"/>
                <w:lang w:val="en-GB"/>
              </w:rPr>
              <w:t xml:space="preserve"> </w:t>
            </w:r>
            <w:r w:rsidRPr="00D30847">
              <w:rPr>
                <w:rFonts w:cs="Calibri"/>
                <w:sz w:val="18"/>
                <w:szCs w:val="18"/>
                <w:lang w:val="en-GB"/>
              </w:rPr>
              <w:t>Council</w:t>
            </w:r>
          </w:p>
        </w:tc>
      </w:tr>
      <w:tr w:rsidR="005F75B4" w:rsidRPr="00D30847" w14:paraId="064AF0AB" w14:textId="77777777" w:rsidTr="00E935CF">
        <w:tc>
          <w:tcPr>
            <w:tcW w:w="562" w:type="dxa"/>
            <w:vMerge/>
            <w:shd w:val="clear" w:color="auto" w:fill="auto"/>
          </w:tcPr>
          <w:p w14:paraId="4833D029" w14:textId="77777777" w:rsidR="005F75B4" w:rsidRPr="00D30847" w:rsidRDefault="005F75B4" w:rsidP="005F75B4">
            <w:pPr>
              <w:spacing w:after="0" w:line="240" w:lineRule="auto"/>
              <w:rPr>
                <w:rFonts w:cs="Calibri"/>
                <w:sz w:val="18"/>
                <w:szCs w:val="18"/>
                <w:lang w:val="en-GB"/>
              </w:rPr>
            </w:pPr>
          </w:p>
        </w:tc>
        <w:tc>
          <w:tcPr>
            <w:tcW w:w="2381" w:type="dxa"/>
            <w:vMerge/>
            <w:shd w:val="clear" w:color="auto" w:fill="auto"/>
          </w:tcPr>
          <w:p w14:paraId="06C59EC6" w14:textId="77777777" w:rsidR="005F75B4" w:rsidRPr="00D30847" w:rsidRDefault="005F75B4" w:rsidP="005F75B4">
            <w:pPr>
              <w:spacing w:after="0" w:line="240" w:lineRule="auto"/>
              <w:rPr>
                <w:rFonts w:cs="Calibri"/>
                <w:b/>
                <w:sz w:val="18"/>
                <w:szCs w:val="18"/>
                <w:lang w:val="en-GB"/>
              </w:rPr>
            </w:pPr>
          </w:p>
        </w:tc>
        <w:tc>
          <w:tcPr>
            <w:tcW w:w="3819" w:type="dxa"/>
            <w:shd w:val="clear" w:color="auto" w:fill="auto"/>
          </w:tcPr>
          <w:p w14:paraId="6668B84A" w14:textId="0D316439" w:rsidR="005F75B4" w:rsidRPr="00D30847" w:rsidRDefault="00134B6E" w:rsidP="005F75B4">
            <w:pPr>
              <w:spacing w:after="0" w:line="240" w:lineRule="auto"/>
              <w:rPr>
                <w:rFonts w:cs="Calibri"/>
                <w:sz w:val="18"/>
                <w:szCs w:val="18"/>
                <w:lang w:val="en-GB"/>
              </w:rPr>
            </w:pPr>
            <w:r w:rsidRPr="00D30847">
              <w:rPr>
                <w:rFonts w:cs="Calibri"/>
                <w:sz w:val="18"/>
                <w:szCs w:val="18"/>
                <w:lang w:val="en-GB"/>
              </w:rPr>
              <w:t>Insufficient staff</w:t>
            </w:r>
            <w:r w:rsidR="005F75B4" w:rsidRPr="00D30847">
              <w:rPr>
                <w:rFonts w:cs="Calibri"/>
                <w:sz w:val="18"/>
                <w:szCs w:val="18"/>
                <w:lang w:val="en-GB"/>
              </w:rPr>
              <w:t>, lack</w:t>
            </w:r>
            <w:r w:rsidR="00762BE3" w:rsidRPr="00D30847">
              <w:rPr>
                <w:rFonts w:cs="Calibri"/>
                <w:sz w:val="18"/>
                <w:szCs w:val="18"/>
                <w:lang w:val="en-GB"/>
              </w:rPr>
              <w:t xml:space="preserve"> </w:t>
            </w:r>
            <w:r w:rsidR="005F75B4" w:rsidRPr="00D30847">
              <w:rPr>
                <w:rFonts w:cs="Calibri"/>
                <w:sz w:val="18"/>
                <w:szCs w:val="18"/>
                <w:lang w:val="en-GB"/>
              </w:rPr>
              <w:t>of</w:t>
            </w:r>
            <w:r w:rsidR="00762BE3" w:rsidRPr="00D30847">
              <w:rPr>
                <w:rFonts w:cs="Calibri"/>
                <w:sz w:val="18"/>
                <w:szCs w:val="18"/>
                <w:lang w:val="en-GB"/>
              </w:rPr>
              <w:t xml:space="preserve"> </w:t>
            </w:r>
            <w:r w:rsidR="005F75B4" w:rsidRPr="00D30847">
              <w:rPr>
                <w:rFonts w:cs="Calibri"/>
                <w:sz w:val="18"/>
                <w:szCs w:val="18"/>
                <w:lang w:val="en-GB"/>
              </w:rPr>
              <w:t>capacities, lack</w:t>
            </w:r>
            <w:r w:rsidR="00762BE3" w:rsidRPr="00D30847">
              <w:rPr>
                <w:rFonts w:cs="Calibri"/>
                <w:sz w:val="18"/>
                <w:szCs w:val="18"/>
                <w:lang w:val="en-GB"/>
              </w:rPr>
              <w:t xml:space="preserve"> </w:t>
            </w:r>
            <w:r w:rsidR="005F75B4" w:rsidRPr="00D30847">
              <w:rPr>
                <w:rFonts w:cs="Calibri"/>
                <w:sz w:val="18"/>
                <w:szCs w:val="18"/>
                <w:lang w:val="en-GB"/>
              </w:rPr>
              <w:t>of</w:t>
            </w:r>
            <w:r w:rsidR="00762BE3" w:rsidRPr="00D30847">
              <w:rPr>
                <w:rFonts w:cs="Calibri"/>
                <w:sz w:val="18"/>
                <w:szCs w:val="18"/>
                <w:lang w:val="en-GB"/>
              </w:rPr>
              <w:t xml:space="preserve"> </w:t>
            </w:r>
            <w:r w:rsidR="005F75B4" w:rsidRPr="00D30847">
              <w:rPr>
                <w:rFonts w:cs="Calibri"/>
                <w:sz w:val="18"/>
                <w:szCs w:val="18"/>
                <w:lang w:val="en-GB"/>
              </w:rPr>
              <w:t>coordination</w:t>
            </w:r>
            <w:r w:rsidR="00762BE3" w:rsidRPr="00D30847">
              <w:rPr>
                <w:rFonts w:cs="Calibri"/>
                <w:sz w:val="18"/>
                <w:szCs w:val="18"/>
                <w:lang w:val="en-GB"/>
              </w:rPr>
              <w:t xml:space="preserve"> </w:t>
            </w:r>
            <w:r w:rsidR="005F75B4" w:rsidRPr="00D30847">
              <w:rPr>
                <w:rFonts w:cs="Calibri"/>
                <w:sz w:val="18"/>
                <w:szCs w:val="18"/>
                <w:lang w:val="en-GB"/>
              </w:rPr>
              <w:t>between</w:t>
            </w:r>
            <w:r w:rsidR="00762BE3" w:rsidRPr="00D30847">
              <w:rPr>
                <w:rFonts w:cs="Calibri"/>
                <w:sz w:val="18"/>
                <w:szCs w:val="18"/>
                <w:lang w:val="en-GB"/>
              </w:rPr>
              <w:t xml:space="preserve"> </w:t>
            </w:r>
            <w:r w:rsidR="005F75B4" w:rsidRPr="00D30847">
              <w:rPr>
                <w:rFonts w:cs="Calibri"/>
                <w:sz w:val="18"/>
                <w:szCs w:val="18"/>
                <w:lang w:val="en-GB"/>
              </w:rPr>
              <w:t>institutions</w:t>
            </w:r>
            <w:r w:rsidR="00762BE3" w:rsidRPr="00D30847">
              <w:rPr>
                <w:rFonts w:cs="Calibri"/>
                <w:sz w:val="18"/>
                <w:szCs w:val="18"/>
                <w:lang w:val="en-GB"/>
              </w:rPr>
              <w:t xml:space="preserve"> </w:t>
            </w:r>
            <w:r w:rsidR="005F75B4" w:rsidRPr="00D30847">
              <w:rPr>
                <w:rFonts w:cs="Calibri"/>
                <w:sz w:val="18"/>
                <w:szCs w:val="18"/>
                <w:lang w:val="en-GB"/>
              </w:rPr>
              <w:t>and</w:t>
            </w:r>
            <w:r w:rsidR="00762BE3" w:rsidRPr="00D30847">
              <w:rPr>
                <w:rFonts w:cs="Calibri"/>
                <w:sz w:val="18"/>
                <w:szCs w:val="18"/>
                <w:lang w:val="en-GB"/>
              </w:rPr>
              <w:t xml:space="preserve"> </w:t>
            </w:r>
            <w:r w:rsidR="005F75B4" w:rsidRPr="00D30847">
              <w:rPr>
                <w:rFonts w:cs="Calibri"/>
                <w:sz w:val="18"/>
                <w:szCs w:val="18"/>
                <w:lang w:val="en-GB"/>
              </w:rPr>
              <w:t>lack</w:t>
            </w:r>
            <w:r w:rsidR="00762BE3" w:rsidRPr="00D30847">
              <w:rPr>
                <w:rFonts w:cs="Calibri"/>
                <w:sz w:val="18"/>
                <w:szCs w:val="18"/>
                <w:lang w:val="en-GB"/>
              </w:rPr>
              <w:t xml:space="preserve"> </w:t>
            </w:r>
            <w:r w:rsidR="005F75B4" w:rsidRPr="00D30847">
              <w:rPr>
                <w:rFonts w:cs="Calibri"/>
                <w:sz w:val="18"/>
                <w:szCs w:val="18"/>
                <w:lang w:val="en-GB"/>
              </w:rPr>
              <w:t>of</w:t>
            </w:r>
            <w:r w:rsidR="00762BE3" w:rsidRPr="00D30847">
              <w:rPr>
                <w:rFonts w:cs="Calibri"/>
                <w:sz w:val="18"/>
                <w:szCs w:val="18"/>
                <w:lang w:val="en-GB"/>
              </w:rPr>
              <w:t xml:space="preserve"> </w:t>
            </w:r>
            <w:r w:rsidR="005F75B4" w:rsidRPr="00D30847">
              <w:rPr>
                <w:rFonts w:cs="Calibri"/>
                <w:sz w:val="18"/>
                <w:szCs w:val="18"/>
                <w:lang w:val="en-GB"/>
              </w:rPr>
              <w:t>data</w:t>
            </w:r>
          </w:p>
        </w:tc>
        <w:tc>
          <w:tcPr>
            <w:tcW w:w="2254" w:type="dxa"/>
            <w:vMerge/>
            <w:shd w:val="clear" w:color="auto" w:fill="auto"/>
          </w:tcPr>
          <w:p w14:paraId="5A72EF15" w14:textId="77777777" w:rsidR="005F75B4" w:rsidRPr="00D30847" w:rsidRDefault="005F75B4" w:rsidP="005F75B4">
            <w:pPr>
              <w:spacing w:after="0" w:line="240" w:lineRule="auto"/>
              <w:rPr>
                <w:rFonts w:cs="Calibri"/>
                <w:sz w:val="18"/>
                <w:szCs w:val="18"/>
                <w:lang w:val="en-GB"/>
              </w:rPr>
            </w:pPr>
          </w:p>
        </w:tc>
      </w:tr>
      <w:tr w:rsidR="005F75B4" w:rsidRPr="00D30847" w14:paraId="3C6BFE1A" w14:textId="77777777" w:rsidTr="00E935CF">
        <w:tc>
          <w:tcPr>
            <w:tcW w:w="562" w:type="dxa"/>
            <w:shd w:val="clear" w:color="auto" w:fill="auto"/>
          </w:tcPr>
          <w:p w14:paraId="03FF8327" w14:textId="77777777" w:rsidR="005F75B4" w:rsidRPr="00D30847" w:rsidRDefault="005F75B4" w:rsidP="005F75B4">
            <w:pPr>
              <w:spacing w:after="0" w:line="240" w:lineRule="auto"/>
              <w:rPr>
                <w:rFonts w:cs="Calibri"/>
                <w:sz w:val="18"/>
                <w:szCs w:val="18"/>
                <w:lang w:val="en-GB"/>
              </w:rPr>
            </w:pPr>
            <w:r w:rsidRPr="00D30847">
              <w:rPr>
                <w:rFonts w:cs="Calibri"/>
                <w:sz w:val="18"/>
                <w:szCs w:val="18"/>
                <w:lang w:val="en-GB"/>
              </w:rPr>
              <w:t>9</w:t>
            </w:r>
          </w:p>
        </w:tc>
        <w:tc>
          <w:tcPr>
            <w:tcW w:w="2381" w:type="dxa"/>
            <w:shd w:val="clear" w:color="auto" w:fill="auto"/>
          </w:tcPr>
          <w:p w14:paraId="7C571707" w14:textId="77777777" w:rsidR="005F75B4" w:rsidRPr="00D30847" w:rsidRDefault="005F75B4" w:rsidP="005F75B4">
            <w:pPr>
              <w:spacing w:after="0" w:line="240" w:lineRule="auto"/>
              <w:rPr>
                <w:rFonts w:cs="Calibri"/>
                <w:b/>
                <w:sz w:val="18"/>
                <w:szCs w:val="18"/>
                <w:lang w:val="en-GB"/>
              </w:rPr>
            </w:pPr>
            <w:r w:rsidRPr="00D30847">
              <w:rPr>
                <w:rFonts w:cs="Calibri"/>
                <w:b/>
                <w:sz w:val="18"/>
                <w:szCs w:val="18"/>
                <w:lang w:val="en-GB"/>
              </w:rPr>
              <w:t xml:space="preserve">Priority 3: </w:t>
            </w:r>
          </w:p>
          <w:p w14:paraId="341B59A9" w14:textId="31B1005D" w:rsidR="005F75B4" w:rsidRPr="00D30847" w:rsidRDefault="00310C4C" w:rsidP="00134B6E">
            <w:pPr>
              <w:spacing w:after="0" w:line="240" w:lineRule="auto"/>
              <w:rPr>
                <w:rFonts w:cs="Calibri"/>
                <w:sz w:val="18"/>
                <w:szCs w:val="18"/>
                <w:lang w:val="en-GB"/>
              </w:rPr>
            </w:pPr>
            <w:r w:rsidRPr="00D30847">
              <w:rPr>
                <w:rFonts w:cs="Calibri"/>
                <w:sz w:val="18"/>
                <w:szCs w:val="18"/>
                <w:lang w:val="en-GB"/>
              </w:rPr>
              <w:t>Strengthen</w:t>
            </w:r>
            <w:r w:rsidR="00E83911" w:rsidRPr="00D30847">
              <w:rPr>
                <w:rFonts w:cs="Calibri"/>
                <w:sz w:val="18"/>
                <w:szCs w:val="18"/>
                <w:lang w:val="en-GB"/>
              </w:rPr>
              <w:t xml:space="preserve"> </w:t>
            </w:r>
            <w:r w:rsidRPr="00D30847">
              <w:rPr>
                <w:rFonts w:cs="Calibri"/>
                <w:sz w:val="18"/>
                <w:szCs w:val="18"/>
                <w:lang w:val="en-GB"/>
              </w:rPr>
              <w:t>the</w:t>
            </w:r>
            <w:r w:rsidR="00E83911" w:rsidRPr="00D30847">
              <w:rPr>
                <w:rFonts w:cs="Calibri"/>
                <w:sz w:val="18"/>
                <w:szCs w:val="18"/>
                <w:lang w:val="en-GB"/>
              </w:rPr>
              <w:t xml:space="preserve"> </w:t>
            </w:r>
            <w:r w:rsidRPr="00D30847">
              <w:rPr>
                <w:rFonts w:cs="Calibri"/>
                <w:sz w:val="18"/>
                <w:szCs w:val="18"/>
                <w:lang w:val="en-GB"/>
              </w:rPr>
              <w:t>Accounting</w:t>
            </w:r>
            <w:r w:rsidR="00E83911" w:rsidRPr="00D30847">
              <w:rPr>
                <w:rFonts w:cs="Calibri"/>
                <w:sz w:val="18"/>
                <w:szCs w:val="18"/>
                <w:lang w:val="en-GB"/>
              </w:rPr>
              <w:t xml:space="preserve"> </w:t>
            </w:r>
            <w:r w:rsidRPr="00D30847">
              <w:rPr>
                <w:rFonts w:cs="Calibri"/>
                <w:sz w:val="18"/>
                <w:szCs w:val="18"/>
                <w:lang w:val="en-GB"/>
              </w:rPr>
              <w:t>of</w:t>
            </w:r>
            <w:r w:rsidR="00E83911" w:rsidRPr="00D30847">
              <w:rPr>
                <w:rFonts w:cs="Calibri"/>
                <w:sz w:val="18"/>
                <w:szCs w:val="18"/>
                <w:lang w:val="en-GB"/>
              </w:rPr>
              <w:t xml:space="preserve"> </w:t>
            </w:r>
            <w:r w:rsidRPr="00D30847">
              <w:rPr>
                <w:rFonts w:cs="Calibri"/>
                <w:sz w:val="18"/>
                <w:szCs w:val="18"/>
                <w:lang w:val="en-GB"/>
              </w:rPr>
              <w:t>Budgets</w:t>
            </w:r>
            <w:r w:rsidR="00E83911" w:rsidRPr="00D30847">
              <w:rPr>
                <w:rFonts w:cs="Calibri"/>
                <w:sz w:val="18"/>
                <w:szCs w:val="18"/>
                <w:lang w:val="en-GB"/>
              </w:rPr>
              <w:t xml:space="preserve"> </w:t>
            </w:r>
            <w:r w:rsidRPr="00D30847">
              <w:rPr>
                <w:rFonts w:cs="Calibri"/>
                <w:sz w:val="18"/>
                <w:szCs w:val="18"/>
                <w:lang w:val="en-GB"/>
              </w:rPr>
              <w:t>and</w:t>
            </w:r>
            <w:r w:rsidR="00E83911" w:rsidRPr="00D30847">
              <w:rPr>
                <w:rFonts w:cs="Calibri"/>
                <w:sz w:val="18"/>
                <w:szCs w:val="18"/>
                <w:lang w:val="en-GB"/>
              </w:rPr>
              <w:t xml:space="preserve"> </w:t>
            </w:r>
            <w:r w:rsidRPr="00D30847">
              <w:rPr>
                <w:rFonts w:cs="Calibri"/>
                <w:sz w:val="18"/>
                <w:szCs w:val="18"/>
                <w:lang w:val="en-GB"/>
              </w:rPr>
              <w:t>Budget</w:t>
            </w:r>
            <w:r w:rsidR="00134B6E" w:rsidRPr="00D30847">
              <w:rPr>
                <w:rFonts w:cs="Calibri"/>
                <w:sz w:val="18"/>
                <w:szCs w:val="18"/>
                <w:lang w:val="en-GB"/>
              </w:rPr>
              <w:t xml:space="preserve"> </w:t>
            </w:r>
            <w:r w:rsidRPr="00D30847">
              <w:rPr>
                <w:rFonts w:cs="Calibri"/>
                <w:sz w:val="18"/>
                <w:szCs w:val="18"/>
                <w:lang w:val="en-GB"/>
              </w:rPr>
              <w:t>Users</w:t>
            </w:r>
          </w:p>
        </w:tc>
        <w:tc>
          <w:tcPr>
            <w:tcW w:w="3819" w:type="dxa"/>
            <w:shd w:val="clear" w:color="auto" w:fill="auto"/>
          </w:tcPr>
          <w:p w14:paraId="184B7473" w14:textId="08DDAA85" w:rsidR="005F75B4" w:rsidRPr="00D30847" w:rsidRDefault="00E83911" w:rsidP="005F75B4">
            <w:pPr>
              <w:spacing w:after="0" w:line="240" w:lineRule="auto"/>
              <w:rPr>
                <w:rFonts w:cs="Calibri"/>
                <w:sz w:val="18"/>
                <w:szCs w:val="18"/>
                <w:lang w:val="en-GB"/>
              </w:rPr>
            </w:pPr>
            <w:r w:rsidRPr="00D30847">
              <w:rPr>
                <w:rFonts w:cs="Calibri"/>
                <w:sz w:val="18"/>
                <w:szCs w:val="18"/>
                <w:lang w:val="en-GB"/>
              </w:rPr>
              <w:t>Insufficient human capacities for realization of this activity</w:t>
            </w:r>
          </w:p>
        </w:tc>
        <w:tc>
          <w:tcPr>
            <w:tcW w:w="2254" w:type="dxa"/>
            <w:shd w:val="clear" w:color="auto" w:fill="auto"/>
          </w:tcPr>
          <w:p w14:paraId="21BF2144" w14:textId="4CAD32DF" w:rsidR="005F75B4" w:rsidRPr="00D30847" w:rsidRDefault="00310C4C" w:rsidP="005F75B4">
            <w:pPr>
              <w:spacing w:after="0" w:line="240" w:lineRule="auto"/>
              <w:rPr>
                <w:rFonts w:cs="Calibri"/>
                <w:sz w:val="18"/>
                <w:szCs w:val="18"/>
                <w:lang w:val="en-GB"/>
              </w:rPr>
            </w:pPr>
            <w:r w:rsidRPr="00D30847">
              <w:rPr>
                <w:rFonts w:eastAsia="Times New Roman" w:cs="Calibri"/>
                <w:color w:val="202124"/>
                <w:sz w:val="18"/>
                <w:szCs w:val="18"/>
                <w:lang w:val="en-GB"/>
              </w:rPr>
              <w:t>Ministry of Finance</w:t>
            </w:r>
          </w:p>
        </w:tc>
      </w:tr>
      <w:tr w:rsidR="00093B9D" w:rsidRPr="00D30847" w14:paraId="177A6C01" w14:textId="77777777" w:rsidTr="00E935CF">
        <w:tc>
          <w:tcPr>
            <w:tcW w:w="562" w:type="dxa"/>
            <w:vMerge w:val="restart"/>
            <w:shd w:val="clear" w:color="auto" w:fill="auto"/>
          </w:tcPr>
          <w:p w14:paraId="075E9076" w14:textId="3E8C2C63" w:rsidR="00093B9D" w:rsidRPr="00D30847" w:rsidRDefault="00093B9D" w:rsidP="005F75B4">
            <w:pPr>
              <w:spacing w:after="0" w:line="240" w:lineRule="auto"/>
              <w:rPr>
                <w:rFonts w:cs="Calibri"/>
                <w:sz w:val="18"/>
                <w:szCs w:val="18"/>
                <w:lang w:val="en-GB"/>
              </w:rPr>
            </w:pPr>
            <w:r w:rsidRPr="00D30847">
              <w:rPr>
                <w:rFonts w:cs="Calibri"/>
                <w:sz w:val="18"/>
                <w:szCs w:val="18"/>
                <w:lang w:val="en-GB"/>
              </w:rPr>
              <w:t>10</w:t>
            </w:r>
          </w:p>
        </w:tc>
        <w:tc>
          <w:tcPr>
            <w:tcW w:w="2381" w:type="dxa"/>
            <w:vMerge w:val="restart"/>
            <w:shd w:val="clear" w:color="auto" w:fill="auto"/>
          </w:tcPr>
          <w:p w14:paraId="51D8A24F" w14:textId="4FD107D7" w:rsidR="00093B9D" w:rsidRPr="00D30847" w:rsidRDefault="00093B9D" w:rsidP="005F75B4">
            <w:pPr>
              <w:spacing w:after="0" w:line="240" w:lineRule="auto"/>
              <w:rPr>
                <w:rFonts w:cs="Calibri"/>
                <w:b/>
                <w:sz w:val="18"/>
                <w:szCs w:val="18"/>
                <w:lang w:val="en-GB"/>
              </w:rPr>
            </w:pPr>
            <w:r w:rsidRPr="00D30847">
              <w:rPr>
                <w:rFonts w:cs="Calibri"/>
                <w:b/>
                <w:sz w:val="18"/>
                <w:szCs w:val="18"/>
                <w:lang w:val="en-GB"/>
              </w:rPr>
              <w:t>Priority 4: Public finance management at local level</w:t>
            </w:r>
          </w:p>
        </w:tc>
        <w:tc>
          <w:tcPr>
            <w:tcW w:w="3819" w:type="dxa"/>
            <w:shd w:val="clear" w:color="auto" w:fill="auto"/>
          </w:tcPr>
          <w:p w14:paraId="7ED78750" w14:textId="1D481B08" w:rsidR="00093B9D" w:rsidRPr="00D30847" w:rsidRDefault="00093B9D" w:rsidP="005F75B4">
            <w:pPr>
              <w:spacing w:after="0" w:line="240" w:lineRule="auto"/>
              <w:rPr>
                <w:rFonts w:cs="Calibri"/>
                <w:sz w:val="18"/>
                <w:szCs w:val="18"/>
                <w:lang w:val="en-GB"/>
              </w:rPr>
            </w:pPr>
            <w:r w:rsidRPr="00D30847">
              <w:rPr>
                <w:rFonts w:cs="Calibri"/>
                <w:sz w:val="18"/>
                <w:szCs w:val="18"/>
                <w:lang w:val="en-GB"/>
              </w:rPr>
              <w:t>Insufficient human capacity to implement this activity</w:t>
            </w:r>
          </w:p>
        </w:tc>
        <w:tc>
          <w:tcPr>
            <w:tcW w:w="2254" w:type="dxa"/>
            <w:vMerge w:val="restart"/>
            <w:shd w:val="clear" w:color="auto" w:fill="auto"/>
          </w:tcPr>
          <w:p w14:paraId="2D6F075E" w14:textId="34A5C056" w:rsidR="00093B9D" w:rsidRPr="00D30847" w:rsidRDefault="00093B9D" w:rsidP="005F75B4">
            <w:pPr>
              <w:spacing w:after="0" w:line="240" w:lineRule="auto"/>
              <w:rPr>
                <w:rFonts w:eastAsia="Times New Roman" w:cs="Calibri"/>
                <w:color w:val="202124"/>
                <w:sz w:val="18"/>
                <w:szCs w:val="18"/>
                <w:lang w:val="en-GB"/>
              </w:rPr>
            </w:pPr>
            <w:r w:rsidRPr="00D30847">
              <w:rPr>
                <w:rFonts w:eastAsia="Times New Roman" w:cs="Calibri"/>
                <w:color w:val="202124"/>
                <w:sz w:val="18"/>
                <w:szCs w:val="18"/>
                <w:lang w:val="en-GB"/>
              </w:rPr>
              <w:t>Ministry of Finance</w:t>
            </w:r>
          </w:p>
        </w:tc>
      </w:tr>
      <w:tr w:rsidR="00093B9D" w:rsidRPr="00D30847" w14:paraId="732BA19E" w14:textId="77777777" w:rsidTr="00E935CF">
        <w:tc>
          <w:tcPr>
            <w:tcW w:w="562" w:type="dxa"/>
            <w:vMerge/>
            <w:shd w:val="clear" w:color="auto" w:fill="auto"/>
          </w:tcPr>
          <w:p w14:paraId="352B635E" w14:textId="77777777" w:rsidR="00093B9D" w:rsidRPr="00D30847" w:rsidRDefault="00093B9D" w:rsidP="005F75B4">
            <w:pPr>
              <w:spacing w:after="0" w:line="240" w:lineRule="auto"/>
              <w:rPr>
                <w:rFonts w:cs="Calibri"/>
                <w:sz w:val="18"/>
                <w:szCs w:val="18"/>
                <w:lang w:val="en-GB"/>
              </w:rPr>
            </w:pPr>
          </w:p>
        </w:tc>
        <w:tc>
          <w:tcPr>
            <w:tcW w:w="2381" w:type="dxa"/>
            <w:vMerge/>
            <w:shd w:val="clear" w:color="auto" w:fill="auto"/>
          </w:tcPr>
          <w:p w14:paraId="5C8FD36E" w14:textId="77777777" w:rsidR="00093B9D" w:rsidRPr="00D30847" w:rsidRDefault="00093B9D" w:rsidP="005F75B4">
            <w:pPr>
              <w:spacing w:after="0" w:line="240" w:lineRule="auto"/>
              <w:rPr>
                <w:rFonts w:cs="Calibri"/>
                <w:b/>
                <w:sz w:val="18"/>
                <w:szCs w:val="18"/>
                <w:lang w:val="en-GB"/>
              </w:rPr>
            </w:pPr>
          </w:p>
        </w:tc>
        <w:tc>
          <w:tcPr>
            <w:tcW w:w="3819" w:type="dxa"/>
            <w:shd w:val="clear" w:color="auto" w:fill="auto"/>
          </w:tcPr>
          <w:p w14:paraId="14AF0B57" w14:textId="1B5FD20D" w:rsidR="00093B9D" w:rsidRPr="00D30847" w:rsidRDefault="00093B9D" w:rsidP="005F75B4">
            <w:pPr>
              <w:spacing w:after="0" w:line="240" w:lineRule="auto"/>
              <w:rPr>
                <w:rFonts w:cs="Calibri"/>
                <w:sz w:val="18"/>
                <w:szCs w:val="18"/>
                <w:lang w:val="en-GB"/>
              </w:rPr>
            </w:pPr>
            <w:r w:rsidRPr="00D30847">
              <w:rPr>
                <w:rFonts w:cs="Calibri"/>
                <w:sz w:val="18"/>
                <w:szCs w:val="18"/>
                <w:lang w:val="en-GB"/>
              </w:rPr>
              <w:t>Delay in the adoption of laws and bylaws</w:t>
            </w:r>
          </w:p>
        </w:tc>
        <w:tc>
          <w:tcPr>
            <w:tcW w:w="2254" w:type="dxa"/>
            <w:vMerge/>
            <w:shd w:val="clear" w:color="auto" w:fill="auto"/>
          </w:tcPr>
          <w:p w14:paraId="1A52BD0F" w14:textId="77777777" w:rsidR="00093B9D" w:rsidRPr="00D30847" w:rsidRDefault="00093B9D" w:rsidP="005F75B4">
            <w:pPr>
              <w:spacing w:after="0" w:line="240" w:lineRule="auto"/>
              <w:rPr>
                <w:rFonts w:eastAsia="Times New Roman" w:cs="Calibri"/>
                <w:color w:val="202124"/>
                <w:sz w:val="18"/>
                <w:szCs w:val="18"/>
                <w:lang w:val="en-GB"/>
              </w:rPr>
            </w:pPr>
          </w:p>
        </w:tc>
      </w:tr>
      <w:tr w:rsidR="00093B9D" w:rsidRPr="00D30847" w14:paraId="640DAAD4" w14:textId="77777777" w:rsidTr="00E935CF">
        <w:tc>
          <w:tcPr>
            <w:tcW w:w="562" w:type="dxa"/>
            <w:vMerge/>
            <w:shd w:val="clear" w:color="auto" w:fill="auto"/>
          </w:tcPr>
          <w:p w14:paraId="3AD75C9A" w14:textId="77777777" w:rsidR="00093B9D" w:rsidRPr="00D30847" w:rsidRDefault="00093B9D" w:rsidP="005F75B4">
            <w:pPr>
              <w:spacing w:after="0" w:line="240" w:lineRule="auto"/>
              <w:rPr>
                <w:rFonts w:cs="Calibri"/>
                <w:sz w:val="18"/>
                <w:szCs w:val="18"/>
                <w:lang w:val="en-GB"/>
              </w:rPr>
            </w:pPr>
          </w:p>
        </w:tc>
        <w:tc>
          <w:tcPr>
            <w:tcW w:w="2381" w:type="dxa"/>
            <w:vMerge/>
            <w:shd w:val="clear" w:color="auto" w:fill="auto"/>
          </w:tcPr>
          <w:p w14:paraId="73084A6C" w14:textId="77777777" w:rsidR="00093B9D" w:rsidRPr="00D30847" w:rsidRDefault="00093B9D" w:rsidP="005F75B4">
            <w:pPr>
              <w:spacing w:after="0" w:line="240" w:lineRule="auto"/>
              <w:rPr>
                <w:rFonts w:cs="Calibri"/>
                <w:b/>
                <w:sz w:val="18"/>
                <w:szCs w:val="18"/>
                <w:lang w:val="en-GB"/>
              </w:rPr>
            </w:pPr>
          </w:p>
        </w:tc>
        <w:tc>
          <w:tcPr>
            <w:tcW w:w="3819" w:type="dxa"/>
            <w:shd w:val="clear" w:color="auto" w:fill="auto"/>
          </w:tcPr>
          <w:p w14:paraId="201C0035" w14:textId="52F892CF" w:rsidR="00093B9D" w:rsidRPr="00D30847" w:rsidRDefault="00093B9D" w:rsidP="005F75B4">
            <w:pPr>
              <w:spacing w:after="0" w:line="240" w:lineRule="auto"/>
              <w:rPr>
                <w:rFonts w:cs="Calibri"/>
                <w:sz w:val="18"/>
                <w:szCs w:val="18"/>
                <w:lang w:val="en-GB"/>
              </w:rPr>
            </w:pPr>
            <w:r w:rsidRPr="00D30847">
              <w:rPr>
                <w:rFonts w:cs="Calibri"/>
                <w:sz w:val="18"/>
                <w:szCs w:val="18"/>
                <w:lang w:val="en-GB"/>
              </w:rPr>
              <w:t>Insufficient interest from top management</w:t>
            </w:r>
          </w:p>
        </w:tc>
        <w:tc>
          <w:tcPr>
            <w:tcW w:w="2254" w:type="dxa"/>
            <w:vMerge/>
            <w:shd w:val="clear" w:color="auto" w:fill="auto"/>
          </w:tcPr>
          <w:p w14:paraId="6D40A52D" w14:textId="77777777" w:rsidR="00093B9D" w:rsidRPr="00D30847" w:rsidRDefault="00093B9D" w:rsidP="005F75B4">
            <w:pPr>
              <w:spacing w:after="0" w:line="240" w:lineRule="auto"/>
              <w:rPr>
                <w:rFonts w:eastAsia="Times New Roman" w:cs="Calibri"/>
                <w:color w:val="202124"/>
                <w:sz w:val="18"/>
                <w:szCs w:val="18"/>
                <w:lang w:val="en-GB"/>
              </w:rPr>
            </w:pPr>
          </w:p>
        </w:tc>
      </w:tr>
      <w:tr w:rsidR="005F75B4" w:rsidRPr="00D30847" w14:paraId="1944F9CA" w14:textId="77777777" w:rsidTr="00E935CF">
        <w:tc>
          <w:tcPr>
            <w:tcW w:w="9016" w:type="dxa"/>
            <w:gridSpan w:val="4"/>
            <w:shd w:val="clear" w:color="auto" w:fill="D9E2F3"/>
          </w:tcPr>
          <w:p w14:paraId="16000177" w14:textId="08B9BC16" w:rsidR="005F75B4" w:rsidRPr="00D30847" w:rsidRDefault="005F75B4" w:rsidP="005F75B4">
            <w:pPr>
              <w:spacing w:after="0" w:line="240" w:lineRule="auto"/>
              <w:rPr>
                <w:rFonts w:cs="Calibri"/>
                <w:b/>
                <w:sz w:val="18"/>
                <w:szCs w:val="18"/>
                <w:lang w:val="en-GB"/>
              </w:rPr>
            </w:pPr>
            <w:r w:rsidRPr="00D30847">
              <w:rPr>
                <w:rFonts w:cs="Calibri"/>
                <w:b/>
                <w:sz w:val="18"/>
                <w:szCs w:val="18"/>
                <w:lang w:val="en-GB"/>
              </w:rPr>
              <w:t xml:space="preserve">PILLAR IV </w:t>
            </w:r>
            <w:r w:rsidR="004766CA" w:rsidRPr="00D30847">
              <w:rPr>
                <w:rFonts w:cs="Calibri"/>
                <w:b/>
                <w:sz w:val="18"/>
                <w:szCs w:val="18"/>
                <w:lang w:val="en-GB"/>
              </w:rPr>
              <w:t>–</w:t>
            </w:r>
            <w:r w:rsidRPr="00D30847">
              <w:rPr>
                <w:rFonts w:cs="Calibri"/>
                <w:b/>
                <w:sz w:val="18"/>
                <w:szCs w:val="18"/>
                <w:lang w:val="en-GB"/>
              </w:rPr>
              <w:t xml:space="preserve"> Public</w:t>
            </w:r>
            <w:r w:rsidR="004766CA" w:rsidRPr="00D30847">
              <w:rPr>
                <w:rFonts w:cs="Calibri"/>
                <w:b/>
                <w:sz w:val="18"/>
                <w:szCs w:val="18"/>
                <w:lang w:val="en-GB"/>
              </w:rPr>
              <w:t xml:space="preserve"> </w:t>
            </w:r>
            <w:r w:rsidRPr="00D30847">
              <w:rPr>
                <w:rFonts w:cs="Calibri"/>
                <w:b/>
                <w:sz w:val="18"/>
                <w:szCs w:val="18"/>
                <w:lang w:val="en-GB"/>
              </w:rPr>
              <w:t>procurement</w:t>
            </w:r>
          </w:p>
        </w:tc>
      </w:tr>
      <w:tr w:rsidR="005F75B4" w:rsidRPr="00D30847" w14:paraId="0AF59044" w14:textId="77777777" w:rsidTr="00E935CF">
        <w:tc>
          <w:tcPr>
            <w:tcW w:w="562" w:type="dxa"/>
            <w:vMerge w:val="restart"/>
            <w:shd w:val="clear" w:color="auto" w:fill="auto"/>
          </w:tcPr>
          <w:p w14:paraId="062F7FC5" w14:textId="3A213A35" w:rsidR="005F75B4" w:rsidRPr="00D30847" w:rsidRDefault="005F75B4" w:rsidP="005F75B4">
            <w:pPr>
              <w:spacing w:after="0" w:line="240" w:lineRule="auto"/>
              <w:rPr>
                <w:rFonts w:cs="Calibri"/>
                <w:sz w:val="18"/>
                <w:szCs w:val="18"/>
                <w:lang w:val="en-GB"/>
              </w:rPr>
            </w:pPr>
            <w:r w:rsidRPr="00D30847">
              <w:rPr>
                <w:rFonts w:cs="Calibri"/>
                <w:sz w:val="18"/>
                <w:szCs w:val="18"/>
                <w:lang w:val="en-GB"/>
              </w:rPr>
              <w:t>1</w:t>
            </w:r>
            <w:r w:rsidR="00EA2E6F" w:rsidRPr="00D30847">
              <w:rPr>
                <w:rFonts w:cs="Calibri"/>
                <w:sz w:val="18"/>
                <w:szCs w:val="18"/>
                <w:lang w:val="en-GB"/>
              </w:rPr>
              <w:t>1</w:t>
            </w:r>
          </w:p>
        </w:tc>
        <w:tc>
          <w:tcPr>
            <w:tcW w:w="2381" w:type="dxa"/>
            <w:vMerge w:val="restart"/>
            <w:shd w:val="clear" w:color="auto" w:fill="auto"/>
          </w:tcPr>
          <w:p w14:paraId="674563AF" w14:textId="77777777" w:rsidR="005F75B4" w:rsidRPr="00D30847" w:rsidRDefault="005F75B4" w:rsidP="005F75B4">
            <w:pPr>
              <w:spacing w:after="0" w:line="240" w:lineRule="auto"/>
              <w:rPr>
                <w:rFonts w:eastAsia="Times New Roman" w:cs="Calibri"/>
                <w:b/>
                <w:color w:val="202124"/>
                <w:sz w:val="18"/>
                <w:szCs w:val="18"/>
                <w:lang w:val="en-GB"/>
              </w:rPr>
            </w:pPr>
            <w:r w:rsidRPr="00D30847">
              <w:rPr>
                <w:rFonts w:eastAsia="Times New Roman" w:cs="Calibri"/>
                <w:b/>
                <w:color w:val="202124"/>
                <w:sz w:val="18"/>
                <w:szCs w:val="18"/>
                <w:lang w:val="en-GB"/>
              </w:rPr>
              <w:t xml:space="preserve">Priority 1: </w:t>
            </w:r>
          </w:p>
          <w:p w14:paraId="6C0E1679" w14:textId="77777777" w:rsidR="005F75B4" w:rsidRPr="00D30847" w:rsidRDefault="005F75B4" w:rsidP="005F75B4">
            <w:pPr>
              <w:spacing w:after="0" w:line="240" w:lineRule="auto"/>
              <w:rPr>
                <w:rFonts w:eastAsia="Times New Roman" w:cs="Calibri"/>
                <w:color w:val="202124"/>
                <w:sz w:val="18"/>
                <w:szCs w:val="18"/>
                <w:lang w:val="en-GB"/>
              </w:rPr>
            </w:pPr>
            <w:r w:rsidRPr="00D30847">
              <w:rPr>
                <w:rFonts w:eastAsia="Times New Roman" w:cs="Calibri"/>
                <w:color w:val="202124"/>
                <w:sz w:val="18"/>
                <w:szCs w:val="18"/>
                <w:lang w:val="en-GB"/>
              </w:rPr>
              <w:t>Public Procurement Policy</w:t>
            </w:r>
          </w:p>
        </w:tc>
        <w:tc>
          <w:tcPr>
            <w:tcW w:w="3819" w:type="dxa"/>
            <w:shd w:val="clear" w:color="auto" w:fill="auto"/>
          </w:tcPr>
          <w:p w14:paraId="7381215B" w14:textId="77777777" w:rsidR="005F75B4" w:rsidRPr="00D30847" w:rsidRDefault="005F75B4" w:rsidP="005F75B4">
            <w:pPr>
              <w:spacing w:after="0" w:line="240" w:lineRule="auto"/>
              <w:rPr>
                <w:rFonts w:eastAsia="Times New Roman" w:cs="Calibri"/>
                <w:color w:val="202124"/>
                <w:sz w:val="18"/>
                <w:szCs w:val="18"/>
                <w:lang w:val="en-GB"/>
              </w:rPr>
            </w:pPr>
            <w:r w:rsidRPr="00D30847">
              <w:rPr>
                <w:rFonts w:eastAsia="Times New Roman" w:cs="Calibri"/>
                <w:color w:val="202124"/>
                <w:sz w:val="18"/>
                <w:szCs w:val="18"/>
                <w:lang w:val="en-GB"/>
              </w:rPr>
              <w:t>Adoption of Law Amending the Law on Public Procurement</w:t>
            </w:r>
          </w:p>
        </w:tc>
        <w:tc>
          <w:tcPr>
            <w:tcW w:w="2254" w:type="dxa"/>
            <w:vMerge w:val="restart"/>
            <w:shd w:val="clear" w:color="auto" w:fill="auto"/>
          </w:tcPr>
          <w:p w14:paraId="1840C534" w14:textId="56B92F71" w:rsidR="00A0015E" w:rsidRPr="00D30847" w:rsidRDefault="00F368A1" w:rsidP="00A0015E">
            <w:pPr>
              <w:spacing w:after="0" w:line="240" w:lineRule="auto"/>
              <w:rPr>
                <w:rFonts w:cs="Calibri"/>
                <w:sz w:val="18"/>
                <w:szCs w:val="18"/>
                <w:lang w:val="en-GB"/>
              </w:rPr>
            </w:pPr>
            <w:r>
              <w:rPr>
                <w:rFonts w:cs="Calibri"/>
                <w:sz w:val="18"/>
                <w:szCs w:val="18"/>
                <w:lang w:val="en-GB"/>
              </w:rPr>
              <w:t xml:space="preserve">PPB, </w:t>
            </w:r>
            <w:r w:rsidR="00A0015E" w:rsidRPr="00D30847">
              <w:rPr>
                <w:rFonts w:cs="Calibri"/>
                <w:sz w:val="18"/>
                <w:szCs w:val="18"/>
                <w:lang w:val="en-GB"/>
              </w:rPr>
              <w:t>MF</w:t>
            </w:r>
          </w:p>
          <w:p w14:paraId="3BE99493" w14:textId="27C2CB43" w:rsidR="005F75B4" w:rsidRPr="00D30847" w:rsidRDefault="005F75B4" w:rsidP="005F75B4">
            <w:pPr>
              <w:spacing w:after="0" w:line="240" w:lineRule="auto"/>
              <w:rPr>
                <w:rFonts w:cs="Calibri"/>
                <w:sz w:val="18"/>
                <w:szCs w:val="18"/>
                <w:lang w:val="en-GB"/>
              </w:rPr>
            </w:pPr>
          </w:p>
        </w:tc>
      </w:tr>
      <w:tr w:rsidR="005F75B4" w:rsidRPr="00D30847" w14:paraId="466A49AD" w14:textId="77777777" w:rsidTr="00E935CF">
        <w:tc>
          <w:tcPr>
            <w:tcW w:w="562" w:type="dxa"/>
            <w:vMerge/>
            <w:shd w:val="clear" w:color="auto" w:fill="auto"/>
          </w:tcPr>
          <w:p w14:paraId="09AC3169" w14:textId="77777777" w:rsidR="005F75B4" w:rsidRPr="00D30847" w:rsidRDefault="005F75B4" w:rsidP="005F75B4">
            <w:pPr>
              <w:spacing w:after="0" w:line="240" w:lineRule="auto"/>
              <w:rPr>
                <w:rFonts w:cs="Calibri"/>
                <w:sz w:val="18"/>
                <w:szCs w:val="18"/>
                <w:lang w:val="en-GB"/>
              </w:rPr>
            </w:pPr>
          </w:p>
        </w:tc>
        <w:tc>
          <w:tcPr>
            <w:tcW w:w="2381" w:type="dxa"/>
            <w:vMerge/>
            <w:shd w:val="clear" w:color="auto" w:fill="auto"/>
          </w:tcPr>
          <w:p w14:paraId="2DF03F2B" w14:textId="77777777" w:rsidR="005F75B4" w:rsidRPr="00D30847" w:rsidRDefault="005F75B4" w:rsidP="005F75B4">
            <w:pPr>
              <w:spacing w:after="0" w:line="240" w:lineRule="auto"/>
              <w:rPr>
                <w:rFonts w:cs="Calibri"/>
                <w:b/>
                <w:sz w:val="18"/>
                <w:szCs w:val="18"/>
                <w:lang w:val="en-GB"/>
              </w:rPr>
            </w:pPr>
          </w:p>
        </w:tc>
        <w:tc>
          <w:tcPr>
            <w:tcW w:w="3819" w:type="dxa"/>
            <w:shd w:val="clear" w:color="auto" w:fill="auto"/>
          </w:tcPr>
          <w:p w14:paraId="74B42D09" w14:textId="2B856C9B" w:rsidR="005F75B4" w:rsidRPr="00D30847" w:rsidRDefault="005F75B4" w:rsidP="005F75B4">
            <w:pPr>
              <w:spacing w:after="0" w:line="240" w:lineRule="auto"/>
              <w:rPr>
                <w:rFonts w:eastAsia="Times New Roman" w:cs="Calibri"/>
                <w:color w:val="202124"/>
                <w:sz w:val="18"/>
                <w:szCs w:val="18"/>
                <w:lang w:val="en-GB"/>
              </w:rPr>
            </w:pPr>
            <w:r w:rsidRPr="00D30847">
              <w:rPr>
                <w:rFonts w:eastAsia="Times New Roman" w:cs="Calibri"/>
                <w:color w:val="202124"/>
                <w:sz w:val="18"/>
                <w:szCs w:val="18"/>
                <w:lang w:val="en-GB"/>
              </w:rPr>
              <w:t>Shortage of qualified trainers’</w:t>
            </w:r>
          </w:p>
        </w:tc>
        <w:tc>
          <w:tcPr>
            <w:tcW w:w="2254" w:type="dxa"/>
            <w:vMerge/>
            <w:shd w:val="clear" w:color="auto" w:fill="auto"/>
          </w:tcPr>
          <w:p w14:paraId="3F3098FF" w14:textId="77777777" w:rsidR="005F75B4" w:rsidRPr="00D30847" w:rsidRDefault="005F75B4" w:rsidP="005F75B4">
            <w:pPr>
              <w:spacing w:after="0" w:line="240" w:lineRule="auto"/>
              <w:rPr>
                <w:rFonts w:cs="Calibri"/>
                <w:sz w:val="18"/>
                <w:szCs w:val="18"/>
                <w:lang w:val="en-GB"/>
              </w:rPr>
            </w:pPr>
          </w:p>
        </w:tc>
      </w:tr>
      <w:tr w:rsidR="005F75B4" w:rsidRPr="00D30847" w14:paraId="4C941E37" w14:textId="77777777" w:rsidTr="00E935CF">
        <w:tc>
          <w:tcPr>
            <w:tcW w:w="562" w:type="dxa"/>
            <w:vMerge/>
            <w:shd w:val="clear" w:color="auto" w:fill="auto"/>
          </w:tcPr>
          <w:p w14:paraId="76993FEC" w14:textId="77777777" w:rsidR="005F75B4" w:rsidRPr="00D30847" w:rsidRDefault="005F75B4" w:rsidP="005F75B4">
            <w:pPr>
              <w:spacing w:after="0" w:line="240" w:lineRule="auto"/>
              <w:rPr>
                <w:rFonts w:cs="Calibri"/>
                <w:sz w:val="18"/>
                <w:szCs w:val="18"/>
                <w:lang w:val="en-GB"/>
              </w:rPr>
            </w:pPr>
          </w:p>
        </w:tc>
        <w:tc>
          <w:tcPr>
            <w:tcW w:w="2381" w:type="dxa"/>
            <w:vMerge/>
            <w:shd w:val="clear" w:color="auto" w:fill="auto"/>
          </w:tcPr>
          <w:p w14:paraId="703624E9" w14:textId="77777777" w:rsidR="005F75B4" w:rsidRPr="00D30847" w:rsidRDefault="005F75B4" w:rsidP="005F75B4">
            <w:pPr>
              <w:spacing w:after="0" w:line="240" w:lineRule="auto"/>
              <w:rPr>
                <w:rFonts w:cs="Calibri"/>
                <w:b/>
                <w:sz w:val="18"/>
                <w:szCs w:val="18"/>
                <w:lang w:val="en-GB"/>
              </w:rPr>
            </w:pPr>
          </w:p>
        </w:tc>
        <w:tc>
          <w:tcPr>
            <w:tcW w:w="3819" w:type="dxa"/>
            <w:shd w:val="clear" w:color="auto" w:fill="auto"/>
          </w:tcPr>
          <w:p w14:paraId="6832F94D" w14:textId="38A436BF" w:rsidR="005F75B4" w:rsidRPr="00D30847" w:rsidRDefault="005F75B4" w:rsidP="005F75B4">
            <w:pPr>
              <w:spacing w:after="0" w:line="240" w:lineRule="auto"/>
              <w:rPr>
                <w:rFonts w:cs="Calibri"/>
                <w:sz w:val="18"/>
                <w:szCs w:val="18"/>
                <w:lang w:val="en-GB"/>
              </w:rPr>
            </w:pPr>
            <w:r w:rsidRPr="00D30847">
              <w:rPr>
                <w:rFonts w:eastAsia="Times New Roman" w:cs="Calibri"/>
                <w:color w:val="202124"/>
                <w:sz w:val="18"/>
                <w:szCs w:val="18"/>
                <w:lang w:val="en-GB"/>
              </w:rPr>
              <w:t>Low attendance to training activities</w:t>
            </w:r>
          </w:p>
        </w:tc>
        <w:tc>
          <w:tcPr>
            <w:tcW w:w="2254" w:type="dxa"/>
            <w:vMerge/>
            <w:shd w:val="clear" w:color="auto" w:fill="auto"/>
          </w:tcPr>
          <w:p w14:paraId="0692E627" w14:textId="77777777" w:rsidR="005F75B4" w:rsidRPr="00D30847" w:rsidRDefault="005F75B4" w:rsidP="005F75B4">
            <w:pPr>
              <w:spacing w:after="0" w:line="240" w:lineRule="auto"/>
              <w:rPr>
                <w:rFonts w:cs="Calibri"/>
                <w:sz w:val="18"/>
                <w:szCs w:val="18"/>
                <w:lang w:val="en-GB"/>
              </w:rPr>
            </w:pPr>
          </w:p>
        </w:tc>
      </w:tr>
      <w:tr w:rsidR="005F75B4" w:rsidRPr="00D30847" w14:paraId="18D3AFED" w14:textId="77777777" w:rsidTr="00E935CF">
        <w:tc>
          <w:tcPr>
            <w:tcW w:w="562" w:type="dxa"/>
            <w:vMerge/>
            <w:shd w:val="clear" w:color="auto" w:fill="auto"/>
          </w:tcPr>
          <w:p w14:paraId="6957F8B9" w14:textId="77777777" w:rsidR="005F75B4" w:rsidRPr="00D30847" w:rsidRDefault="005F75B4" w:rsidP="005F75B4">
            <w:pPr>
              <w:spacing w:after="0" w:line="240" w:lineRule="auto"/>
              <w:rPr>
                <w:rFonts w:cs="Calibri"/>
                <w:sz w:val="18"/>
                <w:szCs w:val="18"/>
                <w:lang w:val="en-GB"/>
              </w:rPr>
            </w:pPr>
          </w:p>
        </w:tc>
        <w:tc>
          <w:tcPr>
            <w:tcW w:w="2381" w:type="dxa"/>
            <w:vMerge/>
            <w:shd w:val="clear" w:color="auto" w:fill="auto"/>
          </w:tcPr>
          <w:p w14:paraId="6EEDBBC1" w14:textId="77777777" w:rsidR="005F75B4" w:rsidRPr="00D30847" w:rsidRDefault="005F75B4" w:rsidP="005F75B4">
            <w:pPr>
              <w:spacing w:after="0" w:line="240" w:lineRule="auto"/>
              <w:rPr>
                <w:rFonts w:cs="Calibri"/>
                <w:b/>
                <w:sz w:val="18"/>
                <w:szCs w:val="18"/>
                <w:lang w:val="en-GB"/>
              </w:rPr>
            </w:pPr>
          </w:p>
        </w:tc>
        <w:tc>
          <w:tcPr>
            <w:tcW w:w="3819" w:type="dxa"/>
            <w:shd w:val="clear" w:color="auto" w:fill="auto"/>
          </w:tcPr>
          <w:p w14:paraId="3148C031" w14:textId="77777777" w:rsidR="005F75B4" w:rsidRPr="00D30847" w:rsidRDefault="005F75B4" w:rsidP="005F75B4">
            <w:pPr>
              <w:spacing w:after="0" w:line="240" w:lineRule="auto"/>
              <w:rPr>
                <w:rFonts w:cs="Calibri"/>
                <w:sz w:val="18"/>
                <w:szCs w:val="18"/>
                <w:lang w:val="en-GB"/>
              </w:rPr>
            </w:pPr>
            <w:r w:rsidRPr="00D30847">
              <w:rPr>
                <w:rFonts w:eastAsia="Times New Roman" w:cs="Calibri"/>
                <w:color w:val="202124"/>
                <w:sz w:val="18"/>
                <w:szCs w:val="18"/>
                <w:lang w:val="en-GB"/>
              </w:rPr>
              <w:t>Leaving of competent PPB employees</w:t>
            </w:r>
          </w:p>
        </w:tc>
        <w:tc>
          <w:tcPr>
            <w:tcW w:w="2254" w:type="dxa"/>
            <w:vMerge/>
            <w:shd w:val="clear" w:color="auto" w:fill="auto"/>
          </w:tcPr>
          <w:p w14:paraId="4F01F2FD" w14:textId="77777777" w:rsidR="005F75B4" w:rsidRPr="00D30847" w:rsidRDefault="005F75B4" w:rsidP="005F75B4">
            <w:pPr>
              <w:spacing w:after="0" w:line="240" w:lineRule="auto"/>
              <w:rPr>
                <w:rFonts w:cs="Calibri"/>
                <w:sz w:val="18"/>
                <w:szCs w:val="18"/>
                <w:lang w:val="en-GB"/>
              </w:rPr>
            </w:pPr>
          </w:p>
        </w:tc>
      </w:tr>
      <w:tr w:rsidR="005F75B4" w:rsidRPr="00D30847" w14:paraId="590543E9" w14:textId="77777777" w:rsidTr="00E935CF">
        <w:tc>
          <w:tcPr>
            <w:tcW w:w="562" w:type="dxa"/>
            <w:vMerge/>
            <w:shd w:val="clear" w:color="auto" w:fill="auto"/>
          </w:tcPr>
          <w:p w14:paraId="0C10CCAD" w14:textId="77777777" w:rsidR="005F75B4" w:rsidRPr="00D30847" w:rsidRDefault="005F75B4" w:rsidP="005F75B4">
            <w:pPr>
              <w:spacing w:after="0" w:line="240" w:lineRule="auto"/>
              <w:rPr>
                <w:rFonts w:cs="Calibri"/>
                <w:sz w:val="18"/>
                <w:szCs w:val="18"/>
                <w:lang w:val="en-GB"/>
              </w:rPr>
            </w:pPr>
          </w:p>
        </w:tc>
        <w:tc>
          <w:tcPr>
            <w:tcW w:w="2381" w:type="dxa"/>
            <w:vMerge/>
            <w:shd w:val="clear" w:color="auto" w:fill="auto"/>
          </w:tcPr>
          <w:p w14:paraId="7B88B773" w14:textId="77777777" w:rsidR="005F75B4" w:rsidRPr="00D30847" w:rsidRDefault="005F75B4" w:rsidP="005F75B4">
            <w:pPr>
              <w:spacing w:after="0" w:line="240" w:lineRule="auto"/>
              <w:rPr>
                <w:rFonts w:cs="Calibri"/>
                <w:b/>
                <w:sz w:val="18"/>
                <w:szCs w:val="18"/>
                <w:lang w:val="en-GB"/>
              </w:rPr>
            </w:pPr>
          </w:p>
        </w:tc>
        <w:tc>
          <w:tcPr>
            <w:tcW w:w="3819" w:type="dxa"/>
            <w:shd w:val="clear" w:color="auto" w:fill="auto"/>
          </w:tcPr>
          <w:p w14:paraId="46F2B63B" w14:textId="77777777" w:rsidR="005F75B4" w:rsidRPr="00D30847" w:rsidRDefault="005F75B4" w:rsidP="005F75B4">
            <w:pPr>
              <w:spacing w:after="0" w:line="240" w:lineRule="auto"/>
              <w:rPr>
                <w:rFonts w:cs="Calibri"/>
                <w:sz w:val="18"/>
                <w:szCs w:val="18"/>
                <w:lang w:val="en-GB"/>
              </w:rPr>
            </w:pPr>
            <w:r w:rsidRPr="00D30847">
              <w:rPr>
                <w:rFonts w:eastAsia="Times New Roman" w:cs="Calibri"/>
                <w:color w:val="202124"/>
                <w:sz w:val="18"/>
                <w:szCs w:val="18"/>
                <w:lang w:val="en-GB"/>
              </w:rPr>
              <w:t>Inappropriate detecting of the weaknesses in the system and the issues for improvement</w:t>
            </w:r>
          </w:p>
        </w:tc>
        <w:tc>
          <w:tcPr>
            <w:tcW w:w="2254" w:type="dxa"/>
            <w:vMerge/>
            <w:shd w:val="clear" w:color="auto" w:fill="auto"/>
          </w:tcPr>
          <w:p w14:paraId="6845CE39" w14:textId="77777777" w:rsidR="005F75B4" w:rsidRPr="00D30847" w:rsidRDefault="005F75B4" w:rsidP="005F75B4">
            <w:pPr>
              <w:spacing w:after="0" w:line="240" w:lineRule="auto"/>
              <w:rPr>
                <w:rFonts w:cs="Calibri"/>
                <w:sz w:val="18"/>
                <w:szCs w:val="18"/>
                <w:lang w:val="en-GB"/>
              </w:rPr>
            </w:pPr>
          </w:p>
        </w:tc>
      </w:tr>
      <w:tr w:rsidR="00097F96" w:rsidRPr="00D30847" w14:paraId="518DA806" w14:textId="77777777" w:rsidTr="00097F96">
        <w:trPr>
          <w:trHeight w:val="566"/>
        </w:trPr>
        <w:tc>
          <w:tcPr>
            <w:tcW w:w="562" w:type="dxa"/>
            <w:vMerge/>
            <w:shd w:val="clear" w:color="auto" w:fill="auto"/>
          </w:tcPr>
          <w:p w14:paraId="30C5533A" w14:textId="77777777" w:rsidR="00097F96" w:rsidRPr="00D30847" w:rsidRDefault="00097F96" w:rsidP="005F75B4">
            <w:pPr>
              <w:spacing w:after="0" w:line="240" w:lineRule="auto"/>
              <w:rPr>
                <w:rFonts w:cs="Calibri"/>
                <w:sz w:val="18"/>
                <w:szCs w:val="18"/>
                <w:lang w:val="en-GB"/>
              </w:rPr>
            </w:pPr>
          </w:p>
        </w:tc>
        <w:tc>
          <w:tcPr>
            <w:tcW w:w="2381" w:type="dxa"/>
            <w:vMerge/>
            <w:shd w:val="clear" w:color="auto" w:fill="auto"/>
          </w:tcPr>
          <w:p w14:paraId="1D169E48" w14:textId="77777777" w:rsidR="00097F96" w:rsidRPr="00D30847" w:rsidRDefault="00097F96" w:rsidP="005F75B4">
            <w:pPr>
              <w:spacing w:after="0" w:line="240" w:lineRule="auto"/>
              <w:rPr>
                <w:rFonts w:cs="Calibri"/>
                <w:sz w:val="18"/>
                <w:szCs w:val="18"/>
                <w:lang w:val="en-GB"/>
              </w:rPr>
            </w:pPr>
          </w:p>
        </w:tc>
        <w:tc>
          <w:tcPr>
            <w:tcW w:w="3819" w:type="dxa"/>
            <w:shd w:val="clear" w:color="auto" w:fill="auto"/>
          </w:tcPr>
          <w:p w14:paraId="07C2EB34" w14:textId="289549FC" w:rsidR="00097F96" w:rsidRPr="00D30847" w:rsidRDefault="00097F96" w:rsidP="005F75B4">
            <w:pPr>
              <w:spacing w:after="0" w:line="240" w:lineRule="auto"/>
              <w:rPr>
                <w:rFonts w:eastAsia="Times New Roman" w:cs="Calibri"/>
                <w:color w:val="202124"/>
                <w:sz w:val="18"/>
                <w:szCs w:val="18"/>
                <w:lang w:val="en-GB"/>
              </w:rPr>
            </w:pPr>
            <w:r w:rsidRPr="00D30847">
              <w:rPr>
                <w:rFonts w:eastAsia="Times New Roman" w:cs="Calibri"/>
                <w:color w:val="202124"/>
                <w:sz w:val="18"/>
                <w:szCs w:val="18"/>
                <w:lang w:val="en-GB"/>
              </w:rPr>
              <w:t xml:space="preserve">Resistance to change in established practices in the implementation of LPP </w:t>
            </w:r>
          </w:p>
        </w:tc>
        <w:tc>
          <w:tcPr>
            <w:tcW w:w="2254" w:type="dxa"/>
            <w:vMerge/>
            <w:shd w:val="clear" w:color="auto" w:fill="auto"/>
          </w:tcPr>
          <w:p w14:paraId="5BC5E276" w14:textId="77777777" w:rsidR="00097F96" w:rsidRPr="00D30847" w:rsidRDefault="00097F96" w:rsidP="005F75B4">
            <w:pPr>
              <w:spacing w:after="0" w:line="240" w:lineRule="auto"/>
              <w:rPr>
                <w:rFonts w:cs="Calibri"/>
                <w:sz w:val="18"/>
                <w:szCs w:val="18"/>
                <w:lang w:val="en-GB"/>
              </w:rPr>
            </w:pPr>
          </w:p>
        </w:tc>
      </w:tr>
      <w:tr w:rsidR="005F75B4" w:rsidRPr="00D30847" w14:paraId="1DE706CB" w14:textId="77777777" w:rsidTr="00E935CF">
        <w:tc>
          <w:tcPr>
            <w:tcW w:w="562" w:type="dxa"/>
            <w:vMerge w:val="restart"/>
            <w:shd w:val="clear" w:color="auto" w:fill="auto"/>
          </w:tcPr>
          <w:p w14:paraId="0BEBB0C8" w14:textId="42DA1D57" w:rsidR="005F75B4" w:rsidRPr="00D30847" w:rsidRDefault="005F75B4" w:rsidP="005F75B4">
            <w:pPr>
              <w:spacing w:after="0" w:line="240" w:lineRule="auto"/>
              <w:rPr>
                <w:rFonts w:cs="Calibri"/>
                <w:sz w:val="18"/>
                <w:szCs w:val="18"/>
                <w:lang w:val="en-GB"/>
              </w:rPr>
            </w:pPr>
            <w:r w:rsidRPr="00D30847">
              <w:rPr>
                <w:rFonts w:cs="Calibri"/>
                <w:sz w:val="18"/>
                <w:szCs w:val="18"/>
                <w:lang w:val="en-GB"/>
              </w:rPr>
              <w:t>1</w:t>
            </w:r>
            <w:r w:rsidR="00EA2E6F" w:rsidRPr="00D30847">
              <w:rPr>
                <w:rFonts w:cs="Calibri"/>
                <w:sz w:val="18"/>
                <w:szCs w:val="18"/>
                <w:lang w:val="en-GB"/>
              </w:rPr>
              <w:t>2</w:t>
            </w:r>
          </w:p>
        </w:tc>
        <w:tc>
          <w:tcPr>
            <w:tcW w:w="2381" w:type="dxa"/>
            <w:vMerge w:val="restart"/>
            <w:shd w:val="clear" w:color="auto" w:fill="auto"/>
          </w:tcPr>
          <w:p w14:paraId="6BE9A6FF" w14:textId="77777777" w:rsidR="005F75B4" w:rsidRPr="00D30847" w:rsidRDefault="005F75B4" w:rsidP="005F75B4">
            <w:pPr>
              <w:spacing w:after="0" w:line="240" w:lineRule="auto"/>
              <w:rPr>
                <w:rFonts w:cs="Calibri"/>
                <w:b/>
                <w:sz w:val="18"/>
                <w:szCs w:val="18"/>
                <w:lang w:val="en-GB"/>
              </w:rPr>
            </w:pPr>
            <w:r w:rsidRPr="00D30847">
              <w:rPr>
                <w:rFonts w:cs="Calibri"/>
                <w:b/>
                <w:sz w:val="18"/>
                <w:szCs w:val="18"/>
                <w:lang w:val="en-GB"/>
              </w:rPr>
              <w:t xml:space="preserve">Priority 2: </w:t>
            </w:r>
          </w:p>
          <w:p w14:paraId="7DB86EC5" w14:textId="46AF4810" w:rsidR="005F75B4" w:rsidRPr="00D30847" w:rsidRDefault="005F75B4" w:rsidP="005F75B4">
            <w:pPr>
              <w:spacing w:after="0" w:line="240" w:lineRule="auto"/>
              <w:rPr>
                <w:rFonts w:cs="Calibri"/>
                <w:sz w:val="18"/>
                <w:szCs w:val="18"/>
                <w:lang w:val="en-GB"/>
              </w:rPr>
            </w:pPr>
            <w:r w:rsidRPr="00D30847">
              <w:rPr>
                <w:rFonts w:cs="Calibri"/>
                <w:sz w:val="18"/>
                <w:szCs w:val="18"/>
                <w:lang w:val="en-GB"/>
              </w:rPr>
              <w:t>Public</w:t>
            </w:r>
            <w:r w:rsidR="00134B6E" w:rsidRPr="00D30847">
              <w:rPr>
                <w:rFonts w:cs="Calibri"/>
                <w:sz w:val="18"/>
                <w:szCs w:val="18"/>
                <w:lang w:val="en-GB"/>
              </w:rPr>
              <w:t xml:space="preserve"> </w:t>
            </w:r>
            <w:r w:rsidRPr="00D30847">
              <w:rPr>
                <w:rFonts w:cs="Calibri"/>
                <w:sz w:val="18"/>
                <w:szCs w:val="18"/>
                <w:lang w:val="en-GB"/>
              </w:rPr>
              <w:t>Private</w:t>
            </w:r>
            <w:r w:rsidR="00134B6E" w:rsidRPr="00D30847">
              <w:rPr>
                <w:rFonts w:cs="Calibri"/>
                <w:sz w:val="18"/>
                <w:szCs w:val="18"/>
                <w:lang w:val="en-GB"/>
              </w:rPr>
              <w:t xml:space="preserve"> </w:t>
            </w:r>
            <w:r w:rsidRPr="00D30847">
              <w:rPr>
                <w:rFonts w:cs="Calibri"/>
                <w:sz w:val="18"/>
                <w:szCs w:val="18"/>
                <w:lang w:val="en-GB"/>
              </w:rPr>
              <w:t>Partnerships (PPPs)</w:t>
            </w:r>
            <w:r w:rsidR="006A55CA" w:rsidRPr="00D30847">
              <w:rPr>
                <w:rFonts w:cs="Calibri"/>
                <w:sz w:val="18"/>
                <w:szCs w:val="18"/>
                <w:lang w:val="en-GB"/>
              </w:rPr>
              <w:t>and</w:t>
            </w:r>
            <w:r w:rsidR="00134B6E" w:rsidRPr="00D30847">
              <w:rPr>
                <w:rFonts w:cs="Calibri"/>
                <w:sz w:val="18"/>
                <w:szCs w:val="18"/>
                <w:lang w:val="en-GB"/>
              </w:rPr>
              <w:t xml:space="preserve"> Concession on </w:t>
            </w:r>
            <w:r w:rsidR="006A55CA" w:rsidRPr="00D30847">
              <w:rPr>
                <w:rFonts w:cs="Calibri"/>
                <w:sz w:val="18"/>
                <w:szCs w:val="18"/>
                <w:lang w:val="en-GB"/>
              </w:rPr>
              <w:t>goods</w:t>
            </w:r>
            <w:r w:rsidR="00134B6E" w:rsidRPr="00D30847">
              <w:rPr>
                <w:rFonts w:cs="Calibri"/>
                <w:sz w:val="18"/>
                <w:szCs w:val="18"/>
                <w:lang w:val="en-GB"/>
              </w:rPr>
              <w:t xml:space="preserve"> </w:t>
            </w:r>
            <w:r w:rsidR="006A55CA" w:rsidRPr="00D30847">
              <w:rPr>
                <w:rFonts w:cs="Calibri"/>
                <w:sz w:val="18"/>
                <w:szCs w:val="18"/>
                <w:lang w:val="en-GB"/>
              </w:rPr>
              <w:t>of</w:t>
            </w:r>
            <w:r w:rsidR="00134B6E" w:rsidRPr="00D30847">
              <w:rPr>
                <w:rFonts w:cs="Calibri"/>
                <w:sz w:val="18"/>
                <w:szCs w:val="18"/>
                <w:lang w:val="en-GB"/>
              </w:rPr>
              <w:t xml:space="preserve"> </w:t>
            </w:r>
            <w:r w:rsidR="006A55CA" w:rsidRPr="00D30847">
              <w:rPr>
                <w:rFonts w:cs="Calibri"/>
                <w:sz w:val="18"/>
                <w:szCs w:val="18"/>
                <w:lang w:val="en-GB"/>
              </w:rPr>
              <w:t>general</w:t>
            </w:r>
            <w:r w:rsidR="00134B6E" w:rsidRPr="00D30847">
              <w:rPr>
                <w:rFonts w:cs="Calibri"/>
                <w:sz w:val="18"/>
                <w:szCs w:val="18"/>
                <w:lang w:val="en-GB"/>
              </w:rPr>
              <w:t xml:space="preserve"> </w:t>
            </w:r>
            <w:r w:rsidR="006A55CA" w:rsidRPr="00D30847">
              <w:rPr>
                <w:rFonts w:cs="Calibri"/>
                <w:sz w:val="18"/>
                <w:szCs w:val="18"/>
                <w:lang w:val="en-GB"/>
              </w:rPr>
              <w:t>interest</w:t>
            </w:r>
          </w:p>
        </w:tc>
        <w:tc>
          <w:tcPr>
            <w:tcW w:w="3819" w:type="dxa"/>
            <w:shd w:val="clear" w:color="auto" w:fill="auto"/>
          </w:tcPr>
          <w:p w14:paraId="277E73FA" w14:textId="4944479B" w:rsidR="005F75B4" w:rsidRPr="00D30847" w:rsidRDefault="006A55CA" w:rsidP="005F75B4">
            <w:pPr>
              <w:spacing w:after="0" w:line="240" w:lineRule="auto"/>
              <w:rPr>
                <w:rFonts w:cs="Calibri"/>
                <w:sz w:val="18"/>
                <w:szCs w:val="18"/>
                <w:lang w:val="en-GB"/>
              </w:rPr>
            </w:pPr>
            <w:r w:rsidRPr="00D30847">
              <w:rPr>
                <w:rFonts w:eastAsia="Times New Roman" w:cs="Calibri"/>
                <w:sz w:val="18"/>
                <w:szCs w:val="18"/>
                <w:lang w:val="en-GB"/>
              </w:rPr>
              <w:t>Inability to provide financial and technical assistance, breach of deadlines for the establishment of the Unique Electronic System for Public Private Partnership which is crucial for implementation of the Law on PPP.</w:t>
            </w:r>
          </w:p>
        </w:tc>
        <w:tc>
          <w:tcPr>
            <w:tcW w:w="2254" w:type="dxa"/>
            <w:vMerge w:val="restart"/>
            <w:shd w:val="clear" w:color="auto" w:fill="auto"/>
          </w:tcPr>
          <w:p w14:paraId="393413C4" w14:textId="6C5B1BF6" w:rsidR="005F75B4" w:rsidRPr="00843956" w:rsidRDefault="00843956" w:rsidP="005F75B4">
            <w:pPr>
              <w:spacing w:after="0" w:line="240" w:lineRule="auto"/>
              <w:rPr>
                <w:rFonts w:cs="Calibri"/>
                <w:sz w:val="18"/>
                <w:szCs w:val="18"/>
                <w:lang w:val="en-GB"/>
              </w:rPr>
            </w:pPr>
            <w:r w:rsidRPr="00843956">
              <w:rPr>
                <w:rFonts w:cs="Calibri"/>
                <w:bCs/>
                <w:sz w:val="18"/>
                <w:szCs w:val="18"/>
              </w:rPr>
              <w:t>Ministry of Energy, Mining and Mineral Resources</w:t>
            </w:r>
          </w:p>
        </w:tc>
      </w:tr>
      <w:tr w:rsidR="005F75B4" w:rsidRPr="00D30847" w14:paraId="0BB89FB9" w14:textId="77777777" w:rsidTr="00E935CF">
        <w:tc>
          <w:tcPr>
            <w:tcW w:w="562" w:type="dxa"/>
            <w:vMerge/>
            <w:shd w:val="clear" w:color="auto" w:fill="auto"/>
          </w:tcPr>
          <w:p w14:paraId="42FC6340" w14:textId="77777777" w:rsidR="005F75B4" w:rsidRPr="00D30847" w:rsidRDefault="005F75B4" w:rsidP="005F75B4">
            <w:pPr>
              <w:spacing w:after="0" w:line="240" w:lineRule="auto"/>
              <w:rPr>
                <w:rFonts w:cs="Calibri"/>
                <w:sz w:val="18"/>
                <w:szCs w:val="18"/>
                <w:lang w:val="en-GB"/>
              </w:rPr>
            </w:pPr>
          </w:p>
        </w:tc>
        <w:tc>
          <w:tcPr>
            <w:tcW w:w="2381" w:type="dxa"/>
            <w:vMerge/>
            <w:shd w:val="clear" w:color="auto" w:fill="auto"/>
          </w:tcPr>
          <w:p w14:paraId="67786F5B" w14:textId="77777777" w:rsidR="005F75B4" w:rsidRPr="00D30847" w:rsidRDefault="005F75B4" w:rsidP="005F75B4">
            <w:pPr>
              <w:spacing w:after="0" w:line="240" w:lineRule="auto"/>
              <w:rPr>
                <w:rFonts w:cs="Calibri"/>
                <w:sz w:val="18"/>
                <w:szCs w:val="18"/>
                <w:lang w:val="en-GB"/>
              </w:rPr>
            </w:pPr>
          </w:p>
        </w:tc>
        <w:tc>
          <w:tcPr>
            <w:tcW w:w="3819" w:type="dxa"/>
            <w:shd w:val="clear" w:color="auto" w:fill="auto"/>
          </w:tcPr>
          <w:p w14:paraId="1254DF7C" w14:textId="73901797" w:rsidR="005F75B4" w:rsidRPr="00D30847" w:rsidRDefault="00762BE3" w:rsidP="005F75B4">
            <w:pPr>
              <w:spacing w:after="0" w:line="240" w:lineRule="auto"/>
              <w:rPr>
                <w:rFonts w:cs="Calibri"/>
                <w:sz w:val="18"/>
                <w:szCs w:val="18"/>
                <w:lang w:val="en-GB"/>
              </w:rPr>
            </w:pPr>
            <w:r w:rsidRPr="00D30847">
              <w:rPr>
                <w:rFonts w:cs="Calibri"/>
                <w:sz w:val="18"/>
                <w:szCs w:val="18"/>
                <w:lang w:val="en-GB"/>
              </w:rPr>
              <w:t>Extension of deadlines for adoption of bylaws.</w:t>
            </w:r>
          </w:p>
        </w:tc>
        <w:tc>
          <w:tcPr>
            <w:tcW w:w="2254" w:type="dxa"/>
            <w:vMerge/>
            <w:shd w:val="clear" w:color="auto" w:fill="auto"/>
          </w:tcPr>
          <w:p w14:paraId="5D0E6153" w14:textId="77777777" w:rsidR="005F75B4" w:rsidRPr="00D30847" w:rsidRDefault="005F75B4" w:rsidP="005F75B4">
            <w:pPr>
              <w:spacing w:after="0" w:line="240" w:lineRule="auto"/>
              <w:rPr>
                <w:rFonts w:cs="Calibri"/>
                <w:sz w:val="18"/>
                <w:szCs w:val="18"/>
                <w:lang w:val="en-GB"/>
              </w:rPr>
            </w:pPr>
          </w:p>
        </w:tc>
      </w:tr>
      <w:tr w:rsidR="005F75B4" w:rsidRPr="00D30847" w14:paraId="4CC9B547" w14:textId="77777777" w:rsidTr="00E935CF">
        <w:tc>
          <w:tcPr>
            <w:tcW w:w="562" w:type="dxa"/>
            <w:vMerge/>
            <w:shd w:val="clear" w:color="auto" w:fill="auto"/>
          </w:tcPr>
          <w:p w14:paraId="44D42545" w14:textId="77777777" w:rsidR="005F75B4" w:rsidRPr="00D30847" w:rsidRDefault="005F75B4" w:rsidP="005F75B4">
            <w:pPr>
              <w:spacing w:after="0" w:line="240" w:lineRule="auto"/>
              <w:rPr>
                <w:rFonts w:cs="Calibri"/>
                <w:sz w:val="18"/>
                <w:szCs w:val="18"/>
                <w:lang w:val="en-GB"/>
              </w:rPr>
            </w:pPr>
          </w:p>
        </w:tc>
        <w:tc>
          <w:tcPr>
            <w:tcW w:w="2381" w:type="dxa"/>
            <w:vMerge/>
            <w:shd w:val="clear" w:color="auto" w:fill="auto"/>
          </w:tcPr>
          <w:p w14:paraId="19A6903A" w14:textId="77777777" w:rsidR="005F75B4" w:rsidRPr="00D30847" w:rsidRDefault="005F75B4" w:rsidP="005F75B4">
            <w:pPr>
              <w:spacing w:after="0" w:line="240" w:lineRule="auto"/>
              <w:rPr>
                <w:rFonts w:cs="Calibri"/>
                <w:sz w:val="18"/>
                <w:szCs w:val="18"/>
                <w:lang w:val="en-GB"/>
              </w:rPr>
            </w:pPr>
          </w:p>
        </w:tc>
        <w:tc>
          <w:tcPr>
            <w:tcW w:w="3819" w:type="dxa"/>
            <w:shd w:val="clear" w:color="auto" w:fill="auto"/>
          </w:tcPr>
          <w:p w14:paraId="25F7B17A" w14:textId="17EDBE54" w:rsidR="005F75B4" w:rsidRPr="00D30847" w:rsidRDefault="00762BE3" w:rsidP="005F75B4">
            <w:pPr>
              <w:spacing w:after="0" w:line="240" w:lineRule="auto"/>
              <w:rPr>
                <w:rFonts w:cs="Calibri"/>
                <w:sz w:val="18"/>
                <w:szCs w:val="18"/>
                <w:lang w:val="en-GB"/>
              </w:rPr>
            </w:pPr>
            <w:r w:rsidRPr="00D30847">
              <w:rPr>
                <w:rFonts w:cs="Calibri"/>
                <w:sz w:val="18"/>
                <w:szCs w:val="18"/>
                <w:lang w:val="en-GB"/>
              </w:rPr>
              <w:t>Difficult functioning and execution of the determined competencies in accordance with the law because of low capacity of the employees in the Ministry of economy in the Unit of public private partnership and concession.</w:t>
            </w:r>
          </w:p>
        </w:tc>
        <w:tc>
          <w:tcPr>
            <w:tcW w:w="2254" w:type="dxa"/>
            <w:vMerge/>
            <w:shd w:val="clear" w:color="auto" w:fill="auto"/>
          </w:tcPr>
          <w:p w14:paraId="2A6055D6" w14:textId="77777777" w:rsidR="005F75B4" w:rsidRPr="00D30847" w:rsidRDefault="005F75B4" w:rsidP="005F75B4">
            <w:pPr>
              <w:spacing w:after="0" w:line="240" w:lineRule="auto"/>
              <w:rPr>
                <w:rFonts w:cs="Calibri"/>
                <w:sz w:val="18"/>
                <w:szCs w:val="18"/>
                <w:lang w:val="en-GB"/>
              </w:rPr>
            </w:pPr>
          </w:p>
        </w:tc>
      </w:tr>
      <w:tr w:rsidR="005F75B4" w:rsidRPr="00D30847" w14:paraId="30F08ADE" w14:textId="77777777" w:rsidTr="00E935CF">
        <w:tc>
          <w:tcPr>
            <w:tcW w:w="9016" w:type="dxa"/>
            <w:gridSpan w:val="4"/>
            <w:shd w:val="clear" w:color="auto" w:fill="D9E2F3"/>
          </w:tcPr>
          <w:p w14:paraId="713C4A05" w14:textId="0D727519" w:rsidR="005F75B4" w:rsidRPr="00D30847" w:rsidRDefault="005F75B4" w:rsidP="002B305F">
            <w:pPr>
              <w:spacing w:after="0" w:line="240" w:lineRule="auto"/>
              <w:rPr>
                <w:rFonts w:cs="Calibri"/>
                <w:b/>
                <w:sz w:val="18"/>
                <w:szCs w:val="18"/>
                <w:lang w:val="en-GB"/>
              </w:rPr>
            </w:pPr>
            <w:r w:rsidRPr="00D30847">
              <w:rPr>
                <w:rFonts w:cs="Calibri"/>
                <w:b/>
                <w:sz w:val="18"/>
                <w:szCs w:val="18"/>
                <w:lang w:val="en-GB"/>
              </w:rPr>
              <w:t xml:space="preserve">PILLAR V </w:t>
            </w:r>
            <w:r w:rsidR="004766CA" w:rsidRPr="00D30847">
              <w:rPr>
                <w:rFonts w:cs="Calibri"/>
                <w:b/>
                <w:sz w:val="18"/>
                <w:szCs w:val="18"/>
                <w:lang w:val="en-GB"/>
              </w:rPr>
              <w:t>–</w:t>
            </w:r>
            <w:r w:rsidRPr="00D30847">
              <w:rPr>
                <w:rFonts w:cs="Calibri"/>
                <w:b/>
                <w:sz w:val="18"/>
                <w:szCs w:val="18"/>
                <w:lang w:val="en-GB"/>
              </w:rPr>
              <w:t xml:space="preserve"> </w:t>
            </w:r>
            <w:r w:rsidR="002B305F" w:rsidRPr="00D30847">
              <w:rPr>
                <w:rFonts w:cs="Calibri"/>
                <w:b/>
                <w:sz w:val="18"/>
                <w:szCs w:val="18"/>
                <w:lang w:val="en-GB"/>
              </w:rPr>
              <w:t xml:space="preserve"> </w:t>
            </w:r>
            <w:r w:rsidR="00A95DBA" w:rsidRPr="00D30847">
              <w:rPr>
                <w:rFonts w:cs="Calibri"/>
                <w:b/>
                <w:sz w:val="18"/>
                <w:szCs w:val="18"/>
                <w:lang w:val="en-GB"/>
              </w:rPr>
              <w:t>Public finance digitalisation and </w:t>
            </w:r>
            <w:proofErr w:type="spellStart"/>
            <w:r w:rsidR="001111E8" w:rsidRPr="00D30847">
              <w:rPr>
                <w:rFonts w:cs="Calibri"/>
                <w:b/>
                <w:sz w:val="18"/>
                <w:szCs w:val="18"/>
                <w:lang w:val="en-GB"/>
              </w:rPr>
              <w:t>continuоus</w:t>
            </w:r>
            <w:proofErr w:type="spellEnd"/>
            <w:r w:rsidR="00A95DBA" w:rsidRPr="00D30847">
              <w:rPr>
                <w:rFonts w:cs="Calibri"/>
                <w:b/>
                <w:sz w:val="18"/>
                <w:szCs w:val="18"/>
                <w:lang w:val="en-GB"/>
              </w:rPr>
              <w:t> learning</w:t>
            </w:r>
          </w:p>
        </w:tc>
      </w:tr>
      <w:tr w:rsidR="005F75B4" w:rsidRPr="00D30847" w14:paraId="205080D2" w14:textId="77777777" w:rsidTr="00E935CF">
        <w:tc>
          <w:tcPr>
            <w:tcW w:w="562" w:type="dxa"/>
            <w:vMerge w:val="restart"/>
            <w:shd w:val="clear" w:color="auto" w:fill="auto"/>
          </w:tcPr>
          <w:p w14:paraId="170C339A" w14:textId="44A47A62" w:rsidR="005F75B4" w:rsidRPr="00D30847" w:rsidRDefault="00036FD5" w:rsidP="005F75B4">
            <w:pPr>
              <w:spacing w:after="0" w:line="240" w:lineRule="auto"/>
              <w:rPr>
                <w:rFonts w:cs="Calibri"/>
                <w:sz w:val="18"/>
                <w:szCs w:val="18"/>
                <w:lang w:val="en-GB"/>
              </w:rPr>
            </w:pPr>
            <w:r w:rsidRPr="00D30847">
              <w:rPr>
                <w:rFonts w:cs="Calibri"/>
                <w:sz w:val="18"/>
                <w:szCs w:val="18"/>
                <w:lang w:val="en-GB"/>
              </w:rPr>
              <w:t>1</w:t>
            </w:r>
            <w:r w:rsidR="00EA2E6F" w:rsidRPr="00D30847">
              <w:rPr>
                <w:rFonts w:cs="Calibri"/>
                <w:sz w:val="18"/>
                <w:szCs w:val="18"/>
                <w:lang w:val="en-GB"/>
              </w:rPr>
              <w:t>3</w:t>
            </w:r>
          </w:p>
        </w:tc>
        <w:tc>
          <w:tcPr>
            <w:tcW w:w="2381" w:type="dxa"/>
            <w:vMerge w:val="restart"/>
            <w:shd w:val="clear" w:color="auto" w:fill="auto"/>
          </w:tcPr>
          <w:p w14:paraId="4A246353" w14:textId="77777777" w:rsidR="005F75B4" w:rsidRPr="00D30847" w:rsidRDefault="005F75B4" w:rsidP="005F75B4">
            <w:pPr>
              <w:spacing w:after="0" w:line="240" w:lineRule="auto"/>
              <w:rPr>
                <w:rFonts w:cs="Calibri"/>
                <w:sz w:val="18"/>
                <w:szCs w:val="18"/>
                <w:lang w:val="en-GB"/>
              </w:rPr>
            </w:pPr>
            <w:r w:rsidRPr="00D30847">
              <w:rPr>
                <w:rFonts w:cs="Calibri"/>
                <w:b/>
                <w:sz w:val="18"/>
                <w:szCs w:val="18"/>
                <w:lang w:val="en-GB"/>
              </w:rPr>
              <w:t>Priority 1:</w:t>
            </w:r>
          </w:p>
          <w:p w14:paraId="710352D2" w14:textId="6021ED7F" w:rsidR="005F75B4" w:rsidRPr="00D30847" w:rsidRDefault="00E83911" w:rsidP="005F75B4">
            <w:pPr>
              <w:spacing w:after="0" w:line="240" w:lineRule="auto"/>
              <w:rPr>
                <w:rFonts w:cs="Calibri"/>
                <w:sz w:val="18"/>
                <w:szCs w:val="18"/>
                <w:lang w:val="en-GB"/>
              </w:rPr>
            </w:pPr>
            <w:r w:rsidRPr="00D30847">
              <w:rPr>
                <w:rFonts w:cs="Calibri"/>
                <w:sz w:val="18"/>
                <w:szCs w:val="18"/>
                <w:lang w:val="en-GB"/>
              </w:rPr>
              <w:t>Implementation of an Integrated Financial Management Information System (IFMIS) to Support the implementation of Public Financial Management Reforms and OBL</w:t>
            </w:r>
          </w:p>
        </w:tc>
        <w:tc>
          <w:tcPr>
            <w:tcW w:w="3819" w:type="dxa"/>
            <w:shd w:val="clear" w:color="auto" w:fill="auto"/>
          </w:tcPr>
          <w:p w14:paraId="278D432B" w14:textId="0EA4B34C" w:rsidR="005F75B4" w:rsidRPr="00D30847" w:rsidRDefault="00E83911" w:rsidP="005F75B4">
            <w:pPr>
              <w:spacing w:after="0" w:line="240" w:lineRule="auto"/>
              <w:jc w:val="both"/>
              <w:rPr>
                <w:rFonts w:cs="Calibri"/>
                <w:sz w:val="18"/>
                <w:szCs w:val="18"/>
                <w:lang w:val="en-GB"/>
              </w:rPr>
            </w:pPr>
            <w:r w:rsidRPr="00D30847">
              <w:rPr>
                <w:rFonts w:cs="Calibri"/>
                <w:sz w:val="18"/>
                <w:szCs w:val="18"/>
                <w:lang w:val="en-GB"/>
              </w:rPr>
              <w:t>Insufficient staffing and insufficient training of human resource</w:t>
            </w:r>
          </w:p>
        </w:tc>
        <w:tc>
          <w:tcPr>
            <w:tcW w:w="2254" w:type="dxa"/>
            <w:vMerge w:val="restart"/>
            <w:shd w:val="clear" w:color="auto" w:fill="auto"/>
          </w:tcPr>
          <w:p w14:paraId="71568C47" w14:textId="2C38F214" w:rsidR="005F75B4" w:rsidRPr="00D30847" w:rsidRDefault="005F75B4" w:rsidP="005F75B4">
            <w:pPr>
              <w:spacing w:after="0" w:line="240" w:lineRule="auto"/>
              <w:rPr>
                <w:rFonts w:cs="Calibri"/>
                <w:sz w:val="18"/>
                <w:szCs w:val="18"/>
                <w:lang w:val="en-GB"/>
              </w:rPr>
            </w:pPr>
            <w:r w:rsidRPr="00D30847">
              <w:rPr>
                <w:rFonts w:cs="Calibri"/>
                <w:sz w:val="18"/>
                <w:szCs w:val="18"/>
                <w:lang w:val="en-GB"/>
              </w:rPr>
              <w:t>Ministry</w:t>
            </w:r>
            <w:r w:rsidR="00E83911" w:rsidRPr="00D30847">
              <w:rPr>
                <w:rFonts w:cs="Calibri"/>
                <w:sz w:val="18"/>
                <w:szCs w:val="18"/>
                <w:lang w:val="en-GB"/>
              </w:rPr>
              <w:t xml:space="preserve"> </w:t>
            </w:r>
            <w:r w:rsidRPr="00D30847">
              <w:rPr>
                <w:rFonts w:cs="Calibri"/>
                <w:sz w:val="18"/>
                <w:szCs w:val="18"/>
                <w:lang w:val="en-GB"/>
              </w:rPr>
              <w:t>of</w:t>
            </w:r>
            <w:r w:rsidR="00E83911" w:rsidRPr="00D30847">
              <w:rPr>
                <w:rFonts w:cs="Calibri"/>
                <w:sz w:val="18"/>
                <w:szCs w:val="18"/>
                <w:lang w:val="en-GB"/>
              </w:rPr>
              <w:t xml:space="preserve"> </w:t>
            </w:r>
            <w:r w:rsidRPr="00D30847">
              <w:rPr>
                <w:rFonts w:cs="Calibri"/>
                <w:sz w:val="18"/>
                <w:szCs w:val="18"/>
                <w:lang w:val="en-GB"/>
              </w:rPr>
              <w:t>Finance</w:t>
            </w:r>
          </w:p>
        </w:tc>
      </w:tr>
      <w:tr w:rsidR="005F75B4" w:rsidRPr="00D30847" w14:paraId="4DDA46CA" w14:textId="77777777" w:rsidTr="00E935CF">
        <w:tc>
          <w:tcPr>
            <w:tcW w:w="562" w:type="dxa"/>
            <w:vMerge/>
            <w:shd w:val="clear" w:color="auto" w:fill="auto"/>
          </w:tcPr>
          <w:p w14:paraId="4B6ACA09" w14:textId="77777777" w:rsidR="005F75B4" w:rsidRPr="00D30847" w:rsidRDefault="005F75B4" w:rsidP="005F75B4">
            <w:pPr>
              <w:spacing w:after="0" w:line="240" w:lineRule="auto"/>
              <w:rPr>
                <w:rFonts w:cs="Calibri"/>
                <w:sz w:val="18"/>
                <w:szCs w:val="18"/>
                <w:lang w:val="en-GB"/>
              </w:rPr>
            </w:pPr>
          </w:p>
        </w:tc>
        <w:tc>
          <w:tcPr>
            <w:tcW w:w="2381" w:type="dxa"/>
            <w:vMerge/>
            <w:shd w:val="clear" w:color="auto" w:fill="auto"/>
          </w:tcPr>
          <w:p w14:paraId="5AD59BA0" w14:textId="77777777" w:rsidR="005F75B4" w:rsidRPr="00D30847" w:rsidRDefault="005F75B4" w:rsidP="005F75B4">
            <w:pPr>
              <w:spacing w:after="0" w:line="240" w:lineRule="auto"/>
              <w:rPr>
                <w:rFonts w:cs="Calibri"/>
                <w:b/>
                <w:sz w:val="18"/>
                <w:szCs w:val="18"/>
                <w:lang w:val="en-GB"/>
              </w:rPr>
            </w:pPr>
          </w:p>
        </w:tc>
        <w:tc>
          <w:tcPr>
            <w:tcW w:w="3819" w:type="dxa"/>
            <w:shd w:val="clear" w:color="auto" w:fill="auto"/>
          </w:tcPr>
          <w:p w14:paraId="4FC03997" w14:textId="57C4A0E3" w:rsidR="005F75B4" w:rsidRPr="00D30847" w:rsidRDefault="00762BE3" w:rsidP="005F75B4">
            <w:pPr>
              <w:spacing w:after="0" w:line="240" w:lineRule="auto"/>
              <w:jc w:val="both"/>
              <w:rPr>
                <w:rFonts w:cs="Calibri"/>
                <w:sz w:val="18"/>
                <w:szCs w:val="18"/>
                <w:lang w:val="en-GB"/>
              </w:rPr>
            </w:pPr>
            <w:r w:rsidRPr="00D30847">
              <w:rPr>
                <w:rFonts w:cs="Calibri"/>
                <w:sz w:val="18"/>
                <w:szCs w:val="18"/>
                <w:lang w:val="en-GB"/>
              </w:rPr>
              <w:t>Postponing in adoption of OBL might postpone the implementation of the IFMIS</w:t>
            </w:r>
          </w:p>
        </w:tc>
        <w:tc>
          <w:tcPr>
            <w:tcW w:w="2254" w:type="dxa"/>
            <w:vMerge/>
            <w:shd w:val="clear" w:color="auto" w:fill="auto"/>
          </w:tcPr>
          <w:p w14:paraId="1C6E4859" w14:textId="77777777" w:rsidR="005F75B4" w:rsidRPr="00D30847" w:rsidRDefault="005F75B4" w:rsidP="005F75B4">
            <w:pPr>
              <w:spacing w:after="0" w:line="240" w:lineRule="auto"/>
              <w:rPr>
                <w:rFonts w:eastAsia="Times New Roman" w:cs="Calibri"/>
                <w:color w:val="202124"/>
                <w:sz w:val="18"/>
                <w:szCs w:val="18"/>
                <w:lang w:val="en-GB"/>
              </w:rPr>
            </w:pPr>
          </w:p>
        </w:tc>
      </w:tr>
      <w:tr w:rsidR="0074198F" w:rsidRPr="00D30847" w14:paraId="5A54C2CA" w14:textId="77777777" w:rsidTr="00E935CF">
        <w:tc>
          <w:tcPr>
            <w:tcW w:w="562" w:type="dxa"/>
            <w:vMerge/>
            <w:shd w:val="clear" w:color="auto" w:fill="auto"/>
          </w:tcPr>
          <w:p w14:paraId="09869304" w14:textId="77777777" w:rsidR="0074198F" w:rsidRPr="00D30847" w:rsidRDefault="0074198F" w:rsidP="005F75B4">
            <w:pPr>
              <w:spacing w:after="0" w:line="240" w:lineRule="auto"/>
              <w:rPr>
                <w:rFonts w:cs="Calibri"/>
                <w:sz w:val="18"/>
                <w:szCs w:val="18"/>
                <w:lang w:val="en-GB"/>
              </w:rPr>
            </w:pPr>
          </w:p>
        </w:tc>
        <w:tc>
          <w:tcPr>
            <w:tcW w:w="2381" w:type="dxa"/>
            <w:vMerge/>
            <w:shd w:val="clear" w:color="auto" w:fill="auto"/>
          </w:tcPr>
          <w:p w14:paraId="0AC2BB20" w14:textId="77777777" w:rsidR="0074198F" w:rsidRPr="00D30847" w:rsidRDefault="0074198F" w:rsidP="005F75B4">
            <w:pPr>
              <w:spacing w:after="0" w:line="240" w:lineRule="auto"/>
              <w:rPr>
                <w:rFonts w:cs="Calibri"/>
                <w:b/>
                <w:sz w:val="18"/>
                <w:szCs w:val="18"/>
                <w:lang w:val="en-GB"/>
              </w:rPr>
            </w:pPr>
          </w:p>
        </w:tc>
        <w:tc>
          <w:tcPr>
            <w:tcW w:w="3819" w:type="dxa"/>
            <w:shd w:val="clear" w:color="auto" w:fill="auto"/>
          </w:tcPr>
          <w:p w14:paraId="6B9176B7" w14:textId="45D60317" w:rsidR="0074198F" w:rsidRPr="00D30847" w:rsidRDefault="0074198F" w:rsidP="005F75B4">
            <w:pPr>
              <w:spacing w:after="0" w:line="240" w:lineRule="auto"/>
              <w:jc w:val="both"/>
              <w:rPr>
                <w:rFonts w:cs="Calibri"/>
                <w:sz w:val="18"/>
                <w:szCs w:val="18"/>
                <w:lang w:val="en-GB"/>
              </w:rPr>
            </w:pPr>
            <w:r w:rsidRPr="00D30847">
              <w:rPr>
                <w:rFonts w:cs="Calibri"/>
                <w:sz w:val="18"/>
                <w:szCs w:val="18"/>
                <w:lang w:val="en-GB"/>
              </w:rPr>
              <w:t>Employee turnover involved in the implementation and use of IFMIS;</w:t>
            </w:r>
          </w:p>
        </w:tc>
        <w:tc>
          <w:tcPr>
            <w:tcW w:w="2254" w:type="dxa"/>
            <w:vMerge/>
            <w:shd w:val="clear" w:color="auto" w:fill="auto"/>
          </w:tcPr>
          <w:p w14:paraId="46843E3F" w14:textId="77777777" w:rsidR="0074198F" w:rsidRPr="00D30847" w:rsidRDefault="0074198F" w:rsidP="005F75B4">
            <w:pPr>
              <w:spacing w:after="0" w:line="240" w:lineRule="auto"/>
              <w:rPr>
                <w:rFonts w:eastAsia="Times New Roman" w:cs="Calibri"/>
                <w:color w:val="202124"/>
                <w:sz w:val="18"/>
                <w:szCs w:val="18"/>
                <w:lang w:val="en-GB"/>
              </w:rPr>
            </w:pPr>
          </w:p>
        </w:tc>
      </w:tr>
      <w:tr w:rsidR="005F75B4" w:rsidRPr="00D30847" w14:paraId="57ED07C1" w14:textId="77777777" w:rsidTr="00E935CF">
        <w:tc>
          <w:tcPr>
            <w:tcW w:w="562" w:type="dxa"/>
            <w:vMerge/>
            <w:shd w:val="clear" w:color="auto" w:fill="auto"/>
          </w:tcPr>
          <w:p w14:paraId="01D740B6" w14:textId="77777777" w:rsidR="005F75B4" w:rsidRPr="00D30847" w:rsidRDefault="005F75B4" w:rsidP="005F75B4">
            <w:pPr>
              <w:spacing w:after="0" w:line="240" w:lineRule="auto"/>
              <w:rPr>
                <w:rFonts w:cs="Calibri"/>
                <w:sz w:val="18"/>
                <w:szCs w:val="18"/>
                <w:lang w:val="en-GB"/>
              </w:rPr>
            </w:pPr>
          </w:p>
        </w:tc>
        <w:tc>
          <w:tcPr>
            <w:tcW w:w="2381" w:type="dxa"/>
            <w:vMerge/>
            <w:shd w:val="clear" w:color="auto" w:fill="auto"/>
          </w:tcPr>
          <w:p w14:paraId="39DA46DB" w14:textId="77777777" w:rsidR="005F75B4" w:rsidRPr="00D30847" w:rsidRDefault="005F75B4" w:rsidP="005F75B4">
            <w:pPr>
              <w:spacing w:after="0" w:line="240" w:lineRule="auto"/>
              <w:rPr>
                <w:rFonts w:cs="Calibri"/>
                <w:b/>
                <w:sz w:val="18"/>
                <w:szCs w:val="18"/>
                <w:lang w:val="en-GB"/>
              </w:rPr>
            </w:pPr>
          </w:p>
        </w:tc>
        <w:tc>
          <w:tcPr>
            <w:tcW w:w="3819" w:type="dxa"/>
            <w:shd w:val="clear" w:color="auto" w:fill="auto"/>
          </w:tcPr>
          <w:p w14:paraId="05DD1702" w14:textId="5422ED66" w:rsidR="005F75B4" w:rsidRPr="00D30847" w:rsidRDefault="00E83911" w:rsidP="005F75B4">
            <w:pPr>
              <w:spacing w:after="0" w:line="240" w:lineRule="auto"/>
              <w:rPr>
                <w:rFonts w:cs="Calibri"/>
                <w:sz w:val="18"/>
                <w:szCs w:val="18"/>
                <w:lang w:val="en-GB"/>
              </w:rPr>
            </w:pPr>
            <w:r w:rsidRPr="00D30847">
              <w:rPr>
                <w:rFonts w:cs="Calibri"/>
                <w:sz w:val="18"/>
                <w:szCs w:val="18"/>
                <w:lang w:val="en-GB"/>
              </w:rPr>
              <w:t>Insufficient commitment of senior management</w:t>
            </w:r>
          </w:p>
        </w:tc>
        <w:tc>
          <w:tcPr>
            <w:tcW w:w="2254" w:type="dxa"/>
            <w:vMerge/>
            <w:shd w:val="clear" w:color="auto" w:fill="auto"/>
          </w:tcPr>
          <w:p w14:paraId="0DC84ADF" w14:textId="77777777" w:rsidR="005F75B4" w:rsidRPr="00D30847" w:rsidRDefault="005F75B4" w:rsidP="005F75B4">
            <w:pPr>
              <w:spacing w:after="0" w:line="240" w:lineRule="auto"/>
              <w:rPr>
                <w:rFonts w:eastAsia="Times New Roman" w:cs="Calibri"/>
                <w:color w:val="202124"/>
                <w:sz w:val="18"/>
                <w:szCs w:val="18"/>
                <w:lang w:val="en-GB"/>
              </w:rPr>
            </w:pPr>
          </w:p>
        </w:tc>
      </w:tr>
      <w:tr w:rsidR="007221B1" w:rsidRPr="00D30847" w14:paraId="113BAA9D" w14:textId="77777777" w:rsidTr="005B579D">
        <w:trPr>
          <w:trHeight w:val="1250"/>
        </w:trPr>
        <w:tc>
          <w:tcPr>
            <w:tcW w:w="562" w:type="dxa"/>
            <w:vMerge w:val="restart"/>
            <w:shd w:val="clear" w:color="auto" w:fill="auto"/>
          </w:tcPr>
          <w:p w14:paraId="6B44A067" w14:textId="74F7CB07" w:rsidR="007221B1" w:rsidRPr="00D30847" w:rsidRDefault="007221B1" w:rsidP="007221B1">
            <w:pPr>
              <w:spacing w:after="0" w:line="240" w:lineRule="auto"/>
              <w:rPr>
                <w:rFonts w:cs="Calibri"/>
                <w:sz w:val="18"/>
                <w:szCs w:val="18"/>
                <w:lang w:val="en-GB"/>
              </w:rPr>
            </w:pPr>
            <w:r w:rsidRPr="00D30847">
              <w:rPr>
                <w:rFonts w:cs="Calibri"/>
                <w:sz w:val="18"/>
                <w:szCs w:val="18"/>
                <w:lang w:val="en-GB"/>
              </w:rPr>
              <w:t>14</w:t>
            </w:r>
          </w:p>
        </w:tc>
        <w:tc>
          <w:tcPr>
            <w:tcW w:w="2381" w:type="dxa"/>
            <w:vMerge w:val="restart"/>
            <w:shd w:val="clear" w:color="auto" w:fill="auto"/>
            <w:vAlign w:val="center"/>
          </w:tcPr>
          <w:p w14:paraId="3098C466" w14:textId="77777777" w:rsidR="007221B1" w:rsidRPr="00D30847" w:rsidRDefault="007221B1" w:rsidP="007221B1">
            <w:pPr>
              <w:spacing w:after="0" w:line="240" w:lineRule="auto"/>
              <w:rPr>
                <w:rFonts w:cs="Calibri"/>
                <w:b/>
                <w:sz w:val="18"/>
                <w:szCs w:val="18"/>
                <w:lang w:val="en-GB"/>
              </w:rPr>
            </w:pPr>
            <w:r w:rsidRPr="00D30847">
              <w:rPr>
                <w:rFonts w:cs="Calibri"/>
                <w:b/>
                <w:sz w:val="18"/>
                <w:szCs w:val="18"/>
                <w:lang w:val="en-GB"/>
              </w:rPr>
              <w:t xml:space="preserve">Priority 2: </w:t>
            </w:r>
          </w:p>
          <w:p w14:paraId="6BEF86CE" w14:textId="21255774" w:rsidR="007221B1" w:rsidRPr="00D30847" w:rsidRDefault="007221B1" w:rsidP="007221B1">
            <w:pPr>
              <w:spacing w:after="0" w:line="240" w:lineRule="auto"/>
              <w:rPr>
                <w:rFonts w:cs="Calibri"/>
                <w:sz w:val="18"/>
                <w:szCs w:val="18"/>
                <w:lang w:val="en-GB"/>
              </w:rPr>
            </w:pPr>
            <w:r w:rsidRPr="00D30847">
              <w:rPr>
                <w:rFonts w:cs="Calibri"/>
                <w:sz w:val="18"/>
                <w:szCs w:val="18"/>
                <w:lang w:val="en-GB"/>
              </w:rPr>
              <w:t>Public Finance Academy (learning organization)</w:t>
            </w:r>
          </w:p>
        </w:tc>
        <w:tc>
          <w:tcPr>
            <w:tcW w:w="3819" w:type="dxa"/>
            <w:shd w:val="clear" w:color="auto" w:fill="auto"/>
          </w:tcPr>
          <w:p w14:paraId="17F85785" w14:textId="4245FD8E" w:rsidR="007221B1" w:rsidRPr="00D30847" w:rsidRDefault="007221B1" w:rsidP="007221B1">
            <w:pPr>
              <w:spacing w:after="0" w:line="240" w:lineRule="auto"/>
              <w:rPr>
                <w:rFonts w:eastAsia="Times New Roman" w:cs="Calibri"/>
                <w:color w:val="202124"/>
                <w:sz w:val="18"/>
                <w:szCs w:val="18"/>
                <w:lang w:val="en-GB"/>
              </w:rPr>
            </w:pPr>
            <w:r w:rsidRPr="00D30847">
              <w:rPr>
                <w:rFonts w:eastAsia="Times New Roman" w:cs="Calibri"/>
                <w:color w:val="202124"/>
                <w:sz w:val="18"/>
                <w:szCs w:val="18"/>
                <w:lang w:val="en-GB"/>
              </w:rPr>
              <w:t xml:space="preserve"> -Lack of funding for the establishment of an online platform</w:t>
            </w:r>
          </w:p>
          <w:p w14:paraId="2D425AC4" w14:textId="77777777" w:rsidR="007221B1" w:rsidRPr="00D30847" w:rsidRDefault="007221B1" w:rsidP="007221B1">
            <w:pPr>
              <w:spacing w:after="0" w:line="240" w:lineRule="auto"/>
              <w:rPr>
                <w:rFonts w:eastAsia="Times New Roman" w:cs="Calibri"/>
                <w:color w:val="202124"/>
                <w:sz w:val="18"/>
                <w:szCs w:val="18"/>
                <w:lang w:val="en-GB"/>
              </w:rPr>
            </w:pPr>
          </w:p>
          <w:p w14:paraId="65A0D5B0" w14:textId="77777777" w:rsidR="007221B1" w:rsidRPr="00D30847" w:rsidRDefault="007221B1" w:rsidP="007221B1">
            <w:pPr>
              <w:spacing w:after="0" w:line="240" w:lineRule="auto"/>
              <w:rPr>
                <w:rFonts w:eastAsia="Times New Roman" w:cs="Calibri"/>
                <w:color w:val="202124"/>
                <w:sz w:val="18"/>
                <w:szCs w:val="18"/>
                <w:lang w:val="en-GB"/>
              </w:rPr>
            </w:pPr>
            <w:r w:rsidRPr="00D30847">
              <w:rPr>
                <w:rFonts w:eastAsia="Times New Roman" w:cs="Calibri"/>
                <w:color w:val="202124"/>
                <w:sz w:val="18"/>
                <w:szCs w:val="18"/>
                <w:lang w:val="en-GB"/>
              </w:rPr>
              <w:t>-Insufficient functionality and performance of the platform, leading to unsatisfactory usability and inability to meet the expectations and needs of users</w:t>
            </w:r>
          </w:p>
          <w:p w14:paraId="66329B86" w14:textId="77777777" w:rsidR="007221B1" w:rsidRPr="00D30847" w:rsidRDefault="007221B1" w:rsidP="007221B1">
            <w:pPr>
              <w:spacing w:after="0" w:line="240" w:lineRule="auto"/>
              <w:rPr>
                <w:rFonts w:eastAsia="Times New Roman" w:cs="Calibri"/>
                <w:color w:val="202124"/>
                <w:sz w:val="18"/>
                <w:szCs w:val="18"/>
                <w:lang w:val="en-GB"/>
              </w:rPr>
            </w:pPr>
          </w:p>
          <w:p w14:paraId="3E8554AC" w14:textId="77777777" w:rsidR="007221B1" w:rsidRPr="00D30847" w:rsidRDefault="007221B1" w:rsidP="007221B1">
            <w:pPr>
              <w:spacing w:after="0" w:line="240" w:lineRule="auto"/>
              <w:rPr>
                <w:rFonts w:eastAsia="Times New Roman" w:cs="Calibri"/>
                <w:color w:val="202124"/>
                <w:sz w:val="18"/>
                <w:szCs w:val="18"/>
                <w:lang w:val="en-GB"/>
              </w:rPr>
            </w:pPr>
            <w:r w:rsidRPr="00D30847">
              <w:rPr>
                <w:rFonts w:eastAsia="Times New Roman" w:cs="Calibri"/>
                <w:color w:val="202124"/>
                <w:sz w:val="18"/>
                <w:szCs w:val="18"/>
                <w:lang w:val="en-GB"/>
              </w:rPr>
              <w:t>-Lack of cooperation of stakeholders in terms of providing information for publishing blogs, articles and announcements</w:t>
            </w:r>
          </w:p>
          <w:p w14:paraId="1C0E2107" w14:textId="77777777" w:rsidR="007221B1" w:rsidRPr="00D30847" w:rsidRDefault="007221B1" w:rsidP="007221B1">
            <w:pPr>
              <w:spacing w:after="0" w:line="240" w:lineRule="auto"/>
              <w:rPr>
                <w:rFonts w:eastAsia="Times New Roman" w:cs="Calibri"/>
                <w:color w:val="202124"/>
                <w:sz w:val="18"/>
                <w:szCs w:val="18"/>
                <w:lang w:val="en-GB"/>
              </w:rPr>
            </w:pPr>
          </w:p>
          <w:p w14:paraId="6515DB83" w14:textId="77777777" w:rsidR="007221B1" w:rsidRPr="00D30847" w:rsidRDefault="007221B1" w:rsidP="007221B1">
            <w:pPr>
              <w:spacing w:after="0" w:line="240" w:lineRule="auto"/>
              <w:rPr>
                <w:rFonts w:eastAsia="Times New Roman" w:cs="Calibri"/>
                <w:color w:val="202124"/>
                <w:sz w:val="18"/>
                <w:szCs w:val="18"/>
                <w:lang w:val="en-GB"/>
              </w:rPr>
            </w:pPr>
            <w:r w:rsidRPr="00D30847">
              <w:rPr>
                <w:rFonts w:eastAsia="Times New Roman" w:cs="Calibri"/>
                <w:color w:val="202124"/>
                <w:sz w:val="18"/>
                <w:szCs w:val="18"/>
                <w:lang w:val="en-GB"/>
              </w:rPr>
              <w:t>- Untimely preparation of the communication strategy</w:t>
            </w:r>
          </w:p>
          <w:p w14:paraId="129325DB" w14:textId="77777777" w:rsidR="007221B1" w:rsidRPr="00D30847" w:rsidRDefault="007221B1" w:rsidP="007221B1">
            <w:pPr>
              <w:spacing w:after="0" w:line="240" w:lineRule="auto"/>
              <w:rPr>
                <w:rFonts w:eastAsia="Times New Roman" w:cs="Calibri"/>
                <w:color w:val="202124"/>
                <w:sz w:val="18"/>
                <w:szCs w:val="18"/>
                <w:lang w:val="en-GB"/>
              </w:rPr>
            </w:pPr>
          </w:p>
          <w:p w14:paraId="3220004D" w14:textId="77777777" w:rsidR="007221B1" w:rsidRPr="00D30847" w:rsidRDefault="007221B1" w:rsidP="007221B1">
            <w:pPr>
              <w:spacing w:after="0" w:line="240" w:lineRule="auto"/>
              <w:rPr>
                <w:rFonts w:eastAsia="Times New Roman" w:cs="Calibri"/>
                <w:color w:val="202124"/>
                <w:sz w:val="18"/>
                <w:szCs w:val="18"/>
                <w:lang w:val="en-GB"/>
              </w:rPr>
            </w:pPr>
            <w:r w:rsidRPr="00D30847">
              <w:rPr>
                <w:rFonts w:eastAsia="Times New Roman" w:cs="Calibri"/>
                <w:color w:val="202124"/>
                <w:sz w:val="18"/>
                <w:szCs w:val="18"/>
                <w:lang w:val="en-GB"/>
              </w:rPr>
              <w:t>- Lack of support and deficit of financial resources for the implementation of the annual meeting "All Unite"</w:t>
            </w:r>
          </w:p>
          <w:p w14:paraId="5F137EBA" w14:textId="0AF709F7" w:rsidR="007221B1" w:rsidRPr="00D30847" w:rsidRDefault="007221B1" w:rsidP="007221B1">
            <w:pPr>
              <w:spacing w:after="0" w:line="240" w:lineRule="auto"/>
              <w:jc w:val="both"/>
              <w:rPr>
                <w:rFonts w:eastAsia="Times New Roman" w:cs="Calibri"/>
                <w:color w:val="202124"/>
                <w:sz w:val="18"/>
                <w:szCs w:val="18"/>
                <w:lang w:val="en-GB"/>
              </w:rPr>
            </w:pPr>
            <w:r w:rsidRPr="00D30847">
              <w:rPr>
                <w:rFonts w:eastAsia="Times New Roman" w:cs="Calibri"/>
                <w:color w:val="202124"/>
                <w:sz w:val="18"/>
                <w:szCs w:val="18"/>
                <w:lang w:val="en-GB"/>
              </w:rPr>
              <w:lastRenderedPageBreak/>
              <w:t>-Lack of support from donors, collaborators and partners for providing training of trainers on the topic of sustainable finance for PFA employees, and thus the inability to further organize trainings in the area of ​​sustainable finance for the public sector.</w:t>
            </w:r>
          </w:p>
        </w:tc>
        <w:tc>
          <w:tcPr>
            <w:tcW w:w="2254" w:type="dxa"/>
            <w:vMerge w:val="restart"/>
            <w:shd w:val="clear" w:color="auto" w:fill="auto"/>
          </w:tcPr>
          <w:p w14:paraId="09F18302" w14:textId="77777777" w:rsidR="007221B1" w:rsidRPr="00D30847" w:rsidRDefault="007221B1" w:rsidP="007221B1">
            <w:pPr>
              <w:spacing w:after="0" w:line="240" w:lineRule="auto"/>
              <w:rPr>
                <w:rFonts w:eastAsia="Times New Roman" w:cs="Calibri"/>
                <w:color w:val="202124"/>
                <w:sz w:val="18"/>
                <w:szCs w:val="18"/>
                <w:lang w:val="en-GB"/>
              </w:rPr>
            </w:pPr>
            <w:r w:rsidRPr="00D30847">
              <w:rPr>
                <w:rFonts w:eastAsia="Times New Roman" w:cs="Calibri"/>
                <w:color w:val="202124"/>
                <w:sz w:val="18"/>
                <w:szCs w:val="18"/>
                <w:lang w:val="en-GB"/>
              </w:rPr>
              <w:lastRenderedPageBreak/>
              <w:t>Ministry of finance</w:t>
            </w:r>
          </w:p>
        </w:tc>
      </w:tr>
      <w:tr w:rsidR="007221B1" w:rsidRPr="00D30847" w14:paraId="1A6DB7C2" w14:textId="77777777" w:rsidTr="00E935CF">
        <w:tc>
          <w:tcPr>
            <w:tcW w:w="562" w:type="dxa"/>
            <w:vMerge/>
            <w:shd w:val="clear" w:color="auto" w:fill="auto"/>
          </w:tcPr>
          <w:p w14:paraId="49817454" w14:textId="77777777" w:rsidR="007221B1" w:rsidRPr="00D30847" w:rsidRDefault="007221B1" w:rsidP="007221B1">
            <w:pPr>
              <w:spacing w:after="0" w:line="240" w:lineRule="auto"/>
              <w:rPr>
                <w:rFonts w:cs="Calibri"/>
                <w:sz w:val="18"/>
                <w:szCs w:val="18"/>
                <w:lang w:val="en-GB"/>
              </w:rPr>
            </w:pPr>
          </w:p>
        </w:tc>
        <w:tc>
          <w:tcPr>
            <w:tcW w:w="2381" w:type="dxa"/>
            <w:vMerge/>
            <w:shd w:val="clear" w:color="auto" w:fill="auto"/>
          </w:tcPr>
          <w:p w14:paraId="065893C2" w14:textId="77777777" w:rsidR="007221B1" w:rsidRPr="00D30847" w:rsidRDefault="007221B1" w:rsidP="007221B1">
            <w:pPr>
              <w:spacing w:after="0" w:line="240" w:lineRule="auto"/>
              <w:rPr>
                <w:rFonts w:cs="Calibri"/>
                <w:b/>
                <w:sz w:val="18"/>
                <w:szCs w:val="18"/>
                <w:lang w:val="en-GB"/>
              </w:rPr>
            </w:pPr>
          </w:p>
        </w:tc>
        <w:tc>
          <w:tcPr>
            <w:tcW w:w="3819" w:type="dxa"/>
            <w:shd w:val="clear" w:color="auto" w:fill="auto"/>
          </w:tcPr>
          <w:p w14:paraId="0F2939C5" w14:textId="71664B3A" w:rsidR="007221B1" w:rsidRPr="00D30847" w:rsidRDefault="007221B1" w:rsidP="005B579D">
            <w:pPr>
              <w:spacing w:after="0" w:line="240" w:lineRule="auto"/>
              <w:rPr>
                <w:rFonts w:eastAsia="Times New Roman" w:cs="Calibri"/>
                <w:color w:val="202124"/>
                <w:sz w:val="18"/>
                <w:szCs w:val="18"/>
                <w:lang w:val="en-GB"/>
              </w:rPr>
            </w:pPr>
          </w:p>
        </w:tc>
        <w:tc>
          <w:tcPr>
            <w:tcW w:w="2254" w:type="dxa"/>
            <w:vMerge/>
            <w:shd w:val="clear" w:color="auto" w:fill="auto"/>
          </w:tcPr>
          <w:p w14:paraId="3B99E833" w14:textId="77777777" w:rsidR="007221B1" w:rsidRPr="00D30847" w:rsidRDefault="007221B1" w:rsidP="007221B1">
            <w:pPr>
              <w:spacing w:after="0" w:line="240" w:lineRule="auto"/>
              <w:rPr>
                <w:rFonts w:eastAsia="Times New Roman" w:cs="Calibri"/>
                <w:color w:val="202124"/>
                <w:sz w:val="18"/>
                <w:szCs w:val="18"/>
                <w:lang w:val="en-GB"/>
              </w:rPr>
            </w:pPr>
          </w:p>
        </w:tc>
      </w:tr>
      <w:tr w:rsidR="007221B1" w:rsidRPr="00D30847" w14:paraId="77F809FF" w14:textId="77777777" w:rsidTr="00E935CF">
        <w:tc>
          <w:tcPr>
            <w:tcW w:w="9016" w:type="dxa"/>
            <w:gridSpan w:val="4"/>
            <w:shd w:val="clear" w:color="auto" w:fill="D9E2F3"/>
          </w:tcPr>
          <w:p w14:paraId="7E2F4F09" w14:textId="2D8EA1B7" w:rsidR="007221B1" w:rsidRPr="00D30847" w:rsidRDefault="007221B1" w:rsidP="007221B1">
            <w:pPr>
              <w:spacing w:after="0" w:line="240" w:lineRule="auto"/>
              <w:rPr>
                <w:rFonts w:cs="Calibri"/>
                <w:b/>
                <w:sz w:val="18"/>
                <w:szCs w:val="18"/>
                <w:lang w:val="en-GB"/>
              </w:rPr>
            </w:pPr>
            <w:r w:rsidRPr="00D30847">
              <w:rPr>
                <w:rFonts w:cs="Calibri"/>
                <w:b/>
                <w:sz w:val="18"/>
                <w:szCs w:val="18"/>
                <w:lang w:val="en-GB"/>
              </w:rPr>
              <w:t>PILLAR VI – Public Internal Financial Control - PIFC</w:t>
            </w:r>
          </w:p>
        </w:tc>
      </w:tr>
      <w:tr w:rsidR="007221B1" w:rsidRPr="00D30847" w14:paraId="2FA9A22D" w14:textId="77777777" w:rsidTr="00E935CF">
        <w:tc>
          <w:tcPr>
            <w:tcW w:w="562" w:type="dxa"/>
            <w:shd w:val="clear" w:color="auto" w:fill="auto"/>
          </w:tcPr>
          <w:p w14:paraId="01A4740D" w14:textId="6134CC0B" w:rsidR="007221B1" w:rsidRPr="00D30847" w:rsidRDefault="007221B1" w:rsidP="007221B1">
            <w:pPr>
              <w:spacing w:after="0" w:line="240" w:lineRule="auto"/>
              <w:rPr>
                <w:rFonts w:cs="Calibri"/>
                <w:sz w:val="18"/>
                <w:szCs w:val="18"/>
                <w:lang w:val="en-GB"/>
              </w:rPr>
            </w:pPr>
            <w:r w:rsidRPr="00D30847">
              <w:rPr>
                <w:rFonts w:cs="Calibri"/>
                <w:sz w:val="18"/>
                <w:szCs w:val="18"/>
                <w:lang w:val="en-GB"/>
              </w:rPr>
              <w:t>15</w:t>
            </w:r>
          </w:p>
        </w:tc>
        <w:tc>
          <w:tcPr>
            <w:tcW w:w="2381" w:type="dxa"/>
            <w:shd w:val="clear" w:color="auto" w:fill="auto"/>
          </w:tcPr>
          <w:p w14:paraId="1D04C64E" w14:textId="77777777" w:rsidR="007221B1" w:rsidRPr="00D30847" w:rsidRDefault="007221B1" w:rsidP="007221B1">
            <w:pPr>
              <w:spacing w:after="0" w:line="240" w:lineRule="auto"/>
              <w:rPr>
                <w:rFonts w:cs="Calibri"/>
                <w:b/>
                <w:sz w:val="18"/>
                <w:szCs w:val="18"/>
                <w:lang w:val="en-GB"/>
              </w:rPr>
            </w:pPr>
            <w:r w:rsidRPr="00D30847">
              <w:rPr>
                <w:rFonts w:cs="Calibri"/>
                <w:b/>
                <w:sz w:val="18"/>
                <w:szCs w:val="18"/>
                <w:lang w:val="en-GB"/>
              </w:rPr>
              <w:t xml:space="preserve">Priority 1: </w:t>
            </w:r>
          </w:p>
          <w:p w14:paraId="5B385EED" w14:textId="11BDEFDB" w:rsidR="007221B1" w:rsidRPr="00D30847" w:rsidRDefault="007221B1" w:rsidP="007221B1">
            <w:pPr>
              <w:spacing w:after="0" w:line="240" w:lineRule="auto"/>
              <w:rPr>
                <w:rFonts w:cs="Calibri"/>
                <w:sz w:val="18"/>
                <w:szCs w:val="18"/>
                <w:lang w:val="en-GB"/>
              </w:rPr>
            </w:pPr>
            <w:r w:rsidRPr="00D30847">
              <w:rPr>
                <w:rFonts w:cs="Calibri"/>
                <w:sz w:val="18"/>
                <w:szCs w:val="18"/>
                <w:lang w:val="en-GB"/>
              </w:rPr>
              <w:t>Financial Management and Internal Control</w:t>
            </w:r>
          </w:p>
        </w:tc>
        <w:tc>
          <w:tcPr>
            <w:tcW w:w="3819" w:type="dxa"/>
            <w:shd w:val="clear" w:color="auto" w:fill="auto"/>
          </w:tcPr>
          <w:p w14:paraId="1C9E7F1B" w14:textId="18217B58" w:rsidR="007221B1" w:rsidRPr="00D30847" w:rsidRDefault="007221B1" w:rsidP="007221B1">
            <w:pPr>
              <w:spacing w:after="0" w:line="240" w:lineRule="auto"/>
              <w:rPr>
                <w:rFonts w:cs="Calibri"/>
                <w:sz w:val="18"/>
                <w:szCs w:val="18"/>
                <w:lang w:val="en-GB"/>
              </w:rPr>
            </w:pPr>
            <w:r w:rsidRPr="00D30847">
              <w:rPr>
                <w:rFonts w:eastAsia="Times New Roman" w:cs="Calibri"/>
                <w:color w:val="202124"/>
                <w:sz w:val="18"/>
                <w:szCs w:val="18"/>
                <w:lang w:val="en-GB"/>
              </w:rPr>
              <w:t>Insufficient staffing and insufficient training of human resources (in the CHU and Financial Affairs Units</w:t>
            </w:r>
          </w:p>
        </w:tc>
        <w:tc>
          <w:tcPr>
            <w:tcW w:w="2254" w:type="dxa"/>
            <w:vMerge w:val="restart"/>
            <w:shd w:val="clear" w:color="auto" w:fill="auto"/>
          </w:tcPr>
          <w:p w14:paraId="077EF83E" w14:textId="29C87AC5" w:rsidR="007221B1" w:rsidRPr="00D30847" w:rsidRDefault="007221B1" w:rsidP="007221B1">
            <w:pPr>
              <w:spacing w:after="0" w:line="240" w:lineRule="auto"/>
              <w:rPr>
                <w:rFonts w:eastAsia="MS PGothic" w:cs="Calibri"/>
                <w:sz w:val="18"/>
                <w:szCs w:val="18"/>
                <w:lang w:val="en-GB" w:eastAsia="zh-CN"/>
              </w:rPr>
            </w:pPr>
            <w:r w:rsidRPr="00D30847">
              <w:rPr>
                <w:rFonts w:eastAsia="MS PGothic" w:cs="Calibri"/>
                <w:sz w:val="18"/>
                <w:szCs w:val="18"/>
                <w:lang w:val="en-GB" w:eastAsia="zh-CN"/>
              </w:rPr>
              <w:t>Ministry of Finance</w:t>
            </w:r>
          </w:p>
          <w:p w14:paraId="2D06164D" w14:textId="77777777" w:rsidR="007221B1" w:rsidRPr="00D30847" w:rsidRDefault="007221B1" w:rsidP="007221B1">
            <w:pPr>
              <w:spacing w:after="0" w:line="240" w:lineRule="auto"/>
              <w:rPr>
                <w:rFonts w:eastAsia="MS PGothic" w:cs="Calibri"/>
                <w:sz w:val="18"/>
                <w:szCs w:val="18"/>
                <w:lang w:val="en-GB" w:eastAsia="zh-CN"/>
              </w:rPr>
            </w:pPr>
          </w:p>
          <w:p w14:paraId="5D924F27" w14:textId="77777777" w:rsidR="007221B1" w:rsidRPr="00D30847" w:rsidRDefault="007221B1" w:rsidP="007221B1">
            <w:pPr>
              <w:spacing w:after="0" w:line="240" w:lineRule="auto"/>
              <w:rPr>
                <w:rFonts w:eastAsia="MS PGothic" w:cs="Calibri"/>
                <w:sz w:val="18"/>
                <w:szCs w:val="18"/>
                <w:lang w:val="en-GB" w:eastAsia="zh-CN"/>
              </w:rPr>
            </w:pPr>
          </w:p>
          <w:p w14:paraId="50F37A70" w14:textId="77777777" w:rsidR="007221B1" w:rsidRPr="00D30847" w:rsidRDefault="007221B1" w:rsidP="007221B1">
            <w:pPr>
              <w:spacing w:after="0" w:line="240" w:lineRule="auto"/>
              <w:rPr>
                <w:rFonts w:eastAsia="MS PGothic" w:cs="Calibri"/>
                <w:sz w:val="18"/>
                <w:szCs w:val="18"/>
                <w:lang w:val="en-GB" w:eastAsia="zh-CN"/>
              </w:rPr>
            </w:pPr>
          </w:p>
          <w:p w14:paraId="27ACEA6A" w14:textId="77777777" w:rsidR="007221B1" w:rsidRPr="00D30847" w:rsidRDefault="007221B1" w:rsidP="007221B1">
            <w:pPr>
              <w:spacing w:after="0" w:line="240" w:lineRule="auto"/>
              <w:rPr>
                <w:rFonts w:cs="Calibri"/>
                <w:sz w:val="18"/>
                <w:szCs w:val="18"/>
                <w:lang w:val="en-GB"/>
              </w:rPr>
            </w:pPr>
          </w:p>
        </w:tc>
      </w:tr>
      <w:tr w:rsidR="007221B1" w:rsidRPr="00D30847" w14:paraId="47D1B4DC" w14:textId="77777777" w:rsidTr="00E935CF">
        <w:tc>
          <w:tcPr>
            <w:tcW w:w="562" w:type="dxa"/>
            <w:vMerge w:val="restart"/>
            <w:shd w:val="clear" w:color="auto" w:fill="auto"/>
          </w:tcPr>
          <w:p w14:paraId="19BF5EA2" w14:textId="4184AF9E" w:rsidR="007221B1" w:rsidRPr="00D30847" w:rsidRDefault="007221B1" w:rsidP="007221B1">
            <w:pPr>
              <w:spacing w:after="0" w:line="240" w:lineRule="auto"/>
              <w:rPr>
                <w:rFonts w:cs="Calibri"/>
                <w:sz w:val="18"/>
                <w:szCs w:val="18"/>
                <w:lang w:val="en-GB"/>
              </w:rPr>
            </w:pPr>
            <w:r w:rsidRPr="00D30847">
              <w:rPr>
                <w:rFonts w:cs="Calibri"/>
                <w:sz w:val="18"/>
                <w:szCs w:val="18"/>
                <w:lang w:val="en-GB"/>
              </w:rPr>
              <w:t>16</w:t>
            </w:r>
          </w:p>
        </w:tc>
        <w:tc>
          <w:tcPr>
            <w:tcW w:w="2381" w:type="dxa"/>
            <w:vMerge w:val="restart"/>
            <w:shd w:val="clear" w:color="auto" w:fill="auto"/>
          </w:tcPr>
          <w:p w14:paraId="5D9E2EDD" w14:textId="77777777" w:rsidR="007221B1" w:rsidRPr="00D30847" w:rsidRDefault="007221B1" w:rsidP="007221B1">
            <w:pPr>
              <w:spacing w:after="0" w:line="240" w:lineRule="auto"/>
              <w:rPr>
                <w:rFonts w:cs="Calibri"/>
                <w:b/>
                <w:sz w:val="18"/>
                <w:szCs w:val="18"/>
                <w:lang w:val="en-GB"/>
              </w:rPr>
            </w:pPr>
            <w:r w:rsidRPr="00D30847">
              <w:rPr>
                <w:rFonts w:cs="Calibri"/>
                <w:b/>
                <w:sz w:val="18"/>
                <w:szCs w:val="18"/>
                <w:lang w:val="en-GB"/>
              </w:rPr>
              <w:t xml:space="preserve">Priority 2: </w:t>
            </w:r>
          </w:p>
          <w:p w14:paraId="1878AF1A" w14:textId="7C9BE4B4" w:rsidR="007221B1" w:rsidRPr="00D30847" w:rsidRDefault="007221B1" w:rsidP="007221B1">
            <w:pPr>
              <w:spacing w:after="0" w:line="240" w:lineRule="auto"/>
              <w:rPr>
                <w:rFonts w:cs="Calibri"/>
                <w:sz w:val="18"/>
                <w:szCs w:val="18"/>
                <w:lang w:val="en-GB"/>
              </w:rPr>
            </w:pPr>
            <w:r w:rsidRPr="00D30847">
              <w:rPr>
                <w:rFonts w:cs="Calibri"/>
                <w:sz w:val="18"/>
                <w:szCs w:val="18"/>
                <w:lang w:val="en-GB"/>
              </w:rPr>
              <w:t>Internal Audit</w:t>
            </w:r>
          </w:p>
        </w:tc>
        <w:tc>
          <w:tcPr>
            <w:tcW w:w="3819" w:type="dxa"/>
            <w:shd w:val="clear" w:color="auto" w:fill="auto"/>
          </w:tcPr>
          <w:p w14:paraId="68E2319D" w14:textId="0B6036D0" w:rsidR="007221B1" w:rsidRPr="00D30847" w:rsidRDefault="007221B1" w:rsidP="007221B1">
            <w:pPr>
              <w:spacing w:after="0" w:line="240" w:lineRule="auto"/>
              <w:rPr>
                <w:rFonts w:cs="Calibri"/>
                <w:sz w:val="18"/>
                <w:szCs w:val="18"/>
                <w:lang w:val="en-GB"/>
              </w:rPr>
            </w:pPr>
            <w:r w:rsidRPr="00D30847">
              <w:rPr>
                <w:rFonts w:eastAsia="MS PGothic" w:cs="Calibri"/>
                <w:sz w:val="18"/>
                <w:szCs w:val="18"/>
                <w:lang w:val="en-GB" w:eastAsia="zh-CN"/>
              </w:rPr>
              <w:t xml:space="preserve">Lack of internal auditors in the </w:t>
            </w:r>
            <w:proofErr w:type="spellStart"/>
            <w:r w:rsidRPr="00D30847">
              <w:rPr>
                <w:rFonts w:eastAsia="MS PGothic" w:cs="Calibri"/>
                <w:sz w:val="18"/>
                <w:szCs w:val="18"/>
                <w:lang w:val="en-GB" w:eastAsia="zh-CN"/>
              </w:rPr>
              <w:t>labor</w:t>
            </w:r>
            <w:proofErr w:type="spellEnd"/>
            <w:r w:rsidRPr="00D30847">
              <w:rPr>
                <w:rFonts w:eastAsia="MS PGothic" w:cs="Calibri"/>
                <w:sz w:val="18"/>
                <w:szCs w:val="18"/>
                <w:lang w:val="en-GB" w:eastAsia="zh-CN"/>
              </w:rPr>
              <w:t xml:space="preserve"> market</w:t>
            </w:r>
          </w:p>
        </w:tc>
        <w:tc>
          <w:tcPr>
            <w:tcW w:w="2254" w:type="dxa"/>
            <w:vMerge/>
            <w:shd w:val="clear" w:color="auto" w:fill="auto"/>
          </w:tcPr>
          <w:p w14:paraId="48964494" w14:textId="77777777" w:rsidR="007221B1" w:rsidRPr="00D30847" w:rsidRDefault="007221B1" w:rsidP="007221B1">
            <w:pPr>
              <w:spacing w:after="0" w:line="240" w:lineRule="auto"/>
              <w:rPr>
                <w:rFonts w:cs="Calibri"/>
                <w:sz w:val="18"/>
                <w:szCs w:val="18"/>
                <w:lang w:val="en-GB"/>
              </w:rPr>
            </w:pPr>
          </w:p>
        </w:tc>
      </w:tr>
      <w:tr w:rsidR="007221B1" w:rsidRPr="00D30847" w14:paraId="4AB2F1EC" w14:textId="77777777" w:rsidTr="00E935CF">
        <w:tc>
          <w:tcPr>
            <w:tcW w:w="562" w:type="dxa"/>
            <w:vMerge/>
            <w:shd w:val="clear" w:color="auto" w:fill="auto"/>
          </w:tcPr>
          <w:p w14:paraId="5314469E" w14:textId="77777777" w:rsidR="007221B1" w:rsidRPr="00D30847" w:rsidRDefault="007221B1" w:rsidP="007221B1">
            <w:pPr>
              <w:spacing w:after="0" w:line="240" w:lineRule="auto"/>
              <w:rPr>
                <w:rFonts w:cs="Calibri"/>
                <w:sz w:val="18"/>
                <w:szCs w:val="18"/>
                <w:lang w:val="en-GB"/>
              </w:rPr>
            </w:pPr>
          </w:p>
        </w:tc>
        <w:tc>
          <w:tcPr>
            <w:tcW w:w="2381" w:type="dxa"/>
            <w:vMerge/>
            <w:shd w:val="clear" w:color="auto" w:fill="auto"/>
          </w:tcPr>
          <w:p w14:paraId="4BE60E6A" w14:textId="77777777" w:rsidR="007221B1" w:rsidRPr="00D30847" w:rsidRDefault="007221B1" w:rsidP="007221B1">
            <w:pPr>
              <w:spacing w:after="0" w:line="240" w:lineRule="auto"/>
              <w:rPr>
                <w:rFonts w:cs="Calibri"/>
                <w:b/>
                <w:sz w:val="18"/>
                <w:szCs w:val="18"/>
                <w:lang w:val="en-GB"/>
              </w:rPr>
            </w:pPr>
          </w:p>
        </w:tc>
        <w:tc>
          <w:tcPr>
            <w:tcW w:w="3819" w:type="dxa"/>
            <w:shd w:val="clear" w:color="auto" w:fill="auto"/>
          </w:tcPr>
          <w:p w14:paraId="53C3CB61" w14:textId="4E1C12E7" w:rsidR="007221B1" w:rsidRPr="00D30847" w:rsidRDefault="007221B1" w:rsidP="007221B1">
            <w:pPr>
              <w:spacing w:after="0" w:line="240" w:lineRule="auto"/>
              <w:rPr>
                <w:rFonts w:eastAsia="MS PGothic" w:cs="Calibri"/>
                <w:sz w:val="18"/>
                <w:szCs w:val="18"/>
                <w:lang w:val="en-GB" w:eastAsia="zh-CN"/>
              </w:rPr>
            </w:pPr>
            <w:r w:rsidRPr="00D30847">
              <w:rPr>
                <w:rFonts w:eastAsia="MS PGothic" w:cs="Calibri"/>
                <w:sz w:val="18"/>
                <w:szCs w:val="18"/>
                <w:lang w:val="en-GB" w:eastAsia="zh-CN"/>
              </w:rPr>
              <w:t>Insufficient IT technical support for a web platform</w:t>
            </w:r>
          </w:p>
        </w:tc>
        <w:tc>
          <w:tcPr>
            <w:tcW w:w="2254" w:type="dxa"/>
            <w:vMerge/>
            <w:shd w:val="clear" w:color="auto" w:fill="auto"/>
          </w:tcPr>
          <w:p w14:paraId="195E1E09" w14:textId="77777777" w:rsidR="007221B1" w:rsidRPr="00D30847" w:rsidRDefault="007221B1" w:rsidP="007221B1">
            <w:pPr>
              <w:spacing w:after="0" w:line="240" w:lineRule="auto"/>
              <w:rPr>
                <w:rFonts w:cs="Calibri"/>
                <w:sz w:val="18"/>
                <w:szCs w:val="18"/>
                <w:lang w:val="en-GB"/>
              </w:rPr>
            </w:pPr>
          </w:p>
        </w:tc>
      </w:tr>
      <w:tr w:rsidR="007221B1" w:rsidRPr="00D30847" w14:paraId="63DEAB46" w14:textId="77777777" w:rsidTr="00923BCD">
        <w:trPr>
          <w:trHeight w:val="426"/>
        </w:trPr>
        <w:tc>
          <w:tcPr>
            <w:tcW w:w="562" w:type="dxa"/>
            <w:vMerge/>
            <w:shd w:val="clear" w:color="auto" w:fill="auto"/>
          </w:tcPr>
          <w:p w14:paraId="4DF7BC7B" w14:textId="77777777" w:rsidR="007221B1" w:rsidRPr="00D30847" w:rsidRDefault="007221B1" w:rsidP="007221B1">
            <w:pPr>
              <w:spacing w:after="0" w:line="240" w:lineRule="auto"/>
              <w:rPr>
                <w:rFonts w:cs="Calibri"/>
                <w:sz w:val="18"/>
                <w:szCs w:val="18"/>
                <w:lang w:val="en-GB"/>
              </w:rPr>
            </w:pPr>
          </w:p>
        </w:tc>
        <w:tc>
          <w:tcPr>
            <w:tcW w:w="2381" w:type="dxa"/>
            <w:vMerge/>
            <w:shd w:val="clear" w:color="auto" w:fill="auto"/>
          </w:tcPr>
          <w:p w14:paraId="34069B0B" w14:textId="77777777" w:rsidR="007221B1" w:rsidRPr="00D30847" w:rsidRDefault="007221B1" w:rsidP="007221B1">
            <w:pPr>
              <w:spacing w:after="0" w:line="240" w:lineRule="auto"/>
              <w:rPr>
                <w:rFonts w:cs="Calibri"/>
                <w:sz w:val="18"/>
                <w:szCs w:val="18"/>
                <w:lang w:val="en-GB"/>
              </w:rPr>
            </w:pPr>
          </w:p>
        </w:tc>
        <w:tc>
          <w:tcPr>
            <w:tcW w:w="3819" w:type="dxa"/>
            <w:shd w:val="clear" w:color="auto" w:fill="auto"/>
          </w:tcPr>
          <w:p w14:paraId="728E1492" w14:textId="4A329D9F" w:rsidR="007221B1" w:rsidRPr="00D30847" w:rsidRDefault="007221B1" w:rsidP="007221B1">
            <w:pPr>
              <w:spacing w:after="0" w:line="240" w:lineRule="auto"/>
              <w:rPr>
                <w:rFonts w:cs="Calibri"/>
                <w:sz w:val="18"/>
                <w:szCs w:val="18"/>
                <w:lang w:val="en-GB"/>
              </w:rPr>
            </w:pPr>
            <w:r w:rsidRPr="00D30847">
              <w:rPr>
                <w:rFonts w:eastAsia="MS PGothic" w:cs="Calibri"/>
                <w:sz w:val="18"/>
                <w:szCs w:val="18"/>
                <w:lang w:val="en-GB" w:eastAsia="zh-CN"/>
              </w:rPr>
              <w:t>Insufficient number of adequately trained internal auditors</w:t>
            </w:r>
          </w:p>
        </w:tc>
        <w:tc>
          <w:tcPr>
            <w:tcW w:w="2254" w:type="dxa"/>
            <w:vMerge/>
            <w:shd w:val="clear" w:color="auto" w:fill="auto"/>
          </w:tcPr>
          <w:p w14:paraId="4FB813DB" w14:textId="77777777" w:rsidR="007221B1" w:rsidRPr="00D30847" w:rsidRDefault="007221B1" w:rsidP="007221B1">
            <w:pPr>
              <w:spacing w:after="0" w:line="240" w:lineRule="auto"/>
              <w:rPr>
                <w:rFonts w:cs="Calibri"/>
                <w:sz w:val="18"/>
                <w:szCs w:val="18"/>
                <w:lang w:val="en-GB"/>
              </w:rPr>
            </w:pPr>
          </w:p>
        </w:tc>
      </w:tr>
      <w:tr w:rsidR="007221B1" w:rsidRPr="00D30847" w14:paraId="571C2C4C" w14:textId="77777777" w:rsidTr="00E935CF">
        <w:tc>
          <w:tcPr>
            <w:tcW w:w="9016" w:type="dxa"/>
            <w:gridSpan w:val="4"/>
            <w:shd w:val="clear" w:color="auto" w:fill="D9E2F3"/>
          </w:tcPr>
          <w:p w14:paraId="3884BB8F" w14:textId="5F810248" w:rsidR="007221B1" w:rsidRPr="00D30847" w:rsidRDefault="007221B1" w:rsidP="007221B1">
            <w:pPr>
              <w:spacing w:after="0" w:line="240" w:lineRule="auto"/>
              <w:rPr>
                <w:rFonts w:cs="Calibri"/>
                <w:b/>
                <w:sz w:val="18"/>
                <w:szCs w:val="18"/>
                <w:lang w:val="en-GB"/>
              </w:rPr>
            </w:pPr>
            <w:r w:rsidRPr="00D30847">
              <w:rPr>
                <w:rFonts w:cs="Calibri"/>
                <w:b/>
                <w:sz w:val="18"/>
                <w:szCs w:val="18"/>
                <w:lang w:val="en-GB"/>
              </w:rPr>
              <w:t>PILLAR VII – External Audit and Parliamentary Oversight</w:t>
            </w:r>
          </w:p>
        </w:tc>
      </w:tr>
      <w:tr w:rsidR="007221B1" w:rsidRPr="00D30847" w14:paraId="3CFDBC8D" w14:textId="77777777" w:rsidTr="00E935CF">
        <w:tc>
          <w:tcPr>
            <w:tcW w:w="562" w:type="dxa"/>
            <w:vMerge w:val="restart"/>
            <w:shd w:val="clear" w:color="auto" w:fill="auto"/>
          </w:tcPr>
          <w:p w14:paraId="6EDC4728" w14:textId="1A521046" w:rsidR="007221B1" w:rsidRPr="00D30847" w:rsidRDefault="007221B1" w:rsidP="007221B1">
            <w:pPr>
              <w:spacing w:after="0" w:line="240" w:lineRule="auto"/>
              <w:rPr>
                <w:rFonts w:cs="Calibri"/>
                <w:sz w:val="18"/>
                <w:szCs w:val="18"/>
                <w:lang w:val="en-GB"/>
              </w:rPr>
            </w:pPr>
            <w:r w:rsidRPr="00D30847">
              <w:rPr>
                <w:rFonts w:cs="Calibri"/>
                <w:sz w:val="18"/>
                <w:szCs w:val="18"/>
                <w:lang w:val="en-GB"/>
              </w:rPr>
              <w:t>17</w:t>
            </w:r>
          </w:p>
        </w:tc>
        <w:tc>
          <w:tcPr>
            <w:tcW w:w="2381" w:type="dxa"/>
            <w:vMerge w:val="restart"/>
            <w:shd w:val="clear" w:color="auto" w:fill="auto"/>
          </w:tcPr>
          <w:p w14:paraId="13A2CAC9" w14:textId="77777777" w:rsidR="007221B1" w:rsidRPr="00D30847" w:rsidRDefault="007221B1" w:rsidP="007221B1">
            <w:pPr>
              <w:spacing w:after="0" w:line="240" w:lineRule="auto"/>
              <w:rPr>
                <w:rFonts w:cs="Calibri"/>
                <w:b/>
                <w:sz w:val="18"/>
                <w:szCs w:val="18"/>
                <w:lang w:val="en-GB"/>
              </w:rPr>
            </w:pPr>
            <w:r w:rsidRPr="00D30847">
              <w:rPr>
                <w:rFonts w:cs="Calibri"/>
                <w:b/>
                <w:sz w:val="18"/>
                <w:szCs w:val="18"/>
                <w:lang w:val="en-GB"/>
              </w:rPr>
              <w:t>Priority 1:</w:t>
            </w:r>
          </w:p>
          <w:p w14:paraId="674A413B" w14:textId="1039CC66" w:rsidR="007221B1" w:rsidRPr="00D30847" w:rsidRDefault="007221B1" w:rsidP="007221B1">
            <w:pPr>
              <w:spacing w:after="0" w:line="240" w:lineRule="auto"/>
              <w:rPr>
                <w:rFonts w:cs="Calibri"/>
                <w:sz w:val="18"/>
                <w:szCs w:val="18"/>
                <w:lang w:val="en-GB"/>
              </w:rPr>
            </w:pPr>
            <w:r w:rsidRPr="00D30847">
              <w:rPr>
                <w:rFonts w:cs="Calibri"/>
                <w:sz w:val="18"/>
                <w:szCs w:val="18"/>
                <w:lang w:val="en-GB"/>
              </w:rPr>
              <w:t>External Audit</w:t>
            </w:r>
          </w:p>
        </w:tc>
        <w:tc>
          <w:tcPr>
            <w:tcW w:w="3819" w:type="dxa"/>
            <w:shd w:val="clear" w:color="auto" w:fill="auto"/>
          </w:tcPr>
          <w:p w14:paraId="26B567D3" w14:textId="77777777" w:rsidR="007221B1" w:rsidRPr="00D30847" w:rsidRDefault="007221B1" w:rsidP="007221B1">
            <w:pPr>
              <w:spacing w:after="0" w:line="240" w:lineRule="auto"/>
              <w:rPr>
                <w:rFonts w:cs="Calibri"/>
                <w:color w:val="FF0000"/>
                <w:sz w:val="18"/>
                <w:szCs w:val="18"/>
                <w:lang w:val="en-GB"/>
              </w:rPr>
            </w:pPr>
            <w:r w:rsidRPr="00D30847">
              <w:rPr>
                <w:rFonts w:eastAsia="Times New Roman" w:cs="Calibri"/>
                <w:color w:val="202124"/>
                <w:sz w:val="18"/>
                <w:szCs w:val="18"/>
                <w:lang w:val="en-GB"/>
              </w:rPr>
              <w:t>The proposal for amending the Constitution of RNM for regulating the SAO as a constitutional category was not submitted by the authorized proposer of the constitutional amendment and was not adopted by the Assembly</w:t>
            </w:r>
          </w:p>
        </w:tc>
        <w:tc>
          <w:tcPr>
            <w:tcW w:w="2254" w:type="dxa"/>
            <w:shd w:val="clear" w:color="auto" w:fill="auto"/>
          </w:tcPr>
          <w:p w14:paraId="185CD901" w14:textId="77777777" w:rsidR="007221B1" w:rsidRPr="00D30847" w:rsidRDefault="007221B1" w:rsidP="007221B1">
            <w:pPr>
              <w:spacing w:after="0" w:line="240" w:lineRule="auto"/>
              <w:rPr>
                <w:rFonts w:cs="Calibri"/>
                <w:sz w:val="18"/>
                <w:szCs w:val="18"/>
                <w:lang w:val="en-GB"/>
              </w:rPr>
            </w:pPr>
            <w:r w:rsidRPr="00D30847">
              <w:rPr>
                <w:rFonts w:eastAsia="Times New Roman" w:cs="Calibri"/>
                <w:color w:val="202124"/>
                <w:sz w:val="18"/>
                <w:szCs w:val="18"/>
                <w:lang w:val="en-GB"/>
              </w:rPr>
              <w:t>State Audit Office in cooperation with the authorized proposer of the constitutional amendment and the Assembly of RNM</w:t>
            </w:r>
          </w:p>
        </w:tc>
      </w:tr>
      <w:tr w:rsidR="007221B1" w:rsidRPr="00D30847" w14:paraId="17E33E03" w14:textId="77777777" w:rsidTr="00E935CF">
        <w:tc>
          <w:tcPr>
            <w:tcW w:w="562" w:type="dxa"/>
            <w:vMerge/>
            <w:shd w:val="clear" w:color="auto" w:fill="auto"/>
          </w:tcPr>
          <w:p w14:paraId="6D37481C" w14:textId="77777777" w:rsidR="007221B1" w:rsidRPr="00D30847" w:rsidRDefault="007221B1" w:rsidP="007221B1">
            <w:pPr>
              <w:spacing w:after="0" w:line="240" w:lineRule="auto"/>
              <w:rPr>
                <w:rFonts w:cs="Calibri"/>
                <w:sz w:val="18"/>
                <w:szCs w:val="18"/>
                <w:lang w:val="en-GB"/>
              </w:rPr>
            </w:pPr>
          </w:p>
        </w:tc>
        <w:tc>
          <w:tcPr>
            <w:tcW w:w="2381" w:type="dxa"/>
            <w:vMerge/>
            <w:shd w:val="clear" w:color="auto" w:fill="auto"/>
          </w:tcPr>
          <w:p w14:paraId="7CD640AC" w14:textId="77777777" w:rsidR="007221B1" w:rsidRPr="00D30847" w:rsidRDefault="007221B1" w:rsidP="007221B1">
            <w:pPr>
              <w:spacing w:after="0" w:line="240" w:lineRule="auto"/>
              <w:rPr>
                <w:rFonts w:cs="Calibri"/>
                <w:sz w:val="18"/>
                <w:szCs w:val="18"/>
                <w:lang w:val="en-GB"/>
              </w:rPr>
            </w:pPr>
          </w:p>
        </w:tc>
        <w:tc>
          <w:tcPr>
            <w:tcW w:w="3819" w:type="dxa"/>
            <w:shd w:val="clear" w:color="auto" w:fill="auto"/>
          </w:tcPr>
          <w:p w14:paraId="427BF2E8" w14:textId="77777777" w:rsidR="007221B1" w:rsidRPr="00D30847" w:rsidRDefault="007221B1" w:rsidP="007221B1">
            <w:pPr>
              <w:spacing w:after="0" w:line="240" w:lineRule="auto"/>
              <w:rPr>
                <w:rFonts w:cs="Calibri"/>
                <w:color w:val="FF0000"/>
                <w:sz w:val="18"/>
                <w:szCs w:val="18"/>
                <w:lang w:val="en-GB"/>
              </w:rPr>
            </w:pPr>
            <w:r w:rsidRPr="00D30847">
              <w:rPr>
                <w:rFonts w:eastAsia="Times New Roman" w:cs="Calibri"/>
                <w:color w:val="202124"/>
                <w:sz w:val="18"/>
                <w:szCs w:val="18"/>
                <w:lang w:val="en-GB"/>
              </w:rPr>
              <w:t>New draft State Audit Law for strengthening SAO financial and operational independence not submitted and not adopted by the Assembly</w:t>
            </w:r>
          </w:p>
        </w:tc>
        <w:tc>
          <w:tcPr>
            <w:tcW w:w="2254" w:type="dxa"/>
            <w:shd w:val="clear" w:color="auto" w:fill="auto"/>
          </w:tcPr>
          <w:p w14:paraId="282281D4" w14:textId="77777777" w:rsidR="007221B1" w:rsidRPr="00D30847" w:rsidRDefault="007221B1" w:rsidP="007221B1">
            <w:pPr>
              <w:spacing w:after="0" w:line="240" w:lineRule="auto"/>
              <w:rPr>
                <w:rFonts w:eastAsia="Times New Roman" w:cs="Calibri"/>
                <w:sz w:val="18"/>
                <w:szCs w:val="18"/>
                <w:lang w:val="en-GB"/>
              </w:rPr>
            </w:pPr>
            <w:r w:rsidRPr="00D30847">
              <w:rPr>
                <w:rFonts w:eastAsia="Times New Roman" w:cs="Calibri"/>
                <w:sz w:val="18"/>
                <w:szCs w:val="18"/>
                <w:lang w:val="en-GB"/>
              </w:rPr>
              <w:t>The Ministry of Finance, the RNM Government and the RNM Assembly</w:t>
            </w:r>
          </w:p>
          <w:p w14:paraId="52769166" w14:textId="77777777" w:rsidR="007221B1" w:rsidRPr="00D30847" w:rsidRDefault="007221B1" w:rsidP="007221B1">
            <w:pPr>
              <w:spacing w:after="0" w:line="240" w:lineRule="auto"/>
              <w:rPr>
                <w:rFonts w:eastAsia="Times New Roman" w:cs="Calibri"/>
                <w:sz w:val="18"/>
                <w:szCs w:val="18"/>
                <w:lang w:val="en-GB"/>
              </w:rPr>
            </w:pPr>
          </w:p>
          <w:p w14:paraId="29B4CB2D" w14:textId="77777777" w:rsidR="007221B1" w:rsidRPr="00D30847" w:rsidRDefault="007221B1" w:rsidP="007221B1">
            <w:pPr>
              <w:spacing w:after="0" w:line="240" w:lineRule="auto"/>
              <w:rPr>
                <w:rFonts w:cs="Calibri"/>
                <w:sz w:val="18"/>
                <w:szCs w:val="18"/>
                <w:lang w:val="en-GB"/>
              </w:rPr>
            </w:pPr>
            <w:r w:rsidRPr="00D30847">
              <w:rPr>
                <w:rFonts w:eastAsia="Times New Roman" w:cs="Calibri"/>
                <w:sz w:val="18"/>
                <w:szCs w:val="18"/>
                <w:lang w:val="en-GB"/>
              </w:rPr>
              <w:t>SAO, after the adoption of the Law on State Audit, for the adoption of by-laws</w:t>
            </w:r>
          </w:p>
        </w:tc>
      </w:tr>
      <w:tr w:rsidR="007221B1" w:rsidRPr="00D30847" w14:paraId="5B431BE0" w14:textId="77777777" w:rsidTr="00E935CF">
        <w:tc>
          <w:tcPr>
            <w:tcW w:w="562" w:type="dxa"/>
            <w:vMerge/>
            <w:shd w:val="clear" w:color="auto" w:fill="auto"/>
          </w:tcPr>
          <w:p w14:paraId="03CEC991" w14:textId="77777777" w:rsidR="007221B1" w:rsidRPr="00D30847" w:rsidRDefault="007221B1" w:rsidP="007221B1">
            <w:pPr>
              <w:spacing w:after="0" w:line="240" w:lineRule="auto"/>
              <w:rPr>
                <w:rFonts w:cs="Calibri"/>
                <w:sz w:val="18"/>
                <w:szCs w:val="18"/>
                <w:lang w:val="en-GB"/>
              </w:rPr>
            </w:pPr>
          </w:p>
        </w:tc>
        <w:tc>
          <w:tcPr>
            <w:tcW w:w="2381" w:type="dxa"/>
            <w:vMerge/>
            <w:shd w:val="clear" w:color="auto" w:fill="auto"/>
          </w:tcPr>
          <w:p w14:paraId="2F17764D" w14:textId="77777777" w:rsidR="007221B1" w:rsidRPr="00D30847" w:rsidRDefault="007221B1" w:rsidP="007221B1">
            <w:pPr>
              <w:spacing w:after="0" w:line="240" w:lineRule="auto"/>
              <w:rPr>
                <w:rFonts w:cs="Calibri"/>
                <w:sz w:val="18"/>
                <w:szCs w:val="18"/>
                <w:lang w:val="en-GB"/>
              </w:rPr>
            </w:pPr>
          </w:p>
        </w:tc>
        <w:tc>
          <w:tcPr>
            <w:tcW w:w="3819" w:type="dxa"/>
            <w:shd w:val="clear" w:color="auto" w:fill="auto"/>
          </w:tcPr>
          <w:p w14:paraId="32222B69" w14:textId="77777777" w:rsidR="007221B1" w:rsidRPr="00D30847" w:rsidRDefault="007221B1" w:rsidP="007221B1">
            <w:pPr>
              <w:spacing w:after="0" w:line="240" w:lineRule="auto"/>
              <w:rPr>
                <w:rFonts w:eastAsia="Times New Roman" w:cs="Calibri"/>
                <w:sz w:val="18"/>
                <w:szCs w:val="18"/>
                <w:lang w:val="en-GB"/>
              </w:rPr>
            </w:pPr>
            <w:r w:rsidRPr="00D30847">
              <w:rPr>
                <w:rFonts w:eastAsia="Times New Roman" w:cs="Calibri"/>
                <w:sz w:val="18"/>
                <w:szCs w:val="18"/>
                <w:lang w:val="en-GB"/>
              </w:rPr>
              <w:t>Limited opportunities for modernization of audit processes and  presentation of audit results</w:t>
            </w:r>
          </w:p>
        </w:tc>
        <w:tc>
          <w:tcPr>
            <w:tcW w:w="2254" w:type="dxa"/>
            <w:vMerge w:val="restart"/>
            <w:shd w:val="clear" w:color="auto" w:fill="auto"/>
          </w:tcPr>
          <w:p w14:paraId="63E820E7" w14:textId="77777777" w:rsidR="007221B1" w:rsidRPr="00D30847" w:rsidRDefault="007221B1" w:rsidP="007221B1">
            <w:pPr>
              <w:spacing w:after="0" w:line="240" w:lineRule="auto"/>
              <w:rPr>
                <w:rFonts w:cs="Calibri"/>
                <w:sz w:val="18"/>
                <w:szCs w:val="18"/>
                <w:lang w:val="en-GB"/>
              </w:rPr>
            </w:pPr>
            <w:r w:rsidRPr="00D30847">
              <w:rPr>
                <w:rFonts w:cs="Calibri"/>
                <w:sz w:val="18"/>
                <w:szCs w:val="18"/>
                <w:lang w:val="en-GB"/>
              </w:rPr>
              <w:t>SAO</w:t>
            </w:r>
          </w:p>
        </w:tc>
      </w:tr>
      <w:tr w:rsidR="007221B1" w:rsidRPr="00D30847" w14:paraId="15BFCB9D" w14:textId="77777777" w:rsidTr="00E935CF">
        <w:tc>
          <w:tcPr>
            <w:tcW w:w="562" w:type="dxa"/>
            <w:vMerge/>
            <w:shd w:val="clear" w:color="auto" w:fill="auto"/>
          </w:tcPr>
          <w:p w14:paraId="38915809" w14:textId="77777777" w:rsidR="007221B1" w:rsidRPr="00D30847" w:rsidRDefault="007221B1" w:rsidP="007221B1">
            <w:pPr>
              <w:spacing w:after="0" w:line="240" w:lineRule="auto"/>
              <w:rPr>
                <w:rFonts w:cs="Calibri"/>
                <w:sz w:val="18"/>
                <w:szCs w:val="18"/>
                <w:lang w:val="en-GB"/>
              </w:rPr>
            </w:pPr>
          </w:p>
        </w:tc>
        <w:tc>
          <w:tcPr>
            <w:tcW w:w="2381" w:type="dxa"/>
            <w:vMerge/>
            <w:shd w:val="clear" w:color="auto" w:fill="auto"/>
          </w:tcPr>
          <w:p w14:paraId="3AEB2E2E" w14:textId="77777777" w:rsidR="007221B1" w:rsidRPr="00D30847" w:rsidRDefault="007221B1" w:rsidP="007221B1">
            <w:pPr>
              <w:spacing w:after="0" w:line="240" w:lineRule="auto"/>
              <w:rPr>
                <w:rFonts w:cs="Calibri"/>
                <w:sz w:val="18"/>
                <w:szCs w:val="18"/>
                <w:lang w:val="en-GB"/>
              </w:rPr>
            </w:pPr>
          </w:p>
        </w:tc>
        <w:tc>
          <w:tcPr>
            <w:tcW w:w="3819" w:type="dxa"/>
            <w:shd w:val="clear" w:color="auto" w:fill="auto"/>
          </w:tcPr>
          <w:p w14:paraId="6B577D8A" w14:textId="77777777" w:rsidR="007221B1" w:rsidRPr="00D30847" w:rsidRDefault="007221B1" w:rsidP="007221B1">
            <w:pPr>
              <w:spacing w:after="0" w:line="240" w:lineRule="auto"/>
              <w:rPr>
                <w:rFonts w:eastAsia="Times New Roman" w:cs="Calibri"/>
                <w:color w:val="FF0000"/>
                <w:sz w:val="18"/>
                <w:szCs w:val="18"/>
                <w:lang w:val="en-GB"/>
              </w:rPr>
            </w:pPr>
            <w:r w:rsidRPr="00D30847">
              <w:rPr>
                <w:rFonts w:eastAsia="Times New Roman" w:cs="Calibri"/>
                <w:color w:val="202124"/>
                <w:sz w:val="18"/>
                <w:szCs w:val="18"/>
                <w:lang w:val="en-GB"/>
              </w:rPr>
              <w:t>Insufficient interest of stakeholders for cooperation with SAO</w:t>
            </w:r>
          </w:p>
        </w:tc>
        <w:tc>
          <w:tcPr>
            <w:tcW w:w="2254" w:type="dxa"/>
            <w:vMerge/>
            <w:shd w:val="clear" w:color="auto" w:fill="auto"/>
          </w:tcPr>
          <w:p w14:paraId="16780761" w14:textId="77777777" w:rsidR="007221B1" w:rsidRPr="00D30847" w:rsidRDefault="007221B1" w:rsidP="007221B1">
            <w:pPr>
              <w:spacing w:after="0" w:line="240" w:lineRule="auto"/>
              <w:rPr>
                <w:rFonts w:cs="Calibri"/>
                <w:sz w:val="18"/>
                <w:szCs w:val="18"/>
                <w:lang w:val="en-GB"/>
              </w:rPr>
            </w:pPr>
          </w:p>
        </w:tc>
      </w:tr>
      <w:tr w:rsidR="007221B1" w:rsidRPr="00D30847" w14:paraId="2F031E65" w14:textId="77777777" w:rsidTr="00E935CF">
        <w:tc>
          <w:tcPr>
            <w:tcW w:w="562" w:type="dxa"/>
            <w:vMerge/>
            <w:shd w:val="clear" w:color="auto" w:fill="auto"/>
          </w:tcPr>
          <w:p w14:paraId="79F3026D" w14:textId="77777777" w:rsidR="007221B1" w:rsidRPr="00D30847" w:rsidRDefault="007221B1" w:rsidP="007221B1">
            <w:pPr>
              <w:spacing w:after="0" w:line="240" w:lineRule="auto"/>
              <w:rPr>
                <w:rFonts w:cs="Calibri"/>
                <w:sz w:val="18"/>
                <w:szCs w:val="18"/>
                <w:lang w:val="en-GB"/>
              </w:rPr>
            </w:pPr>
          </w:p>
        </w:tc>
        <w:tc>
          <w:tcPr>
            <w:tcW w:w="2381" w:type="dxa"/>
            <w:vMerge/>
            <w:shd w:val="clear" w:color="auto" w:fill="auto"/>
          </w:tcPr>
          <w:p w14:paraId="7AB0F8DE" w14:textId="77777777" w:rsidR="007221B1" w:rsidRPr="00D30847" w:rsidRDefault="007221B1" w:rsidP="007221B1">
            <w:pPr>
              <w:spacing w:after="0" w:line="240" w:lineRule="auto"/>
              <w:rPr>
                <w:rFonts w:cs="Calibri"/>
                <w:sz w:val="18"/>
                <w:szCs w:val="18"/>
                <w:lang w:val="en-GB"/>
              </w:rPr>
            </w:pPr>
          </w:p>
        </w:tc>
        <w:tc>
          <w:tcPr>
            <w:tcW w:w="3819" w:type="dxa"/>
            <w:shd w:val="clear" w:color="auto" w:fill="auto"/>
          </w:tcPr>
          <w:p w14:paraId="724864CA" w14:textId="77777777" w:rsidR="007221B1" w:rsidRPr="00D30847" w:rsidRDefault="007221B1" w:rsidP="007221B1">
            <w:pPr>
              <w:spacing w:after="0" w:line="240" w:lineRule="auto"/>
              <w:rPr>
                <w:rFonts w:eastAsia="Times New Roman" w:cs="Calibri"/>
                <w:color w:val="202124"/>
                <w:sz w:val="18"/>
                <w:szCs w:val="18"/>
                <w:lang w:val="en-GB"/>
              </w:rPr>
            </w:pPr>
            <w:r w:rsidRPr="00D30847">
              <w:rPr>
                <w:rFonts w:eastAsia="Times New Roman" w:cs="Calibri"/>
                <w:color w:val="202124"/>
                <w:sz w:val="18"/>
                <w:szCs w:val="18"/>
                <w:lang w:val="en-GB"/>
              </w:rPr>
              <w:t>Lack of funds provided for full financing of the activities for the period  2023 - 2027</w:t>
            </w:r>
          </w:p>
        </w:tc>
        <w:tc>
          <w:tcPr>
            <w:tcW w:w="2254" w:type="dxa"/>
            <w:vMerge w:val="restart"/>
            <w:shd w:val="clear" w:color="auto" w:fill="auto"/>
          </w:tcPr>
          <w:p w14:paraId="5E4F9B3B" w14:textId="77777777" w:rsidR="007221B1" w:rsidRPr="00D30847" w:rsidRDefault="007221B1" w:rsidP="007221B1">
            <w:pPr>
              <w:spacing w:after="0" w:line="240" w:lineRule="auto"/>
              <w:rPr>
                <w:rFonts w:cs="Calibri"/>
                <w:sz w:val="18"/>
                <w:szCs w:val="18"/>
                <w:lang w:val="en-GB"/>
              </w:rPr>
            </w:pPr>
            <w:r w:rsidRPr="00D30847">
              <w:rPr>
                <w:rFonts w:eastAsia="Times New Roman" w:cs="Calibri"/>
                <w:color w:val="202124"/>
                <w:sz w:val="18"/>
                <w:szCs w:val="18"/>
                <w:lang w:val="en-GB"/>
              </w:rPr>
              <w:t>State Audit Office in cooperation with stakeholders</w:t>
            </w:r>
          </w:p>
        </w:tc>
      </w:tr>
      <w:tr w:rsidR="007221B1" w:rsidRPr="00D30847" w14:paraId="3D7FAE33" w14:textId="77777777" w:rsidTr="00E935CF">
        <w:tc>
          <w:tcPr>
            <w:tcW w:w="562" w:type="dxa"/>
            <w:vMerge/>
            <w:shd w:val="clear" w:color="auto" w:fill="auto"/>
          </w:tcPr>
          <w:p w14:paraId="25B1DB1D" w14:textId="77777777" w:rsidR="007221B1" w:rsidRPr="00D30847" w:rsidRDefault="007221B1" w:rsidP="007221B1">
            <w:pPr>
              <w:spacing w:after="0" w:line="240" w:lineRule="auto"/>
              <w:rPr>
                <w:rFonts w:cs="Calibri"/>
                <w:sz w:val="18"/>
                <w:szCs w:val="18"/>
                <w:lang w:val="en-GB"/>
              </w:rPr>
            </w:pPr>
          </w:p>
        </w:tc>
        <w:tc>
          <w:tcPr>
            <w:tcW w:w="2381" w:type="dxa"/>
            <w:vMerge/>
            <w:shd w:val="clear" w:color="auto" w:fill="auto"/>
          </w:tcPr>
          <w:p w14:paraId="332FB9E2" w14:textId="77777777" w:rsidR="007221B1" w:rsidRPr="00D30847" w:rsidRDefault="007221B1" w:rsidP="007221B1">
            <w:pPr>
              <w:spacing w:after="0" w:line="240" w:lineRule="auto"/>
              <w:rPr>
                <w:rFonts w:cs="Calibri"/>
                <w:sz w:val="18"/>
                <w:szCs w:val="18"/>
                <w:lang w:val="en-GB"/>
              </w:rPr>
            </w:pPr>
          </w:p>
        </w:tc>
        <w:tc>
          <w:tcPr>
            <w:tcW w:w="3819" w:type="dxa"/>
            <w:shd w:val="clear" w:color="auto" w:fill="auto"/>
          </w:tcPr>
          <w:p w14:paraId="48FADE7B" w14:textId="77777777" w:rsidR="007221B1" w:rsidRPr="00D30847" w:rsidRDefault="007221B1" w:rsidP="007221B1">
            <w:pPr>
              <w:spacing w:after="0" w:line="240" w:lineRule="auto"/>
              <w:rPr>
                <w:rFonts w:eastAsia="Times New Roman" w:cs="Calibri"/>
                <w:color w:val="202124"/>
                <w:sz w:val="18"/>
                <w:szCs w:val="18"/>
                <w:lang w:val="en-GB"/>
              </w:rPr>
            </w:pPr>
            <w:r w:rsidRPr="00D30847">
              <w:rPr>
                <w:rFonts w:eastAsia="Times New Roman" w:cs="Calibri"/>
                <w:color w:val="202124"/>
                <w:sz w:val="18"/>
                <w:szCs w:val="18"/>
                <w:lang w:val="en-GB"/>
              </w:rPr>
              <w:t>Lack of support from relevant experts for drafting new or improved methodological acts and audit tools</w:t>
            </w:r>
          </w:p>
        </w:tc>
        <w:tc>
          <w:tcPr>
            <w:tcW w:w="2254" w:type="dxa"/>
            <w:vMerge/>
            <w:shd w:val="clear" w:color="auto" w:fill="auto"/>
          </w:tcPr>
          <w:p w14:paraId="5B35E42E" w14:textId="77777777" w:rsidR="007221B1" w:rsidRPr="00D30847" w:rsidRDefault="007221B1" w:rsidP="007221B1">
            <w:pPr>
              <w:spacing w:after="0" w:line="240" w:lineRule="auto"/>
              <w:rPr>
                <w:rFonts w:cs="Calibri"/>
                <w:sz w:val="18"/>
                <w:szCs w:val="18"/>
                <w:lang w:val="en-GB"/>
              </w:rPr>
            </w:pPr>
          </w:p>
        </w:tc>
      </w:tr>
      <w:tr w:rsidR="007221B1" w:rsidRPr="00D30847" w14:paraId="40529E04" w14:textId="77777777" w:rsidTr="00E935CF">
        <w:tc>
          <w:tcPr>
            <w:tcW w:w="562" w:type="dxa"/>
            <w:vMerge/>
            <w:shd w:val="clear" w:color="auto" w:fill="auto"/>
          </w:tcPr>
          <w:p w14:paraId="664AAD2C" w14:textId="77777777" w:rsidR="007221B1" w:rsidRPr="00D30847" w:rsidRDefault="007221B1" w:rsidP="007221B1">
            <w:pPr>
              <w:spacing w:after="0" w:line="240" w:lineRule="auto"/>
              <w:rPr>
                <w:rFonts w:cs="Calibri"/>
                <w:sz w:val="18"/>
                <w:szCs w:val="18"/>
                <w:lang w:val="en-GB"/>
              </w:rPr>
            </w:pPr>
          </w:p>
        </w:tc>
        <w:tc>
          <w:tcPr>
            <w:tcW w:w="2381" w:type="dxa"/>
            <w:vMerge/>
            <w:shd w:val="clear" w:color="auto" w:fill="auto"/>
          </w:tcPr>
          <w:p w14:paraId="59E2583C" w14:textId="77777777" w:rsidR="007221B1" w:rsidRPr="00D30847" w:rsidRDefault="007221B1" w:rsidP="007221B1">
            <w:pPr>
              <w:spacing w:after="0" w:line="240" w:lineRule="auto"/>
              <w:rPr>
                <w:rFonts w:cs="Calibri"/>
                <w:sz w:val="18"/>
                <w:szCs w:val="18"/>
                <w:lang w:val="en-GB"/>
              </w:rPr>
            </w:pPr>
          </w:p>
        </w:tc>
        <w:tc>
          <w:tcPr>
            <w:tcW w:w="3819" w:type="dxa"/>
            <w:shd w:val="clear" w:color="auto" w:fill="auto"/>
          </w:tcPr>
          <w:p w14:paraId="5B5FDB2C" w14:textId="77777777" w:rsidR="007221B1" w:rsidRPr="00D30847" w:rsidRDefault="007221B1" w:rsidP="007221B1">
            <w:pPr>
              <w:spacing w:after="0" w:line="240" w:lineRule="auto"/>
              <w:rPr>
                <w:rFonts w:eastAsia="Times New Roman" w:cs="Calibri"/>
                <w:color w:val="FF0000"/>
                <w:sz w:val="18"/>
                <w:szCs w:val="18"/>
                <w:lang w:val="en-GB"/>
              </w:rPr>
            </w:pPr>
            <w:r w:rsidRPr="00D30847">
              <w:rPr>
                <w:rFonts w:eastAsia="Times New Roman" w:cs="Calibri"/>
                <w:color w:val="202124"/>
                <w:sz w:val="18"/>
                <w:szCs w:val="18"/>
                <w:lang w:val="en-GB"/>
              </w:rPr>
              <w:t>SAO institutional and HR capacities not strengthened to satisfactory level</w:t>
            </w:r>
          </w:p>
        </w:tc>
        <w:tc>
          <w:tcPr>
            <w:tcW w:w="2254" w:type="dxa"/>
            <w:vMerge/>
            <w:shd w:val="clear" w:color="auto" w:fill="auto"/>
          </w:tcPr>
          <w:p w14:paraId="07681DF9" w14:textId="77777777" w:rsidR="007221B1" w:rsidRPr="00D30847" w:rsidRDefault="007221B1" w:rsidP="007221B1">
            <w:pPr>
              <w:spacing w:after="0" w:line="240" w:lineRule="auto"/>
              <w:rPr>
                <w:rFonts w:cs="Calibri"/>
                <w:sz w:val="18"/>
                <w:szCs w:val="18"/>
                <w:lang w:val="en-GB"/>
              </w:rPr>
            </w:pPr>
          </w:p>
        </w:tc>
      </w:tr>
      <w:tr w:rsidR="007221B1" w:rsidRPr="00D30847" w14:paraId="7DCD88EE" w14:textId="77777777" w:rsidTr="00E935CF">
        <w:tc>
          <w:tcPr>
            <w:tcW w:w="562" w:type="dxa"/>
            <w:vMerge/>
            <w:shd w:val="clear" w:color="auto" w:fill="auto"/>
          </w:tcPr>
          <w:p w14:paraId="3C84E103" w14:textId="77777777" w:rsidR="007221B1" w:rsidRPr="00D30847" w:rsidRDefault="007221B1" w:rsidP="007221B1">
            <w:pPr>
              <w:spacing w:after="0" w:line="240" w:lineRule="auto"/>
              <w:rPr>
                <w:rFonts w:cs="Calibri"/>
                <w:sz w:val="18"/>
                <w:szCs w:val="18"/>
                <w:lang w:val="en-GB"/>
              </w:rPr>
            </w:pPr>
          </w:p>
        </w:tc>
        <w:tc>
          <w:tcPr>
            <w:tcW w:w="2381" w:type="dxa"/>
            <w:vMerge/>
            <w:shd w:val="clear" w:color="auto" w:fill="auto"/>
          </w:tcPr>
          <w:p w14:paraId="50B8F699" w14:textId="77777777" w:rsidR="007221B1" w:rsidRPr="00D30847" w:rsidRDefault="007221B1" w:rsidP="007221B1">
            <w:pPr>
              <w:spacing w:after="0" w:line="240" w:lineRule="auto"/>
              <w:rPr>
                <w:rFonts w:cs="Calibri"/>
                <w:sz w:val="18"/>
                <w:szCs w:val="18"/>
                <w:lang w:val="en-GB"/>
              </w:rPr>
            </w:pPr>
          </w:p>
        </w:tc>
        <w:tc>
          <w:tcPr>
            <w:tcW w:w="3819" w:type="dxa"/>
            <w:shd w:val="clear" w:color="auto" w:fill="auto"/>
          </w:tcPr>
          <w:p w14:paraId="62D9227F" w14:textId="56E88B2D" w:rsidR="007221B1" w:rsidRPr="00D30847" w:rsidRDefault="007221B1" w:rsidP="007221B1">
            <w:pPr>
              <w:spacing w:after="0" w:line="240" w:lineRule="auto"/>
              <w:rPr>
                <w:rFonts w:eastAsia="Times New Roman" w:cs="Calibri"/>
                <w:color w:val="FF0000"/>
                <w:sz w:val="18"/>
                <w:szCs w:val="18"/>
                <w:lang w:val="en-GB"/>
              </w:rPr>
            </w:pPr>
            <w:r w:rsidRPr="00D30847">
              <w:rPr>
                <w:rFonts w:eastAsia="Times New Roman" w:cs="Calibri"/>
                <w:color w:val="202124"/>
                <w:sz w:val="18"/>
                <w:szCs w:val="18"/>
                <w:lang w:val="en-GB"/>
              </w:rPr>
              <w:t>Limited opportunities for modernization of audit processes, obtaining modern equipment and improved working conditions</w:t>
            </w:r>
          </w:p>
        </w:tc>
        <w:tc>
          <w:tcPr>
            <w:tcW w:w="2254" w:type="dxa"/>
            <w:vMerge/>
            <w:shd w:val="clear" w:color="auto" w:fill="auto"/>
          </w:tcPr>
          <w:p w14:paraId="3F0D56F3" w14:textId="77777777" w:rsidR="007221B1" w:rsidRPr="00D30847" w:rsidRDefault="007221B1" w:rsidP="007221B1">
            <w:pPr>
              <w:spacing w:after="0" w:line="240" w:lineRule="auto"/>
              <w:rPr>
                <w:rFonts w:cs="Calibri"/>
                <w:sz w:val="18"/>
                <w:szCs w:val="18"/>
                <w:lang w:val="en-GB"/>
              </w:rPr>
            </w:pPr>
          </w:p>
        </w:tc>
      </w:tr>
      <w:tr w:rsidR="007221B1" w:rsidRPr="00D30847" w14:paraId="6AF19684" w14:textId="77777777" w:rsidTr="004F1AAA">
        <w:trPr>
          <w:trHeight w:val="182"/>
        </w:trPr>
        <w:tc>
          <w:tcPr>
            <w:tcW w:w="562" w:type="dxa"/>
            <w:vMerge w:val="restart"/>
            <w:shd w:val="clear" w:color="auto" w:fill="auto"/>
          </w:tcPr>
          <w:p w14:paraId="510B1ECD" w14:textId="59471908" w:rsidR="007221B1" w:rsidRPr="00D30847" w:rsidRDefault="007221B1" w:rsidP="007221B1">
            <w:pPr>
              <w:spacing w:after="0" w:line="240" w:lineRule="auto"/>
              <w:rPr>
                <w:rFonts w:cs="Calibri"/>
                <w:sz w:val="18"/>
                <w:szCs w:val="18"/>
                <w:lang w:val="en-GB"/>
              </w:rPr>
            </w:pPr>
            <w:r w:rsidRPr="00D30847">
              <w:rPr>
                <w:rFonts w:cs="Calibri"/>
                <w:sz w:val="18"/>
                <w:szCs w:val="18"/>
                <w:lang w:val="en-GB"/>
              </w:rPr>
              <w:t>18</w:t>
            </w:r>
          </w:p>
        </w:tc>
        <w:tc>
          <w:tcPr>
            <w:tcW w:w="2381" w:type="dxa"/>
            <w:vMerge w:val="restart"/>
            <w:shd w:val="clear" w:color="auto" w:fill="auto"/>
          </w:tcPr>
          <w:p w14:paraId="32A9808E" w14:textId="77777777" w:rsidR="007221B1" w:rsidRPr="00D30847" w:rsidRDefault="007221B1" w:rsidP="007221B1">
            <w:pPr>
              <w:spacing w:after="0" w:line="240" w:lineRule="auto"/>
              <w:rPr>
                <w:rFonts w:cs="Calibri"/>
                <w:b/>
                <w:sz w:val="18"/>
                <w:szCs w:val="18"/>
                <w:lang w:val="en-GB"/>
              </w:rPr>
            </w:pPr>
            <w:r w:rsidRPr="00D30847">
              <w:rPr>
                <w:rFonts w:cs="Calibri"/>
                <w:b/>
                <w:sz w:val="18"/>
                <w:szCs w:val="18"/>
                <w:lang w:val="en-GB"/>
              </w:rPr>
              <w:t>Priority 2:</w:t>
            </w:r>
          </w:p>
          <w:p w14:paraId="2BB59883" w14:textId="481735EC" w:rsidR="007221B1" w:rsidRPr="00D30847" w:rsidRDefault="007221B1" w:rsidP="007221B1">
            <w:pPr>
              <w:spacing w:after="0" w:line="240" w:lineRule="auto"/>
              <w:rPr>
                <w:rFonts w:cs="Calibri"/>
                <w:sz w:val="18"/>
                <w:szCs w:val="18"/>
                <w:lang w:val="en-GB"/>
              </w:rPr>
            </w:pPr>
            <w:r w:rsidRPr="00D30847">
              <w:rPr>
                <w:rFonts w:cs="Calibri"/>
                <w:sz w:val="18"/>
                <w:szCs w:val="18"/>
                <w:lang w:val="en-GB"/>
              </w:rPr>
              <w:t>Parliamentary Oversight</w:t>
            </w:r>
          </w:p>
        </w:tc>
        <w:tc>
          <w:tcPr>
            <w:tcW w:w="3819" w:type="dxa"/>
            <w:shd w:val="clear" w:color="auto" w:fill="auto"/>
          </w:tcPr>
          <w:p w14:paraId="70A893A8" w14:textId="401480CF" w:rsidR="007221B1" w:rsidRPr="00D30847" w:rsidRDefault="007221B1" w:rsidP="007221B1">
            <w:pPr>
              <w:spacing w:after="0" w:line="240" w:lineRule="auto"/>
              <w:rPr>
                <w:rFonts w:cs="Calibri"/>
                <w:sz w:val="18"/>
                <w:szCs w:val="18"/>
                <w:lang w:val="en-GB"/>
              </w:rPr>
            </w:pPr>
            <w:r w:rsidRPr="00D30847">
              <w:rPr>
                <w:rFonts w:cs="Calibri"/>
                <w:sz w:val="18"/>
                <w:szCs w:val="18"/>
                <w:lang w:val="en-GB"/>
              </w:rPr>
              <w:t>Uncreated conditions of implementing the Memorandum of cooperation between the Assembly and the SAO.</w:t>
            </w:r>
          </w:p>
        </w:tc>
        <w:tc>
          <w:tcPr>
            <w:tcW w:w="2254" w:type="dxa"/>
            <w:vMerge w:val="restart"/>
            <w:shd w:val="clear" w:color="auto" w:fill="auto"/>
          </w:tcPr>
          <w:p w14:paraId="0E358B78" w14:textId="77777777" w:rsidR="007221B1" w:rsidRPr="00D30847" w:rsidRDefault="007221B1" w:rsidP="007221B1">
            <w:pPr>
              <w:spacing w:after="0" w:line="240" w:lineRule="auto"/>
              <w:rPr>
                <w:rFonts w:cs="Calibri"/>
                <w:sz w:val="18"/>
                <w:szCs w:val="18"/>
                <w:lang w:val="en-GB"/>
              </w:rPr>
            </w:pPr>
            <w:r w:rsidRPr="00D30847">
              <w:rPr>
                <w:rFonts w:cs="Calibri"/>
                <w:sz w:val="18"/>
                <w:szCs w:val="18"/>
                <w:lang w:val="en-GB"/>
              </w:rPr>
              <w:t>SAO</w:t>
            </w:r>
          </w:p>
          <w:p w14:paraId="373442C0" w14:textId="77777777" w:rsidR="007221B1" w:rsidRPr="00D30847" w:rsidRDefault="007221B1" w:rsidP="007221B1">
            <w:pPr>
              <w:spacing w:after="0" w:line="240" w:lineRule="auto"/>
              <w:rPr>
                <w:rFonts w:cs="Calibri"/>
                <w:sz w:val="18"/>
                <w:szCs w:val="18"/>
                <w:lang w:val="en-GB"/>
              </w:rPr>
            </w:pPr>
            <w:r w:rsidRPr="00D30847">
              <w:rPr>
                <w:rFonts w:eastAsia="Times New Roman" w:cs="Calibri"/>
                <w:color w:val="202124"/>
                <w:sz w:val="18"/>
                <w:szCs w:val="18"/>
                <w:lang w:val="en-GB"/>
              </w:rPr>
              <w:t>State Audit Office in cooperation with stakeholders</w:t>
            </w:r>
          </w:p>
        </w:tc>
      </w:tr>
      <w:tr w:rsidR="007221B1" w:rsidRPr="00D30847" w14:paraId="725FA2D5" w14:textId="77777777" w:rsidTr="00E935CF">
        <w:trPr>
          <w:trHeight w:val="181"/>
        </w:trPr>
        <w:tc>
          <w:tcPr>
            <w:tcW w:w="562" w:type="dxa"/>
            <w:vMerge/>
            <w:shd w:val="clear" w:color="auto" w:fill="auto"/>
          </w:tcPr>
          <w:p w14:paraId="51282CD4" w14:textId="77777777" w:rsidR="007221B1" w:rsidRPr="00D30847" w:rsidRDefault="007221B1" w:rsidP="007221B1">
            <w:pPr>
              <w:spacing w:after="0" w:line="240" w:lineRule="auto"/>
              <w:rPr>
                <w:rFonts w:cs="Calibri"/>
                <w:sz w:val="18"/>
                <w:szCs w:val="18"/>
                <w:lang w:val="en-GB"/>
              </w:rPr>
            </w:pPr>
          </w:p>
        </w:tc>
        <w:tc>
          <w:tcPr>
            <w:tcW w:w="2381" w:type="dxa"/>
            <w:vMerge/>
            <w:shd w:val="clear" w:color="auto" w:fill="auto"/>
          </w:tcPr>
          <w:p w14:paraId="0D4CA9FE" w14:textId="77777777" w:rsidR="007221B1" w:rsidRPr="00D30847" w:rsidRDefault="007221B1" w:rsidP="007221B1">
            <w:pPr>
              <w:spacing w:after="0" w:line="240" w:lineRule="auto"/>
              <w:rPr>
                <w:rFonts w:cs="Calibri"/>
                <w:b/>
                <w:sz w:val="18"/>
                <w:szCs w:val="18"/>
                <w:lang w:val="en-GB"/>
              </w:rPr>
            </w:pPr>
          </w:p>
        </w:tc>
        <w:tc>
          <w:tcPr>
            <w:tcW w:w="3819" w:type="dxa"/>
            <w:shd w:val="clear" w:color="auto" w:fill="auto"/>
          </w:tcPr>
          <w:p w14:paraId="51223B1B" w14:textId="1939A199" w:rsidR="007221B1" w:rsidRPr="00D30847" w:rsidRDefault="007221B1" w:rsidP="007221B1">
            <w:pPr>
              <w:spacing w:after="0" w:line="240" w:lineRule="auto"/>
              <w:rPr>
                <w:rFonts w:cs="Calibri"/>
                <w:sz w:val="18"/>
                <w:szCs w:val="18"/>
                <w:lang w:val="en-GB"/>
              </w:rPr>
            </w:pPr>
            <w:r w:rsidRPr="00D30847">
              <w:rPr>
                <w:rFonts w:cs="Calibri"/>
                <w:sz w:val="18"/>
                <w:szCs w:val="18"/>
                <w:lang w:val="en-GB"/>
              </w:rPr>
              <w:t>Uncreated conditions to prepare and adopt final/proposal procedures of the Assembly for the mechanism for reviewing audit reports.</w:t>
            </w:r>
          </w:p>
        </w:tc>
        <w:tc>
          <w:tcPr>
            <w:tcW w:w="2254" w:type="dxa"/>
            <w:vMerge/>
            <w:shd w:val="clear" w:color="auto" w:fill="auto"/>
          </w:tcPr>
          <w:p w14:paraId="29425FBD" w14:textId="77777777" w:rsidR="007221B1" w:rsidRPr="00D30847" w:rsidRDefault="007221B1" w:rsidP="007221B1">
            <w:pPr>
              <w:spacing w:after="0" w:line="240" w:lineRule="auto"/>
              <w:rPr>
                <w:rFonts w:eastAsia="Times New Roman" w:cs="Calibri"/>
                <w:color w:val="202124"/>
                <w:sz w:val="18"/>
                <w:szCs w:val="18"/>
                <w:lang w:val="en-GB"/>
              </w:rPr>
            </w:pPr>
          </w:p>
        </w:tc>
      </w:tr>
      <w:tr w:rsidR="007221B1" w:rsidRPr="00D30847" w14:paraId="2C5A8778" w14:textId="77777777" w:rsidTr="00923BCD">
        <w:trPr>
          <w:trHeight w:val="301"/>
        </w:trPr>
        <w:tc>
          <w:tcPr>
            <w:tcW w:w="562" w:type="dxa"/>
            <w:vMerge/>
            <w:shd w:val="clear" w:color="auto" w:fill="auto"/>
          </w:tcPr>
          <w:p w14:paraId="02F49A37" w14:textId="77777777" w:rsidR="007221B1" w:rsidRPr="00D30847" w:rsidRDefault="007221B1" w:rsidP="007221B1">
            <w:pPr>
              <w:spacing w:after="0" w:line="240" w:lineRule="auto"/>
              <w:rPr>
                <w:rFonts w:cs="Calibri"/>
                <w:sz w:val="18"/>
                <w:szCs w:val="18"/>
                <w:lang w:val="en-GB"/>
              </w:rPr>
            </w:pPr>
          </w:p>
        </w:tc>
        <w:tc>
          <w:tcPr>
            <w:tcW w:w="2381" w:type="dxa"/>
            <w:vMerge/>
            <w:shd w:val="clear" w:color="auto" w:fill="auto"/>
          </w:tcPr>
          <w:p w14:paraId="7CCCD2A2" w14:textId="77777777" w:rsidR="007221B1" w:rsidRPr="00D30847" w:rsidRDefault="007221B1" w:rsidP="007221B1">
            <w:pPr>
              <w:spacing w:after="0" w:line="240" w:lineRule="auto"/>
              <w:rPr>
                <w:rFonts w:cs="Calibri"/>
                <w:sz w:val="18"/>
                <w:szCs w:val="18"/>
                <w:lang w:val="en-GB"/>
              </w:rPr>
            </w:pPr>
          </w:p>
        </w:tc>
        <w:tc>
          <w:tcPr>
            <w:tcW w:w="3819" w:type="dxa"/>
            <w:shd w:val="clear" w:color="auto" w:fill="auto"/>
          </w:tcPr>
          <w:p w14:paraId="58B97E36" w14:textId="7B309AD4" w:rsidR="007221B1" w:rsidRPr="00D30847" w:rsidRDefault="007221B1" w:rsidP="007221B1">
            <w:pPr>
              <w:spacing w:after="0" w:line="240" w:lineRule="auto"/>
              <w:rPr>
                <w:rFonts w:cs="Calibri"/>
                <w:sz w:val="18"/>
                <w:szCs w:val="18"/>
                <w:lang w:val="en-GB"/>
              </w:rPr>
            </w:pPr>
            <w:r w:rsidRPr="00D30847">
              <w:rPr>
                <w:rFonts w:cs="Calibri"/>
                <w:sz w:val="18"/>
                <w:szCs w:val="18"/>
                <w:lang w:val="en-GB"/>
              </w:rPr>
              <w:t>Insufficient interest in conducting trainings.</w:t>
            </w:r>
          </w:p>
        </w:tc>
        <w:tc>
          <w:tcPr>
            <w:tcW w:w="2254" w:type="dxa"/>
            <w:vMerge/>
            <w:shd w:val="clear" w:color="auto" w:fill="auto"/>
          </w:tcPr>
          <w:p w14:paraId="5F2BBF66" w14:textId="77777777" w:rsidR="007221B1" w:rsidRPr="00D30847" w:rsidRDefault="007221B1" w:rsidP="007221B1">
            <w:pPr>
              <w:spacing w:after="0" w:line="240" w:lineRule="auto"/>
              <w:rPr>
                <w:rFonts w:cs="Calibri"/>
                <w:color w:val="FF0000"/>
                <w:sz w:val="18"/>
                <w:szCs w:val="18"/>
                <w:lang w:val="en-GB"/>
              </w:rPr>
            </w:pPr>
          </w:p>
        </w:tc>
      </w:tr>
      <w:tr w:rsidR="007221B1" w:rsidRPr="00D30847" w14:paraId="3220EEEE" w14:textId="77777777" w:rsidTr="006C2FDD">
        <w:trPr>
          <w:trHeight w:val="247"/>
        </w:trPr>
        <w:tc>
          <w:tcPr>
            <w:tcW w:w="562" w:type="dxa"/>
            <w:vMerge/>
            <w:shd w:val="clear" w:color="auto" w:fill="auto"/>
          </w:tcPr>
          <w:p w14:paraId="280BD126" w14:textId="77777777" w:rsidR="007221B1" w:rsidRPr="00D30847" w:rsidRDefault="007221B1" w:rsidP="007221B1">
            <w:pPr>
              <w:spacing w:after="0" w:line="240" w:lineRule="auto"/>
              <w:rPr>
                <w:rFonts w:cs="Calibri"/>
                <w:sz w:val="18"/>
                <w:szCs w:val="18"/>
                <w:lang w:val="en-GB"/>
              </w:rPr>
            </w:pPr>
          </w:p>
        </w:tc>
        <w:tc>
          <w:tcPr>
            <w:tcW w:w="2381" w:type="dxa"/>
            <w:vMerge/>
            <w:shd w:val="clear" w:color="auto" w:fill="auto"/>
          </w:tcPr>
          <w:p w14:paraId="68636E60" w14:textId="77777777" w:rsidR="007221B1" w:rsidRPr="00D30847" w:rsidRDefault="007221B1" w:rsidP="007221B1">
            <w:pPr>
              <w:spacing w:after="0" w:line="240" w:lineRule="auto"/>
              <w:rPr>
                <w:rFonts w:cs="Calibri"/>
                <w:sz w:val="18"/>
                <w:szCs w:val="18"/>
                <w:lang w:val="en-GB"/>
              </w:rPr>
            </w:pPr>
          </w:p>
        </w:tc>
        <w:tc>
          <w:tcPr>
            <w:tcW w:w="3819" w:type="dxa"/>
            <w:shd w:val="clear" w:color="auto" w:fill="auto"/>
          </w:tcPr>
          <w:p w14:paraId="746C6C67" w14:textId="675D8E06" w:rsidR="007221B1" w:rsidRPr="00D30847" w:rsidRDefault="007221B1" w:rsidP="007221B1">
            <w:pPr>
              <w:spacing w:after="0" w:line="240" w:lineRule="auto"/>
              <w:rPr>
                <w:rFonts w:cs="Calibri"/>
                <w:sz w:val="18"/>
                <w:szCs w:val="18"/>
                <w:lang w:val="en-GB"/>
              </w:rPr>
            </w:pPr>
            <w:r w:rsidRPr="00D30847">
              <w:rPr>
                <w:rFonts w:cs="Calibri"/>
                <w:sz w:val="18"/>
                <w:szCs w:val="18"/>
                <w:lang w:val="en-GB"/>
              </w:rPr>
              <w:t>Lack of funds for conducting trainings.</w:t>
            </w:r>
          </w:p>
        </w:tc>
        <w:tc>
          <w:tcPr>
            <w:tcW w:w="2254" w:type="dxa"/>
            <w:vMerge/>
            <w:shd w:val="clear" w:color="auto" w:fill="auto"/>
          </w:tcPr>
          <w:p w14:paraId="7E87930A" w14:textId="77777777" w:rsidR="007221B1" w:rsidRPr="00D30847" w:rsidRDefault="007221B1" w:rsidP="007221B1">
            <w:pPr>
              <w:spacing w:after="0" w:line="240" w:lineRule="auto"/>
              <w:rPr>
                <w:rFonts w:cs="Calibri"/>
                <w:sz w:val="18"/>
                <w:szCs w:val="18"/>
                <w:lang w:val="en-GB"/>
              </w:rPr>
            </w:pPr>
          </w:p>
        </w:tc>
      </w:tr>
    </w:tbl>
    <w:p w14:paraId="6A4108D7" w14:textId="77777777" w:rsidR="007707F9" w:rsidRPr="00D30847" w:rsidRDefault="007707F9" w:rsidP="00E84CD0">
      <w:pPr>
        <w:spacing w:after="120" w:line="240" w:lineRule="auto"/>
        <w:jc w:val="both"/>
        <w:rPr>
          <w:rFonts w:cs="Calibri"/>
          <w:lang w:val="en-GB"/>
        </w:rPr>
      </w:pPr>
    </w:p>
    <w:p w14:paraId="5BFD1B83" w14:textId="77777777" w:rsidR="00E57EF2" w:rsidRPr="00D30847" w:rsidRDefault="00E57EF2" w:rsidP="00E84CD0">
      <w:pPr>
        <w:spacing w:after="120" w:line="240" w:lineRule="auto"/>
        <w:jc w:val="both"/>
        <w:rPr>
          <w:rFonts w:cs="Calibri"/>
          <w:lang w:val="en-GB"/>
        </w:rPr>
      </w:pPr>
    </w:p>
    <w:p w14:paraId="0325A095" w14:textId="089AB94C" w:rsidR="00A42B0B" w:rsidRPr="00D30847" w:rsidRDefault="00A42B0B" w:rsidP="00E84CD0">
      <w:pPr>
        <w:spacing w:line="240" w:lineRule="auto"/>
        <w:jc w:val="both"/>
        <w:rPr>
          <w:rFonts w:cs="Calibri"/>
          <w:lang w:val="en-GB" w:eastAsia="zh-CN"/>
        </w:rPr>
      </w:pPr>
    </w:p>
    <w:sectPr w:rsidR="00A42B0B" w:rsidRPr="00D30847" w:rsidSect="00CF32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1E10A" w14:textId="77777777" w:rsidR="00093CDB" w:rsidRDefault="00093CDB" w:rsidP="00EC7BE5">
      <w:pPr>
        <w:spacing w:after="0" w:line="240" w:lineRule="auto"/>
      </w:pPr>
      <w:r>
        <w:separator/>
      </w:r>
    </w:p>
  </w:endnote>
  <w:endnote w:type="continuationSeparator" w:id="0">
    <w:p w14:paraId="5DF0C735" w14:textId="77777777" w:rsidR="00093CDB" w:rsidRDefault="00093CDB" w:rsidP="00EC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tobiSerif Regular">
    <w:panose1 w:val="02000503060000020004"/>
    <w:charset w:val="00"/>
    <w:family w:val="modern"/>
    <w:notTrueType/>
    <w:pitch w:val="variable"/>
    <w:sig w:usb0="A00002AF" w:usb1="5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acedonian Tm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ndnya">
    <w:panose1 w:val="00000400000000000000"/>
    <w:charset w:val="01"/>
    <w:family w:val="roman"/>
    <w:pitch w:val="variable"/>
  </w:font>
  <w:font w:name="Arial">
    <w:panose1 w:val="020B0604020202020204"/>
    <w:charset w:val="CC"/>
    <w:family w:val="swiss"/>
    <w:pitch w:val="variable"/>
    <w:sig w:usb0="E0002AFF" w:usb1="C0007843"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Helvetica">
    <w:panose1 w:val="020B050402020203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Cambria"/>
    <w:panose1 w:val="00000000000000000000"/>
    <w:charset w:val="00"/>
    <w:family w:val="roman"/>
    <w:notTrueType/>
    <w:pitch w:val="default"/>
  </w:font>
  <w:font w:name="StobiSerifRegular-Identity-H">
    <w:altName w:val="MS P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F5C81" w14:textId="77777777" w:rsidR="00093CDB" w:rsidRDefault="00093CDB" w:rsidP="00EC7BE5">
      <w:pPr>
        <w:spacing w:after="0" w:line="240" w:lineRule="auto"/>
      </w:pPr>
      <w:r>
        <w:separator/>
      </w:r>
    </w:p>
  </w:footnote>
  <w:footnote w:type="continuationSeparator" w:id="0">
    <w:p w14:paraId="3B3B65EE" w14:textId="77777777" w:rsidR="00093CDB" w:rsidRDefault="00093CDB" w:rsidP="00EC7BE5">
      <w:pPr>
        <w:spacing w:after="0" w:line="240" w:lineRule="auto"/>
      </w:pPr>
      <w:r>
        <w:continuationSeparator/>
      </w:r>
    </w:p>
  </w:footnote>
  <w:footnote w:id="1">
    <w:p w14:paraId="6D4AF702" w14:textId="77777777" w:rsidR="00093CDB" w:rsidRDefault="00093CDB" w:rsidP="002F289A">
      <w:pPr>
        <w:pStyle w:val="Normal1"/>
        <w:pBdr>
          <w:top w:val="nil"/>
          <w:left w:val="nil"/>
          <w:bottom w:val="nil"/>
          <w:right w:val="nil"/>
          <w:between w:val="nil"/>
        </w:pBdr>
        <w:spacing w:before="40" w:after="0" w:line="240" w:lineRule="auto"/>
        <w:ind w:left="142" w:hanging="142"/>
        <w:jc w:val="both"/>
        <w:rPr>
          <w:rFonts w:ascii="Times New Roman" w:eastAsia="Times New Roman" w:hAnsi="Times New Roman" w:cs="Times New Roman"/>
          <w:color w:val="000000"/>
          <w:sz w:val="16"/>
          <w:szCs w:val="16"/>
        </w:rPr>
      </w:pPr>
      <w:r>
        <w:rPr>
          <w:vertAlign w:val="superscript"/>
        </w:rPr>
        <w:footnoteRef/>
      </w:r>
      <w:r>
        <w:rPr>
          <w:rFonts w:ascii="Arial Narrow" w:eastAsia="Arial Narrow" w:hAnsi="Arial Narrow" w:cs="Arial Narrow"/>
          <w:color w:val="000000"/>
          <w:sz w:val="16"/>
          <w:szCs w:val="16"/>
        </w:rPr>
        <w:t>Pursuant to the 2021 Modifications and Amendments to the Budget of the Republic of North Macedonia (“Official Gazette", no. 171/21)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CF679" w14:textId="54434C21" w:rsidR="00093CDB" w:rsidRDefault="00093CDB">
    <w:pPr>
      <w:pStyle w:val="Header"/>
    </w:pPr>
    <w:r>
      <w:rPr>
        <w:noProof/>
        <w:lang w:eastAsia="mk-MK"/>
      </w:rPr>
      <mc:AlternateContent>
        <mc:Choice Requires="wps">
          <w:drawing>
            <wp:anchor distT="0" distB="0" distL="114300" distR="114300" simplePos="0" relativeHeight="251658240" behindDoc="0" locked="0" layoutInCell="0" allowOverlap="1" wp14:anchorId="70C96C35" wp14:editId="44E304FE">
              <wp:simplePos x="0" y="0"/>
              <wp:positionH relativeFrom="page">
                <wp:posOffset>1179830</wp:posOffset>
              </wp:positionH>
              <wp:positionV relativeFrom="page">
                <wp:posOffset>430530</wp:posOffset>
              </wp:positionV>
              <wp:extent cx="5427980" cy="370840"/>
              <wp:effectExtent l="0" t="0" r="0" b="0"/>
              <wp:wrapNone/>
              <wp:docPr id="1158559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168B4" w14:textId="3D2050A3" w:rsidR="00093CDB" w:rsidRPr="00890621" w:rsidRDefault="00093CDB" w:rsidP="00331B35">
                          <w:pPr>
                            <w:spacing w:after="0" w:line="240" w:lineRule="auto"/>
                            <w:jc w:val="right"/>
                            <w:rPr>
                              <w:rFonts w:eastAsia="MS PGothic"/>
                              <w:b/>
                              <w:color w:val="0070C0"/>
                              <w:lang w:val="en-US" w:eastAsia="zh-CN"/>
                            </w:rPr>
                          </w:pPr>
                          <w:r>
                            <w:rPr>
                              <w:b/>
                              <w:color w:val="0070C0"/>
                            </w:rPr>
                            <w:t>Public Financial</w:t>
                          </w:r>
                          <w:r w:rsidRPr="00277EF5">
                            <w:rPr>
                              <w:b/>
                              <w:color w:val="0070C0"/>
                            </w:rPr>
                            <w:t xml:space="preserve"> Management Reform Programme 202</w:t>
                          </w:r>
                          <w:r>
                            <w:rPr>
                              <w:b/>
                              <w:color w:val="0070C0"/>
                              <w:lang w:val="en-US"/>
                            </w:rPr>
                            <w:t>5</w:t>
                          </w:r>
                          <w:r w:rsidRPr="00277EF5">
                            <w:rPr>
                              <w:b/>
                              <w:color w:val="0070C0"/>
                            </w:rPr>
                            <w:t xml:space="preserve"> - 202</w:t>
                          </w:r>
                          <w:r>
                            <w:rPr>
                              <w:b/>
                              <w:color w:val="0070C0"/>
                              <w:lang w:val="en-US"/>
                            </w:rPr>
                            <w:t>8</w:t>
                          </w:r>
                        </w:p>
                        <w:p w14:paraId="0A3A9B02" w14:textId="77777777" w:rsidR="00093CDB" w:rsidRPr="00811121" w:rsidRDefault="00093CDB" w:rsidP="00331B35">
                          <w:pPr>
                            <w:spacing w:after="0" w:line="240" w:lineRule="auto"/>
                            <w:jc w:val="right"/>
                            <w:rPr>
                              <w:b/>
                              <w:color w:val="CD0000"/>
                              <w:lang w:val="en-US"/>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C96C35" id="_x0000_t202" coordsize="21600,21600" o:spt="202" path="m,l,21600r21600,l21600,xe">
              <v:stroke joinstyle="miter"/>
              <v:path gradientshapeok="t" o:connecttype="rect"/>
            </v:shapetype>
            <v:shape id="Text Box 5" o:spid="_x0000_s1032" type="#_x0000_t202" style="position:absolute;margin-left:92.9pt;margin-top:33.9pt;width:427.4pt;height:2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" o:allowincell="f" filled="f" stroked="f">
              <v:textbox inset=",0,,0">
                <w:txbxContent>
                  <w:p w14:paraId="4BA168B4" w14:textId="3D2050A3" w:rsidR="00093CDB" w:rsidRPr="00890621" w:rsidRDefault="00093CDB" w:rsidP="00331B35">
                    <w:pPr>
                      <w:spacing w:after="0" w:line="240" w:lineRule="auto"/>
                      <w:jc w:val="right"/>
                      <w:rPr>
                        <w:rFonts w:eastAsia="MS PGothic"/>
                        <w:b/>
                        <w:color w:val="0070C0"/>
                        <w:lang w:val="en-US" w:eastAsia="zh-CN"/>
                      </w:rPr>
                    </w:pPr>
                    <w:r>
                      <w:rPr>
                        <w:b/>
                        <w:color w:val="0070C0"/>
                      </w:rPr>
                      <w:t>Public Financial</w:t>
                    </w:r>
                    <w:r w:rsidRPr="00277EF5">
                      <w:rPr>
                        <w:b/>
                        <w:color w:val="0070C0"/>
                      </w:rPr>
                      <w:t xml:space="preserve"> Management Reform Programme 202</w:t>
                    </w:r>
                    <w:r>
                      <w:rPr>
                        <w:b/>
                        <w:color w:val="0070C0"/>
                        <w:lang w:val="en-US"/>
                      </w:rPr>
                      <w:t>5</w:t>
                    </w:r>
                    <w:r w:rsidRPr="00277EF5">
                      <w:rPr>
                        <w:b/>
                        <w:color w:val="0070C0"/>
                      </w:rPr>
                      <w:t xml:space="preserve"> - 202</w:t>
                    </w:r>
                    <w:r>
                      <w:rPr>
                        <w:b/>
                        <w:color w:val="0070C0"/>
                        <w:lang w:val="en-US"/>
                      </w:rPr>
                      <w:t>8</w:t>
                    </w:r>
                  </w:p>
                  <w:p w14:paraId="0A3A9B02" w14:textId="77777777" w:rsidR="00093CDB" w:rsidRPr="00811121" w:rsidRDefault="00093CDB" w:rsidP="00331B35">
                    <w:pPr>
                      <w:spacing w:after="0" w:line="240" w:lineRule="auto"/>
                      <w:jc w:val="right"/>
                      <w:rPr>
                        <w:b/>
                        <w:color w:val="CD0000"/>
                        <w:lang w:val="en-US"/>
                      </w:rPr>
                    </w:pPr>
                  </w:p>
                </w:txbxContent>
              </v:textbox>
              <w10:wrap anchorx="page" anchory="page"/>
            </v:shape>
          </w:pict>
        </mc:Fallback>
      </mc:AlternateContent>
    </w:r>
    <w:r>
      <w:rPr>
        <w:noProof/>
        <w:lang w:eastAsia="mk-MK"/>
      </w:rPr>
      <mc:AlternateContent>
        <mc:Choice Requires="wps">
          <w:drawing>
            <wp:anchor distT="0" distB="0" distL="114300" distR="114300" simplePos="0" relativeHeight="251659264" behindDoc="0" locked="0" layoutInCell="0" allowOverlap="1" wp14:anchorId="7A4921B0" wp14:editId="2A8ED9BC">
              <wp:simplePos x="0" y="0"/>
              <wp:positionH relativeFrom="page">
                <wp:posOffset>6778625</wp:posOffset>
              </wp:positionH>
              <wp:positionV relativeFrom="page">
                <wp:posOffset>430530</wp:posOffset>
              </wp:positionV>
              <wp:extent cx="777875" cy="199390"/>
              <wp:effectExtent l="0" t="0" r="0" b="0"/>
              <wp:wrapNone/>
              <wp:docPr id="815424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99390"/>
                      </a:xfrm>
                      <a:prstGeom prst="rect">
                        <a:avLst/>
                      </a:prstGeom>
                      <a:solidFill>
                        <a:srgbClr val="2F54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4BF87" w14:textId="5E66636D" w:rsidR="00093CDB" w:rsidRPr="00E50D10" w:rsidRDefault="00093CDB" w:rsidP="00331B35">
                          <w:pPr>
                            <w:spacing w:after="0" w:line="240" w:lineRule="auto"/>
                            <w:rPr>
                              <w:color w:val="FFFFFF"/>
                            </w:rPr>
                          </w:pPr>
                          <w:r>
                            <w:fldChar w:fldCharType="begin"/>
                          </w:r>
                          <w:r>
                            <w:instrText xml:space="preserve"> PAGE   \* MERGEFORMAT </w:instrText>
                          </w:r>
                          <w:r>
                            <w:fldChar w:fldCharType="separate"/>
                          </w:r>
                          <w:r w:rsidR="00E669F2" w:rsidRPr="00E669F2">
                            <w:rPr>
                              <w:noProof/>
                              <w:color w:val="FFFFFF"/>
                            </w:rPr>
                            <w:t>138</w:t>
                          </w:r>
                          <w: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921B0" id="_x0000_t202" coordsize="21600,21600" o:spt="202" path="m,l,21600r21600,l21600,xe">
              <v:stroke joinstyle="miter"/>
              <v:path gradientshapeok="t" o:connecttype="rect"/>
            </v:shapetype>
            <v:shape id="Text Box 2" o:spid="_x0000_s1033" type="#_x0000_t202" style="position:absolute;margin-left:533.75pt;margin-top:33.9pt;width:61.25pt;height:15.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" o:allowincell="f" fillcolor="#2f5496" stroked="f">
              <v:textbox inset=",0,,0">
                <w:txbxContent>
                  <w:p w14:paraId="4FA4BF87" w14:textId="5E66636D" w:rsidR="00093CDB" w:rsidRPr="00E50D10" w:rsidRDefault="00093CDB" w:rsidP="00331B35">
                    <w:pPr>
                      <w:spacing w:after="0" w:line="240" w:lineRule="auto"/>
                      <w:rPr>
                        <w:color w:val="FFFFFF"/>
                      </w:rPr>
                    </w:pPr>
                    <w:r>
                      <w:fldChar w:fldCharType="begin"/>
                    </w:r>
                    <w:r>
                      <w:instrText xml:space="preserve"> PAGE   \* MERGEFORMAT </w:instrText>
                    </w:r>
                    <w:r>
                      <w:fldChar w:fldCharType="separate"/>
                    </w:r>
                    <w:r w:rsidR="00E669F2" w:rsidRPr="00E669F2">
                      <w:rPr>
                        <w:noProof/>
                        <w:color w:val="FFFFFF"/>
                      </w:rPr>
                      <w:t>138</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C5857" w14:textId="700FAB5F" w:rsidR="00093CDB" w:rsidRDefault="00093CDB">
    <w:pPr>
      <w:pStyle w:val="Header"/>
    </w:pPr>
    <w:r>
      <w:rPr>
        <w:noProof/>
        <w:lang w:eastAsia="mk-MK"/>
      </w:rPr>
      <mc:AlternateContent>
        <mc:Choice Requires="wps">
          <w:drawing>
            <wp:anchor distT="0" distB="0" distL="114300" distR="114300" simplePos="0" relativeHeight="251656192" behindDoc="0" locked="0" layoutInCell="0" allowOverlap="1" wp14:anchorId="629E67A1" wp14:editId="2C310814">
              <wp:simplePos x="0" y="0"/>
              <wp:positionH relativeFrom="page">
                <wp:posOffset>1179830</wp:posOffset>
              </wp:positionH>
              <wp:positionV relativeFrom="page">
                <wp:posOffset>430530</wp:posOffset>
              </wp:positionV>
              <wp:extent cx="5427980" cy="370840"/>
              <wp:effectExtent l="0" t="0" r="0" b="0"/>
              <wp:wrapNone/>
              <wp:docPr id="4498807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F40C3" w14:textId="09F7213C" w:rsidR="00093CDB" w:rsidRPr="00C742B4" w:rsidRDefault="00093CDB" w:rsidP="00CF7144">
                          <w:pPr>
                            <w:spacing w:after="0" w:line="240" w:lineRule="auto"/>
                            <w:jc w:val="right"/>
                            <w:rPr>
                              <w:rFonts w:eastAsia="MS PGothic"/>
                              <w:b/>
                              <w:color w:val="0070C0"/>
                              <w:lang w:val="en-US" w:eastAsia="zh-CN"/>
                            </w:rPr>
                          </w:pPr>
                          <w:r>
                            <w:rPr>
                              <w:b/>
                              <w:color w:val="0070C0"/>
                            </w:rPr>
                            <w:t>Public Financial</w:t>
                          </w:r>
                          <w:r w:rsidRPr="00277EF5">
                            <w:rPr>
                              <w:b/>
                              <w:color w:val="0070C0"/>
                            </w:rPr>
                            <w:t xml:space="preserve"> Management Reform Programme 202</w:t>
                          </w:r>
                          <w:r>
                            <w:rPr>
                              <w:b/>
                              <w:color w:val="0070C0"/>
                              <w:lang w:val="en-US"/>
                            </w:rPr>
                            <w:t>5</w:t>
                          </w:r>
                          <w:r w:rsidRPr="00277EF5">
                            <w:rPr>
                              <w:b/>
                              <w:color w:val="0070C0"/>
                            </w:rPr>
                            <w:t xml:space="preserve"> - 202</w:t>
                          </w:r>
                          <w:r>
                            <w:rPr>
                              <w:b/>
                              <w:color w:val="0070C0"/>
                              <w:lang w:val="en-US"/>
                            </w:rPr>
                            <w:t>8</w:t>
                          </w:r>
                        </w:p>
                        <w:p w14:paraId="038435E9" w14:textId="77777777" w:rsidR="00093CDB" w:rsidRPr="004F1113" w:rsidRDefault="00093CDB" w:rsidP="004F1113">
                          <w:pPr>
                            <w:spacing w:after="0" w:line="240" w:lineRule="auto"/>
                            <w:jc w:val="right"/>
                            <w:rPr>
                              <w:rFonts w:eastAsia="MS PGothic"/>
                              <w:b/>
                              <w:color w:val="CD0000"/>
                              <w:lang w:val="en-US" w:eastAsia="zh-CN"/>
                            </w:rPr>
                          </w:pPr>
                        </w:p>
                        <w:p w14:paraId="0214E08C" w14:textId="77777777" w:rsidR="00093CDB" w:rsidRPr="00811121" w:rsidRDefault="00093CDB" w:rsidP="00EC7BE5">
                          <w:pPr>
                            <w:spacing w:after="0" w:line="240" w:lineRule="auto"/>
                            <w:jc w:val="right"/>
                            <w:rPr>
                              <w:b/>
                              <w:color w:val="CD0000"/>
                              <w:lang w:val="en-US"/>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9E67A1" id="_x0000_t202" coordsize="21600,21600" o:spt="202" path="m,l,21600r21600,l21600,xe">
              <v:stroke joinstyle="miter"/>
              <v:path gradientshapeok="t" o:connecttype="rect"/>
            </v:shapetype>
            <v:shape id="Text Box 1" o:spid="_x0000_s1034" type="#_x0000_t202" style="position:absolute;margin-left:92.9pt;margin-top:33.9pt;width:427.4pt;height:29.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" o:allowincell="f" filled="f" stroked="f">
              <v:textbox inset=",0,,0">
                <w:txbxContent>
                  <w:p w14:paraId="079F40C3" w14:textId="09F7213C" w:rsidR="00093CDB" w:rsidRPr="00C742B4" w:rsidRDefault="00093CDB" w:rsidP="00CF7144">
                    <w:pPr>
                      <w:spacing w:after="0" w:line="240" w:lineRule="auto"/>
                      <w:jc w:val="right"/>
                      <w:rPr>
                        <w:rFonts w:eastAsia="MS PGothic"/>
                        <w:b/>
                        <w:color w:val="0070C0"/>
                        <w:lang w:val="en-US" w:eastAsia="zh-CN"/>
                      </w:rPr>
                    </w:pPr>
                    <w:r>
                      <w:rPr>
                        <w:b/>
                        <w:color w:val="0070C0"/>
                      </w:rPr>
                      <w:t>Public Financial</w:t>
                    </w:r>
                    <w:r w:rsidRPr="00277EF5">
                      <w:rPr>
                        <w:b/>
                        <w:color w:val="0070C0"/>
                      </w:rPr>
                      <w:t xml:space="preserve"> Management Reform Programme 202</w:t>
                    </w:r>
                    <w:r>
                      <w:rPr>
                        <w:b/>
                        <w:color w:val="0070C0"/>
                        <w:lang w:val="en-US"/>
                      </w:rPr>
                      <w:t>5</w:t>
                    </w:r>
                    <w:r w:rsidRPr="00277EF5">
                      <w:rPr>
                        <w:b/>
                        <w:color w:val="0070C0"/>
                      </w:rPr>
                      <w:t xml:space="preserve"> - 202</w:t>
                    </w:r>
                    <w:r>
                      <w:rPr>
                        <w:b/>
                        <w:color w:val="0070C0"/>
                        <w:lang w:val="en-US"/>
                      </w:rPr>
                      <w:t>8</w:t>
                    </w:r>
                  </w:p>
                  <w:p w14:paraId="038435E9" w14:textId="77777777" w:rsidR="00093CDB" w:rsidRPr="004F1113" w:rsidRDefault="00093CDB" w:rsidP="004F1113">
                    <w:pPr>
                      <w:spacing w:after="0" w:line="240" w:lineRule="auto"/>
                      <w:jc w:val="right"/>
                      <w:rPr>
                        <w:rFonts w:eastAsia="MS PGothic"/>
                        <w:b/>
                        <w:color w:val="CD0000"/>
                        <w:lang w:val="en-US" w:eastAsia="zh-CN"/>
                      </w:rPr>
                    </w:pPr>
                  </w:p>
                  <w:p w14:paraId="0214E08C" w14:textId="77777777" w:rsidR="00093CDB" w:rsidRPr="00811121" w:rsidRDefault="00093CDB" w:rsidP="00EC7BE5">
                    <w:pPr>
                      <w:spacing w:after="0" w:line="240" w:lineRule="auto"/>
                      <w:jc w:val="right"/>
                      <w:rPr>
                        <w:b/>
                        <w:color w:val="CD0000"/>
                        <w:lang w:val="en-US"/>
                      </w:rPr>
                    </w:pPr>
                  </w:p>
                </w:txbxContent>
              </v:textbox>
              <w10:wrap anchorx="page" anchory="page"/>
            </v:shape>
          </w:pict>
        </mc:Fallback>
      </mc:AlternateContent>
    </w:r>
    <w:r>
      <w:rPr>
        <w:noProof/>
        <w:lang w:eastAsia="mk-MK"/>
      </w:rPr>
      <mc:AlternateContent>
        <mc:Choice Requires="wps">
          <w:drawing>
            <wp:anchor distT="0" distB="0" distL="114300" distR="114300" simplePos="0" relativeHeight="251657216" behindDoc="0" locked="0" layoutInCell="0" allowOverlap="1" wp14:anchorId="71FA6DB7" wp14:editId="06A94F54">
              <wp:simplePos x="0" y="0"/>
              <wp:positionH relativeFrom="page">
                <wp:posOffset>6778625</wp:posOffset>
              </wp:positionH>
              <wp:positionV relativeFrom="page">
                <wp:posOffset>430530</wp:posOffset>
              </wp:positionV>
              <wp:extent cx="777875" cy="199390"/>
              <wp:effectExtent l="0" t="0" r="0" b="0"/>
              <wp:wrapNone/>
              <wp:docPr id="1863144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99390"/>
                      </a:xfrm>
                      <a:prstGeom prst="rect">
                        <a:avLst/>
                      </a:prstGeom>
                      <a:solidFill>
                        <a:srgbClr val="2F54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C7B24" w14:textId="640DE00E" w:rsidR="00093CDB" w:rsidRPr="00E50D10" w:rsidRDefault="00093CDB" w:rsidP="00EC7BE5">
                          <w:pPr>
                            <w:spacing w:after="0" w:line="240" w:lineRule="auto"/>
                            <w:rPr>
                              <w:color w:val="FFFFFF"/>
                            </w:rPr>
                          </w:pPr>
                          <w:r>
                            <w:fldChar w:fldCharType="begin"/>
                          </w:r>
                          <w:r>
                            <w:instrText xml:space="preserve"> PAGE   \* MERGEFORMAT </w:instrText>
                          </w:r>
                          <w:r>
                            <w:fldChar w:fldCharType="separate"/>
                          </w:r>
                          <w:r w:rsidR="00E669F2" w:rsidRPr="00E669F2">
                            <w:rPr>
                              <w:noProof/>
                              <w:color w:val="FFFFFF"/>
                            </w:rPr>
                            <w:t>157</w:t>
                          </w:r>
                          <w: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A6DB7" id="_x0000_t202" coordsize="21600,21600" o:spt="202" path="m,l,21600r21600,l21600,xe">
              <v:stroke joinstyle="miter"/>
              <v:path gradientshapeok="t" o:connecttype="rect"/>
            </v:shapetype>
            <v:shape id="_x0000_s1035" type="#_x0000_t202" style="position:absolute;margin-left:533.75pt;margin-top:33.9pt;width:61.25pt;height:1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" o:allowincell="f" fillcolor="#2f5496" stroked="f">
              <v:textbox inset=",0,,0">
                <w:txbxContent>
                  <w:p w14:paraId="234C7B24" w14:textId="640DE00E" w:rsidR="00093CDB" w:rsidRPr="00E50D10" w:rsidRDefault="00093CDB" w:rsidP="00EC7BE5">
                    <w:pPr>
                      <w:spacing w:after="0" w:line="240" w:lineRule="auto"/>
                      <w:rPr>
                        <w:color w:val="FFFFFF"/>
                      </w:rPr>
                    </w:pPr>
                    <w:r>
                      <w:fldChar w:fldCharType="begin"/>
                    </w:r>
                    <w:r>
                      <w:instrText xml:space="preserve"> PAGE   \* MERGEFORMAT </w:instrText>
                    </w:r>
                    <w:r>
                      <w:fldChar w:fldCharType="separate"/>
                    </w:r>
                    <w:r w:rsidR="00E669F2" w:rsidRPr="00E669F2">
                      <w:rPr>
                        <w:noProof/>
                        <w:color w:val="FFFFFF"/>
                      </w:rPr>
                      <w:t>157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F96"/>
    <w:multiLevelType w:val="hybridMultilevel"/>
    <w:tmpl w:val="6E74D5D8"/>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2952CCA"/>
    <w:multiLevelType w:val="multilevel"/>
    <w:tmpl w:val="4A44891C"/>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StobiSerif Regular" w:eastAsia="Times New Roman" w:hAnsi="StobiSerif Regular"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534588"/>
    <w:multiLevelType w:val="hybridMultilevel"/>
    <w:tmpl w:val="694E6752"/>
    <w:lvl w:ilvl="0" w:tplc="D60C0742">
      <w:numFmt w:val="bullet"/>
      <w:lvlText w:val="-"/>
      <w:lvlJc w:val="left"/>
      <w:pPr>
        <w:ind w:left="720" w:hanging="360"/>
      </w:pPr>
      <w:rPr>
        <w:rFonts w:ascii="Calibri" w:eastAsia="Calibr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05234730"/>
    <w:multiLevelType w:val="hybridMultilevel"/>
    <w:tmpl w:val="6BA4D16E"/>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08961A7E"/>
    <w:multiLevelType w:val="hybridMultilevel"/>
    <w:tmpl w:val="347493EE"/>
    <w:lvl w:ilvl="0" w:tplc="D60C0742">
      <w:numFmt w:val="bullet"/>
      <w:lvlText w:val="-"/>
      <w:lvlJc w:val="left"/>
      <w:pPr>
        <w:ind w:left="720" w:hanging="360"/>
      </w:pPr>
      <w:rPr>
        <w:rFonts w:ascii="Calibri" w:eastAsia="Calibr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08F96533"/>
    <w:multiLevelType w:val="hybridMultilevel"/>
    <w:tmpl w:val="325413B2"/>
    <w:lvl w:ilvl="0" w:tplc="D60C0742">
      <w:numFmt w:val="bullet"/>
      <w:lvlText w:val="-"/>
      <w:lvlJc w:val="left"/>
      <w:pPr>
        <w:ind w:left="720" w:hanging="360"/>
      </w:pPr>
      <w:rPr>
        <w:rFonts w:ascii="Calibri" w:eastAsia="Calibr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0A7E2DB5"/>
    <w:multiLevelType w:val="hybridMultilevel"/>
    <w:tmpl w:val="876A4D1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0A8C3F7D"/>
    <w:multiLevelType w:val="hybridMultilevel"/>
    <w:tmpl w:val="608C55E8"/>
    <w:lvl w:ilvl="0" w:tplc="8D4299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904D3C"/>
    <w:multiLevelType w:val="hybridMultilevel"/>
    <w:tmpl w:val="80FA779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0BD944DA"/>
    <w:multiLevelType w:val="hybridMultilevel"/>
    <w:tmpl w:val="5DF4B190"/>
    <w:lvl w:ilvl="0" w:tplc="744C147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DC605E"/>
    <w:multiLevelType w:val="multilevel"/>
    <w:tmpl w:val="A118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FE2BBC"/>
    <w:multiLevelType w:val="hybridMultilevel"/>
    <w:tmpl w:val="E988C28A"/>
    <w:lvl w:ilvl="0" w:tplc="4078C234">
      <w:start w:val="6"/>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120A4FA1"/>
    <w:multiLevelType w:val="hybridMultilevel"/>
    <w:tmpl w:val="3A1A4E5C"/>
    <w:lvl w:ilvl="0" w:tplc="78F836D4">
      <w:start w:val="5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12D81D0A"/>
    <w:multiLevelType w:val="hybridMultilevel"/>
    <w:tmpl w:val="8C18DBDE"/>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154B087F"/>
    <w:multiLevelType w:val="hybridMultilevel"/>
    <w:tmpl w:val="35B02868"/>
    <w:lvl w:ilvl="0" w:tplc="AD344104">
      <w:numFmt w:val="bullet"/>
      <w:lvlText w:val="-"/>
      <w:lvlJc w:val="left"/>
      <w:pPr>
        <w:ind w:left="1440" w:hanging="360"/>
      </w:pPr>
      <w:rPr>
        <w:rFonts w:ascii="Calibri" w:eastAsia="Calibri" w:hAnsi="Calibri" w:cs="Calibri"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5" w15:restartNumberingAfterBreak="0">
    <w:nsid w:val="16004368"/>
    <w:multiLevelType w:val="hybridMultilevel"/>
    <w:tmpl w:val="82CC4004"/>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1982515A"/>
    <w:multiLevelType w:val="hybridMultilevel"/>
    <w:tmpl w:val="9E4C5462"/>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19E3615D"/>
    <w:multiLevelType w:val="hybridMultilevel"/>
    <w:tmpl w:val="15BC2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730095"/>
    <w:multiLevelType w:val="hybridMultilevel"/>
    <w:tmpl w:val="7EAAD77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1E07399B"/>
    <w:multiLevelType w:val="hybridMultilevel"/>
    <w:tmpl w:val="2BA2558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1FBC32EB"/>
    <w:multiLevelType w:val="hybridMultilevel"/>
    <w:tmpl w:val="2A46471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20A91A0B"/>
    <w:multiLevelType w:val="hybridMultilevel"/>
    <w:tmpl w:val="A7BEB072"/>
    <w:lvl w:ilvl="0" w:tplc="751C39A4">
      <w:numFmt w:val="bullet"/>
      <w:lvlText w:val="-"/>
      <w:lvlJc w:val="left"/>
      <w:pPr>
        <w:ind w:left="1080" w:hanging="360"/>
      </w:pPr>
      <w:rPr>
        <w:rFonts w:ascii="Calibri" w:eastAsia="Times New Roman" w:hAnsi="Calibri" w:cs="Times New Roman" w:hint="default"/>
        <w:b/>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2" w15:restartNumberingAfterBreak="0">
    <w:nsid w:val="2161509B"/>
    <w:multiLevelType w:val="hybridMultilevel"/>
    <w:tmpl w:val="46DE432C"/>
    <w:lvl w:ilvl="0" w:tplc="115A01AE">
      <w:start w:val="2"/>
      <w:numFmt w:val="bullet"/>
      <w:lvlText w:val="-"/>
      <w:lvlJc w:val="left"/>
      <w:pPr>
        <w:ind w:left="1429" w:hanging="360"/>
      </w:pPr>
      <w:rPr>
        <w:rFonts w:ascii="StobiSerif Regular" w:eastAsia="Times New Roman" w:hAnsi="StobiSerif Regular" w:cs="Times New Roman"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23" w15:restartNumberingAfterBreak="0">
    <w:nsid w:val="21C41B9F"/>
    <w:multiLevelType w:val="hybridMultilevel"/>
    <w:tmpl w:val="A920AF7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4" w15:restartNumberingAfterBreak="0">
    <w:nsid w:val="21E76353"/>
    <w:multiLevelType w:val="hybridMultilevel"/>
    <w:tmpl w:val="443AB982"/>
    <w:lvl w:ilvl="0" w:tplc="D60C0742">
      <w:numFmt w:val="bullet"/>
      <w:lvlText w:val="-"/>
      <w:lvlJc w:val="left"/>
      <w:pPr>
        <w:ind w:left="720" w:hanging="360"/>
      </w:pPr>
      <w:rPr>
        <w:rFonts w:ascii="Calibri" w:eastAsia="Calibr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22F67D58"/>
    <w:multiLevelType w:val="hybridMultilevel"/>
    <w:tmpl w:val="BD8E8E5E"/>
    <w:lvl w:ilvl="0" w:tplc="D60C0742">
      <w:numFmt w:val="bullet"/>
      <w:lvlText w:val="-"/>
      <w:lvlJc w:val="left"/>
      <w:pPr>
        <w:ind w:left="1003" w:hanging="360"/>
      </w:pPr>
      <w:rPr>
        <w:rFonts w:ascii="Calibri" w:eastAsia="Calibri" w:hAnsi="Calibri" w:cs="Calibri" w:hint="default"/>
      </w:rPr>
    </w:lvl>
    <w:lvl w:ilvl="1" w:tplc="042F0003" w:tentative="1">
      <w:start w:val="1"/>
      <w:numFmt w:val="bullet"/>
      <w:lvlText w:val="o"/>
      <w:lvlJc w:val="left"/>
      <w:pPr>
        <w:ind w:left="1723" w:hanging="360"/>
      </w:pPr>
      <w:rPr>
        <w:rFonts w:ascii="Courier New" w:hAnsi="Courier New" w:cs="Courier New" w:hint="default"/>
      </w:rPr>
    </w:lvl>
    <w:lvl w:ilvl="2" w:tplc="042F0005" w:tentative="1">
      <w:start w:val="1"/>
      <w:numFmt w:val="bullet"/>
      <w:lvlText w:val=""/>
      <w:lvlJc w:val="left"/>
      <w:pPr>
        <w:ind w:left="2443" w:hanging="360"/>
      </w:pPr>
      <w:rPr>
        <w:rFonts w:ascii="Wingdings" w:hAnsi="Wingdings" w:hint="default"/>
      </w:rPr>
    </w:lvl>
    <w:lvl w:ilvl="3" w:tplc="042F0001" w:tentative="1">
      <w:start w:val="1"/>
      <w:numFmt w:val="bullet"/>
      <w:lvlText w:val=""/>
      <w:lvlJc w:val="left"/>
      <w:pPr>
        <w:ind w:left="3163" w:hanging="360"/>
      </w:pPr>
      <w:rPr>
        <w:rFonts w:ascii="Symbol" w:hAnsi="Symbol" w:hint="default"/>
      </w:rPr>
    </w:lvl>
    <w:lvl w:ilvl="4" w:tplc="042F0003" w:tentative="1">
      <w:start w:val="1"/>
      <w:numFmt w:val="bullet"/>
      <w:lvlText w:val="o"/>
      <w:lvlJc w:val="left"/>
      <w:pPr>
        <w:ind w:left="3883" w:hanging="360"/>
      </w:pPr>
      <w:rPr>
        <w:rFonts w:ascii="Courier New" w:hAnsi="Courier New" w:cs="Courier New" w:hint="default"/>
      </w:rPr>
    </w:lvl>
    <w:lvl w:ilvl="5" w:tplc="042F0005" w:tentative="1">
      <w:start w:val="1"/>
      <w:numFmt w:val="bullet"/>
      <w:lvlText w:val=""/>
      <w:lvlJc w:val="left"/>
      <w:pPr>
        <w:ind w:left="4603" w:hanging="360"/>
      </w:pPr>
      <w:rPr>
        <w:rFonts w:ascii="Wingdings" w:hAnsi="Wingdings" w:hint="default"/>
      </w:rPr>
    </w:lvl>
    <w:lvl w:ilvl="6" w:tplc="042F0001" w:tentative="1">
      <w:start w:val="1"/>
      <w:numFmt w:val="bullet"/>
      <w:lvlText w:val=""/>
      <w:lvlJc w:val="left"/>
      <w:pPr>
        <w:ind w:left="5323" w:hanging="360"/>
      </w:pPr>
      <w:rPr>
        <w:rFonts w:ascii="Symbol" w:hAnsi="Symbol" w:hint="default"/>
      </w:rPr>
    </w:lvl>
    <w:lvl w:ilvl="7" w:tplc="042F0003" w:tentative="1">
      <w:start w:val="1"/>
      <w:numFmt w:val="bullet"/>
      <w:lvlText w:val="o"/>
      <w:lvlJc w:val="left"/>
      <w:pPr>
        <w:ind w:left="6043" w:hanging="360"/>
      </w:pPr>
      <w:rPr>
        <w:rFonts w:ascii="Courier New" w:hAnsi="Courier New" w:cs="Courier New" w:hint="default"/>
      </w:rPr>
    </w:lvl>
    <w:lvl w:ilvl="8" w:tplc="042F0005" w:tentative="1">
      <w:start w:val="1"/>
      <w:numFmt w:val="bullet"/>
      <w:lvlText w:val=""/>
      <w:lvlJc w:val="left"/>
      <w:pPr>
        <w:ind w:left="6763" w:hanging="360"/>
      </w:pPr>
      <w:rPr>
        <w:rFonts w:ascii="Wingdings" w:hAnsi="Wingdings" w:hint="default"/>
      </w:rPr>
    </w:lvl>
  </w:abstractNum>
  <w:abstractNum w:abstractNumId="26" w15:restartNumberingAfterBreak="0">
    <w:nsid w:val="233A0F01"/>
    <w:multiLevelType w:val="hybridMultilevel"/>
    <w:tmpl w:val="B20AAB8A"/>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15:restartNumberingAfterBreak="0">
    <w:nsid w:val="24977740"/>
    <w:multiLevelType w:val="hybridMultilevel"/>
    <w:tmpl w:val="243686B4"/>
    <w:lvl w:ilvl="0" w:tplc="AD344104">
      <w:numFmt w:val="bullet"/>
      <w:lvlText w:val="-"/>
      <w:lvlJc w:val="left"/>
      <w:pPr>
        <w:ind w:left="1440" w:hanging="360"/>
      </w:pPr>
      <w:rPr>
        <w:rFonts w:ascii="Calibri" w:eastAsia="Calibri" w:hAnsi="Calibri" w:cs="Calibri"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8" w15:restartNumberingAfterBreak="0">
    <w:nsid w:val="24C853CD"/>
    <w:multiLevelType w:val="hybridMultilevel"/>
    <w:tmpl w:val="3808E334"/>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25FA1817"/>
    <w:multiLevelType w:val="hybridMultilevel"/>
    <w:tmpl w:val="B7FA8710"/>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0" w15:restartNumberingAfterBreak="0">
    <w:nsid w:val="2D4B5DA7"/>
    <w:multiLevelType w:val="hybridMultilevel"/>
    <w:tmpl w:val="56AA3336"/>
    <w:lvl w:ilvl="0" w:tplc="02C80E28">
      <w:start w:val="5"/>
      <w:numFmt w:val="bullet"/>
      <w:lvlText w:val="-"/>
      <w:lvlJc w:val="left"/>
      <w:pPr>
        <w:ind w:left="720" w:hanging="360"/>
      </w:pPr>
      <w:rPr>
        <w:rFonts w:ascii="Arial Narrow" w:eastAsia="Times New Roman" w:hAnsi="Arial Narrow"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1" w15:restartNumberingAfterBreak="0">
    <w:nsid w:val="2E047E22"/>
    <w:multiLevelType w:val="hybridMultilevel"/>
    <w:tmpl w:val="6C28977C"/>
    <w:lvl w:ilvl="0" w:tplc="4078C234">
      <w:start w:val="6"/>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2" w15:restartNumberingAfterBreak="0">
    <w:nsid w:val="2EDE34AA"/>
    <w:multiLevelType w:val="hybridMultilevel"/>
    <w:tmpl w:val="CCC675B2"/>
    <w:lvl w:ilvl="0" w:tplc="D60C0742">
      <w:numFmt w:val="bullet"/>
      <w:lvlText w:val="-"/>
      <w:lvlJc w:val="left"/>
      <w:pPr>
        <w:ind w:left="720" w:hanging="360"/>
      </w:pPr>
      <w:rPr>
        <w:rFonts w:ascii="Calibri" w:eastAsia="Calibr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3" w15:restartNumberingAfterBreak="0">
    <w:nsid w:val="34F262EE"/>
    <w:multiLevelType w:val="hybridMultilevel"/>
    <w:tmpl w:val="3E140318"/>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4" w15:restartNumberingAfterBreak="0">
    <w:nsid w:val="386D7F8B"/>
    <w:multiLevelType w:val="hybridMultilevel"/>
    <w:tmpl w:val="06BEE92E"/>
    <w:lvl w:ilvl="0" w:tplc="87347D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8B6167"/>
    <w:multiLevelType w:val="hybridMultilevel"/>
    <w:tmpl w:val="F93274CA"/>
    <w:lvl w:ilvl="0" w:tplc="4078C234">
      <w:start w:val="6"/>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6" w15:restartNumberingAfterBreak="0">
    <w:nsid w:val="3BA01856"/>
    <w:multiLevelType w:val="hybridMultilevel"/>
    <w:tmpl w:val="92B8044A"/>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7" w15:restartNumberingAfterBreak="0">
    <w:nsid w:val="3C455324"/>
    <w:multiLevelType w:val="hybridMultilevel"/>
    <w:tmpl w:val="B5B682E6"/>
    <w:lvl w:ilvl="0" w:tplc="15D4BC7C">
      <w:numFmt w:val="bullet"/>
      <w:pStyle w:val="normalPFM-bullet"/>
      <w:lvlText w:val="-"/>
      <w:lvlJc w:val="left"/>
      <w:pPr>
        <w:tabs>
          <w:tab w:val="num" w:pos="720"/>
        </w:tabs>
        <w:ind w:left="720" w:hanging="360"/>
      </w:pPr>
      <w:rPr>
        <w:rFonts w:ascii="Calibri" w:eastAsia="Times New Roman" w:hAnsi="Calibri"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0E14C53"/>
    <w:multiLevelType w:val="hybridMultilevel"/>
    <w:tmpl w:val="C53E71DE"/>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9" w15:restartNumberingAfterBreak="0">
    <w:nsid w:val="40F82A33"/>
    <w:multiLevelType w:val="hybridMultilevel"/>
    <w:tmpl w:val="34924E5A"/>
    <w:lvl w:ilvl="0" w:tplc="32CE9082">
      <w:start w:val="1"/>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0" w15:restartNumberingAfterBreak="0">
    <w:nsid w:val="41505D26"/>
    <w:multiLevelType w:val="hybridMultilevel"/>
    <w:tmpl w:val="887EAA0A"/>
    <w:lvl w:ilvl="0" w:tplc="744C1472">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1" w15:restartNumberingAfterBreak="0">
    <w:nsid w:val="460202F2"/>
    <w:multiLevelType w:val="hybridMultilevel"/>
    <w:tmpl w:val="5AB41258"/>
    <w:lvl w:ilvl="0" w:tplc="D60C0742">
      <w:numFmt w:val="bullet"/>
      <w:lvlText w:val="-"/>
      <w:lvlJc w:val="left"/>
      <w:pPr>
        <w:ind w:left="754" w:hanging="360"/>
      </w:pPr>
      <w:rPr>
        <w:rFonts w:ascii="Calibri" w:eastAsia="Calibri" w:hAnsi="Calibri" w:cs="Calibri" w:hint="default"/>
      </w:rPr>
    </w:lvl>
    <w:lvl w:ilvl="1" w:tplc="042F0003" w:tentative="1">
      <w:start w:val="1"/>
      <w:numFmt w:val="bullet"/>
      <w:lvlText w:val="o"/>
      <w:lvlJc w:val="left"/>
      <w:pPr>
        <w:ind w:left="1474" w:hanging="360"/>
      </w:pPr>
      <w:rPr>
        <w:rFonts w:ascii="Courier New" w:hAnsi="Courier New" w:cs="Courier New" w:hint="default"/>
      </w:rPr>
    </w:lvl>
    <w:lvl w:ilvl="2" w:tplc="042F0005" w:tentative="1">
      <w:start w:val="1"/>
      <w:numFmt w:val="bullet"/>
      <w:lvlText w:val=""/>
      <w:lvlJc w:val="left"/>
      <w:pPr>
        <w:ind w:left="2194" w:hanging="360"/>
      </w:pPr>
      <w:rPr>
        <w:rFonts w:ascii="Wingdings" w:hAnsi="Wingdings" w:hint="default"/>
      </w:rPr>
    </w:lvl>
    <w:lvl w:ilvl="3" w:tplc="042F0001" w:tentative="1">
      <w:start w:val="1"/>
      <w:numFmt w:val="bullet"/>
      <w:lvlText w:val=""/>
      <w:lvlJc w:val="left"/>
      <w:pPr>
        <w:ind w:left="2914" w:hanging="360"/>
      </w:pPr>
      <w:rPr>
        <w:rFonts w:ascii="Symbol" w:hAnsi="Symbol" w:hint="default"/>
      </w:rPr>
    </w:lvl>
    <w:lvl w:ilvl="4" w:tplc="042F0003" w:tentative="1">
      <w:start w:val="1"/>
      <w:numFmt w:val="bullet"/>
      <w:lvlText w:val="o"/>
      <w:lvlJc w:val="left"/>
      <w:pPr>
        <w:ind w:left="3634" w:hanging="360"/>
      </w:pPr>
      <w:rPr>
        <w:rFonts w:ascii="Courier New" w:hAnsi="Courier New" w:cs="Courier New" w:hint="default"/>
      </w:rPr>
    </w:lvl>
    <w:lvl w:ilvl="5" w:tplc="042F0005" w:tentative="1">
      <w:start w:val="1"/>
      <w:numFmt w:val="bullet"/>
      <w:lvlText w:val=""/>
      <w:lvlJc w:val="left"/>
      <w:pPr>
        <w:ind w:left="4354" w:hanging="360"/>
      </w:pPr>
      <w:rPr>
        <w:rFonts w:ascii="Wingdings" w:hAnsi="Wingdings" w:hint="default"/>
      </w:rPr>
    </w:lvl>
    <w:lvl w:ilvl="6" w:tplc="042F0001" w:tentative="1">
      <w:start w:val="1"/>
      <w:numFmt w:val="bullet"/>
      <w:lvlText w:val=""/>
      <w:lvlJc w:val="left"/>
      <w:pPr>
        <w:ind w:left="5074" w:hanging="360"/>
      </w:pPr>
      <w:rPr>
        <w:rFonts w:ascii="Symbol" w:hAnsi="Symbol" w:hint="default"/>
      </w:rPr>
    </w:lvl>
    <w:lvl w:ilvl="7" w:tplc="042F0003" w:tentative="1">
      <w:start w:val="1"/>
      <w:numFmt w:val="bullet"/>
      <w:lvlText w:val="o"/>
      <w:lvlJc w:val="left"/>
      <w:pPr>
        <w:ind w:left="5794" w:hanging="360"/>
      </w:pPr>
      <w:rPr>
        <w:rFonts w:ascii="Courier New" w:hAnsi="Courier New" w:cs="Courier New" w:hint="default"/>
      </w:rPr>
    </w:lvl>
    <w:lvl w:ilvl="8" w:tplc="042F0005" w:tentative="1">
      <w:start w:val="1"/>
      <w:numFmt w:val="bullet"/>
      <w:lvlText w:val=""/>
      <w:lvlJc w:val="left"/>
      <w:pPr>
        <w:ind w:left="6514" w:hanging="360"/>
      </w:pPr>
      <w:rPr>
        <w:rFonts w:ascii="Wingdings" w:hAnsi="Wingdings" w:hint="default"/>
      </w:rPr>
    </w:lvl>
  </w:abstractNum>
  <w:abstractNum w:abstractNumId="42" w15:restartNumberingAfterBreak="0">
    <w:nsid w:val="475C5CB5"/>
    <w:multiLevelType w:val="hybridMultilevel"/>
    <w:tmpl w:val="C68C6B06"/>
    <w:lvl w:ilvl="0" w:tplc="8370091C">
      <w:start w:val="1"/>
      <w:numFmt w:val="bullet"/>
      <w:lvlText w:val="-"/>
      <w:lvlJc w:val="left"/>
      <w:pPr>
        <w:ind w:left="720" w:hanging="360"/>
      </w:pPr>
      <w:rPr>
        <w:rFonts w:ascii="Courier New" w:hAnsi="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3" w15:restartNumberingAfterBreak="0">
    <w:nsid w:val="4D004059"/>
    <w:multiLevelType w:val="hybridMultilevel"/>
    <w:tmpl w:val="CB82F440"/>
    <w:lvl w:ilvl="0" w:tplc="02C80E28">
      <w:start w:val="5"/>
      <w:numFmt w:val="bullet"/>
      <w:lvlText w:val="-"/>
      <w:lvlJc w:val="left"/>
      <w:pPr>
        <w:ind w:left="720" w:hanging="360"/>
      </w:pPr>
      <w:rPr>
        <w:rFonts w:ascii="Arial Narrow" w:eastAsia="Times New Roman" w:hAnsi="Arial Narrow"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4" w15:restartNumberingAfterBreak="0">
    <w:nsid w:val="4EB37175"/>
    <w:multiLevelType w:val="hybridMultilevel"/>
    <w:tmpl w:val="C24EB020"/>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BD1EE1"/>
    <w:multiLevelType w:val="hybridMultilevel"/>
    <w:tmpl w:val="A3CEC35A"/>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6" w15:restartNumberingAfterBreak="0">
    <w:nsid w:val="50EF3070"/>
    <w:multiLevelType w:val="hybridMultilevel"/>
    <w:tmpl w:val="D3BC8F96"/>
    <w:lvl w:ilvl="0" w:tplc="D60C0742">
      <w:numFmt w:val="bullet"/>
      <w:lvlText w:val="-"/>
      <w:lvlJc w:val="left"/>
      <w:pPr>
        <w:ind w:left="720" w:hanging="360"/>
      </w:pPr>
      <w:rPr>
        <w:rFonts w:ascii="Calibri" w:eastAsia="Calibr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7" w15:restartNumberingAfterBreak="0">
    <w:nsid w:val="51A851FA"/>
    <w:multiLevelType w:val="hybridMultilevel"/>
    <w:tmpl w:val="755CC7DA"/>
    <w:lvl w:ilvl="0" w:tplc="E0664A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554C53"/>
    <w:multiLevelType w:val="hybridMultilevel"/>
    <w:tmpl w:val="91528D32"/>
    <w:lvl w:ilvl="0" w:tplc="9544EC1A">
      <w:numFmt w:val="bullet"/>
      <w:lvlText w:val="-"/>
      <w:lvlJc w:val="left"/>
      <w:pPr>
        <w:ind w:left="720" w:hanging="360"/>
      </w:pPr>
      <w:rPr>
        <w:rFonts w:ascii="Calibri" w:eastAsia="Times New Roman" w:hAnsi="Calibri"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9" w15:restartNumberingAfterBreak="0">
    <w:nsid w:val="52EF6782"/>
    <w:multiLevelType w:val="hybridMultilevel"/>
    <w:tmpl w:val="758AC766"/>
    <w:lvl w:ilvl="0" w:tplc="444A43A0">
      <w:numFmt w:val="bullet"/>
      <w:lvlText w:val="-"/>
      <w:lvlJc w:val="left"/>
      <w:pPr>
        <w:ind w:left="720" w:hanging="360"/>
      </w:pPr>
      <w:rPr>
        <w:rFonts w:ascii="Calibri" w:eastAsia="MS PGothic" w:hAnsi="Calibri" w:cs="Calibri"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0" w15:restartNumberingAfterBreak="0">
    <w:nsid w:val="53DB3E1A"/>
    <w:multiLevelType w:val="hybridMultilevel"/>
    <w:tmpl w:val="766C8570"/>
    <w:lvl w:ilvl="0" w:tplc="32CE9082">
      <w:start w:val="1"/>
      <w:numFmt w:val="bullet"/>
      <w:lvlText w:val="-"/>
      <w:lvlJc w:val="left"/>
      <w:pPr>
        <w:ind w:left="720" w:hanging="360"/>
      </w:pPr>
      <w:rPr>
        <w:rFonts w:ascii="Calibri" w:eastAsia="MS P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F62894"/>
    <w:multiLevelType w:val="hybridMultilevel"/>
    <w:tmpl w:val="FDE4B1D6"/>
    <w:lvl w:ilvl="0" w:tplc="27A2BD00">
      <w:start w:val="1"/>
      <w:numFmt w:val="bullet"/>
      <w:lvlText w:val="-"/>
      <w:lvlJc w:val="left"/>
      <w:pPr>
        <w:ind w:left="1440" w:hanging="360"/>
      </w:pPr>
      <w:rPr>
        <w:rFonts w:ascii="Calibri" w:eastAsia="Times New Roman" w:hAnsi="Calibri" w:cs="Calibri"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52" w15:restartNumberingAfterBreak="0">
    <w:nsid w:val="58FF7B40"/>
    <w:multiLevelType w:val="hybridMultilevel"/>
    <w:tmpl w:val="571E6A56"/>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3" w15:restartNumberingAfterBreak="0">
    <w:nsid w:val="591F5654"/>
    <w:multiLevelType w:val="hybridMultilevel"/>
    <w:tmpl w:val="715AF648"/>
    <w:lvl w:ilvl="0" w:tplc="E5CC43D0">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610775"/>
    <w:multiLevelType w:val="hybridMultilevel"/>
    <w:tmpl w:val="A1EED746"/>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5" w15:restartNumberingAfterBreak="0">
    <w:nsid w:val="5E872A0B"/>
    <w:multiLevelType w:val="hybridMultilevel"/>
    <w:tmpl w:val="256A9EB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6" w15:restartNumberingAfterBreak="0">
    <w:nsid w:val="638D74A4"/>
    <w:multiLevelType w:val="hybridMultilevel"/>
    <w:tmpl w:val="04BAC5D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7" w15:restartNumberingAfterBreak="0">
    <w:nsid w:val="64927252"/>
    <w:multiLevelType w:val="hybridMultilevel"/>
    <w:tmpl w:val="1A269694"/>
    <w:lvl w:ilvl="0" w:tplc="02C80E28">
      <w:start w:val="5"/>
      <w:numFmt w:val="bullet"/>
      <w:lvlText w:val="-"/>
      <w:lvlJc w:val="left"/>
      <w:pPr>
        <w:ind w:left="720" w:hanging="360"/>
      </w:pPr>
      <w:rPr>
        <w:rFonts w:ascii="Arial Narrow" w:eastAsia="Times New Roman" w:hAnsi="Arial Narrow"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8" w15:restartNumberingAfterBreak="0">
    <w:nsid w:val="65412B3D"/>
    <w:multiLevelType w:val="hybridMultilevel"/>
    <w:tmpl w:val="E4841792"/>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9" w15:restartNumberingAfterBreak="0">
    <w:nsid w:val="65A65ECF"/>
    <w:multiLevelType w:val="hybridMultilevel"/>
    <w:tmpl w:val="F4B4383C"/>
    <w:lvl w:ilvl="0" w:tplc="444A43A0">
      <w:numFmt w:val="bullet"/>
      <w:lvlText w:val="-"/>
      <w:lvlJc w:val="left"/>
      <w:pPr>
        <w:ind w:left="720" w:hanging="360"/>
      </w:pPr>
      <w:rPr>
        <w:rFonts w:ascii="Calibri" w:eastAsia="MS PGothic" w:hAnsi="Calibri" w:cs="Calibri"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0" w15:restartNumberingAfterBreak="0">
    <w:nsid w:val="66923C24"/>
    <w:multiLevelType w:val="hybridMultilevel"/>
    <w:tmpl w:val="345E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C96DDB"/>
    <w:multiLevelType w:val="hybridMultilevel"/>
    <w:tmpl w:val="80629970"/>
    <w:lvl w:ilvl="0" w:tplc="744C1472">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2" w15:restartNumberingAfterBreak="0">
    <w:nsid w:val="67D11819"/>
    <w:multiLevelType w:val="hybridMultilevel"/>
    <w:tmpl w:val="43405A4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3" w15:restartNumberingAfterBreak="0">
    <w:nsid w:val="69390BAF"/>
    <w:multiLevelType w:val="hybridMultilevel"/>
    <w:tmpl w:val="C11279C4"/>
    <w:lvl w:ilvl="0" w:tplc="4078C234">
      <w:start w:val="6"/>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4" w15:restartNumberingAfterBreak="0">
    <w:nsid w:val="697C78CB"/>
    <w:multiLevelType w:val="hybridMultilevel"/>
    <w:tmpl w:val="AD80B670"/>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98C750C"/>
    <w:multiLevelType w:val="hybridMultilevel"/>
    <w:tmpl w:val="51269716"/>
    <w:lvl w:ilvl="0" w:tplc="0409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6" w15:restartNumberingAfterBreak="0">
    <w:nsid w:val="6ABE4E07"/>
    <w:multiLevelType w:val="hybridMultilevel"/>
    <w:tmpl w:val="605623F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7" w15:restartNumberingAfterBreak="0">
    <w:nsid w:val="6B125EBD"/>
    <w:multiLevelType w:val="hybridMultilevel"/>
    <w:tmpl w:val="ABBE028C"/>
    <w:lvl w:ilvl="0" w:tplc="D60C0742">
      <w:numFmt w:val="bullet"/>
      <w:lvlText w:val="-"/>
      <w:lvlJc w:val="left"/>
      <w:pPr>
        <w:ind w:left="720" w:hanging="360"/>
      </w:pPr>
      <w:rPr>
        <w:rFonts w:ascii="Calibri" w:eastAsia="Calibr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8" w15:restartNumberingAfterBreak="0">
    <w:nsid w:val="6DEB124C"/>
    <w:multiLevelType w:val="hybridMultilevel"/>
    <w:tmpl w:val="577EF08A"/>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9" w15:restartNumberingAfterBreak="0">
    <w:nsid w:val="6E643AF6"/>
    <w:multiLevelType w:val="hybridMultilevel"/>
    <w:tmpl w:val="65C0089E"/>
    <w:lvl w:ilvl="0" w:tplc="042F0011">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0" w15:restartNumberingAfterBreak="0">
    <w:nsid w:val="70984C4F"/>
    <w:multiLevelType w:val="multilevel"/>
    <w:tmpl w:val="75BE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1511194"/>
    <w:multiLevelType w:val="hybridMultilevel"/>
    <w:tmpl w:val="19B0B3DE"/>
    <w:lvl w:ilvl="0" w:tplc="32CE9082">
      <w:start w:val="1"/>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2" w15:restartNumberingAfterBreak="0">
    <w:nsid w:val="725575E8"/>
    <w:multiLevelType w:val="hybridMultilevel"/>
    <w:tmpl w:val="5220E84C"/>
    <w:lvl w:ilvl="0" w:tplc="D60C0742">
      <w:numFmt w:val="bullet"/>
      <w:lvlText w:val="-"/>
      <w:lvlJc w:val="left"/>
      <w:pPr>
        <w:ind w:left="720" w:hanging="360"/>
      </w:pPr>
      <w:rPr>
        <w:rFonts w:ascii="Calibri" w:eastAsia="Calibr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3" w15:restartNumberingAfterBreak="0">
    <w:nsid w:val="737C397A"/>
    <w:multiLevelType w:val="hybridMultilevel"/>
    <w:tmpl w:val="6172BC9C"/>
    <w:lvl w:ilvl="0" w:tplc="444A43A0">
      <w:numFmt w:val="bullet"/>
      <w:lvlText w:val="-"/>
      <w:lvlJc w:val="left"/>
      <w:pPr>
        <w:ind w:left="720" w:hanging="360"/>
      </w:pPr>
      <w:rPr>
        <w:rFonts w:ascii="Calibri" w:eastAsia="MS PGothic"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4" w15:restartNumberingAfterBreak="0">
    <w:nsid w:val="778E4C36"/>
    <w:multiLevelType w:val="hybridMultilevel"/>
    <w:tmpl w:val="00CA951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5" w15:restartNumberingAfterBreak="0">
    <w:nsid w:val="785817D8"/>
    <w:multiLevelType w:val="hybridMultilevel"/>
    <w:tmpl w:val="0184A6DA"/>
    <w:lvl w:ilvl="0" w:tplc="444A43A0">
      <w:numFmt w:val="bullet"/>
      <w:lvlText w:val="-"/>
      <w:lvlJc w:val="left"/>
      <w:pPr>
        <w:ind w:left="720" w:hanging="360"/>
      </w:pPr>
      <w:rPr>
        <w:rFonts w:ascii="Calibri" w:eastAsia="MS P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7961E3"/>
    <w:multiLevelType w:val="hybridMultilevel"/>
    <w:tmpl w:val="D4F43B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CC30730"/>
    <w:multiLevelType w:val="hybridMultilevel"/>
    <w:tmpl w:val="BAC830C2"/>
    <w:lvl w:ilvl="0" w:tplc="D60C0742">
      <w:numFmt w:val="bullet"/>
      <w:lvlText w:val="-"/>
      <w:lvlJc w:val="left"/>
      <w:pPr>
        <w:ind w:left="720" w:hanging="360"/>
      </w:pPr>
      <w:rPr>
        <w:rFonts w:ascii="Calibri" w:eastAsia="Calibr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8" w15:restartNumberingAfterBreak="0">
    <w:nsid w:val="7CF80370"/>
    <w:multiLevelType w:val="hybridMultilevel"/>
    <w:tmpl w:val="1E480D0A"/>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EB65C70"/>
    <w:multiLevelType w:val="hybridMultilevel"/>
    <w:tmpl w:val="0E5C39A0"/>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80" w15:restartNumberingAfterBreak="0">
    <w:nsid w:val="7F74653C"/>
    <w:multiLevelType w:val="hybridMultilevel"/>
    <w:tmpl w:val="17E2AC62"/>
    <w:lvl w:ilvl="0" w:tplc="D60C0742">
      <w:numFmt w:val="bullet"/>
      <w:lvlText w:val="-"/>
      <w:lvlJc w:val="left"/>
      <w:pPr>
        <w:ind w:left="720" w:hanging="360"/>
      </w:pPr>
      <w:rPr>
        <w:rFonts w:ascii="Calibri" w:eastAsia="Calibr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37"/>
  </w:num>
  <w:num w:numId="4">
    <w:abstractNumId w:val="47"/>
  </w:num>
  <w:num w:numId="5">
    <w:abstractNumId w:val="42"/>
  </w:num>
  <w:num w:numId="6">
    <w:abstractNumId w:val="50"/>
  </w:num>
  <w:num w:numId="7">
    <w:abstractNumId w:val="18"/>
  </w:num>
  <w:num w:numId="8">
    <w:abstractNumId w:val="11"/>
  </w:num>
  <w:num w:numId="9">
    <w:abstractNumId w:val="63"/>
  </w:num>
  <w:num w:numId="10">
    <w:abstractNumId w:val="35"/>
  </w:num>
  <w:num w:numId="11">
    <w:abstractNumId w:val="31"/>
  </w:num>
  <w:num w:numId="12">
    <w:abstractNumId w:val="41"/>
  </w:num>
  <w:num w:numId="13">
    <w:abstractNumId w:val="2"/>
  </w:num>
  <w:num w:numId="14">
    <w:abstractNumId w:val="72"/>
  </w:num>
  <w:num w:numId="15">
    <w:abstractNumId w:val="26"/>
  </w:num>
  <w:num w:numId="16">
    <w:abstractNumId w:val="68"/>
  </w:num>
  <w:num w:numId="17">
    <w:abstractNumId w:val="48"/>
  </w:num>
  <w:num w:numId="18">
    <w:abstractNumId w:val="39"/>
  </w:num>
  <w:num w:numId="19">
    <w:abstractNumId w:val="71"/>
  </w:num>
  <w:num w:numId="20">
    <w:abstractNumId w:val="38"/>
  </w:num>
  <w:num w:numId="21">
    <w:abstractNumId w:val="36"/>
  </w:num>
  <w:num w:numId="22">
    <w:abstractNumId w:val="28"/>
  </w:num>
  <w:num w:numId="23">
    <w:abstractNumId w:val="45"/>
  </w:num>
  <w:num w:numId="24">
    <w:abstractNumId w:val="73"/>
  </w:num>
  <w:num w:numId="25">
    <w:abstractNumId w:val="13"/>
  </w:num>
  <w:num w:numId="26">
    <w:abstractNumId w:val="0"/>
  </w:num>
  <w:num w:numId="27">
    <w:abstractNumId w:val="15"/>
  </w:num>
  <w:num w:numId="28">
    <w:abstractNumId w:val="29"/>
  </w:num>
  <w:num w:numId="29">
    <w:abstractNumId w:val="49"/>
  </w:num>
  <w:num w:numId="30">
    <w:abstractNumId w:val="46"/>
  </w:num>
  <w:num w:numId="31">
    <w:abstractNumId w:val="77"/>
  </w:num>
  <w:num w:numId="32">
    <w:abstractNumId w:val="67"/>
  </w:num>
  <w:num w:numId="33">
    <w:abstractNumId w:val="24"/>
  </w:num>
  <w:num w:numId="34">
    <w:abstractNumId w:val="4"/>
  </w:num>
  <w:num w:numId="35">
    <w:abstractNumId w:val="3"/>
  </w:num>
  <w:num w:numId="36">
    <w:abstractNumId w:val="58"/>
  </w:num>
  <w:num w:numId="37">
    <w:abstractNumId w:val="52"/>
  </w:num>
  <w:num w:numId="38">
    <w:abstractNumId w:val="30"/>
  </w:num>
  <w:num w:numId="39">
    <w:abstractNumId w:val="57"/>
  </w:num>
  <w:num w:numId="40">
    <w:abstractNumId w:val="43"/>
  </w:num>
  <w:num w:numId="41">
    <w:abstractNumId w:val="5"/>
  </w:num>
  <w:num w:numId="42">
    <w:abstractNumId w:val="25"/>
  </w:num>
  <w:num w:numId="43">
    <w:abstractNumId w:val="32"/>
  </w:num>
  <w:num w:numId="44">
    <w:abstractNumId w:val="80"/>
  </w:num>
  <w:num w:numId="45">
    <w:abstractNumId w:val="22"/>
  </w:num>
  <w:num w:numId="46">
    <w:abstractNumId w:val="54"/>
  </w:num>
  <w:num w:numId="47">
    <w:abstractNumId w:val="75"/>
  </w:num>
  <w:num w:numId="48">
    <w:abstractNumId w:val="19"/>
  </w:num>
  <w:num w:numId="49">
    <w:abstractNumId w:val="53"/>
  </w:num>
  <w:num w:numId="50">
    <w:abstractNumId w:val="79"/>
  </w:num>
  <w:num w:numId="51">
    <w:abstractNumId w:val="34"/>
  </w:num>
  <w:num w:numId="52">
    <w:abstractNumId w:val="69"/>
  </w:num>
  <w:num w:numId="53">
    <w:abstractNumId w:val="44"/>
  </w:num>
  <w:num w:numId="54">
    <w:abstractNumId w:val="8"/>
  </w:num>
  <w:num w:numId="55">
    <w:abstractNumId w:val="23"/>
  </w:num>
  <w:num w:numId="56">
    <w:abstractNumId w:val="10"/>
  </w:num>
  <w:num w:numId="57">
    <w:abstractNumId w:val="40"/>
  </w:num>
  <w:num w:numId="58">
    <w:abstractNumId w:val="61"/>
  </w:num>
  <w:num w:numId="59">
    <w:abstractNumId w:val="55"/>
  </w:num>
  <w:num w:numId="60">
    <w:abstractNumId w:val="62"/>
  </w:num>
  <w:num w:numId="61">
    <w:abstractNumId w:val="66"/>
  </w:num>
  <w:num w:numId="62">
    <w:abstractNumId w:val="9"/>
  </w:num>
  <w:num w:numId="63">
    <w:abstractNumId w:val="21"/>
  </w:num>
  <w:num w:numId="64">
    <w:abstractNumId w:val="51"/>
  </w:num>
  <w:num w:numId="65">
    <w:abstractNumId w:val="1"/>
  </w:num>
  <w:num w:numId="66">
    <w:abstractNumId w:val="6"/>
  </w:num>
  <w:num w:numId="67">
    <w:abstractNumId w:val="33"/>
  </w:num>
  <w:num w:numId="68">
    <w:abstractNumId w:val="74"/>
  </w:num>
  <w:num w:numId="69">
    <w:abstractNumId w:val="56"/>
  </w:num>
  <w:num w:numId="70">
    <w:abstractNumId w:val="20"/>
  </w:num>
  <w:num w:numId="71">
    <w:abstractNumId w:val="7"/>
  </w:num>
  <w:num w:numId="72">
    <w:abstractNumId w:val="65"/>
  </w:num>
  <w:num w:numId="73">
    <w:abstractNumId w:val="78"/>
  </w:num>
  <w:num w:numId="74">
    <w:abstractNumId w:val="64"/>
  </w:num>
  <w:num w:numId="75">
    <w:abstractNumId w:val="60"/>
  </w:num>
  <w:num w:numId="76">
    <w:abstractNumId w:val="76"/>
  </w:num>
  <w:num w:numId="77">
    <w:abstractNumId w:val="17"/>
  </w:num>
  <w:num w:numId="78">
    <w:abstractNumId w:val="27"/>
  </w:num>
  <w:num w:numId="79">
    <w:abstractNumId w:val="14"/>
  </w:num>
  <w:num w:numId="80">
    <w:abstractNumId w:val="59"/>
  </w:num>
  <w:num w:numId="81">
    <w:abstractNumId w:val="37"/>
  </w:num>
  <w:num w:numId="82">
    <w:abstractNumId w:val="7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58"/>
    <w:rsid w:val="00000460"/>
    <w:rsid w:val="00000A61"/>
    <w:rsid w:val="00000CE4"/>
    <w:rsid w:val="00000D1A"/>
    <w:rsid w:val="000015E6"/>
    <w:rsid w:val="00001ECD"/>
    <w:rsid w:val="00002D9F"/>
    <w:rsid w:val="00003455"/>
    <w:rsid w:val="00004EB2"/>
    <w:rsid w:val="00006D8A"/>
    <w:rsid w:val="000106C0"/>
    <w:rsid w:val="00010DD3"/>
    <w:rsid w:val="00010FFA"/>
    <w:rsid w:val="00011C55"/>
    <w:rsid w:val="00011F31"/>
    <w:rsid w:val="0001343F"/>
    <w:rsid w:val="00013AE1"/>
    <w:rsid w:val="00013B77"/>
    <w:rsid w:val="00013F44"/>
    <w:rsid w:val="000140DB"/>
    <w:rsid w:val="000147DA"/>
    <w:rsid w:val="00015129"/>
    <w:rsid w:val="00015266"/>
    <w:rsid w:val="00016BE0"/>
    <w:rsid w:val="00017732"/>
    <w:rsid w:val="000218E1"/>
    <w:rsid w:val="0002493D"/>
    <w:rsid w:val="0002594F"/>
    <w:rsid w:val="0002613F"/>
    <w:rsid w:val="000261FF"/>
    <w:rsid w:val="00027D67"/>
    <w:rsid w:val="0003023A"/>
    <w:rsid w:val="000304CE"/>
    <w:rsid w:val="0003109D"/>
    <w:rsid w:val="00031ACD"/>
    <w:rsid w:val="0003240F"/>
    <w:rsid w:val="00032C2C"/>
    <w:rsid w:val="000331F8"/>
    <w:rsid w:val="000343E5"/>
    <w:rsid w:val="000347F7"/>
    <w:rsid w:val="00034BBA"/>
    <w:rsid w:val="00036FD5"/>
    <w:rsid w:val="00042BEB"/>
    <w:rsid w:val="0004385D"/>
    <w:rsid w:val="00043FC8"/>
    <w:rsid w:val="00044C9B"/>
    <w:rsid w:val="0004768C"/>
    <w:rsid w:val="00047C1F"/>
    <w:rsid w:val="00047E6A"/>
    <w:rsid w:val="00050F16"/>
    <w:rsid w:val="000516D9"/>
    <w:rsid w:val="00051B34"/>
    <w:rsid w:val="000523BE"/>
    <w:rsid w:val="00053592"/>
    <w:rsid w:val="0005417B"/>
    <w:rsid w:val="00056B8A"/>
    <w:rsid w:val="00061F8C"/>
    <w:rsid w:val="00062316"/>
    <w:rsid w:val="00063001"/>
    <w:rsid w:val="00064C47"/>
    <w:rsid w:val="000652C6"/>
    <w:rsid w:val="00065C82"/>
    <w:rsid w:val="000667AE"/>
    <w:rsid w:val="00070275"/>
    <w:rsid w:val="00070786"/>
    <w:rsid w:val="00071D9B"/>
    <w:rsid w:val="00073C3C"/>
    <w:rsid w:val="00073FE9"/>
    <w:rsid w:val="00074B7F"/>
    <w:rsid w:val="000758A9"/>
    <w:rsid w:val="00076AB5"/>
    <w:rsid w:val="00080793"/>
    <w:rsid w:val="00080C88"/>
    <w:rsid w:val="00082B88"/>
    <w:rsid w:val="000832C6"/>
    <w:rsid w:val="00083A12"/>
    <w:rsid w:val="00083C9E"/>
    <w:rsid w:val="000863C9"/>
    <w:rsid w:val="00086725"/>
    <w:rsid w:val="000867AB"/>
    <w:rsid w:val="000874D8"/>
    <w:rsid w:val="00087C5F"/>
    <w:rsid w:val="000911D0"/>
    <w:rsid w:val="00092D9D"/>
    <w:rsid w:val="00093B9D"/>
    <w:rsid w:val="00093CDB"/>
    <w:rsid w:val="00093E63"/>
    <w:rsid w:val="000957C1"/>
    <w:rsid w:val="00095B78"/>
    <w:rsid w:val="000969C8"/>
    <w:rsid w:val="00097F96"/>
    <w:rsid w:val="000A08F4"/>
    <w:rsid w:val="000A0A12"/>
    <w:rsid w:val="000A2283"/>
    <w:rsid w:val="000A3171"/>
    <w:rsid w:val="000A360D"/>
    <w:rsid w:val="000A3BB9"/>
    <w:rsid w:val="000A5366"/>
    <w:rsid w:val="000A5557"/>
    <w:rsid w:val="000B15EC"/>
    <w:rsid w:val="000B19B8"/>
    <w:rsid w:val="000B2301"/>
    <w:rsid w:val="000B2968"/>
    <w:rsid w:val="000B38EA"/>
    <w:rsid w:val="000B65BB"/>
    <w:rsid w:val="000B7BFC"/>
    <w:rsid w:val="000C0866"/>
    <w:rsid w:val="000C0CE6"/>
    <w:rsid w:val="000C164D"/>
    <w:rsid w:val="000C1FEA"/>
    <w:rsid w:val="000C4EF7"/>
    <w:rsid w:val="000C4FB2"/>
    <w:rsid w:val="000C5444"/>
    <w:rsid w:val="000C5D29"/>
    <w:rsid w:val="000C6A71"/>
    <w:rsid w:val="000C6E33"/>
    <w:rsid w:val="000C713A"/>
    <w:rsid w:val="000C757D"/>
    <w:rsid w:val="000D0399"/>
    <w:rsid w:val="000D03EB"/>
    <w:rsid w:val="000D084B"/>
    <w:rsid w:val="000D19F6"/>
    <w:rsid w:val="000D2037"/>
    <w:rsid w:val="000D20D0"/>
    <w:rsid w:val="000D26B1"/>
    <w:rsid w:val="000D34D1"/>
    <w:rsid w:val="000D53FA"/>
    <w:rsid w:val="000D6082"/>
    <w:rsid w:val="000D6707"/>
    <w:rsid w:val="000D68DB"/>
    <w:rsid w:val="000E0B02"/>
    <w:rsid w:val="000E1208"/>
    <w:rsid w:val="000E1326"/>
    <w:rsid w:val="000E21C1"/>
    <w:rsid w:val="000E221B"/>
    <w:rsid w:val="000E2385"/>
    <w:rsid w:val="000E60AF"/>
    <w:rsid w:val="000F0256"/>
    <w:rsid w:val="000F1163"/>
    <w:rsid w:val="000F2250"/>
    <w:rsid w:val="000F47A4"/>
    <w:rsid w:val="000F4CB9"/>
    <w:rsid w:val="000F5766"/>
    <w:rsid w:val="000F58D7"/>
    <w:rsid w:val="000F5BF4"/>
    <w:rsid w:val="000F611B"/>
    <w:rsid w:val="00100263"/>
    <w:rsid w:val="00100421"/>
    <w:rsid w:val="001011D2"/>
    <w:rsid w:val="00102A2B"/>
    <w:rsid w:val="00103427"/>
    <w:rsid w:val="00103AFA"/>
    <w:rsid w:val="001043E8"/>
    <w:rsid w:val="00104C07"/>
    <w:rsid w:val="00105677"/>
    <w:rsid w:val="0010596C"/>
    <w:rsid w:val="00107F53"/>
    <w:rsid w:val="001111E8"/>
    <w:rsid w:val="00111A7C"/>
    <w:rsid w:val="00111FD6"/>
    <w:rsid w:val="00113906"/>
    <w:rsid w:val="001139E3"/>
    <w:rsid w:val="00114EDE"/>
    <w:rsid w:val="00115350"/>
    <w:rsid w:val="001161E0"/>
    <w:rsid w:val="001162F8"/>
    <w:rsid w:val="00116405"/>
    <w:rsid w:val="0011690C"/>
    <w:rsid w:val="00116B9F"/>
    <w:rsid w:val="00116F2B"/>
    <w:rsid w:val="00120A44"/>
    <w:rsid w:val="00120E2D"/>
    <w:rsid w:val="001244A5"/>
    <w:rsid w:val="00125350"/>
    <w:rsid w:val="00126734"/>
    <w:rsid w:val="001273D3"/>
    <w:rsid w:val="00131182"/>
    <w:rsid w:val="00131634"/>
    <w:rsid w:val="001329BE"/>
    <w:rsid w:val="0013495F"/>
    <w:rsid w:val="00134B6E"/>
    <w:rsid w:val="001354BA"/>
    <w:rsid w:val="001368D6"/>
    <w:rsid w:val="00136A72"/>
    <w:rsid w:val="00136C84"/>
    <w:rsid w:val="00136EA2"/>
    <w:rsid w:val="00140A7A"/>
    <w:rsid w:val="001415E0"/>
    <w:rsid w:val="0014298E"/>
    <w:rsid w:val="0014338C"/>
    <w:rsid w:val="0014432F"/>
    <w:rsid w:val="0014474B"/>
    <w:rsid w:val="001459D5"/>
    <w:rsid w:val="0014766A"/>
    <w:rsid w:val="0015331C"/>
    <w:rsid w:val="00153AEB"/>
    <w:rsid w:val="00155B08"/>
    <w:rsid w:val="00161D93"/>
    <w:rsid w:val="00161E20"/>
    <w:rsid w:val="00163620"/>
    <w:rsid w:val="00163803"/>
    <w:rsid w:val="00163B4D"/>
    <w:rsid w:val="00164D5A"/>
    <w:rsid w:val="00164DE2"/>
    <w:rsid w:val="00165379"/>
    <w:rsid w:val="00170135"/>
    <w:rsid w:val="00171DD6"/>
    <w:rsid w:val="001725EB"/>
    <w:rsid w:val="001733BE"/>
    <w:rsid w:val="00174835"/>
    <w:rsid w:val="00175858"/>
    <w:rsid w:val="00175EF6"/>
    <w:rsid w:val="00176BE9"/>
    <w:rsid w:val="00176D5C"/>
    <w:rsid w:val="00177D1C"/>
    <w:rsid w:val="001804B8"/>
    <w:rsid w:val="00181839"/>
    <w:rsid w:val="00182F51"/>
    <w:rsid w:val="0018355F"/>
    <w:rsid w:val="00186AC6"/>
    <w:rsid w:val="00187A8C"/>
    <w:rsid w:val="001901DA"/>
    <w:rsid w:val="0019183C"/>
    <w:rsid w:val="00192994"/>
    <w:rsid w:val="00192ADD"/>
    <w:rsid w:val="0019309E"/>
    <w:rsid w:val="00193232"/>
    <w:rsid w:val="001932F9"/>
    <w:rsid w:val="00194A85"/>
    <w:rsid w:val="00195A43"/>
    <w:rsid w:val="00195C56"/>
    <w:rsid w:val="00195E1B"/>
    <w:rsid w:val="00196262"/>
    <w:rsid w:val="001966BC"/>
    <w:rsid w:val="00196939"/>
    <w:rsid w:val="00197411"/>
    <w:rsid w:val="00197C36"/>
    <w:rsid w:val="001A0C06"/>
    <w:rsid w:val="001A101A"/>
    <w:rsid w:val="001A1532"/>
    <w:rsid w:val="001A1627"/>
    <w:rsid w:val="001A1F56"/>
    <w:rsid w:val="001A22A2"/>
    <w:rsid w:val="001A50AA"/>
    <w:rsid w:val="001A5646"/>
    <w:rsid w:val="001A65AD"/>
    <w:rsid w:val="001A6953"/>
    <w:rsid w:val="001A6E4F"/>
    <w:rsid w:val="001B0643"/>
    <w:rsid w:val="001B0D06"/>
    <w:rsid w:val="001B1DEC"/>
    <w:rsid w:val="001B1E4B"/>
    <w:rsid w:val="001B27C8"/>
    <w:rsid w:val="001B4520"/>
    <w:rsid w:val="001B4C2D"/>
    <w:rsid w:val="001B4C45"/>
    <w:rsid w:val="001B576F"/>
    <w:rsid w:val="001B743D"/>
    <w:rsid w:val="001C2336"/>
    <w:rsid w:val="001C2797"/>
    <w:rsid w:val="001C2C93"/>
    <w:rsid w:val="001C2E1E"/>
    <w:rsid w:val="001C377F"/>
    <w:rsid w:val="001C3AC4"/>
    <w:rsid w:val="001C3F04"/>
    <w:rsid w:val="001C4648"/>
    <w:rsid w:val="001C4890"/>
    <w:rsid w:val="001C4D8E"/>
    <w:rsid w:val="001C5BD3"/>
    <w:rsid w:val="001C5DAA"/>
    <w:rsid w:val="001C5E1C"/>
    <w:rsid w:val="001C6781"/>
    <w:rsid w:val="001C748D"/>
    <w:rsid w:val="001C7EBC"/>
    <w:rsid w:val="001D09F1"/>
    <w:rsid w:val="001D0D90"/>
    <w:rsid w:val="001D0EC1"/>
    <w:rsid w:val="001D2A62"/>
    <w:rsid w:val="001D2C03"/>
    <w:rsid w:val="001D2F67"/>
    <w:rsid w:val="001D30BA"/>
    <w:rsid w:val="001D3A28"/>
    <w:rsid w:val="001D3B81"/>
    <w:rsid w:val="001D441D"/>
    <w:rsid w:val="001D45B6"/>
    <w:rsid w:val="001D4926"/>
    <w:rsid w:val="001D505C"/>
    <w:rsid w:val="001D5C96"/>
    <w:rsid w:val="001D5CF7"/>
    <w:rsid w:val="001D7189"/>
    <w:rsid w:val="001D7B80"/>
    <w:rsid w:val="001D7F21"/>
    <w:rsid w:val="001E0717"/>
    <w:rsid w:val="001E1845"/>
    <w:rsid w:val="001E2302"/>
    <w:rsid w:val="001E2DE5"/>
    <w:rsid w:val="001E348F"/>
    <w:rsid w:val="001E392E"/>
    <w:rsid w:val="001E4F96"/>
    <w:rsid w:val="001E5582"/>
    <w:rsid w:val="001E7DED"/>
    <w:rsid w:val="001F2671"/>
    <w:rsid w:val="001F38CA"/>
    <w:rsid w:val="001F4611"/>
    <w:rsid w:val="001F4B45"/>
    <w:rsid w:val="001F5A0A"/>
    <w:rsid w:val="001F5CDA"/>
    <w:rsid w:val="001F6C7D"/>
    <w:rsid w:val="001F6E49"/>
    <w:rsid w:val="002003A1"/>
    <w:rsid w:val="0020127A"/>
    <w:rsid w:val="00201303"/>
    <w:rsid w:val="00201928"/>
    <w:rsid w:val="00202824"/>
    <w:rsid w:val="0020483D"/>
    <w:rsid w:val="00205854"/>
    <w:rsid w:val="002061E2"/>
    <w:rsid w:val="00206DD1"/>
    <w:rsid w:val="00210AC4"/>
    <w:rsid w:val="00210F94"/>
    <w:rsid w:val="00211020"/>
    <w:rsid w:val="00211ACD"/>
    <w:rsid w:val="00212925"/>
    <w:rsid w:val="00212B36"/>
    <w:rsid w:val="00212B38"/>
    <w:rsid w:val="00213426"/>
    <w:rsid w:val="00214046"/>
    <w:rsid w:val="0021406B"/>
    <w:rsid w:val="00214506"/>
    <w:rsid w:val="00214BF8"/>
    <w:rsid w:val="00214C91"/>
    <w:rsid w:val="00215129"/>
    <w:rsid w:val="002151A8"/>
    <w:rsid w:val="00215227"/>
    <w:rsid w:val="00215B58"/>
    <w:rsid w:val="00220193"/>
    <w:rsid w:val="002209FA"/>
    <w:rsid w:val="00221230"/>
    <w:rsid w:val="00222EFE"/>
    <w:rsid w:val="002233D7"/>
    <w:rsid w:val="00223CA7"/>
    <w:rsid w:val="0022413C"/>
    <w:rsid w:val="002249CC"/>
    <w:rsid w:val="00230688"/>
    <w:rsid w:val="0023078B"/>
    <w:rsid w:val="00230C29"/>
    <w:rsid w:val="0023109C"/>
    <w:rsid w:val="002320F5"/>
    <w:rsid w:val="0023317C"/>
    <w:rsid w:val="00235CA5"/>
    <w:rsid w:val="00236ABA"/>
    <w:rsid w:val="00236E96"/>
    <w:rsid w:val="002371A1"/>
    <w:rsid w:val="0023761B"/>
    <w:rsid w:val="00240E9C"/>
    <w:rsid w:val="00241538"/>
    <w:rsid w:val="002415B7"/>
    <w:rsid w:val="00241B9F"/>
    <w:rsid w:val="002424C1"/>
    <w:rsid w:val="002428A3"/>
    <w:rsid w:val="00242F62"/>
    <w:rsid w:val="00243D72"/>
    <w:rsid w:val="002445ED"/>
    <w:rsid w:val="002454D1"/>
    <w:rsid w:val="00246335"/>
    <w:rsid w:val="00250000"/>
    <w:rsid w:val="002518D2"/>
    <w:rsid w:val="00251AB4"/>
    <w:rsid w:val="00251D09"/>
    <w:rsid w:val="00252024"/>
    <w:rsid w:val="00252A9D"/>
    <w:rsid w:val="00253338"/>
    <w:rsid w:val="0025469A"/>
    <w:rsid w:val="002553A7"/>
    <w:rsid w:val="002555D6"/>
    <w:rsid w:val="00255DDA"/>
    <w:rsid w:val="00257E02"/>
    <w:rsid w:val="002600BC"/>
    <w:rsid w:val="002607BB"/>
    <w:rsid w:val="00260C8D"/>
    <w:rsid w:val="002619F1"/>
    <w:rsid w:val="00263A7B"/>
    <w:rsid w:val="0026555B"/>
    <w:rsid w:val="002666B3"/>
    <w:rsid w:val="00266E07"/>
    <w:rsid w:val="00270F3C"/>
    <w:rsid w:val="00270FA1"/>
    <w:rsid w:val="00273347"/>
    <w:rsid w:val="00275046"/>
    <w:rsid w:val="002751FC"/>
    <w:rsid w:val="0027559D"/>
    <w:rsid w:val="0027568B"/>
    <w:rsid w:val="00275961"/>
    <w:rsid w:val="00277BB8"/>
    <w:rsid w:val="00277EF5"/>
    <w:rsid w:val="0028097F"/>
    <w:rsid w:val="00280C93"/>
    <w:rsid w:val="00281547"/>
    <w:rsid w:val="00281C21"/>
    <w:rsid w:val="002829CB"/>
    <w:rsid w:val="00282D41"/>
    <w:rsid w:val="0028413D"/>
    <w:rsid w:val="00284285"/>
    <w:rsid w:val="0028678E"/>
    <w:rsid w:val="00286DA4"/>
    <w:rsid w:val="00287198"/>
    <w:rsid w:val="00290A1D"/>
    <w:rsid w:val="00292DC0"/>
    <w:rsid w:val="00292E89"/>
    <w:rsid w:val="00293164"/>
    <w:rsid w:val="002939F2"/>
    <w:rsid w:val="00294C08"/>
    <w:rsid w:val="00296673"/>
    <w:rsid w:val="002A1058"/>
    <w:rsid w:val="002A1612"/>
    <w:rsid w:val="002A18CD"/>
    <w:rsid w:val="002A1F0C"/>
    <w:rsid w:val="002A2550"/>
    <w:rsid w:val="002A276C"/>
    <w:rsid w:val="002A3E1B"/>
    <w:rsid w:val="002A4495"/>
    <w:rsid w:val="002A51BF"/>
    <w:rsid w:val="002A58D1"/>
    <w:rsid w:val="002A6C47"/>
    <w:rsid w:val="002A7867"/>
    <w:rsid w:val="002B0058"/>
    <w:rsid w:val="002B0DEA"/>
    <w:rsid w:val="002B1263"/>
    <w:rsid w:val="002B211F"/>
    <w:rsid w:val="002B2513"/>
    <w:rsid w:val="002B305F"/>
    <w:rsid w:val="002B42DA"/>
    <w:rsid w:val="002B4411"/>
    <w:rsid w:val="002B44F9"/>
    <w:rsid w:val="002B532B"/>
    <w:rsid w:val="002B6BED"/>
    <w:rsid w:val="002B7440"/>
    <w:rsid w:val="002B77A4"/>
    <w:rsid w:val="002B795B"/>
    <w:rsid w:val="002C3B3F"/>
    <w:rsid w:val="002C52B9"/>
    <w:rsid w:val="002C5E79"/>
    <w:rsid w:val="002C6416"/>
    <w:rsid w:val="002C73A5"/>
    <w:rsid w:val="002C7651"/>
    <w:rsid w:val="002C7DDC"/>
    <w:rsid w:val="002D005D"/>
    <w:rsid w:val="002D0370"/>
    <w:rsid w:val="002D2080"/>
    <w:rsid w:val="002D232A"/>
    <w:rsid w:val="002D2734"/>
    <w:rsid w:val="002D27B9"/>
    <w:rsid w:val="002D3140"/>
    <w:rsid w:val="002D3356"/>
    <w:rsid w:val="002D4F59"/>
    <w:rsid w:val="002D5D8C"/>
    <w:rsid w:val="002D5E77"/>
    <w:rsid w:val="002D7620"/>
    <w:rsid w:val="002D7739"/>
    <w:rsid w:val="002E167A"/>
    <w:rsid w:val="002E26BE"/>
    <w:rsid w:val="002E276D"/>
    <w:rsid w:val="002E3378"/>
    <w:rsid w:val="002E42DC"/>
    <w:rsid w:val="002E44A1"/>
    <w:rsid w:val="002E473F"/>
    <w:rsid w:val="002E4AA9"/>
    <w:rsid w:val="002E67EB"/>
    <w:rsid w:val="002E7714"/>
    <w:rsid w:val="002F2453"/>
    <w:rsid w:val="002F289A"/>
    <w:rsid w:val="002F3622"/>
    <w:rsid w:val="002F500A"/>
    <w:rsid w:val="002F5516"/>
    <w:rsid w:val="002F640E"/>
    <w:rsid w:val="002F66AB"/>
    <w:rsid w:val="003025C0"/>
    <w:rsid w:val="003028DD"/>
    <w:rsid w:val="003032D3"/>
    <w:rsid w:val="00303F52"/>
    <w:rsid w:val="0030493E"/>
    <w:rsid w:val="00305BEB"/>
    <w:rsid w:val="00306591"/>
    <w:rsid w:val="00306ADD"/>
    <w:rsid w:val="00307718"/>
    <w:rsid w:val="00307D27"/>
    <w:rsid w:val="003108FD"/>
    <w:rsid w:val="00310C4C"/>
    <w:rsid w:val="00310EAB"/>
    <w:rsid w:val="00311157"/>
    <w:rsid w:val="00311881"/>
    <w:rsid w:val="003119D7"/>
    <w:rsid w:val="00311E24"/>
    <w:rsid w:val="00312654"/>
    <w:rsid w:val="00313EF5"/>
    <w:rsid w:val="00315B62"/>
    <w:rsid w:val="003161DE"/>
    <w:rsid w:val="00316758"/>
    <w:rsid w:val="003170B2"/>
    <w:rsid w:val="003172CB"/>
    <w:rsid w:val="003174D5"/>
    <w:rsid w:val="00317E52"/>
    <w:rsid w:val="00320C0A"/>
    <w:rsid w:val="00321AEA"/>
    <w:rsid w:val="00322136"/>
    <w:rsid w:val="00322909"/>
    <w:rsid w:val="00322B19"/>
    <w:rsid w:val="00322C06"/>
    <w:rsid w:val="00322E91"/>
    <w:rsid w:val="00323092"/>
    <w:rsid w:val="00323292"/>
    <w:rsid w:val="00324D58"/>
    <w:rsid w:val="00324EE7"/>
    <w:rsid w:val="00324F56"/>
    <w:rsid w:val="00325E2E"/>
    <w:rsid w:val="00326645"/>
    <w:rsid w:val="00326893"/>
    <w:rsid w:val="00330707"/>
    <w:rsid w:val="00331B35"/>
    <w:rsid w:val="00332EF2"/>
    <w:rsid w:val="00333019"/>
    <w:rsid w:val="003339C4"/>
    <w:rsid w:val="00333A73"/>
    <w:rsid w:val="00334D60"/>
    <w:rsid w:val="0033587C"/>
    <w:rsid w:val="00336595"/>
    <w:rsid w:val="00340ADA"/>
    <w:rsid w:val="00341059"/>
    <w:rsid w:val="00342FE4"/>
    <w:rsid w:val="00343DD0"/>
    <w:rsid w:val="00346E27"/>
    <w:rsid w:val="00347E5C"/>
    <w:rsid w:val="0035096E"/>
    <w:rsid w:val="0035356D"/>
    <w:rsid w:val="0035363B"/>
    <w:rsid w:val="00353B8E"/>
    <w:rsid w:val="00353FC6"/>
    <w:rsid w:val="00354FF9"/>
    <w:rsid w:val="003558E5"/>
    <w:rsid w:val="003564BB"/>
    <w:rsid w:val="00356610"/>
    <w:rsid w:val="00357694"/>
    <w:rsid w:val="003577F0"/>
    <w:rsid w:val="00360014"/>
    <w:rsid w:val="00360A7D"/>
    <w:rsid w:val="00361577"/>
    <w:rsid w:val="00361D95"/>
    <w:rsid w:val="00361E94"/>
    <w:rsid w:val="00362F92"/>
    <w:rsid w:val="0036417C"/>
    <w:rsid w:val="0036422A"/>
    <w:rsid w:val="003642A4"/>
    <w:rsid w:val="003647C6"/>
    <w:rsid w:val="003654D9"/>
    <w:rsid w:val="0036711D"/>
    <w:rsid w:val="00367CB7"/>
    <w:rsid w:val="00370DB2"/>
    <w:rsid w:val="00370E19"/>
    <w:rsid w:val="003715BC"/>
    <w:rsid w:val="0037267A"/>
    <w:rsid w:val="00372DEA"/>
    <w:rsid w:val="00373302"/>
    <w:rsid w:val="003738B6"/>
    <w:rsid w:val="0037412C"/>
    <w:rsid w:val="00375394"/>
    <w:rsid w:val="00375719"/>
    <w:rsid w:val="00375FEC"/>
    <w:rsid w:val="0037602D"/>
    <w:rsid w:val="00376718"/>
    <w:rsid w:val="0037730E"/>
    <w:rsid w:val="00380D82"/>
    <w:rsid w:val="003833B0"/>
    <w:rsid w:val="00384A2B"/>
    <w:rsid w:val="00384FEA"/>
    <w:rsid w:val="00385F22"/>
    <w:rsid w:val="0038698B"/>
    <w:rsid w:val="00386A77"/>
    <w:rsid w:val="00387A8E"/>
    <w:rsid w:val="00387B88"/>
    <w:rsid w:val="00390101"/>
    <w:rsid w:val="003906F8"/>
    <w:rsid w:val="00390871"/>
    <w:rsid w:val="00390D4A"/>
    <w:rsid w:val="00391591"/>
    <w:rsid w:val="00391A77"/>
    <w:rsid w:val="0039240E"/>
    <w:rsid w:val="00392ADD"/>
    <w:rsid w:val="0039386B"/>
    <w:rsid w:val="00393BB9"/>
    <w:rsid w:val="00393FD6"/>
    <w:rsid w:val="00394BC1"/>
    <w:rsid w:val="00394DD5"/>
    <w:rsid w:val="00396665"/>
    <w:rsid w:val="00397142"/>
    <w:rsid w:val="003A1725"/>
    <w:rsid w:val="003A237A"/>
    <w:rsid w:val="003A259C"/>
    <w:rsid w:val="003A2AF9"/>
    <w:rsid w:val="003A2F6C"/>
    <w:rsid w:val="003A2F75"/>
    <w:rsid w:val="003A338C"/>
    <w:rsid w:val="003A513F"/>
    <w:rsid w:val="003A5A44"/>
    <w:rsid w:val="003A5B8F"/>
    <w:rsid w:val="003A71B5"/>
    <w:rsid w:val="003A72E7"/>
    <w:rsid w:val="003A763F"/>
    <w:rsid w:val="003B0486"/>
    <w:rsid w:val="003B1958"/>
    <w:rsid w:val="003B1B45"/>
    <w:rsid w:val="003B239E"/>
    <w:rsid w:val="003B24B7"/>
    <w:rsid w:val="003B2558"/>
    <w:rsid w:val="003B34A2"/>
    <w:rsid w:val="003B362E"/>
    <w:rsid w:val="003B55EA"/>
    <w:rsid w:val="003B5EDA"/>
    <w:rsid w:val="003B733F"/>
    <w:rsid w:val="003C041A"/>
    <w:rsid w:val="003C0FE0"/>
    <w:rsid w:val="003C1378"/>
    <w:rsid w:val="003C1602"/>
    <w:rsid w:val="003C20E4"/>
    <w:rsid w:val="003C3927"/>
    <w:rsid w:val="003C4B70"/>
    <w:rsid w:val="003C4CC9"/>
    <w:rsid w:val="003C4E43"/>
    <w:rsid w:val="003C5627"/>
    <w:rsid w:val="003C5A83"/>
    <w:rsid w:val="003C6564"/>
    <w:rsid w:val="003C7A42"/>
    <w:rsid w:val="003D02D1"/>
    <w:rsid w:val="003D0DF5"/>
    <w:rsid w:val="003D136A"/>
    <w:rsid w:val="003D26D2"/>
    <w:rsid w:val="003D28D1"/>
    <w:rsid w:val="003D4448"/>
    <w:rsid w:val="003D47FC"/>
    <w:rsid w:val="003D56E7"/>
    <w:rsid w:val="003D6ED0"/>
    <w:rsid w:val="003D78C2"/>
    <w:rsid w:val="003D7F95"/>
    <w:rsid w:val="003E0DC8"/>
    <w:rsid w:val="003E0F1C"/>
    <w:rsid w:val="003E126D"/>
    <w:rsid w:val="003E2607"/>
    <w:rsid w:val="003E2B03"/>
    <w:rsid w:val="003E2F67"/>
    <w:rsid w:val="003E3349"/>
    <w:rsid w:val="003E5C5F"/>
    <w:rsid w:val="003E6048"/>
    <w:rsid w:val="003E6E80"/>
    <w:rsid w:val="003E70C1"/>
    <w:rsid w:val="003F1115"/>
    <w:rsid w:val="003F1C38"/>
    <w:rsid w:val="003F2C9C"/>
    <w:rsid w:val="003F3452"/>
    <w:rsid w:val="003F3FB2"/>
    <w:rsid w:val="003F623B"/>
    <w:rsid w:val="003F6C85"/>
    <w:rsid w:val="003F6E24"/>
    <w:rsid w:val="003F762A"/>
    <w:rsid w:val="003F7CAC"/>
    <w:rsid w:val="00400CCF"/>
    <w:rsid w:val="004017D3"/>
    <w:rsid w:val="0040211F"/>
    <w:rsid w:val="00404784"/>
    <w:rsid w:val="00404D96"/>
    <w:rsid w:val="00405D15"/>
    <w:rsid w:val="004062ED"/>
    <w:rsid w:val="004072B7"/>
    <w:rsid w:val="004079E5"/>
    <w:rsid w:val="00407B01"/>
    <w:rsid w:val="00410554"/>
    <w:rsid w:val="0041086C"/>
    <w:rsid w:val="00410A18"/>
    <w:rsid w:val="00411DF8"/>
    <w:rsid w:val="004126F8"/>
    <w:rsid w:val="004133B5"/>
    <w:rsid w:val="00415C44"/>
    <w:rsid w:val="00416436"/>
    <w:rsid w:val="00416676"/>
    <w:rsid w:val="00417C77"/>
    <w:rsid w:val="0042097F"/>
    <w:rsid w:val="004232D3"/>
    <w:rsid w:val="00423757"/>
    <w:rsid w:val="00424D6D"/>
    <w:rsid w:val="00425DD5"/>
    <w:rsid w:val="0042620E"/>
    <w:rsid w:val="00430035"/>
    <w:rsid w:val="0043103A"/>
    <w:rsid w:val="00431364"/>
    <w:rsid w:val="004315B7"/>
    <w:rsid w:val="00432C08"/>
    <w:rsid w:val="00432D15"/>
    <w:rsid w:val="00433544"/>
    <w:rsid w:val="004339B9"/>
    <w:rsid w:val="00435E4D"/>
    <w:rsid w:val="0043671D"/>
    <w:rsid w:val="00436B95"/>
    <w:rsid w:val="00436DD4"/>
    <w:rsid w:val="00437642"/>
    <w:rsid w:val="00440465"/>
    <w:rsid w:val="004406B7"/>
    <w:rsid w:val="00440CD6"/>
    <w:rsid w:val="00441501"/>
    <w:rsid w:val="00441FA7"/>
    <w:rsid w:val="00442FBB"/>
    <w:rsid w:val="0044402B"/>
    <w:rsid w:val="00444F57"/>
    <w:rsid w:val="0044563B"/>
    <w:rsid w:val="00445691"/>
    <w:rsid w:val="00445B42"/>
    <w:rsid w:val="00446404"/>
    <w:rsid w:val="004473B1"/>
    <w:rsid w:val="0045005A"/>
    <w:rsid w:val="0045167A"/>
    <w:rsid w:val="00451736"/>
    <w:rsid w:val="00451908"/>
    <w:rsid w:val="0045213E"/>
    <w:rsid w:val="004530C6"/>
    <w:rsid w:val="00453DBE"/>
    <w:rsid w:val="004540A9"/>
    <w:rsid w:val="004545A2"/>
    <w:rsid w:val="00454DF3"/>
    <w:rsid w:val="00456166"/>
    <w:rsid w:val="004577BC"/>
    <w:rsid w:val="00457AF1"/>
    <w:rsid w:val="0046099C"/>
    <w:rsid w:val="00460ED3"/>
    <w:rsid w:val="00461BE0"/>
    <w:rsid w:val="004626E3"/>
    <w:rsid w:val="00462D1B"/>
    <w:rsid w:val="00462FE0"/>
    <w:rsid w:val="0046356F"/>
    <w:rsid w:val="004639B1"/>
    <w:rsid w:val="00464BF7"/>
    <w:rsid w:val="00465A9A"/>
    <w:rsid w:val="00466420"/>
    <w:rsid w:val="004667E7"/>
    <w:rsid w:val="00467788"/>
    <w:rsid w:val="004702CC"/>
    <w:rsid w:val="004706BF"/>
    <w:rsid w:val="00470B8D"/>
    <w:rsid w:val="00470DE7"/>
    <w:rsid w:val="004718D6"/>
    <w:rsid w:val="00471D19"/>
    <w:rsid w:val="00471D49"/>
    <w:rsid w:val="00471F61"/>
    <w:rsid w:val="004722DA"/>
    <w:rsid w:val="00472503"/>
    <w:rsid w:val="004725BB"/>
    <w:rsid w:val="00472AAF"/>
    <w:rsid w:val="00472E64"/>
    <w:rsid w:val="00473090"/>
    <w:rsid w:val="004735E5"/>
    <w:rsid w:val="00474F2C"/>
    <w:rsid w:val="0047634C"/>
    <w:rsid w:val="004766CA"/>
    <w:rsid w:val="00477DC1"/>
    <w:rsid w:val="00480205"/>
    <w:rsid w:val="004803DD"/>
    <w:rsid w:val="0048050B"/>
    <w:rsid w:val="0048168C"/>
    <w:rsid w:val="00482674"/>
    <w:rsid w:val="0048297E"/>
    <w:rsid w:val="00482A8E"/>
    <w:rsid w:val="00483296"/>
    <w:rsid w:val="004835EC"/>
    <w:rsid w:val="00483617"/>
    <w:rsid w:val="00485679"/>
    <w:rsid w:val="00485BAA"/>
    <w:rsid w:val="004876E4"/>
    <w:rsid w:val="00490631"/>
    <w:rsid w:val="004915FC"/>
    <w:rsid w:val="00491720"/>
    <w:rsid w:val="00492444"/>
    <w:rsid w:val="004930D3"/>
    <w:rsid w:val="00495CA3"/>
    <w:rsid w:val="00497A40"/>
    <w:rsid w:val="00497F2C"/>
    <w:rsid w:val="004A02B4"/>
    <w:rsid w:val="004A0FAA"/>
    <w:rsid w:val="004A293B"/>
    <w:rsid w:val="004A38AA"/>
    <w:rsid w:val="004A38FD"/>
    <w:rsid w:val="004A42BB"/>
    <w:rsid w:val="004A5321"/>
    <w:rsid w:val="004A54E8"/>
    <w:rsid w:val="004A6A6A"/>
    <w:rsid w:val="004B0866"/>
    <w:rsid w:val="004B17AF"/>
    <w:rsid w:val="004B25EB"/>
    <w:rsid w:val="004B4957"/>
    <w:rsid w:val="004B4EFD"/>
    <w:rsid w:val="004B5176"/>
    <w:rsid w:val="004B70A2"/>
    <w:rsid w:val="004B7708"/>
    <w:rsid w:val="004C08B1"/>
    <w:rsid w:val="004C19D5"/>
    <w:rsid w:val="004C20D3"/>
    <w:rsid w:val="004C3A1E"/>
    <w:rsid w:val="004C53FB"/>
    <w:rsid w:val="004C6518"/>
    <w:rsid w:val="004C665D"/>
    <w:rsid w:val="004C736B"/>
    <w:rsid w:val="004C7828"/>
    <w:rsid w:val="004D04F1"/>
    <w:rsid w:val="004D04FC"/>
    <w:rsid w:val="004D1A75"/>
    <w:rsid w:val="004D244B"/>
    <w:rsid w:val="004D2A56"/>
    <w:rsid w:val="004D31AF"/>
    <w:rsid w:val="004D37EF"/>
    <w:rsid w:val="004D467C"/>
    <w:rsid w:val="004D62C6"/>
    <w:rsid w:val="004D660D"/>
    <w:rsid w:val="004D6919"/>
    <w:rsid w:val="004E0245"/>
    <w:rsid w:val="004E1B74"/>
    <w:rsid w:val="004E1BEB"/>
    <w:rsid w:val="004E1E75"/>
    <w:rsid w:val="004E31F8"/>
    <w:rsid w:val="004E3455"/>
    <w:rsid w:val="004E37B0"/>
    <w:rsid w:val="004E43D4"/>
    <w:rsid w:val="004E5E5B"/>
    <w:rsid w:val="004E5FA6"/>
    <w:rsid w:val="004F0DB1"/>
    <w:rsid w:val="004F1113"/>
    <w:rsid w:val="004F1AAA"/>
    <w:rsid w:val="004F27B2"/>
    <w:rsid w:val="004F2EBE"/>
    <w:rsid w:val="004F38E2"/>
    <w:rsid w:val="004F617E"/>
    <w:rsid w:val="004F61A2"/>
    <w:rsid w:val="005003AA"/>
    <w:rsid w:val="00500BAA"/>
    <w:rsid w:val="00501570"/>
    <w:rsid w:val="00502056"/>
    <w:rsid w:val="005020D4"/>
    <w:rsid w:val="00502986"/>
    <w:rsid w:val="00502B27"/>
    <w:rsid w:val="00503276"/>
    <w:rsid w:val="0050393B"/>
    <w:rsid w:val="00503D8F"/>
    <w:rsid w:val="00504F55"/>
    <w:rsid w:val="00505396"/>
    <w:rsid w:val="00506D31"/>
    <w:rsid w:val="005078CD"/>
    <w:rsid w:val="005116C2"/>
    <w:rsid w:val="00512F09"/>
    <w:rsid w:val="00512F55"/>
    <w:rsid w:val="00513478"/>
    <w:rsid w:val="005134D7"/>
    <w:rsid w:val="00514D12"/>
    <w:rsid w:val="00515229"/>
    <w:rsid w:val="005154FC"/>
    <w:rsid w:val="005155A0"/>
    <w:rsid w:val="00515935"/>
    <w:rsid w:val="00516748"/>
    <w:rsid w:val="0051785C"/>
    <w:rsid w:val="005223DD"/>
    <w:rsid w:val="005224E2"/>
    <w:rsid w:val="00522D07"/>
    <w:rsid w:val="00523B80"/>
    <w:rsid w:val="00523F1A"/>
    <w:rsid w:val="00524B3C"/>
    <w:rsid w:val="00525B8D"/>
    <w:rsid w:val="00526315"/>
    <w:rsid w:val="00526ADC"/>
    <w:rsid w:val="00527253"/>
    <w:rsid w:val="00527D2D"/>
    <w:rsid w:val="00530091"/>
    <w:rsid w:val="00530132"/>
    <w:rsid w:val="00530141"/>
    <w:rsid w:val="00530AE1"/>
    <w:rsid w:val="00530DC6"/>
    <w:rsid w:val="00532C0E"/>
    <w:rsid w:val="005330C5"/>
    <w:rsid w:val="0053387A"/>
    <w:rsid w:val="00533C34"/>
    <w:rsid w:val="00534056"/>
    <w:rsid w:val="00534273"/>
    <w:rsid w:val="00535345"/>
    <w:rsid w:val="00536FFE"/>
    <w:rsid w:val="00537425"/>
    <w:rsid w:val="00537A1E"/>
    <w:rsid w:val="00540A66"/>
    <w:rsid w:val="00541631"/>
    <w:rsid w:val="00541AB4"/>
    <w:rsid w:val="00542194"/>
    <w:rsid w:val="0054315C"/>
    <w:rsid w:val="00544E4A"/>
    <w:rsid w:val="005453CC"/>
    <w:rsid w:val="00545626"/>
    <w:rsid w:val="00546765"/>
    <w:rsid w:val="00546A5D"/>
    <w:rsid w:val="00547D12"/>
    <w:rsid w:val="0055058A"/>
    <w:rsid w:val="00550A8D"/>
    <w:rsid w:val="00551308"/>
    <w:rsid w:val="00551499"/>
    <w:rsid w:val="0055298F"/>
    <w:rsid w:val="00552C77"/>
    <w:rsid w:val="005533C9"/>
    <w:rsid w:val="00554B10"/>
    <w:rsid w:val="005550BA"/>
    <w:rsid w:val="005551A6"/>
    <w:rsid w:val="00555720"/>
    <w:rsid w:val="00557927"/>
    <w:rsid w:val="00560316"/>
    <w:rsid w:val="00560C49"/>
    <w:rsid w:val="0056153D"/>
    <w:rsid w:val="0056247F"/>
    <w:rsid w:val="00562612"/>
    <w:rsid w:val="005629EC"/>
    <w:rsid w:val="00563431"/>
    <w:rsid w:val="00563F14"/>
    <w:rsid w:val="0056463D"/>
    <w:rsid w:val="005646E2"/>
    <w:rsid w:val="00565026"/>
    <w:rsid w:val="005671A9"/>
    <w:rsid w:val="0057237A"/>
    <w:rsid w:val="005726B2"/>
    <w:rsid w:val="005742CC"/>
    <w:rsid w:val="00574D26"/>
    <w:rsid w:val="00575B93"/>
    <w:rsid w:val="005760FB"/>
    <w:rsid w:val="00577356"/>
    <w:rsid w:val="005773F5"/>
    <w:rsid w:val="00577935"/>
    <w:rsid w:val="00577A56"/>
    <w:rsid w:val="00577E52"/>
    <w:rsid w:val="00577F38"/>
    <w:rsid w:val="005812EF"/>
    <w:rsid w:val="00581F48"/>
    <w:rsid w:val="0058242F"/>
    <w:rsid w:val="00582EAD"/>
    <w:rsid w:val="00583628"/>
    <w:rsid w:val="00583C72"/>
    <w:rsid w:val="00584FC2"/>
    <w:rsid w:val="0058567E"/>
    <w:rsid w:val="00585855"/>
    <w:rsid w:val="00586B41"/>
    <w:rsid w:val="00591740"/>
    <w:rsid w:val="0059245E"/>
    <w:rsid w:val="00593771"/>
    <w:rsid w:val="00593A13"/>
    <w:rsid w:val="00594754"/>
    <w:rsid w:val="0059475C"/>
    <w:rsid w:val="00594C2A"/>
    <w:rsid w:val="00595060"/>
    <w:rsid w:val="0059607C"/>
    <w:rsid w:val="005965F3"/>
    <w:rsid w:val="005968C6"/>
    <w:rsid w:val="00597A0E"/>
    <w:rsid w:val="005A1DDF"/>
    <w:rsid w:val="005A432E"/>
    <w:rsid w:val="005A6AD5"/>
    <w:rsid w:val="005A736C"/>
    <w:rsid w:val="005A7B9D"/>
    <w:rsid w:val="005A7D5B"/>
    <w:rsid w:val="005B0C60"/>
    <w:rsid w:val="005B184B"/>
    <w:rsid w:val="005B2203"/>
    <w:rsid w:val="005B28E4"/>
    <w:rsid w:val="005B3F79"/>
    <w:rsid w:val="005B4D83"/>
    <w:rsid w:val="005B5475"/>
    <w:rsid w:val="005B579D"/>
    <w:rsid w:val="005B5B61"/>
    <w:rsid w:val="005B5EB4"/>
    <w:rsid w:val="005C0E14"/>
    <w:rsid w:val="005C2555"/>
    <w:rsid w:val="005C29D1"/>
    <w:rsid w:val="005C30F3"/>
    <w:rsid w:val="005C418F"/>
    <w:rsid w:val="005C4562"/>
    <w:rsid w:val="005C45C1"/>
    <w:rsid w:val="005C52C3"/>
    <w:rsid w:val="005C65EB"/>
    <w:rsid w:val="005C755A"/>
    <w:rsid w:val="005D0442"/>
    <w:rsid w:val="005D0964"/>
    <w:rsid w:val="005D0AD4"/>
    <w:rsid w:val="005D0B4F"/>
    <w:rsid w:val="005D0DCC"/>
    <w:rsid w:val="005D3164"/>
    <w:rsid w:val="005D6CD9"/>
    <w:rsid w:val="005D6DD5"/>
    <w:rsid w:val="005D7226"/>
    <w:rsid w:val="005D7303"/>
    <w:rsid w:val="005D7742"/>
    <w:rsid w:val="005D7EF7"/>
    <w:rsid w:val="005E137F"/>
    <w:rsid w:val="005E1791"/>
    <w:rsid w:val="005E17B6"/>
    <w:rsid w:val="005E209F"/>
    <w:rsid w:val="005E3644"/>
    <w:rsid w:val="005E50A3"/>
    <w:rsid w:val="005E5647"/>
    <w:rsid w:val="005E6C71"/>
    <w:rsid w:val="005E73F5"/>
    <w:rsid w:val="005F0EB5"/>
    <w:rsid w:val="005F1425"/>
    <w:rsid w:val="005F1D37"/>
    <w:rsid w:val="005F251D"/>
    <w:rsid w:val="005F2CFF"/>
    <w:rsid w:val="005F3447"/>
    <w:rsid w:val="005F5A8A"/>
    <w:rsid w:val="005F5EF7"/>
    <w:rsid w:val="005F63DC"/>
    <w:rsid w:val="005F75B4"/>
    <w:rsid w:val="005F7B64"/>
    <w:rsid w:val="005F7DDD"/>
    <w:rsid w:val="0060087E"/>
    <w:rsid w:val="00600944"/>
    <w:rsid w:val="00600C61"/>
    <w:rsid w:val="00601D01"/>
    <w:rsid w:val="00602A32"/>
    <w:rsid w:val="00602D86"/>
    <w:rsid w:val="006030B4"/>
    <w:rsid w:val="00603AFD"/>
    <w:rsid w:val="0060408E"/>
    <w:rsid w:val="00605115"/>
    <w:rsid w:val="00605833"/>
    <w:rsid w:val="00606008"/>
    <w:rsid w:val="00607B2A"/>
    <w:rsid w:val="0061055F"/>
    <w:rsid w:val="0061162F"/>
    <w:rsid w:val="00612A86"/>
    <w:rsid w:val="00612A97"/>
    <w:rsid w:val="0061473B"/>
    <w:rsid w:val="00614B59"/>
    <w:rsid w:val="0061503D"/>
    <w:rsid w:val="00615794"/>
    <w:rsid w:val="00615B7F"/>
    <w:rsid w:val="006168F7"/>
    <w:rsid w:val="00616FDF"/>
    <w:rsid w:val="00620955"/>
    <w:rsid w:val="006213A5"/>
    <w:rsid w:val="006225F3"/>
    <w:rsid w:val="00622767"/>
    <w:rsid w:val="00624A77"/>
    <w:rsid w:val="00624EC9"/>
    <w:rsid w:val="00627706"/>
    <w:rsid w:val="006302CD"/>
    <w:rsid w:val="00631411"/>
    <w:rsid w:val="00631C2A"/>
    <w:rsid w:val="00632257"/>
    <w:rsid w:val="00634178"/>
    <w:rsid w:val="0063513E"/>
    <w:rsid w:val="00635D19"/>
    <w:rsid w:val="00636EC7"/>
    <w:rsid w:val="00637A09"/>
    <w:rsid w:val="00640005"/>
    <w:rsid w:val="006407CE"/>
    <w:rsid w:val="00641A7C"/>
    <w:rsid w:val="00642D10"/>
    <w:rsid w:val="00643919"/>
    <w:rsid w:val="00644BED"/>
    <w:rsid w:val="0064551B"/>
    <w:rsid w:val="006465EB"/>
    <w:rsid w:val="00646D84"/>
    <w:rsid w:val="00650CA4"/>
    <w:rsid w:val="006510F6"/>
    <w:rsid w:val="00651B3F"/>
    <w:rsid w:val="00651B69"/>
    <w:rsid w:val="006521E5"/>
    <w:rsid w:val="00652644"/>
    <w:rsid w:val="00652C50"/>
    <w:rsid w:val="0065452F"/>
    <w:rsid w:val="00655FB4"/>
    <w:rsid w:val="00656524"/>
    <w:rsid w:val="006566CE"/>
    <w:rsid w:val="006571B7"/>
    <w:rsid w:val="0065725A"/>
    <w:rsid w:val="00657A76"/>
    <w:rsid w:val="00657DD0"/>
    <w:rsid w:val="00662BC1"/>
    <w:rsid w:val="00664F8E"/>
    <w:rsid w:val="00665774"/>
    <w:rsid w:val="006660E9"/>
    <w:rsid w:val="00667B40"/>
    <w:rsid w:val="00670CEC"/>
    <w:rsid w:val="00671067"/>
    <w:rsid w:val="00671935"/>
    <w:rsid w:val="00673B45"/>
    <w:rsid w:val="00674329"/>
    <w:rsid w:val="0067495A"/>
    <w:rsid w:val="006759CF"/>
    <w:rsid w:val="00675DB4"/>
    <w:rsid w:val="00676DC5"/>
    <w:rsid w:val="00677DF3"/>
    <w:rsid w:val="00680AFC"/>
    <w:rsid w:val="00681A06"/>
    <w:rsid w:val="00683034"/>
    <w:rsid w:val="00684C09"/>
    <w:rsid w:val="00684D9E"/>
    <w:rsid w:val="00684FAD"/>
    <w:rsid w:val="0068535B"/>
    <w:rsid w:val="00685C1C"/>
    <w:rsid w:val="00686BBE"/>
    <w:rsid w:val="00687F0F"/>
    <w:rsid w:val="006902D5"/>
    <w:rsid w:val="00690CC4"/>
    <w:rsid w:val="00690F6E"/>
    <w:rsid w:val="0069157C"/>
    <w:rsid w:val="00694F6E"/>
    <w:rsid w:val="006962C7"/>
    <w:rsid w:val="00696697"/>
    <w:rsid w:val="00696BCE"/>
    <w:rsid w:val="00696C29"/>
    <w:rsid w:val="00697441"/>
    <w:rsid w:val="0069765A"/>
    <w:rsid w:val="006A0F62"/>
    <w:rsid w:val="006A10F9"/>
    <w:rsid w:val="006A1E97"/>
    <w:rsid w:val="006A2D9B"/>
    <w:rsid w:val="006A31C8"/>
    <w:rsid w:val="006A4DA6"/>
    <w:rsid w:val="006A55CA"/>
    <w:rsid w:val="006A56A2"/>
    <w:rsid w:val="006A593F"/>
    <w:rsid w:val="006A657E"/>
    <w:rsid w:val="006A6C5F"/>
    <w:rsid w:val="006A7245"/>
    <w:rsid w:val="006A743B"/>
    <w:rsid w:val="006A78BE"/>
    <w:rsid w:val="006A7DCD"/>
    <w:rsid w:val="006B074D"/>
    <w:rsid w:val="006B1000"/>
    <w:rsid w:val="006B1F2A"/>
    <w:rsid w:val="006B2781"/>
    <w:rsid w:val="006B3D46"/>
    <w:rsid w:val="006B466D"/>
    <w:rsid w:val="006B6230"/>
    <w:rsid w:val="006C1227"/>
    <w:rsid w:val="006C1478"/>
    <w:rsid w:val="006C2AB0"/>
    <w:rsid w:val="006C2EC1"/>
    <w:rsid w:val="006C2FDD"/>
    <w:rsid w:val="006C3A9D"/>
    <w:rsid w:val="006C3D42"/>
    <w:rsid w:val="006C4BCF"/>
    <w:rsid w:val="006C524D"/>
    <w:rsid w:val="006C526B"/>
    <w:rsid w:val="006C58A3"/>
    <w:rsid w:val="006C58A9"/>
    <w:rsid w:val="006C7477"/>
    <w:rsid w:val="006D1448"/>
    <w:rsid w:val="006D1482"/>
    <w:rsid w:val="006D14ED"/>
    <w:rsid w:val="006D267C"/>
    <w:rsid w:val="006D2826"/>
    <w:rsid w:val="006D34E4"/>
    <w:rsid w:val="006D5409"/>
    <w:rsid w:val="006D574F"/>
    <w:rsid w:val="006D799D"/>
    <w:rsid w:val="006E09CB"/>
    <w:rsid w:val="006E0B57"/>
    <w:rsid w:val="006E1574"/>
    <w:rsid w:val="006E4FBA"/>
    <w:rsid w:val="006E5B2A"/>
    <w:rsid w:val="006E7237"/>
    <w:rsid w:val="006E729E"/>
    <w:rsid w:val="006F03AD"/>
    <w:rsid w:val="006F08EF"/>
    <w:rsid w:val="006F39C2"/>
    <w:rsid w:val="006F51D6"/>
    <w:rsid w:val="006F5904"/>
    <w:rsid w:val="006F6F79"/>
    <w:rsid w:val="006F7C77"/>
    <w:rsid w:val="00700E4B"/>
    <w:rsid w:val="00701ACC"/>
    <w:rsid w:val="00702EEA"/>
    <w:rsid w:val="007030F8"/>
    <w:rsid w:val="00703772"/>
    <w:rsid w:val="00705C79"/>
    <w:rsid w:val="007068F9"/>
    <w:rsid w:val="007069F5"/>
    <w:rsid w:val="00706A70"/>
    <w:rsid w:val="00707BCD"/>
    <w:rsid w:val="00710A16"/>
    <w:rsid w:val="00710CE1"/>
    <w:rsid w:val="007127D7"/>
    <w:rsid w:val="0071355C"/>
    <w:rsid w:val="0071387F"/>
    <w:rsid w:val="00714262"/>
    <w:rsid w:val="007143EE"/>
    <w:rsid w:val="007146F3"/>
    <w:rsid w:val="00716033"/>
    <w:rsid w:val="00716319"/>
    <w:rsid w:val="007163C9"/>
    <w:rsid w:val="00716E69"/>
    <w:rsid w:val="00717635"/>
    <w:rsid w:val="00717EF8"/>
    <w:rsid w:val="007221B1"/>
    <w:rsid w:val="007222CA"/>
    <w:rsid w:val="00723A55"/>
    <w:rsid w:val="00724C3E"/>
    <w:rsid w:val="007263B4"/>
    <w:rsid w:val="00726AC7"/>
    <w:rsid w:val="00726DF5"/>
    <w:rsid w:val="00730CBF"/>
    <w:rsid w:val="007328F1"/>
    <w:rsid w:val="00734D3C"/>
    <w:rsid w:val="0073528B"/>
    <w:rsid w:val="00736721"/>
    <w:rsid w:val="00736B21"/>
    <w:rsid w:val="00736F00"/>
    <w:rsid w:val="00737D4D"/>
    <w:rsid w:val="007404AA"/>
    <w:rsid w:val="007407E6"/>
    <w:rsid w:val="0074198F"/>
    <w:rsid w:val="00742767"/>
    <w:rsid w:val="00742E30"/>
    <w:rsid w:val="0074307A"/>
    <w:rsid w:val="007431EF"/>
    <w:rsid w:val="00743B10"/>
    <w:rsid w:val="0074523B"/>
    <w:rsid w:val="00745B1E"/>
    <w:rsid w:val="00747300"/>
    <w:rsid w:val="00747E10"/>
    <w:rsid w:val="00750936"/>
    <w:rsid w:val="00750984"/>
    <w:rsid w:val="00751530"/>
    <w:rsid w:val="00751C12"/>
    <w:rsid w:val="00752994"/>
    <w:rsid w:val="00752B37"/>
    <w:rsid w:val="00752E21"/>
    <w:rsid w:val="00753956"/>
    <w:rsid w:val="00753BAF"/>
    <w:rsid w:val="007541EA"/>
    <w:rsid w:val="00756293"/>
    <w:rsid w:val="007569D5"/>
    <w:rsid w:val="007575D2"/>
    <w:rsid w:val="00757627"/>
    <w:rsid w:val="007578AA"/>
    <w:rsid w:val="00757B79"/>
    <w:rsid w:val="00760702"/>
    <w:rsid w:val="00762AFA"/>
    <w:rsid w:val="00762BE3"/>
    <w:rsid w:val="00762C77"/>
    <w:rsid w:val="00762D49"/>
    <w:rsid w:val="00762FA9"/>
    <w:rsid w:val="00764B1D"/>
    <w:rsid w:val="007658A6"/>
    <w:rsid w:val="00767604"/>
    <w:rsid w:val="00770435"/>
    <w:rsid w:val="007707F9"/>
    <w:rsid w:val="0077246F"/>
    <w:rsid w:val="00772494"/>
    <w:rsid w:val="007733B2"/>
    <w:rsid w:val="007736F7"/>
    <w:rsid w:val="00774F79"/>
    <w:rsid w:val="007755BE"/>
    <w:rsid w:val="00775A75"/>
    <w:rsid w:val="00775CCD"/>
    <w:rsid w:val="00775FFC"/>
    <w:rsid w:val="00776C13"/>
    <w:rsid w:val="00777157"/>
    <w:rsid w:val="00780E18"/>
    <w:rsid w:val="00780ECD"/>
    <w:rsid w:val="00781122"/>
    <w:rsid w:val="007816FF"/>
    <w:rsid w:val="00782AC8"/>
    <w:rsid w:val="0078388E"/>
    <w:rsid w:val="0078447C"/>
    <w:rsid w:val="007847CE"/>
    <w:rsid w:val="00786788"/>
    <w:rsid w:val="00786CDB"/>
    <w:rsid w:val="00787202"/>
    <w:rsid w:val="00790101"/>
    <w:rsid w:val="00790347"/>
    <w:rsid w:val="0079178D"/>
    <w:rsid w:val="00792681"/>
    <w:rsid w:val="0079422A"/>
    <w:rsid w:val="00794E24"/>
    <w:rsid w:val="0079585A"/>
    <w:rsid w:val="00796FC9"/>
    <w:rsid w:val="00797B65"/>
    <w:rsid w:val="007A16CC"/>
    <w:rsid w:val="007A1FFE"/>
    <w:rsid w:val="007A2589"/>
    <w:rsid w:val="007A2C4F"/>
    <w:rsid w:val="007A2F5E"/>
    <w:rsid w:val="007A56BC"/>
    <w:rsid w:val="007A5B61"/>
    <w:rsid w:val="007A61CE"/>
    <w:rsid w:val="007A6A6B"/>
    <w:rsid w:val="007A72E0"/>
    <w:rsid w:val="007A7373"/>
    <w:rsid w:val="007A7606"/>
    <w:rsid w:val="007A7ACD"/>
    <w:rsid w:val="007B07E9"/>
    <w:rsid w:val="007B09DD"/>
    <w:rsid w:val="007B0B12"/>
    <w:rsid w:val="007B1112"/>
    <w:rsid w:val="007B2731"/>
    <w:rsid w:val="007B44CB"/>
    <w:rsid w:val="007B6BE7"/>
    <w:rsid w:val="007C09A6"/>
    <w:rsid w:val="007C21D8"/>
    <w:rsid w:val="007C2D89"/>
    <w:rsid w:val="007C30D3"/>
    <w:rsid w:val="007C4C37"/>
    <w:rsid w:val="007C5230"/>
    <w:rsid w:val="007C5EA9"/>
    <w:rsid w:val="007C6C8C"/>
    <w:rsid w:val="007C7D91"/>
    <w:rsid w:val="007C7E32"/>
    <w:rsid w:val="007D3633"/>
    <w:rsid w:val="007D4259"/>
    <w:rsid w:val="007D6CD2"/>
    <w:rsid w:val="007D7366"/>
    <w:rsid w:val="007E06BA"/>
    <w:rsid w:val="007E0F9C"/>
    <w:rsid w:val="007E2817"/>
    <w:rsid w:val="007E4865"/>
    <w:rsid w:val="007E6034"/>
    <w:rsid w:val="007E7BAE"/>
    <w:rsid w:val="007E7DA5"/>
    <w:rsid w:val="007F1736"/>
    <w:rsid w:val="007F1B89"/>
    <w:rsid w:val="007F2986"/>
    <w:rsid w:val="007F2D0F"/>
    <w:rsid w:val="007F3886"/>
    <w:rsid w:val="007F497B"/>
    <w:rsid w:val="007F4B89"/>
    <w:rsid w:val="007F5630"/>
    <w:rsid w:val="007F5C46"/>
    <w:rsid w:val="007F65F1"/>
    <w:rsid w:val="008006B4"/>
    <w:rsid w:val="00800970"/>
    <w:rsid w:val="008023E8"/>
    <w:rsid w:val="00802DF2"/>
    <w:rsid w:val="00803035"/>
    <w:rsid w:val="00803221"/>
    <w:rsid w:val="00803224"/>
    <w:rsid w:val="0080480E"/>
    <w:rsid w:val="00804D1C"/>
    <w:rsid w:val="00805909"/>
    <w:rsid w:val="00805B44"/>
    <w:rsid w:val="00805C9D"/>
    <w:rsid w:val="0080652C"/>
    <w:rsid w:val="00806CE6"/>
    <w:rsid w:val="008072E1"/>
    <w:rsid w:val="00807CE4"/>
    <w:rsid w:val="00811167"/>
    <w:rsid w:val="00811FF0"/>
    <w:rsid w:val="00812973"/>
    <w:rsid w:val="00813662"/>
    <w:rsid w:val="00813709"/>
    <w:rsid w:val="00813754"/>
    <w:rsid w:val="00813A99"/>
    <w:rsid w:val="00813B04"/>
    <w:rsid w:val="00813C45"/>
    <w:rsid w:val="00813F23"/>
    <w:rsid w:val="00814762"/>
    <w:rsid w:val="00815A4F"/>
    <w:rsid w:val="0081628C"/>
    <w:rsid w:val="008208F0"/>
    <w:rsid w:val="00821903"/>
    <w:rsid w:val="00824727"/>
    <w:rsid w:val="00824DFD"/>
    <w:rsid w:val="00824E44"/>
    <w:rsid w:val="00824F3E"/>
    <w:rsid w:val="0082572C"/>
    <w:rsid w:val="00827158"/>
    <w:rsid w:val="008309D5"/>
    <w:rsid w:val="0083222D"/>
    <w:rsid w:val="008339AA"/>
    <w:rsid w:val="00835FCA"/>
    <w:rsid w:val="008365DE"/>
    <w:rsid w:val="00841873"/>
    <w:rsid w:val="008429BC"/>
    <w:rsid w:val="00843956"/>
    <w:rsid w:val="00844229"/>
    <w:rsid w:val="00846174"/>
    <w:rsid w:val="008468F3"/>
    <w:rsid w:val="00846F30"/>
    <w:rsid w:val="0084719B"/>
    <w:rsid w:val="0084759C"/>
    <w:rsid w:val="00850011"/>
    <w:rsid w:val="00850137"/>
    <w:rsid w:val="00850496"/>
    <w:rsid w:val="008508D9"/>
    <w:rsid w:val="00851CEB"/>
    <w:rsid w:val="00852647"/>
    <w:rsid w:val="008540F1"/>
    <w:rsid w:val="008546FC"/>
    <w:rsid w:val="00856790"/>
    <w:rsid w:val="008571E1"/>
    <w:rsid w:val="00860277"/>
    <w:rsid w:val="00860E17"/>
    <w:rsid w:val="008618D5"/>
    <w:rsid w:val="00862ED2"/>
    <w:rsid w:val="00863627"/>
    <w:rsid w:val="00863EBC"/>
    <w:rsid w:val="008643E7"/>
    <w:rsid w:val="0086518D"/>
    <w:rsid w:val="00865576"/>
    <w:rsid w:val="008655AE"/>
    <w:rsid w:val="008663EC"/>
    <w:rsid w:val="0086685B"/>
    <w:rsid w:val="008669D8"/>
    <w:rsid w:val="00871CB3"/>
    <w:rsid w:val="00872748"/>
    <w:rsid w:val="008739B8"/>
    <w:rsid w:val="008747A1"/>
    <w:rsid w:val="0087571A"/>
    <w:rsid w:val="00876557"/>
    <w:rsid w:val="008766EA"/>
    <w:rsid w:val="0088073C"/>
    <w:rsid w:val="00881767"/>
    <w:rsid w:val="00882808"/>
    <w:rsid w:val="00884046"/>
    <w:rsid w:val="008849D6"/>
    <w:rsid w:val="00885942"/>
    <w:rsid w:val="00885C38"/>
    <w:rsid w:val="00885CAD"/>
    <w:rsid w:val="008861B4"/>
    <w:rsid w:val="00887AA0"/>
    <w:rsid w:val="00887DA2"/>
    <w:rsid w:val="00887F6F"/>
    <w:rsid w:val="00890621"/>
    <w:rsid w:val="008924AD"/>
    <w:rsid w:val="0089258D"/>
    <w:rsid w:val="008928A9"/>
    <w:rsid w:val="008932A7"/>
    <w:rsid w:val="008934EF"/>
    <w:rsid w:val="00893A61"/>
    <w:rsid w:val="00893AF4"/>
    <w:rsid w:val="00893CDE"/>
    <w:rsid w:val="008953A6"/>
    <w:rsid w:val="00895AFA"/>
    <w:rsid w:val="008975AC"/>
    <w:rsid w:val="008A08A7"/>
    <w:rsid w:val="008A2E35"/>
    <w:rsid w:val="008A3044"/>
    <w:rsid w:val="008A32E8"/>
    <w:rsid w:val="008A4BE3"/>
    <w:rsid w:val="008A57D2"/>
    <w:rsid w:val="008A58DB"/>
    <w:rsid w:val="008A5C87"/>
    <w:rsid w:val="008A5F9D"/>
    <w:rsid w:val="008A6CAC"/>
    <w:rsid w:val="008A70A1"/>
    <w:rsid w:val="008A714C"/>
    <w:rsid w:val="008B148A"/>
    <w:rsid w:val="008B19A7"/>
    <w:rsid w:val="008B244E"/>
    <w:rsid w:val="008B259E"/>
    <w:rsid w:val="008B30B1"/>
    <w:rsid w:val="008B435E"/>
    <w:rsid w:val="008B4C47"/>
    <w:rsid w:val="008B565E"/>
    <w:rsid w:val="008B5D3D"/>
    <w:rsid w:val="008B6531"/>
    <w:rsid w:val="008B6B3B"/>
    <w:rsid w:val="008B7739"/>
    <w:rsid w:val="008B779B"/>
    <w:rsid w:val="008C0188"/>
    <w:rsid w:val="008C0607"/>
    <w:rsid w:val="008C1EB6"/>
    <w:rsid w:val="008C3A44"/>
    <w:rsid w:val="008C48FA"/>
    <w:rsid w:val="008C761D"/>
    <w:rsid w:val="008D0F3B"/>
    <w:rsid w:val="008D17AC"/>
    <w:rsid w:val="008D1B70"/>
    <w:rsid w:val="008D1BC9"/>
    <w:rsid w:val="008D2403"/>
    <w:rsid w:val="008D2563"/>
    <w:rsid w:val="008D3EBF"/>
    <w:rsid w:val="008D42D0"/>
    <w:rsid w:val="008D5030"/>
    <w:rsid w:val="008D51C1"/>
    <w:rsid w:val="008D6108"/>
    <w:rsid w:val="008D6252"/>
    <w:rsid w:val="008D75D3"/>
    <w:rsid w:val="008D7EFC"/>
    <w:rsid w:val="008E06E4"/>
    <w:rsid w:val="008E27A7"/>
    <w:rsid w:val="008E2F30"/>
    <w:rsid w:val="008E3051"/>
    <w:rsid w:val="008E30A7"/>
    <w:rsid w:val="008E6C2F"/>
    <w:rsid w:val="008F05AB"/>
    <w:rsid w:val="008F0EBD"/>
    <w:rsid w:val="008F131B"/>
    <w:rsid w:val="008F22FA"/>
    <w:rsid w:val="008F2FD7"/>
    <w:rsid w:val="008F33B4"/>
    <w:rsid w:val="008F391C"/>
    <w:rsid w:val="008F3936"/>
    <w:rsid w:val="008F3C1A"/>
    <w:rsid w:val="008F64EE"/>
    <w:rsid w:val="008F6708"/>
    <w:rsid w:val="008F71F3"/>
    <w:rsid w:val="008F758B"/>
    <w:rsid w:val="008F7B70"/>
    <w:rsid w:val="00900638"/>
    <w:rsid w:val="00900A9D"/>
    <w:rsid w:val="00903255"/>
    <w:rsid w:val="009036A5"/>
    <w:rsid w:val="00903D3F"/>
    <w:rsid w:val="0090486E"/>
    <w:rsid w:val="00906266"/>
    <w:rsid w:val="009077B1"/>
    <w:rsid w:val="00907ACD"/>
    <w:rsid w:val="00910F3C"/>
    <w:rsid w:val="00911665"/>
    <w:rsid w:val="009125BD"/>
    <w:rsid w:val="009127FF"/>
    <w:rsid w:val="00912BB3"/>
    <w:rsid w:val="00912F53"/>
    <w:rsid w:val="00912FD7"/>
    <w:rsid w:val="00913C84"/>
    <w:rsid w:val="00916D2C"/>
    <w:rsid w:val="00916F05"/>
    <w:rsid w:val="009177A3"/>
    <w:rsid w:val="009178F0"/>
    <w:rsid w:val="0092105E"/>
    <w:rsid w:val="0092177F"/>
    <w:rsid w:val="009219F2"/>
    <w:rsid w:val="009220E2"/>
    <w:rsid w:val="009227FF"/>
    <w:rsid w:val="00922EC5"/>
    <w:rsid w:val="009231E1"/>
    <w:rsid w:val="00923211"/>
    <w:rsid w:val="00923BCD"/>
    <w:rsid w:val="00927E89"/>
    <w:rsid w:val="009309E3"/>
    <w:rsid w:val="0093115D"/>
    <w:rsid w:val="009327EB"/>
    <w:rsid w:val="00936202"/>
    <w:rsid w:val="00936DB8"/>
    <w:rsid w:val="00937F96"/>
    <w:rsid w:val="0094175E"/>
    <w:rsid w:val="00941F70"/>
    <w:rsid w:val="00942045"/>
    <w:rsid w:val="009425E2"/>
    <w:rsid w:val="00942C16"/>
    <w:rsid w:val="00943749"/>
    <w:rsid w:val="00944D78"/>
    <w:rsid w:val="00944FB1"/>
    <w:rsid w:val="00947034"/>
    <w:rsid w:val="00951462"/>
    <w:rsid w:val="009527AF"/>
    <w:rsid w:val="00952AC0"/>
    <w:rsid w:val="00954160"/>
    <w:rsid w:val="00954557"/>
    <w:rsid w:val="00954612"/>
    <w:rsid w:val="009546C0"/>
    <w:rsid w:val="0095680E"/>
    <w:rsid w:val="009573F6"/>
    <w:rsid w:val="009604D1"/>
    <w:rsid w:val="009606E7"/>
    <w:rsid w:val="00960E9C"/>
    <w:rsid w:val="00960F0F"/>
    <w:rsid w:val="009610EC"/>
    <w:rsid w:val="00961D64"/>
    <w:rsid w:val="00961E6B"/>
    <w:rsid w:val="00964F4D"/>
    <w:rsid w:val="00966148"/>
    <w:rsid w:val="009673EA"/>
    <w:rsid w:val="009705CB"/>
    <w:rsid w:val="00971B5C"/>
    <w:rsid w:val="00972A3A"/>
    <w:rsid w:val="009734E8"/>
    <w:rsid w:val="00973C69"/>
    <w:rsid w:val="00975ED9"/>
    <w:rsid w:val="00976223"/>
    <w:rsid w:val="00976389"/>
    <w:rsid w:val="00977078"/>
    <w:rsid w:val="0097730E"/>
    <w:rsid w:val="00980452"/>
    <w:rsid w:val="00981348"/>
    <w:rsid w:val="00981EF5"/>
    <w:rsid w:val="00982A68"/>
    <w:rsid w:val="00982DAE"/>
    <w:rsid w:val="00982FE7"/>
    <w:rsid w:val="0098508C"/>
    <w:rsid w:val="00985B99"/>
    <w:rsid w:val="0098626A"/>
    <w:rsid w:val="00986F4F"/>
    <w:rsid w:val="0099045E"/>
    <w:rsid w:val="00990F59"/>
    <w:rsid w:val="009913B4"/>
    <w:rsid w:val="009919EC"/>
    <w:rsid w:val="00992722"/>
    <w:rsid w:val="009934D0"/>
    <w:rsid w:val="009943B5"/>
    <w:rsid w:val="00994DDC"/>
    <w:rsid w:val="00994F1D"/>
    <w:rsid w:val="00995768"/>
    <w:rsid w:val="009961AA"/>
    <w:rsid w:val="0099767B"/>
    <w:rsid w:val="00997D53"/>
    <w:rsid w:val="009A0130"/>
    <w:rsid w:val="009A0A49"/>
    <w:rsid w:val="009A19EA"/>
    <w:rsid w:val="009A1C68"/>
    <w:rsid w:val="009A22EE"/>
    <w:rsid w:val="009A2CD3"/>
    <w:rsid w:val="009A39F1"/>
    <w:rsid w:val="009A5B11"/>
    <w:rsid w:val="009A75CA"/>
    <w:rsid w:val="009A7962"/>
    <w:rsid w:val="009A7D1A"/>
    <w:rsid w:val="009B047F"/>
    <w:rsid w:val="009B13E2"/>
    <w:rsid w:val="009B21FE"/>
    <w:rsid w:val="009B405C"/>
    <w:rsid w:val="009B4122"/>
    <w:rsid w:val="009B5409"/>
    <w:rsid w:val="009B7E58"/>
    <w:rsid w:val="009C083F"/>
    <w:rsid w:val="009C1462"/>
    <w:rsid w:val="009C1870"/>
    <w:rsid w:val="009C198B"/>
    <w:rsid w:val="009C19B5"/>
    <w:rsid w:val="009C1D55"/>
    <w:rsid w:val="009C1E76"/>
    <w:rsid w:val="009C1F26"/>
    <w:rsid w:val="009C38B3"/>
    <w:rsid w:val="009C56A3"/>
    <w:rsid w:val="009C57AD"/>
    <w:rsid w:val="009C7897"/>
    <w:rsid w:val="009D0861"/>
    <w:rsid w:val="009D14FF"/>
    <w:rsid w:val="009D31F0"/>
    <w:rsid w:val="009D36A7"/>
    <w:rsid w:val="009D583D"/>
    <w:rsid w:val="009E10A8"/>
    <w:rsid w:val="009E10D3"/>
    <w:rsid w:val="009E1317"/>
    <w:rsid w:val="009E1B9C"/>
    <w:rsid w:val="009E4FC6"/>
    <w:rsid w:val="009E5BE6"/>
    <w:rsid w:val="009E61E1"/>
    <w:rsid w:val="009E65B8"/>
    <w:rsid w:val="009E6698"/>
    <w:rsid w:val="009E6A03"/>
    <w:rsid w:val="009E731F"/>
    <w:rsid w:val="009F0150"/>
    <w:rsid w:val="009F0567"/>
    <w:rsid w:val="009F07BB"/>
    <w:rsid w:val="009F4DFA"/>
    <w:rsid w:val="009F6773"/>
    <w:rsid w:val="009F6E73"/>
    <w:rsid w:val="009F7A1B"/>
    <w:rsid w:val="009F7DDC"/>
    <w:rsid w:val="00A00124"/>
    <w:rsid w:val="00A0015E"/>
    <w:rsid w:val="00A01213"/>
    <w:rsid w:val="00A01770"/>
    <w:rsid w:val="00A034D1"/>
    <w:rsid w:val="00A03D34"/>
    <w:rsid w:val="00A03FD6"/>
    <w:rsid w:val="00A04330"/>
    <w:rsid w:val="00A049E3"/>
    <w:rsid w:val="00A051FF"/>
    <w:rsid w:val="00A077F9"/>
    <w:rsid w:val="00A07B61"/>
    <w:rsid w:val="00A103CE"/>
    <w:rsid w:val="00A104BE"/>
    <w:rsid w:val="00A108D3"/>
    <w:rsid w:val="00A11215"/>
    <w:rsid w:val="00A11998"/>
    <w:rsid w:val="00A132AA"/>
    <w:rsid w:val="00A1340B"/>
    <w:rsid w:val="00A13553"/>
    <w:rsid w:val="00A13E48"/>
    <w:rsid w:val="00A13E9D"/>
    <w:rsid w:val="00A1503B"/>
    <w:rsid w:val="00A157B0"/>
    <w:rsid w:val="00A16272"/>
    <w:rsid w:val="00A163ED"/>
    <w:rsid w:val="00A17308"/>
    <w:rsid w:val="00A17998"/>
    <w:rsid w:val="00A21096"/>
    <w:rsid w:val="00A2147E"/>
    <w:rsid w:val="00A21E23"/>
    <w:rsid w:val="00A2281F"/>
    <w:rsid w:val="00A230A0"/>
    <w:rsid w:val="00A26387"/>
    <w:rsid w:val="00A27B96"/>
    <w:rsid w:val="00A30E6E"/>
    <w:rsid w:val="00A33C9E"/>
    <w:rsid w:val="00A34242"/>
    <w:rsid w:val="00A344B0"/>
    <w:rsid w:val="00A34658"/>
    <w:rsid w:val="00A3525F"/>
    <w:rsid w:val="00A358C4"/>
    <w:rsid w:val="00A401E4"/>
    <w:rsid w:val="00A40510"/>
    <w:rsid w:val="00A42B0B"/>
    <w:rsid w:val="00A43DCA"/>
    <w:rsid w:val="00A459B4"/>
    <w:rsid w:val="00A4613D"/>
    <w:rsid w:val="00A47247"/>
    <w:rsid w:val="00A47379"/>
    <w:rsid w:val="00A475BD"/>
    <w:rsid w:val="00A518FD"/>
    <w:rsid w:val="00A52219"/>
    <w:rsid w:val="00A540B3"/>
    <w:rsid w:val="00A54DA6"/>
    <w:rsid w:val="00A55AF3"/>
    <w:rsid w:val="00A60A8E"/>
    <w:rsid w:val="00A62813"/>
    <w:rsid w:val="00A63593"/>
    <w:rsid w:val="00A64926"/>
    <w:rsid w:val="00A64E21"/>
    <w:rsid w:val="00A64FD7"/>
    <w:rsid w:val="00A662B2"/>
    <w:rsid w:val="00A669F0"/>
    <w:rsid w:val="00A66D36"/>
    <w:rsid w:val="00A67C68"/>
    <w:rsid w:val="00A70273"/>
    <w:rsid w:val="00A705BA"/>
    <w:rsid w:val="00A72B30"/>
    <w:rsid w:val="00A73080"/>
    <w:rsid w:val="00A73A8F"/>
    <w:rsid w:val="00A73AC4"/>
    <w:rsid w:val="00A73DBE"/>
    <w:rsid w:val="00A74524"/>
    <w:rsid w:val="00A75165"/>
    <w:rsid w:val="00A754B7"/>
    <w:rsid w:val="00A80432"/>
    <w:rsid w:val="00A80FB1"/>
    <w:rsid w:val="00A824CE"/>
    <w:rsid w:val="00A82E4A"/>
    <w:rsid w:val="00A83051"/>
    <w:rsid w:val="00A843BF"/>
    <w:rsid w:val="00A84423"/>
    <w:rsid w:val="00A856F9"/>
    <w:rsid w:val="00A8586F"/>
    <w:rsid w:val="00A85A79"/>
    <w:rsid w:val="00A86583"/>
    <w:rsid w:val="00A86950"/>
    <w:rsid w:val="00A86AFB"/>
    <w:rsid w:val="00A87654"/>
    <w:rsid w:val="00A87B84"/>
    <w:rsid w:val="00A91687"/>
    <w:rsid w:val="00A917C2"/>
    <w:rsid w:val="00A92F52"/>
    <w:rsid w:val="00A93154"/>
    <w:rsid w:val="00A93178"/>
    <w:rsid w:val="00A935E3"/>
    <w:rsid w:val="00A93994"/>
    <w:rsid w:val="00A95DBA"/>
    <w:rsid w:val="00A96244"/>
    <w:rsid w:val="00A9690C"/>
    <w:rsid w:val="00AA03A6"/>
    <w:rsid w:val="00AA1757"/>
    <w:rsid w:val="00AA2D30"/>
    <w:rsid w:val="00AA316B"/>
    <w:rsid w:val="00AA3B52"/>
    <w:rsid w:val="00AA4CF8"/>
    <w:rsid w:val="00AA5B83"/>
    <w:rsid w:val="00AA6B72"/>
    <w:rsid w:val="00AB0EB0"/>
    <w:rsid w:val="00AB2093"/>
    <w:rsid w:val="00AB3E94"/>
    <w:rsid w:val="00AB405B"/>
    <w:rsid w:val="00AB43D1"/>
    <w:rsid w:val="00AB531B"/>
    <w:rsid w:val="00AB76CE"/>
    <w:rsid w:val="00AC0C66"/>
    <w:rsid w:val="00AC0DD2"/>
    <w:rsid w:val="00AC155C"/>
    <w:rsid w:val="00AC1ACF"/>
    <w:rsid w:val="00AC245B"/>
    <w:rsid w:val="00AC339B"/>
    <w:rsid w:val="00AC44B5"/>
    <w:rsid w:val="00AC5AD1"/>
    <w:rsid w:val="00AC5AF4"/>
    <w:rsid w:val="00AC5C99"/>
    <w:rsid w:val="00AC5DE9"/>
    <w:rsid w:val="00AC6236"/>
    <w:rsid w:val="00AC73C6"/>
    <w:rsid w:val="00AC74BD"/>
    <w:rsid w:val="00AC77D0"/>
    <w:rsid w:val="00AD0557"/>
    <w:rsid w:val="00AD1685"/>
    <w:rsid w:val="00AD1DC1"/>
    <w:rsid w:val="00AD26A5"/>
    <w:rsid w:val="00AD2AD5"/>
    <w:rsid w:val="00AD421A"/>
    <w:rsid w:val="00AD5242"/>
    <w:rsid w:val="00AD58AF"/>
    <w:rsid w:val="00AD6555"/>
    <w:rsid w:val="00AD6F7E"/>
    <w:rsid w:val="00AD7B0C"/>
    <w:rsid w:val="00AE0C5A"/>
    <w:rsid w:val="00AE1683"/>
    <w:rsid w:val="00AE40B7"/>
    <w:rsid w:val="00AE42B5"/>
    <w:rsid w:val="00AE5589"/>
    <w:rsid w:val="00AE6B01"/>
    <w:rsid w:val="00AE731E"/>
    <w:rsid w:val="00AE74E2"/>
    <w:rsid w:val="00AE762A"/>
    <w:rsid w:val="00AE7926"/>
    <w:rsid w:val="00AF09F1"/>
    <w:rsid w:val="00AF0CF1"/>
    <w:rsid w:val="00AF1506"/>
    <w:rsid w:val="00AF15BB"/>
    <w:rsid w:val="00AF16F8"/>
    <w:rsid w:val="00AF2127"/>
    <w:rsid w:val="00AF2CBD"/>
    <w:rsid w:val="00AF2E34"/>
    <w:rsid w:val="00AF340F"/>
    <w:rsid w:val="00AF4A39"/>
    <w:rsid w:val="00AF708D"/>
    <w:rsid w:val="00B0007A"/>
    <w:rsid w:val="00B0049E"/>
    <w:rsid w:val="00B00E86"/>
    <w:rsid w:val="00B0352B"/>
    <w:rsid w:val="00B03862"/>
    <w:rsid w:val="00B04AA7"/>
    <w:rsid w:val="00B065D5"/>
    <w:rsid w:val="00B10BE6"/>
    <w:rsid w:val="00B10FB1"/>
    <w:rsid w:val="00B110BC"/>
    <w:rsid w:val="00B126C5"/>
    <w:rsid w:val="00B12971"/>
    <w:rsid w:val="00B1312A"/>
    <w:rsid w:val="00B13A98"/>
    <w:rsid w:val="00B1410F"/>
    <w:rsid w:val="00B157FF"/>
    <w:rsid w:val="00B17307"/>
    <w:rsid w:val="00B1768F"/>
    <w:rsid w:val="00B22FA4"/>
    <w:rsid w:val="00B24504"/>
    <w:rsid w:val="00B24A85"/>
    <w:rsid w:val="00B24B05"/>
    <w:rsid w:val="00B2530A"/>
    <w:rsid w:val="00B25CB1"/>
    <w:rsid w:val="00B2659B"/>
    <w:rsid w:val="00B26C9B"/>
    <w:rsid w:val="00B2734D"/>
    <w:rsid w:val="00B30165"/>
    <w:rsid w:val="00B3120D"/>
    <w:rsid w:val="00B32722"/>
    <w:rsid w:val="00B32E97"/>
    <w:rsid w:val="00B3498B"/>
    <w:rsid w:val="00B35116"/>
    <w:rsid w:val="00B35134"/>
    <w:rsid w:val="00B3526A"/>
    <w:rsid w:val="00B35F2B"/>
    <w:rsid w:val="00B3714E"/>
    <w:rsid w:val="00B37F73"/>
    <w:rsid w:val="00B406C8"/>
    <w:rsid w:val="00B40D9D"/>
    <w:rsid w:val="00B42F57"/>
    <w:rsid w:val="00B43269"/>
    <w:rsid w:val="00B441B3"/>
    <w:rsid w:val="00B44273"/>
    <w:rsid w:val="00B44855"/>
    <w:rsid w:val="00B45049"/>
    <w:rsid w:val="00B455AE"/>
    <w:rsid w:val="00B4611C"/>
    <w:rsid w:val="00B4638B"/>
    <w:rsid w:val="00B4745D"/>
    <w:rsid w:val="00B52738"/>
    <w:rsid w:val="00B53E8A"/>
    <w:rsid w:val="00B5445D"/>
    <w:rsid w:val="00B55D2F"/>
    <w:rsid w:val="00B561EC"/>
    <w:rsid w:val="00B569AF"/>
    <w:rsid w:val="00B56F36"/>
    <w:rsid w:val="00B57633"/>
    <w:rsid w:val="00B577DC"/>
    <w:rsid w:val="00B6497D"/>
    <w:rsid w:val="00B6498D"/>
    <w:rsid w:val="00B650B0"/>
    <w:rsid w:val="00B6646E"/>
    <w:rsid w:val="00B70954"/>
    <w:rsid w:val="00B71180"/>
    <w:rsid w:val="00B718CE"/>
    <w:rsid w:val="00B72A15"/>
    <w:rsid w:val="00B72D14"/>
    <w:rsid w:val="00B7305C"/>
    <w:rsid w:val="00B730AD"/>
    <w:rsid w:val="00B731FD"/>
    <w:rsid w:val="00B739E8"/>
    <w:rsid w:val="00B74861"/>
    <w:rsid w:val="00B74A9E"/>
    <w:rsid w:val="00B763CD"/>
    <w:rsid w:val="00B77BB0"/>
    <w:rsid w:val="00B81C67"/>
    <w:rsid w:val="00B84551"/>
    <w:rsid w:val="00B86D6E"/>
    <w:rsid w:val="00B87BB6"/>
    <w:rsid w:val="00B90D94"/>
    <w:rsid w:val="00B91F4E"/>
    <w:rsid w:val="00B93449"/>
    <w:rsid w:val="00B934AE"/>
    <w:rsid w:val="00B94C83"/>
    <w:rsid w:val="00B94D4D"/>
    <w:rsid w:val="00B95D4E"/>
    <w:rsid w:val="00B965C8"/>
    <w:rsid w:val="00B96D81"/>
    <w:rsid w:val="00B96FAD"/>
    <w:rsid w:val="00BA1310"/>
    <w:rsid w:val="00BA14A7"/>
    <w:rsid w:val="00BA1858"/>
    <w:rsid w:val="00BA3616"/>
    <w:rsid w:val="00BA36D4"/>
    <w:rsid w:val="00BA56FF"/>
    <w:rsid w:val="00BA57FF"/>
    <w:rsid w:val="00BA59DA"/>
    <w:rsid w:val="00BA5E44"/>
    <w:rsid w:val="00BA5E64"/>
    <w:rsid w:val="00BA762A"/>
    <w:rsid w:val="00BA7BEA"/>
    <w:rsid w:val="00BB100C"/>
    <w:rsid w:val="00BB1959"/>
    <w:rsid w:val="00BB2155"/>
    <w:rsid w:val="00BB2181"/>
    <w:rsid w:val="00BB23FD"/>
    <w:rsid w:val="00BB26B9"/>
    <w:rsid w:val="00BB3D82"/>
    <w:rsid w:val="00BB5970"/>
    <w:rsid w:val="00BB649C"/>
    <w:rsid w:val="00BC05CA"/>
    <w:rsid w:val="00BC0995"/>
    <w:rsid w:val="00BC3286"/>
    <w:rsid w:val="00BC34DC"/>
    <w:rsid w:val="00BC41C4"/>
    <w:rsid w:val="00BC45DC"/>
    <w:rsid w:val="00BC4F39"/>
    <w:rsid w:val="00BC51B7"/>
    <w:rsid w:val="00BC5453"/>
    <w:rsid w:val="00BC5C06"/>
    <w:rsid w:val="00BC6397"/>
    <w:rsid w:val="00BD00E3"/>
    <w:rsid w:val="00BD0412"/>
    <w:rsid w:val="00BD13DE"/>
    <w:rsid w:val="00BD185B"/>
    <w:rsid w:val="00BD19D6"/>
    <w:rsid w:val="00BD1A6F"/>
    <w:rsid w:val="00BD26BA"/>
    <w:rsid w:val="00BD26CB"/>
    <w:rsid w:val="00BD31AB"/>
    <w:rsid w:val="00BD33BB"/>
    <w:rsid w:val="00BD394C"/>
    <w:rsid w:val="00BD43CB"/>
    <w:rsid w:val="00BD5A28"/>
    <w:rsid w:val="00BD67CE"/>
    <w:rsid w:val="00BD7E36"/>
    <w:rsid w:val="00BD7FAF"/>
    <w:rsid w:val="00BE0692"/>
    <w:rsid w:val="00BE1000"/>
    <w:rsid w:val="00BE1CE0"/>
    <w:rsid w:val="00BE210D"/>
    <w:rsid w:val="00BE3283"/>
    <w:rsid w:val="00BE4CB9"/>
    <w:rsid w:val="00BE4F72"/>
    <w:rsid w:val="00BE4F94"/>
    <w:rsid w:val="00BE579B"/>
    <w:rsid w:val="00BE5D6E"/>
    <w:rsid w:val="00BE6BA0"/>
    <w:rsid w:val="00BE6BC2"/>
    <w:rsid w:val="00BE77BD"/>
    <w:rsid w:val="00BF0E28"/>
    <w:rsid w:val="00BF1107"/>
    <w:rsid w:val="00BF1348"/>
    <w:rsid w:val="00BF13B4"/>
    <w:rsid w:val="00BF1460"/>
    <w:rsid w:val="00BF18DA"/>
    <w:rsid w:val="00BF211F"/>
    <w:rsid w:val="00BF2ED3"/>
    <w:rsid w:val="00BF368A"/>
    <w:rsid w:val="00BF3ED5"/>
    <w:rsid w:val="00BF5873"/>
    <w:rsid w:val="00C00D01"/>
    <w:rsid w:val="00C01B49"/>
    <w:rsid w:val="00C022CE"/>
    <w:rsid w:val="00C025EB"/>
    <w:rsid w:val="00C03CC8"/>
    <w:rsid w:val="00C04C60"/>
    <w:rsid w:val="00C051D8"/>
    <w:rsid w:val="00C060C4"/>
    <w:rsid w:val="00C07333"/>
    <w:rsid w:val="00C10268"/>
    <w:rsid w:val="00C10862"/>
    <w:rsid w:val="00C1177C"/>
    <w:rsid w:val="00C11AA8"/>
    <w:rsid w:val="00C11C29"/>
    <w:rsid w:val="00C135CE"/>
    <w:rsid w:val="00C14970"/>
    <w:rsid w:val="00C14B27"/>
    <w:rsid w:val="00C15C5D"/>
    <w:rsid w:val="00C166F2"/>
    <w:rsid w:val="00C167BB"/>
    <w:rsid w:val="00C16B86"/>
    <w:rsid w:val="00C174C0"/>
    <w:rsid w:val="00C17C8E"/>
    <w:rsid w:val="00C17F2F"/>
    <w:rsid w:val="00C20D18"/>
    <w:rsid w:val="00C2210D"/>
    <w:rsid w:val="00C225E4"/>
    <w:rsid w:val="00C24B88"/>
    <w:rsid w:val="00C25C3C"/>
    <w:rsid w:val="00C2659E"/>
    <w:rsid w:val="00C2671E"/>
    <w:rsid w:val="00C26AAE"/>
    <w:rsid w:val="00C2785B"/>
    <w:rsid w:val="00C27BAF"/>
    <w:rsid w:val="00C30E08"/>
    <w:rsid w:val="00C31EC2"/>
    <w:rsid w:val="00C33EA6"/>
    <w:rsid w:val="00C34014"/>
    <w:rsid w:val="00C3451E"/>
    <w:rsid w:val="00C35034"/>
    <w:rsid w:val="00C36177"/>
    <w:rsid w:val="00C36B25"/>
    <w:rsid w:val="00C375F3"/>
    <w:rsid w:val="00C419CF"/>
    <w:rsid w:val="00C42983"/>
    <w:rsid w:val="00C43FBB"/>
    <w:rsid w:val="00C44F93"/>
    <w:rsid w:val="00C45195"/>
    <w:rsid w:val="00C45332"/>
    <w:rsid w:val="00C45798"/>
    <w:rsid w:val="00C45A9A"/>
    <w:rsid w:val="00C45C1D"/>
    <w:rsid w:val="00C46D6C"/>
    <w:rsid w:val="00C472FB"/>
    <w:rsid w:val="00C47346"/>
    <w:rsid w:val="00C502BC"/>
    <w:rsid w:val="00C502E0"/>
    <w:rsid w:val="00C5262B"/>
    <w:rsid w:val="00C5299E"/>
    <w:rsid w:val="00C53B12"/>
    <w:rsid w:val="00C557D8"/>
    <w:rsid w:val="00C55A60"/>
    <w:rsid w:val="00C576BC"/>
    <w:rsid w:val="00C57990"/>
    <w:rsid w:val="00C60164"/>
    <w:rsid w:val="00C60174"/>
    <w:rsid w:val="00C618B1"/>
    <w:rsid w:val="00C62B01"/>
    <w:rsid w:val="00C63C13"/>
    <w:rsid w:val="00C64020"/>
    <w:rsid w:val="00C640AE"/>
    <w:rsid w:val="00C642A6"/>
    <w:rsid w:val="00C64F6E"/>
    <w:rsid w:val="00C673DF"/>
    <w:rsid w:val="00C67D94"/>
    <w:rsid w:val="00C67DE8"/>
    <w:rsid w:val="00C67FF9"/>
    <w:rsid w:val="00C70966"/>
    <w:rsid w:val="00C70AA7"/>
    <w:rsid w:val="00C71286"/>
    <w:rsid w:val="00C71BA3"/>
    <w:rsid w:val="00C71F1D"/>
    <w:rsid w:val="00C742B4"/>
    <w:rsid w:val="00C74C84"/>
    <w:rsid w:val="00C75160"/>
    <w:rsid w:val="00C759BC"/>
    <w:rsid w:val="00C81AD2"/>
    <w:rsid w:val="00C830E2"/>
    <w:rsid w:val="00C83BF4"/>
    <w:rsid w:val="00C83E66"/>
    <w:rsid w:val="00C84820"/>
    <w:rsid w:val="00C84918"/>
    <w:rsid w:val="00C85142"/>
    <w:rsid w:val="00C85CE3"/>
    <w:rsid w:val="00C86F24"/>
    <w:rsid w:val="00C91012"/>
    <w:rsid w:val="00C910A4"/>
    <w:rsid w:val="00C91E59"/>
    <w:rsid w:val="00C91FA1"/>
    <w:rsid w:val="00C932B9"/>
    <w:rsid w:val="00C93667"/>
    <w:rsid w:val="00C93723"/>
    <w:rsid w:val="00C94D0B"/>
    <w:rsid w:val="00C9688E"/>
    <w:rsid w:val="00C97D7F"/>
    <w:rsid w:val="00C97F25"/>
    <w:rsid w:val="00CA0752"/>
    <w:rsid w:val="00CA0A83"/>
    <w:rsid w:val="00CA0BA6"/>
    <w:rsid w:val="00CA19F8"/>
    <w:rsid w:val="00CA37F0"/>
    <w:rsid w:val="00CA41E4"/>
    <w:rsid w:val="00CA5076"/>
    <w:rsid w:val="00CA6856"/>
    <w:rsid w:val="00CA7074"/>
    <w:rsid w:val="00CB0A09"/>
    <w:rsid w:val="00CB0BA7"/>
    <w:rsid w:val="00CB2CFF"/>
    <w:rsid w:val="00CB33DB"/>
    <w:rsid w:val="00CB39AF"/>
    <w:rsid w:val="00CB545F"/>
    <w:rsid w:val="00CB5FFF"/>
    <w:rsid w:val="00CB64EE"/>
    <w:rsid w:val="00CB6B60"/>
    <w:rsid w:val="00CB6C26"/>
    <w:rsid w:val="00CB6D79"/>
    <w:rsid w:val="00CB6E17"/>
    <w:rsid w:val="00CC1043"/>
    <w:rsid w:val="00CC5740"/>
    <w:rsid w:val="00CC7F36"/>
    <w:rsid w:val="00CD142F"/>
    <w:rsid w:val="00CD281A"/>
    <w:rsid w:val="00CD28AC"/>
    <w:rsid w:val="00CD3E5C"/>
    <w:rsid w:val="00CD5A29"/>
    <w:rsid w:val="00CD5E4C"/>
    <w:rsid w:val="00CD7297"/>
    <w:rsid w:val="00CD7AF7"/>
    <w:rsid w:val="00CD7BC0"/>
    <w:rsid w:val="00CE0AF2"/>
    <w:rsid w:val="00CE0F6C"/>
    <w:rsid w:val="00CE124A"/>
    <w:rsid w:val="00CE1544"/>
    <w:rsid w:val="00CE1E9E"/>
    <w:rsid w:val="00CE2DE3"/>
    <w:rsid w:val="00CE2DF4"/>
    <w:rsid w:val="00CE4AB8"/>
    <w:rsid w:val="00CE502F"/>
    <w:rsid w:val="00CE55CA"/>
    <w:rsid w:val="00CE5F45"/>
    <w:rsid w:val="00CE7173"/>
    <w:rsid w:val="00CE7740"/>
    <w:rsid w:val="00CE7B39"/>
    <w:rsid w:val="00CE7C42"/>
    <w:rsid w:val="00CF05B9"/>
    <w:rsid w:val="00CF0FEA"/>
    <w:rsid w:val="00CF1FC6"/>
    <w:rsid w:val="00CF2B56"/>
    <w:rsid w:val="00CF32BC"/>
    <w:rsid w:val="00CF40C4"/>
    <w:rsid w:val="00CF6FC1"/>
    <w:rsid w:val="00CF7144"/>
    <w:rsid w:val="00D000E2"/>
    <w:rsid w:val="00D0049A"/>
    <w:rsid w:val="00D00A68"/>
    <w:rsid w:val="00D01396"/>
    <w:rsid w:val="00D013AC"/>
    <w:rsid w:val="00D04623"/>
    <w:rsid w:val="00D04FAE"/>
    <w:rsid w:val="00D05EAA"/>
    <w:rsid w:val="00D0649D"/>
    <w:rsid w:val="00D10E05"/>
    <w:rsid w:val="00D144DD"/>
    <w:rsid w:val="00D145D3"/>
    <w:rsid w:val="00D14A15"/>
    <w:rsid w:val="00D14AA0"/>
    <w:rsid w:val="00D15EE6"/>
    <w:rsid w:val="00D16F97"/>
    <w:rsid w:val="00D175AA"/>
    <w:rsid w:val="00D2139A"/>
    <w:rsid w:val="00D21537"/>
    <w:rsid w:val="00D2452E"/>
    <w:rsid w:val="00D25367"/>
    <w:rsid w:val="00D26431"/>
    <w:rsid w:val="00D26E0D"/>
    <w:rsid w:val="00D279FD"/>
    <w:rsid w:val="00D3018D"/>
    <w:rsid w:val="00D30847"/>
    <w:rsid w:val="00D30E64"/>
    <w:rsid w:val="00D32403"/>
    <w:rsid w:val="00D32A6D"/>
    <w:rsid w:val="00D32F89"/>
    <w:rsid w:val="00D33399"/>
    <w:rsid w:val="00D36329"/>
    <w:rsid w:val="00D3676F"/>
    <w:rsid w:val="00D411F6"/>
    <w:rsid w:val="00D4120D"/>
    <w:rsid w:val="00D42528"/>
    <w:rsid w:val="00D42743"/>
    <w:rsid w:val="00D42E51"/>
    <w:rsid w:val="00D45428"/>
    <w:rsid w:val="00D45CB1"/>
    <w:rsid w:val="00D4719C"/>
    <w:rsid w:val="00D47668"/>
    <w:rsid w:val="00D50A1E"/>
    <w:rsid w:val="00D5303C"/>
    <w:rsid w:val="00D532B7"/>
    <w:rsid w:val="00D53B29"/>
    <w:rsid w:val="00D54E15"/>
    <w:rsid w:val="00D563FE"/>
    <w:rsid w:val="00D60E81"/>
    <w:rsid w:val="00D613A8"/>
    <w:rsid w:val="00D629D0"/>
    <w:rsid w:val="00D63F14"/>
    <w:rsid w:val="00D64115"/>
    <w:rsid w:val="00D64EF8"/>
    <w:rsid w:val="00D652D0"/>
    <w:rsid w:val="00D6545E"/>
    <w:rsid w:val="00D66374"/>
    <w:rsid w:val="00D66DDE"/>
    <w:rsid w:val="00D67AD0"/>
    <w:rsid w:val="00D67B41"/>
    <w:rsid w:val="00D7143B"/>
    <w:rsid w:val="00D71473"/>
    <w:rsid w:val="00D73439"/>
    <w:rsid w:val="00D74B18"/>
    <w:rsid w:val="00D75EDA"/>
    <w:rsid w:val="00D76505"/>
    <w:rsid w:val="00D801F3"/>
    <w:rsid w:val="00D81A52"/>
    <w:rsid w:val="00D81A70"/>
    <w:rsid w:val="00D82494"/>
    <w:rsid w:val="00D827AC"/>
    <w:rsid w:val="00D8328C"/>
    <w:rsid w:val="00D833B3"/>
    <w:rsid w:val="00D839A9"/>
    <w:rsid w:val="00D83A79"/>
    <w:rsid w:val="00D83AA8"/>
    <w:rsid w:val="00D83DFC"/>
    <w:rsid w:val="00D847E0"/>
    <w:rsid w:val="00D849B1"/>
    <w:rsid w:val="00D86847"/>
    <w:rsid w:val="00D914B6"/>
    <w:rsid w:val="00D91B99"/>
    <w:rsid w:val="00D937EE"/>
    <w:rsid w:val="00D9410D"/>
    <w:rsid w:val="00D94E20"/>
    <w:rsid w:val="00D956C3"/>
    <w:rsid w:val="00D9587C"/>
    <w:rsid w:val="00DA34C9"/>
    <w:rsid w:val="00DA3B69"/>
    <w:rsid w:val="00DA5A86"/>
    <w:rsid w:val="00DB0A35"/>
    <w:rsid w:val="00DB0B2A"/>
    <w:rsid w:val="00DB20E1"/>
    <w:rsid w:val="00DB245C"/>
    <w:rsid w:val="00DB2C0A"/>
    <w:rsid w:val="00DB2FC7"/>
    <w:rsid w:val="00DB3260"/>
    <w:rsid w:val="00DB46BB"/>
    <w:rsid w:val="00DB4712"/>
    <w:rsid w:val="00DB5E51"/>
    <w:rsid w:val="00DB5FEF"/>
    <w:rsid w:val="00DC10FF"/>
    <w:rsid w:val="00DC12F5"/>
    <w:rsid w:val="00DC16A0"/>
    <w:rsid w:val="00DC244C"/>
    <w:rsid w:val="00DC2B9E"/>
    <w:rsid w:val="00DC30FD"/>
    <w:rsid w:val="00DC3267"/>
    <w:rsid w:val="00DC32B5"/>
    <w:rsid w:val="00DC36BF"/>
    <w:rsid w:val="00DC39F6"/>
    <w:rsid w:val="00DC3ADF"/>
    <w:rsid w:val="00DC3D58"/>
    <w:rsid w:val="00DC5D75"/>
    <w:rsid w:val="00DC6161"/>
    <w:rsid w:val="00DC61E5"/>
    <w:rsid w:val="00DC637E"/>
    <w:rsid w:val="00DC69CA"/>
    <w:rsid w:val="00DD1BBC"/>
    <w:rsid w:val="00DD20CD"/>
    <w:rsid w:val="00DD2EC7"/>
    <w:rsid w:val="00DD3484"/>
    <w:rsid w:val="00DD3623"/>
    <w:rsid w:val="00DD3815"/>
    <w:rsid w:val="00DD55D4"/>
    <w:rsid w:val="00DD57C6"/>
    <w:rsid w:val="00DD5A05"/>
    <w:rsid w:val="00DD62D1"/>
    <w:rsid w:val="00DD678E"/>
    <w:rsid w:val="00DE0C26"/>
    <w:rsid w:val="00DE336E"/>
    <w:rsid w:val="00DE5065"/>
    <w:rsid w:val="00DE53AB"/>
    <w:rsid w:val="00DE5E35"/>
    <w:rsid w:val="00DE6A98"/>
    <w:rsid w:val="00DE709F"/>
    <w:rsid w:val="00DE7154"/>
    <w:rsid w:val="00DE74D4"/>
    <w:rsid w:val="00DE7526"/>
    <w:rsid w:val="00DE7D8F"/>
    <w:rsid w:val="00DE7FA5"/>
    <w:rsid w:val="00DF0BA7"/>
    <w:rsid w:val="00DF0C16"/>
    <w:rsid w:val="00DF185F"/>
    <w:rsid w:val="00DF2197"/>
    <w:rsid w:val="00DF2987"/>
    <w:rsid w:val="00DF3C0C"/>
    <w:rsid w:val="00DF4048"/>
    <w:rsid w:val="00DF4073"/>
    <w:rsid w:val="00DF51C1"/>
    <w:rsid w:val="00DF6C91"/>
    <w:rsid w:val="00DF6ED4"/>
    <w:rsid w:val="00DF6F7F"/>
    <w:rsid w:val="00DF7303"/>
    <w:rsid w:val="00E00980"/>
    <w:rsid w:val="00E0316C"/>
    <w:rsid w:val="00E035AC"/>
    <w:rsid w:val="00E03B1A"/>
    <w:rsid w:val="00E0472A"/>
    <w:rsid w:val="00E04A71"/>
    <w:rsid w:val="00E04B56"/>
    <w:rsid w:val="00E059A9"/>
    <w:rsid w:val="00E06BA5"/>
    <w:rsid w:val="00E07291"/>
    <w:rsid w:val="00E1079E"/>
    <w:rsid w:val="00E11591"/>
    <w:rsid w:val="00E12AF2"/>
    <w:rsid w:val="00E13B43"/>
    <w:rsid w:val="00E156AD"/>
    <w:rsid w:val="00E167D9"/>
    <w:rsid w:val="00E17781"/>
    <w:rsid w:val="00E17D6D"/>
    <w:rsid w:val="00E2092F"/>
    <w:rsid w:val="00E20D65"/>
    <w:rsid w:val="00E21453"/>
    <w:rsid w:val="00E215BC"/>
    <w:rsid w:val="00E21CCF"/>
    <w:rsid w:val="00E225D3"/>
    <w:rsid w:val="00E22978"/>
    <w:rsid w:val="00E22F6C"/>
    <w:rsid w:val="00E23B9E"/>
    <w:rsid w:val="00E254B7"/>
    <w:rsid w:val="00E256EE"/>
    <w:rsid w:val="00E2662D"/>
    <w:rsid w:val="00E27189"/>
    <w:rsid w:val="00E27AE0"/>
    <w:rsid w:val="00E3130A"/>
    <w:rsid w:val="00E31665"/>
    <w:rsid w:val="00E31FAA"/>
    <w:rsid w:val="00E32BC1"/>
    <w:rsid w:val="00E3318E"/>
    <w:rsid w:val="00E3413F"/>
    <w:rsid w:val="00E343D0"/>
    <w:rsid w:val="00E345CE"/>
    <w:rsid w:val="00E351AA"/>
    <w:rsid w:val="00E3596A"/>
    <w:rsid w:val="00E37050"/>
    <w:rsid w:val="00E3750A"/>
    <w:rsid w:val="00E37D83"/>
    <w:rsid w:val="00E41ED2"/>
    <w:rsid w:val="00E42C72"/>
    <w:rsid w:val="00E43615"/>
    <w:rsid w:val="00E44303"/>
    <w:rsid w:val="00E4444B"/>
    <w:rsid w:val="00E461B1"/>
    <w:rsid w:val="00E4644A"/>
    <w:rsid w:val="00E46A16"/>
    <w:rsid w:val="00E4705B"/>
    <w:rsid w:val="00E47071"/>
    <w:rsid w:val="00E47AF4"/>
    <w:rsid w:val="00E5098B"/>
    <w:rsid w:val="00E51EDD"/>
    <w:rsid w:val="00E53393"/>
    <w:rsid w:val="00E57EF2"/>
    <w:rsid w:val="00E6089F"/>
    <w:rsid w:val="00E6110F"/>
    <w:rsid w:val="00E62783"/>
    <w:rsid w:val="00E62F90"/>
    <w:rsid w:val="00E6324F"/>
    <w:rsid w:val="00E634B2"/>
    <w:rsid w:val="00E64B54"/>
    <w:rsid w:val="00E65412"/>
    <w:rsid w:val="00E669F2"/>
    <w:rsid w:val="00E676EB"/>
    <w:rsid w:val="00E677E6"/>
    <w:rsid w:val="00E700B9"/>
    <w:rsid w:val="00E70BF6"/>
    <w:rsid w:val="00E72EA7"/>
    <w:rsid w:val="00E74A27"/>
    <w:rsid w:val="00E778E2"/>
    <w:rsid w:val="00E77C3C"/>
    <w:rsid w:val="00E80284"/>
    <w:rsid w:val="00E80D15"/>
    <w:rsid w:val="00E82232"/>
    <w:rsid w:val="00E838F4"/>
    <w:rsid w:val="00E83911"/>
    <w:rsid w:val="00E83C20"/>
    <w:rsid w:val="00E84CD0"/>
    <w:rsid w:val="00E85148"/>
    <w:rsid w:val="00E86147"/>
    <w:rsid w:val="00E86FCA"/>
    <w:rsid w:val="00E87853"/>
    <w:rsid w:val="00E91268"/>
    <w:rsid w:val="00E917C2"/>
    <w:rsid w:val="00E91A55"/>
    <w:rsid w:val="00E91F45"/>
    <w:rsid w:val="00E924AD"/>
    <w:rsid w:val="00E935CF"/>
    <w:rsid w:val="00E935D2"/>
    <w:rsid w:val="00E93DCC"/>
    <w:rsid w:val="00E94E7F"/>
    <w:rsid w:val="00E955FC"/>
    <w:rsid w:val="00E95EE5"/>
    <w:rsid w:val="00E971C8"/>
    <w:rsid w:val="00E9784D"/>
    <w:rsid w:val="00E97E20"/>
    <w:rsid w:val="00EA02D4"/>
    <w:rsid w:val="00EA0EC7"/>
    <w:rsid w:val="00EA1198"/>
    <w:rsid w:val="00EA2380"/>
    <w:rsid w:val="00EA2E6F"/>
    <w:rsid w:val="00EA3C71"/>
    <w:rsid w:val="00EA4DEC"/>
    <w:rsid w:val="00EA6450"/>
    <w:rsid w:val="00EA6895"/>
    <w:rsid w:val="00EB1186"/>
    <w:rsid w:val="00EB301D"/>
    <w:rsid w:val="00EB4278"/>
    <w:rsid w:val="00EB6589"/>
    <w:rsid w:val="00EB65DB"/>
    <w:rsid w:val="00EB74C8"/>
    <w:rsid w:val="00EC011C"/>
    <w:rsid w:val="00EC04BB"/>
    <w:rsid w:val="00EC072E"/>
    <w:rsid w:val="00EC3065"/>
    <w:rsid w:val="00EC396C"/>
    <w:rsid w:val="00EC4886"/>
    <w:rsid w:val="00EC5032"/>
    <w:rsid w:val="00EC5559"/>
    <w:rsid w:val="00EC5DD8"/>
    <w:rsid w:val="00EC60D2"/>
    <w:rsid w:val="00EC69B4"/>
    <w:rsid w:val="00EC6BA7"/>
    <w:rsid w:val="00EC7294"/>
    <w:rsid w:val="00EC7BE5"/>
    <w:rsid w:val="00ED0A76"/>
    <w:rsid w:val="00ED0C77"/>
    <w:rsid w:val="00ED1634"/>
    <w:rsid w:val="00ED29D8"/>
    <w:rsid w:val="00ED2D5D"/>
    <w:rsid w:val="00ED4954"/>
    <w:rsid w:val="00ED4DB3"/>
    <w:rsid w:val="00ED53C7"/>
    <w:rsid w:val="00ED5883"/>
    <w:rsid w:val="00ED6567"/>
    <w:rsid w:val="00ED68BD"/>
    <w:rsid w:val="00ED7EE9"/>
    <w:rsid w:val="00EE1116"/>
    <w:rsid w:val="00EE1E1C"/>
    <w:rsid w:val="00EE1FAA"/>
    <w:rsid w:val="00EE4E65"/>
    <w:rsid w:val="00EE5A7A"/>
    <w:rsid w:val="00EE5FB7"/>
    <w:rsid w:val="00EE7A4D"/>
    <w:rsid w:val="00EE7F06"/>
    <w:rsid w:val="00EF14C9"/>
    <w:rsid w:val="00EF2752"/>
    <w:rsid w:val="00EF2AC4"/>
    <w:rsid w:val="00EF3206"/>
    <w:rsid w:val="00EF36B9"/>
    <w:rsid w:val="00EF3FBF"/>
    <w:rsid w:val="00EF5E2A"/>
    <w:rsid w:val="00EF6688"/>
    <w:rsid w:val="00EF6D4B"/>
    <w:rsid w:val="00EF7030"/>
    <w:rsid w:val="00EF7622"/>
    <w:rsid w:val="00EF797B"/>
    <w:rsid w:val="00F003C9"/>
    <w:rsid w:val="00F004A4"/>
    <w:rsid w:val="00F00A2D"/>
    <w:rsid w:val="00F01E25"/>
    <w:rsid w:val="00F021AF"/>
    <w:rsid w:val="00F03CB9"/>
    <w:rsid w:val="00F040E9"/>
    <w:rsid w:val="00F043C3"/>
    <w:rsid w:val="00F04564"/>
    <w:rsid w:val="00F0462E"/>
    <w:rsid w:val="00F05292"/>
    <w:rsid w:val="00F0585F"/>
    <w:rsid w:val="00F06074"/>
    <w:rsid w:val="00F06A35"/>
    <w:rsid w:val="00F06C0B"/>
    <w:rsid w:val="00F0751F"/>
    <w:rsid w:val="00F077AE"/>
    <w:rsid w:val="00F113BE"/>
    <w:rsid w:val="00F13CA8"/>
    <w:rsid w:val="00F16C64"/>
    <w:rsid w:val="00F20E44"/>
    <w:rsid w:val="00F2206E"/>
    <w:rsid w:val="00F228F0"/>
    <w:rsid w:val="00F2397B"/>
    <w:rsid w:val="00F24076"/>
    <w:rsid w:val="00F241AB"/>
    <w:rsid w:val="00F24C3A"/>
    <w:rsid w:val="00F2551C"/>
    <w:rsid w:val="00F255BD"/>
    <w:rsid w:val="00F26056"/>
    <w:rsid w:val="00F26F49"/>
    <w:rsid w:val="00F26FC5"/>
    <w:rsid w:val="00F30D4F"/>
    <w:rsid w:val="00F31729"/>
    <w:rsid w:val="00F3251E"/>
    <w:rsid w:val="00F32886"/>
    <w:rsid w:val="00F3340A"/>
    <w:rsid w:val="00F33DBC"/>
    <w:rsid w:val="00F34365"/>
    <w:rsid w:val="00F3545A"/>
    <w:rsid w:val="00F36337"/>
    <w:rsid w:val="00F368A1"/>
    <w:rsid w:val="00F36B90"/>
    <w:rsid w:val="00F40EEA"/>
    <w:rsid w:val="00F42080"/>
    <w:rsid w:val="00F44028"/>
    <w:rsid w:val="00F44A9F"/>
    <w:rsid w:val="00F44E52"/>
    <w:rsid w:val="00F45A74"/>
    <w:rsid w:val="00F4681C"/>
    <w:rsid w:val="00F46E0B"/>
    <w:rsid w:val="00F50612"/>
    <w:rsid w:val="00F50C2B"/>
    <w:rsid w:val="00F514A8"/>
    <w:rsid w:val="00F517CA"/>
    <w:rsid w:val="00F51E6B"/>
    <w:rsid w:val="00F52DC3"/>
    <w:rsid w:val="00F53052"/>
    <w:rsid w:val="00F53989"/>
    <w:rsid w:val="00F55519"/>
    <w:rsid w:val="00F55BEE"/>
    <w:rsid w:val="00F5636B"/>
    <w:rsid w:val="00F569A0"/>
    <w:rsid w:val="00F56E6C"/>
    <w:rsid w:val="00F6171F"/>
    <w:rsid w:val="00F62301"/>
    <w:rsid w:val="00F6351B"/>
    <w:rsid w:val="00F63843"/>
    <w:rsid w:val="00F63E96"/>
    <w:rsid w:val="00F647F5"/>
    <w:rsid w:val="00F649FF"/>
    <w:rsid w:val="00F65FE6"/>
    <w:rsid w:val="00F66DF5"/>
    <w:rsid w:val="00F700C4"/>
    <w:rsid w:val="00F701AD"/>
    <w:rsid w:val="00F7037E"/>
    <w:rsid w:val="00F7334C"/>
    <w:rsid w:val="00F74469"/>
    <w:rsid w:val="00F75FBE"/>
    <w:rsid w:val="00F768CA"/>
    <w:rsid w:val="00F769D0"/>
    <w:rsid w:val="00F777F4"/>
    <w:rsid w:val="00F826DE"/>
    <w:rsid w:val="00F83C8F"/>
    <w:rsid w:val="00F85C64"/>
    <w:rsid w:val="00F86BB2"/>
    <w:rsid w:val="00F86EDD"/>
    <w:rsid w:val="00F87FA1"/>
    <w:rsid w:val="00F90378"/>
    <w:rsid w:val="00F944C4"/>
    <w:rsid w:val="00F94837"/>
    <w:rsid w:val="00F94AEF"/>
    <w:rsid w:val="00F973F0"/>
    <w:rsid w:val="00FA0128"/>
    <w:rsid w:val="00FA0745"/>
    <w:rsid w:val="00FA10C2"/>
    <w:rsid w:val="00FA2C24"/>
    <w:rsid w:val="00FA40D0"/>
    <w:rsid w:val="00FA4334"/>
    <w:rsid w:val="00FA5134"/>
    <w:rsid w:val="00FA5CF1"/>
    <w:rsid w:val="00FA602C"/>
    <w:rsid w:val="00FA6922"/>
    <w:rsid w:val="00FA7078"/>
    <w:rsid w:val="00FA7C4B"/>
    <w:rsid w:val="00FA7FFC"/>
    <w:rsid w:val="00FB0213"/>
    <w:rsid w:val="00FB02B0"/>
    <w:rsid w:val="00FB1BB5"/>
    <w:rsid w:val="00FB3237"/>
    <w:rsid w:val="00FB4F90"/>
    <w:rsid w:val="00FB5DF5"/>
    <w:rsid w:val="00FB6C92"/>
    <w:rsid w:val="00FB7CC0"/>
    <w:rsid w:val="00FC206B"/>
    <w:rsid w:val="00FC2A8C"/>
    <w:rsid w:val="00FC2E5C"/>
    <w:rsid w:val="00FC313E"/>
    <w:rsid w:val="00FC3AB5"/>
    <w:rsid w:val="00FC425B"/>
    <w:rsid w:val="00FC5027"/>
    <w:rsid w:val="00FC63A0"/>
    <w:rsid w:val="00FC69BB"/>
    <w:rsid w:val="00FC75A1"/>
    <w:rsid w:val="00FD1416"/>
    <w:rsid w:val="00FD1F37"/>
    <w:rsid w:val="00FD28C9"/>
    <w:rsid w:val="00FD328D"/>
    <w:rsid w:val="00FD3690"/>
    <w:rsid w:val="00FD3DDC"/>
    <w:rsid w:val="00FD485A"/>
    <w:rsid w:val="00FD4DCF"/>
    <w:rsid w:val="00FD4DDE"/>
    <w:rsid w:val="00FD69EE"/>
    <w:rsid w:val="00FD6E80"/>
    <w:rsid w:val="00FE0625"/>
    <w:rsid w:val="00FE17EA"/>
    <w:rsid w:val="00FE344D"/>
    <w:rsid w:val="00FE41CE"/>
    <w:rsid w:val="00FE718B"/>
    <w:rsid w:val="00FE718E"/>
    <w:rsid w:val="00FE7E4E"/>
    <w:rsid w:val="00FF018C"/>
    <w:rsid w:val="00FF03E7"/>
    <w:rsid w:val="00FF079C"/>
    <w:rsid w:val="00FF0ECD"/>
    <w:rsid w:val="00FF1EE0"/>
    <w:rsid w:val="00FF202C"/>
    <w:rsid w:val="00FF28E1"/>
    <w:rsid w:val="00FF3865"/>
    <w:rsid w:val="00FF3D1E"/>
    <w:rsid w:val="00FF40DD"/>
    <w:rsid w:val="00FF4948"/>
    <w:rsid w:val="00FF50AD"/>
    <w:rsid w:val="00FF5F7F"/>
    <w:rsid w:val="00FF6D99"/>
    <w:rsid w:val="00FF6FA5"/>
    <w:rsid w:val="00FF78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BC3AA"/>
  <w15:docId w15:val="{BAF85C5D-87D0-438D-8B67-1EF31BA6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4BB"/>
    <w:pPr>
      <w:spacing w:after="200" w:line="276" w:lineRule="auto"/>
    </w:pPr>
    <w:rPr>
      <w:sz w:val="22"/>
      <w:szCs w:val="22"/>
      <w:lang w:val="mk-MK"/>
    </w:rPr>
  </w:style>
  <w:style w:type="paragraph" w:styleId="Heading1">
    <w:name w:val="heading 1"/>
    <w:aliases w:val="1"/>
    <w:basedOn w:val="Normal"/>
    <w:next w:val="Normal"/>
    <w:link w:val="Heading1Char"/>
    <w:qFormat/>
    <w:rsid w:val="00577E52"/>
    <w:pPr>
      <w:keepNext/>
      <w:spacing w:before="240" w:after="60"/>
      <w:outlineLvl w:val="0"/>
    </w:pPr>
    <w:rPr>
      <w:rFonts w:ascii="Calibri Light" w:eastAsia="Times New Roman" w:hAnsi="Calibri Light"/>
      <w:b/>
      <w:bCs/>
      <w:kern w:val="32"/>
      <w:sz w:val="32"/>
      <w:szCs w:val="32"/>
    </w:rPr>
  </w:style>
  <w:style w:type="paragraph" w:styleId="Heading2">
    <w:name w:val="heading 2"/>
    <w:aliases w:val="Text"/>
    <w:basedOn w:val="Normal"/>
    <w:next w:val="Normal"/>
    <w:link w:val="Heading2Char"/>
    <w:qFormat/>
    <w:rsid w:val="00BB2181"/>
    <w:pPr>
      <w:keepNext/>
      <w:keepLines/>
      <w:pageBreakBefore/>
      <w:spacing w:after="120" w:line="264" w:lineRule="auto"/>
      <w:jc w:val="both"/>
      <w:outlineLvl w:val="1"/>
    </w:pPr>
    <w:rPr>
      <w:rFonts w:eastAsia="MS PGothic"/>
      <w:b/>
      <w:bCs/>
      <w:color w:val="CD0000"/>
      <w:sz w:val="32"/>
      <w:szCs w:val="26"/>
      <w:lang w:val="sl-SI" w:eastAsia="zh-CN"/>
    </w:rPr>
  </w:style>
  <w:style w:type="paragraph" w:styleId="Heading3">
    <w:name w:val="heading 3"/>
    <w:aliases w:val="(text)"/>
    <w:basedOn w:val="Normal"/>
    <w:next w:val="Normal"/>
    <w:link w:val="Heading3Char"/>
    <w:qFormat/>
    <w:rsid w:val="00BB2181"/>
    <w:pPr>
      <w:keepNext/>
      <w:keepLines/>
      <w:spacing w:before="600" w:after="120" w:line="264" w:lineRule="auto"/>
      <w:ind w:left="1100" w:hanging="1100"/>
      <w:jc w:val="both"/>
      <w:outlineLvl w:val="2"/>
    </w:pPr>
    <w:rPr>
      <w:rFonts w:eastAsia="MS PGothic"/>
      <w:b/>
      <w:bCs/>
      <w:iCs/>
      <w:color w:val="CD0000"/>
      <w:sz w:val="28"/>
      <w:szCs w:val="20"/>
      <w:lang w:val="sl-SI" w:eastAsia="zh-CN"/>
    </w:rPr>
  </w:style>
  <w:style w:type="paragraph" w:styleId="Heading4">
    <w:name w:val="heading 4"/>
    <w:basedOn w:val="Normal"/>
    <w:next w:val="Normal"/>
    <w:link w:val="Heading4Char"/>
    <w:qFormat/>
    <w:rsid w:val="00BB2181"/>
    <w:pPr>
      <w:keepNext/>
      <w:keepLines/>
      <w:spacing w:before="160" w:after="60" w:line="264" w:lineRule="auto"/>
      <w:jc w:val="both"/>
      <w:outlineLvl w:val="3"/>
    </w:pPr>
    <w:rPr>
      <w:rFonts w:eastAsia="MS PGothic"/>
      <w:b/>
      <w:bCs/>
      <w:i/>
      <w:iCs/>
      <w:color w:val="4F81BD"/>
      <w:sz w:val="21"/>
      <w:szCs w:val="21"/>
      <w:lang w:val="en-GB" w:eastAsia="zh-CN"/>
    </w:rPr>
  </w:style>
  <w:style w:type="paragraph" w:styleId="Heading5">
    <w:name w:val="heading 5"/>
    <w:basedOn w:val="Normal"/>
    <w:next w:val="Normal"/>
    <w:link w:val="Heading5Char"/>
    <w:uiPriority w:val="9"/>
    <w:unhideWhenUsed/>
    <w:qFormat/>
    <w:rsid w:val="00B126C5"/>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getavstnd1">
    <w:name w:val="Inget avstånd1"/>
    <w:link w:val="IngetavstndChar"/>
    <w:rsid w:val="009B7E58"/>
    <w:rPr>
      <w:rFonts w:eastAsia="MS PGothic"/>
      <w:sz w:val="22"/>
      <w:szCs w:val="22"/>
      <w:lang w:eastAsia="zh-CN"/>
    </w:rPr>
  </w:style>
  <w:style w:type="character" w:customStyle="1" w:styleId="IngetavstndChar">
    <w:name w:val="Inget avstånd Char"/>
    <w:link w:val="Ingetavstnd1"/>
    <w:locked/>
    <w:rsid w:val="009B7E58"/>
    <w:rPr>
      <w:rFonts w:eastAsia="MS PGothic"/>
      <w:sz w:val="22"/>
      <w:szCs w:val="22"/>
      <w:lang w:val="en-US" w:eastAsia="zh-CN" w:bidi="ar-SA"/>
    </w:rPr>
  </w:style>
  <w:style w:type="character" w:customStyle="1" w:styleId="Heading2Char">
    <w:name w:val="Heading 2 Char"/>
    <w:aliases w:val="Text Char"/>
    <w:link w:val="Heading2"/>
    <w:rsid w:val="00BB2181"/>
    <w:rPr>
      <w:rFonts w:eastAsia="MS PGothic"/>
      <w:b/>
      <w:bCs/>
      <w:color w:val="CD0000"/>
      <w:sz w:val="32"/>
      <w:szCs w:val="26"/>
      <w:lang w:val="sl-SI" w:eastAsia="zh-CN"/>
    </w:rPr>
  </w:style>
  <w:style w:type="character" w:customStyle="1" w:styleId="Heading3Char">
    <w:name w:val="Heading 3 Char"/>
    <w:aliases w:val="(text) Char"/>
    <w:link w:val="Heading3"/>
    <w:rsid w:val="00BB2181"/>
    <w:rPr>
      <w:rFonts w:eastAsia="MS PGothic"/>
      <w:b/>
      <w:bCs/>
      <w:iCs/>
      <w:color w:val="CD0000"/>
      <w:sz w:val="28"/>
      <w:lang w:val="sl-SI" w:eastAsia="zh-CN"/>
    </w:rPr>
  </w:style>
  <w:style w:type="character" w:customStyle="1" w:styleId="Heading4Char">
    <w:name w:val="Heading 4 Char"/>
    <w:link w:val="Heading4"/>
    <w:rsid w:val="00BB2181"/>
    <w:rPr>
      <w:rFonts w:eastAsia="MS PGothic"/>
      <w:b/>
      <w:bCs/>
      <w:i/>
      <w:iCs/>
      <w:color w:val="4F81BD"/>
      <w:sz w:val="21"/>
      <w:szCs w:val="21"/>
      <w:lang w:val="en-GB" w:eastAsia="zh-CN"/>
    </w:rPr>
  </w:style>
  <w:style w:type="paragraph" w:customStyle="1" w:styleId="NormalPFM1">
    <w:name w:val="Normal PFM 1"/>
    <w:basedOn w:val="Normal"/>
    <w:link w:val="NormalPFM1Char"/>
    <w:rsid w:val="00BB2181"/>
    <w:pPr>
      <w:spacing w:before="80" w:after="80" w:line="252" w:lineRule="auto"/>
      <w:jc w:val="both"/>
    </w:pPr>
    <w:rPr>
      <w:rFonts w:eastAsia="MS PGothic"/>
      <w:sz w:val="21"/>
      <w:szCs w:val="21"/>
      <w:lang w:val="en-GB" w:eastAsia="zh-CN"/>
    </w:rPr>
  </w:style>
  <w:style w:type="character" w:customStyle="1" w:styleId="NormalPFM1Char">
    <w:name w:val="Normal PFM 1 Char"/>
    <w:link w:val="NormalPFM1"/>
    <w:rsid w:val="00BB2181"/>
    <w:rPr>
      <w:rFonts w:eastAsia="MS PGothic"/>
      <w:sz w:val="21"/>
      <w:szCs w:val="21"/>
      <w:lang w:val="en-GB" w:eastAsia="zh-CN"/>
    </w:rPr>
  </w:style>
  <w:style w:type="paragraph" w:customStyle="1" w:styleId="normalPFMIoutcomes">
    <w:name w:val="normal PFM I) outcomes"/>
    <w:basedOn w:val="NormalPFM1"/>
    <w:rsid w:val="00BB2181"/>
    <w:pPr>
      <w:spacing w:before="0" w:after="0"/>
      <w:ind w:left="1540" w:hanging="463"/>
    </w:pPr>
  </w:style>
  <w:style w:type="paragraph" w:styleId="ListParagraph">
    <w:name w:val="List Paragraph"/>
    <w:aliases w:val="Normal numbere,Table of contents numbered,List Paragraph in table,List Paragraph1,Recommendation,List Paragraph11,Bullet point,NFP GP Bulleted List,L,bullet point list,1 heading,Bulleted Para,Bullet points,Content descriptions,lp1,Bullets"/>
    <w:basedOn w:val="Normal"/>
    <w:link w:val="ListParagraphChar"/>
    <w:uiPriority w:val="34"/>
    <w:qFormat/>
    <w:rsid w:val="00BB2181"/>
    <w:pPr>
      <w:spacing w:after="120" w:line="264" w:lineRule="auto"/>
      <w:ind w:left="720"/>
      <w:contextualSpacing/>
      <w:jc w:val="both"/>
    </w:pPr>
    <w:rPr>
      <w:rFonts w:eastAsia="MS PGothic"/>
      <w:lang w:val="en-GB" w:eastAsia="zh-CN"/>
    </w:rPr>
  </w:style>
  <w:style w:type="character" w:styleId="CommentReference">
    <w:name w:val="annotation reference"/>
    <w:uiPriority w:val="99"/>
    <w:semiHidden/>
    <w:unhideWhenUsed/>
    <w:rsid w:val="00BB2181"/>
    <w:rPr>
      <w:sz w:val="16"/>
      <w:szCs w:val="16"/>
    </w:rPr>
  </w:style>
  <w:style w:type="paragraph" w:styleId="CommentText">
    <w:name w:val="annotation text"/>
    <w:basedOn w:val="Normal"/>
    <w:link w:val="CommentTextChar"/>
    <w:uiPriority w:val="99"/>
    <w:unhideWhenUsed/>
    <w:rsid w:val="00BB2181"/>
    <w:pPr>
      <w:spacing w:after="120" w:line="240" w:lineRule="auto"/>
      <w:jc w:val="both"/>
    </w:pPr>
    <w:rPr>
      <w:rFonts w:eastAsia="MS PGothic"/>
      <w:sz w:val="20"/>
      <w:szCs w:val="20"/>
      <w:lang w:val="en-GB" w:eastAsia="zh-CN"/>
    </w:rPr>
  </w:style>
  <w:style w:type="character" w:customStyle="1" w:styleId="CommentTextChar">
    <w:name w:val="Comment Text Char"/>
    <w:link w:val="CommentText"/>
    <w:uiPriority w:val="99"/>
    <w:rsid w:val="00BB2181"/>
    <w:rPr>
      <w:rFonts w:eastAsia="MS PGothic"/>
      <w:lang w:val="en-GB" w:eastAsia="zh-CN"/>
    </w:rPr>
  </w:style>
  <w:style w:type="paragraph" w:styleId="BalloonText">
    <w:name w:val="Balloon Text"/>
    <w:basedOn w:val="Normal"/>
    <w:link w:val="BalloonTextChar"/>
    <w:uiPriority w:val="99"/>
    <w:semiHidden/>
    <w:unhideWhenUsed/>
    <w:rsid w:val="00BB218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B2181"/>
    <w:rPr>
      <w:rFonts w:ascii="Tahoma" w:hAnsi="Tahoma" w:cs="Tahoma"/>
      <w:sz w:val="16"/>
      <w:szCs w:val="16"/>
      <w:lang w:eastAsia="en-US"/>
    </w:rPr>
  </w:style>
  <w:style w:type="paragraph" w:customStyle="1" w:styleId="Default">
    <w:name w:val="Default"/>
    <w:rsid w:val="00D74B18"/>
    <w:pPr>
      <w:autoSpaceDE w:val="0"/>
      <w:autoSpaceDN w:val="0"/>
      <w:adjustRightInd w:val="0"/>
    </w:pPr>
    <w:rPr>
      <w:rFonts w:cs="Calibri"/>
      <w:color w:val="000000"/>
      <w:sz w:val="24"/>
      <w:szCs w:val="24"/>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
    <w:uiPriority w:val="99"/>
    <w:qFormat/>
    <w:locked/>
    <w:rsid w:val="00D74B18"/>
    <w:rPr>
      <w:rFonts w:eastAsia="MS PGothic"/>
      <w:sz w:val="22"/>
      <w:szCs w:val="22"/>
      <w:lang w:val="en-GB" w:eastAsia="zh-CN"/>
    </w:rPr>
  </w:style>
  <w:style w:type="paragraph" w:styleId="ListBullet">
    <w:name w:val="List Bullet"/>
    <w:basedOn w:val="Normal"/>
    <w:autoRedefine/>
    <w:rsid w:val="00D74B18"/>
    <w:pPr>
      <w:spacing w:after="0" w:line="240" w:lineRule="auto"/>
      <w:jc w:val="both"/>
    </w:pPr>
    <w:rPr>
      <w:rFonts w:ascii="Tahoma" w:eastAsia="Times New Roman" w:hAnsi="Tahoma"/>
      <w:snapToGrid w:val="0"/>
      <w:sz w:val="24"/>
      <w:szCs w:val="24"/>
      <w:lang w:val="en-GB"/>
    </w:rPr>
  </w:style>
  <w:style w:type="paragraph" w:styleId="NoSpacing">
    <w:name w:val="No Spacing"/>
    <w:uiPriority w:val="1"/>
    <w:qFormat/>
    <w:rsid w:val="00D74B18"/>
    <w:pPr>
      <w:jc w:val="both"/>
    </w:pPr>
    <w:rPr>
      <w:rFonts w:eastAsia="MS PGothic"/>
      <w:sz w:val="22"/>
      <w:szCs w:val="22"/>
      <w:lang w:val="en-GB" w:eastAsia="zh-CN"/>
    </w:rPr>
  </w:style>
  <w:style w:type="paragraph" w:customStyle="1" w:styleId="normalPFMintend">
    <w:name w:val="normal PFM intend"/>
    <w:basedOn w:val="Normal"/>
    <w:link w:val="normalPFMintendChar"/>
    <w:rsid w:val="008D75D3"/>
    <w:pPr>
      <w:spacing w:before="20" w:after="20" w:line="252" w:lineRule="auto"/>
      <w:ind w:left="992"/>
      <w:jc w:val="both"/>
    </w:pPr>
    <w:rPr>
      <w:rFonts w:eastAsia="MS PGothic"/>
      <w:bCs/>
      <w:sz w:val="20"/>
      <w:szCs w:val="20"/>
      <w:lang w:val="en-GB" w:eastAsia="zh-CN"/>
    </w:rPr>
  </w:style>
  <w:style w:type="character" w:customStyle="1" w:styleId="normalPFMintendChar">
    <w:name w:val="normal PFM intend Char"/>
    <w:link w:val="normalPFMintend"/>
    <w:rsid w:val="008D75D3"/>
    <w:rPr>
      <w:rFonts w:eastAsia="MS PGothic"/>
      <w:bCs/>
      <w:lang w:val="en-GB" w:eastAsia="zh-CN"/>
    </w:rPr>
  </w:style>
  <w:style w:type="paragraph" w:styleId="BodyTextIndent">
    <w:name w:val="Body Text Indent"/>
    <w:basedOn w:val="Normal"/>
    <w:link w:val="BodyTextIndentChar"/>
    <w:rsid w:val="008D75D3"/>
    <w:pPr>
      <w:suppressAutoHyphens/>
      <w:spacing w:after="0" w:line="240" w:lineRule="auto"/>
      <w:ind w:firstLine="540"/>
      <w:jc w:val="both"/>
    </w:pPr>
    <w:rPr>
      <w:rFonts w:ascii="Macedonian Tms" w:eastAsia="Times New Roman" w:hAnsi="Macedonian Tms"/>
      <w:sz w:val="24"/>
      <w:szCs w:val="20"/>
      <w:lang w:val="en-US" w:eastAsia="ar-SA"/>
    </w:rPr>
  </w:style>
  <w:style w:type="character" w:customStyle="1" w:styleId="BodyTextIndentChar">
    <w:name w:val="Body Text Indent Char"/>
    <w:link w:val="BodyTextIndent"/>
    <w:rsid w:val="008D75D3"/>
    <w:rPr>
      <w:rFonts w:ascii="Macedonian Tms" w:eastAsia="Times New Roman" w:hAnsi="Macedonian Tms"/>
      <w:sz w:val="24"/>
      <w:lang w:val="en-US" w:eastAsia="ar-SA"/>
    </w:rPr>
  </w:style>
  <w:style w:type="paragraph" w:styleId="BodyText">
    <w:name w:val="Body Text"/>
    <w:basedOn w:val="Normal"/>
    <w:link w:val="BodyTextChar"/>
    <w:uiPriority w:val="99"/>
    <w:unhideWhenUsed/>
    <w:rsid w:val="008D75D3"/>
    <w:pPr>
      <w:spacing w:after="120" w:line="264" w:lineRule="auto"/>
      <w:jc w:val="both"/>
    </w:pPr>
    <w:rPr>
      <w:rFonts w:eastAsia="MS PGothic"/>
      <w:lang w:val="en-GB" w:eastAsia="zh-CN"/>
    </w:rPr>
  </w:style>
  <w:style w:type="character" w:customStyle="1" w:styleId="BodyTextChar">
    <w:name w:val="Body Text Char"/>
    <w:link w:val="BodyText"/>
    <w:uiPriority w:val="99"/>
    <w:rsid w:val="008D75D3"/>
    <w:rPr>
      <w:rFonts w:eastAsia="MS PGothic"/>
      <w:sz w:val="22"/>
      <w:szCs w:val="22"/>
      <w:lang w:val="en-GB" w:eastAsia="zh-CN"/>
    </w:rPr>
  </w:style>
  <w:style w:type="paragraph" w:styleId="HTMLPreformatted">
    <w:name w:val="HTML Preformatted"/>
    <w:basedOn w:val="Normal"/>
    <w:link w:val="HTMLPreformattedChar"/>
    <w:uiPriority w:val="99"/>
    <w:unhideWhenUsed/>
    <w:rsid w:val="009E1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GB" w:eastAsia="en-GB"/>
    </w:rPr>
  </w:style>
  <w:style w:type="character" w:customStyle="1" w:styleId="HTMLPreformattedChar">
    <w:name w:val="HTML Preformatted Char"/>
    <w:link w:val="HTMLPreformatted"/>
    <w:uiPriority w:val="99"/>
    <w:rsid w:val="009E1317"/>
    <w:rPr>
      <w:rFonts w:ascii="Courier New" w:eastAsia="Times New Roman" w:hAnsi="Courier New" w:cs="Courier New"/>
      <w:lang w:val="en-GB" w:eastAsia="en-GB"/>
    </w:rPr>
  </w:style>
  <w:style w:type="character" w:customStyle="1" w:styleId="y2iqfc">
    <w:name w:val="y2iqfc"/>
    <w:basedOn w:val="DefaultParagraphFont"/>
    <w:rsid w:val="009E1317"/>
  </w:style>
  <w:style w:type="character" w:customStyle="1" w:styleId="jlqj4b">
    <w:name w:val="jlqj4b"/>
    <w:basedOn w:val="DefaultParagraphFont"/>
    <w:rsid w:val="009E1317"/>
  </w:style>
  <w:style w:type="character" w:customStyle="1" w:styleId="markedcontent">
    <w:name w:val="markedcontent"/>
    <w:basedOn w:val="DefaultParagraphFont"/>
    <w:rsid w:val="009E1317"/>
  </w:style>
  <w:style w:type="paragraph" w:styleId="Header">
    <w:name w:val="header"/>
    <w:basedOn w:val="Normal"/>
    <w:link w:val="HeaderChar"/>
    <w:uiPriority w:val="99"/>
    <w:unhideWhenUsed/>
    <w:rsid w:val="00EC7BE5"/>
    <w:pPr>
      <w:tabs>
        <w:tab w:val="center" w:pos="4513"/>
        <w:tab w:val="right" w:pos="9026"/>
      </w:tabs>
    </w:pPr>
  </w:style>
  <w:style w:type="character" w:customStyle="1" w:styleId="HeaderChar">
    <w:name w:val="Header Char"/>
    <w:link w:val="Header"/>
    <w:uiPriority w:val="99"/>
    <w:rsid w:val="00EC7BE5"/>
    <w:rPr>
      <w:sz w:val="22"/>
      <w:szCs w:val="22"/>
      <w:lang w:eastAsia="en-US"/>
    </w:rPr>
  </w:style>
  <w:style w:type="paragraph" w:styleId="Footer">
    <w:name w:val="footer"/>
    <w:basedOn w:val="Normal"/>
    <w:link w:val="FooterChar"/>
    <w:uiPriority w:val="99"/>
    <w:unhideWhenUsed/>
    <w:rsid w:val="00EC7BE5"/>
    <w:pPr>
      <w:tabs>
        <w:tab w:val="center" w:pos="4513"/>
        <w:tab w:val="right" w:pos="9026"/>
      </w:tabs>
    </w:pPr>
  </w:style>
  <w:style w:type="character" w:customStyle="1" w:styleId="FooterChar">
    <w:name w:val="Footer Char"/>
    <w:link w:val="Footer"/>
    <w:uiPriority w:val="99"/>
    <w:rsid w:val="00EC7BE5"/>
    <w:rPr>
      <w:sz w:val="22"/>
      <w:szCs w:val="22"/>
      <w:lang w:eastAsia="en-US"/>
    </w:rPr>
  </w:style>
  <w:style w:type="character" w:customStyle="1" w:styleId="Heading1Char">
    <w:name w:val="Heading 1 Char"/>
    <w:aliases w:val="1 Char"/>
    <w:link w:val="Heading1"/>
    <w:rsid w:val="00577E52"/>
    <w:rPr>
      <w:rFonts w:ascii="Calibri Light" w:eastAsia="Times New Roman" w:hAnsi="Calibri Light" w:cs="Times New Roman"/>
      <w:b/>
      <w:bCs/>
      <w:kern w:val="32"/>
      <w:sz w:val="32"/>
      <w:szCs w:val="32"/>
      <w:lang w:eastAsia="en-US"/>
    </w:rPr>
  </w:style>
  <w:style w:type="paragraph" w:styleId="TOCHeading">
    <w:name w:val="TOC Heading"/>
    <w:basedOn w:val="Heading1"/>
    <w:next w:val="Normal"/>
    <w:uiPriority w:val="39"/>
    <w:qFormat/>
    <w:rsid w:val="00577E52"/>
    <w:pPr>
      <w:keepLines/>
      <w:pageBreakBefore/>
      <w:spacing w:before="0" w:after="0" w:line="264" w:lineRule="auto"/>
      <w:ind w:left="1870" w:hanging="1870"/>
      <w:outlineLvl w:val="9"/>
    </w:pPr>
    <w:rPr>
      <w:rFonts w:ascii="Cambria" w:eastAsia="MS PGothic" w:hAnsi="Cambria"/>
      <w:color w:val="CD0000"/>
      <w:kern w:val="0"/>
      <w:sz w:val="28"/>
      <w:szCs w:val="28"/>
      <w:lang w:val="sl-SI"/>
    </w:rPr>
  </w:style>
  <w:style w:type="paragraph" w:styleId="FootnoteText">
    <w:name w:val="footnote text"/>
    <w:aliases w:val="single space,Fußnote,Footnote,WB-Fußnotentext,WB-Fußnotentext Char Char,Fußnotentext Char,FOOTNOTES,fn,Geneva 9,Font: Geneva 9,Boston 10,f,Footnote Text Char Char Char,Footnote Text Char Char,DTE-Voetnoottekst,Char Char Ch,ADB,ADB Char,tex"/>
    <w:basedOn w:val="Normal"/>
    <w:link w:val="FootnoteTextChar"/>
    <w:uiPriority w:val="99"/>
    <w:unhideWhenUsed/>
    <w:qFormat/>
    <w:rsid w:val="005533C9"/>
    <w:rPr>
      <w:sz w:val="20"/>
      <w:szCs w:val="20"/>
    </w:rPr>
  </w:style>
  <w:style w:type="character" w:customStyle="1" w:styleId="FootnoteTextChar">
    <w:name w:val="Footnote Text Char"/>
    <w:aliases w:val="single space Char,Fußnote Char,Footnote Char,WB-Fußnotentext Char,WB-Fußnotentext Char Char Char,Fußnotentext Char Char,FOOTNOTES Char,fn Char,Geneva 9 Char,Font: Geneva 9 Char,Boston 10 Char,f Char,Footnote Text Char Char Char Char"/>
    <w:link w:val="FootnoteText"/>
    <w:uiPriority w:val="99"/>
    <w:qFormat/>
    <w:rsid w:val="005533C9"/>
    <w:rPr>
      <w:lang w:eastAsia="en-US"/>
    </w:rPr>
  </w:style>
  <w:style w:type="character" w:styleId="FootnoteReference">
    <w:name w:val="footnote reference"/>
    <w:aliases w:val="ftref,Char Char,BVI fnr,Footnote symbol,Footnote reference number,note TESI, BVI fnr,Error-Fußnotenzeichen5,Error-Fußnotenzeichen6,Error-Fußnotenzeichen3,Footnote Reference1,Error-Fu?notenzeichen5,Error-Fu?notenzeichen6,Ref,16 Point,R"/>
    <w:link w:val="BVIfnrChar1CharCharChar"/>
    <w:qFormat/>
    <w:rsid w:val="005533C9"/>
    <w:rPr>
      <w:vertAlign w:val="superscript"/>
    </w:rPr>
  </w:style>
  <w:style w:type="character" w:styleId="Hyperlink">
    <w:name w:val="Hyperlink"/>
    <w:uiPriority w:val="99"/>
    <w:rsid w:val="005533C9"/>
    <w:rPr>
      <w:color w:val="0000FF"/>
      <w:u w:val="single"/>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rsid w:val="005533C9"/>
    <w:pPr>
      <w:spacing w:before="120" w:after="160" w:line="240" w:lineRule="exact"/>
      <w:jc w:val="both"/>
    </w:pPr>
    <w:rPr>
      <w:sz w:val="20"/>
      <w:szCs w:val="20"/>
      <w:vertAlign w:val="superscript"/>
    </w:rPr>
  </w:style>
  <w:style w:type="paragraph" w:customStyle="1" w:styleId="Normal1">
    <w:name w:val="Normal1"/>
    <w:rsid w:val="00197411"/>
    <w:pPr>
      <w:spacing w:after="200" w:line="276" w:lineRule="auto"/>
    </w:pPr>
    <w:rPr>
      <w:rFonts w:cs="Calibri"/>
      <w:sz w:val="22"/>
      <w:szCs w:val="22"/>
      <w:lang w:val="en-GB" w:eastAsia="mk-MK"/>
    </w:rPr>
  </w:style>
  <w:style w:type="paragraph" w:styleId="NormalWeb">
    <w:name w:val="Normal (Web)"/>
    <w:basedOn w:val="Normal"/>
    <w:uiPriority w:val="99"/>
    <w:qFormat/>
    <w:rsid w:val="0026555B"/>
    <w:pPr>
      <w:suppressAutoHyphens/>
      <w:spacing w:before="280" w:after="280" w:line="100" w:lineRule="atLeast"/>
    </w:pPr>
    <w:rPr>
      <w:rFonts w:ascii="Times New Roman" w:eastAsia="Times New Roman" w:hAnsi="Times New Roman"/>
      <w:color w:val="00000A"/>
      <w:sz w:val="24"/>
      <w:szCs w:val="24"/>
      <w:lang w:val="en-GB" w:eastAsia="zh-CN"/>
    </w:rPr>
  </w:style>
  <w:style w:type="paragraph" w:customStyle="1" w:styleId="norm">
    <w:name w:val="norm"/>
    <w:basedOn w:val="Normal"/>
    <w:rsid w:val="001D7F21"/>
    <w:pPr>
      <w:tabs>
        <w:tab w:val="left" w:pos="851"/>
        <w:tab w:val="right" w:pos="9356"/>
      </w:tabs>
      <w:spacing w:before="60" w:after="60" w:line="360" w:lineRule="atLeast"/>
      <w:jc w:val="both"/>
    </w:pPr>
    <w:rPr>
      <w:rFonts w:ascii="Times New Roman" w:eastAsia="Times New Roman" w:hAnsi="Times New Roman" w:cs="Sendnya"/>
      <w:lang w:val="en-GB" w:eastAsia="en-GB"/>
    </w:rPr>
  </w:style>
  <w:style w:type="paragraph" w:styleId="Caption">
    <w:name w:val="caption"/>
    <w:aliases w:val="Titles,Caption Char,Titles Char,Table title,Figure Head,Caption Char2,Caption Char1 Char,Caption Char Char Char1,Caption Char Char1,Caption Char Char Char Char,Caption Char Char Char,Caption1 Char,Caption1,Table,LVT Table Heading,WB Caption"/>
    <w:basedOn w:val="Normal"/>
    <w:next w:val="Normal"/>
    <w:link w:val="CaptionChar1"/>
    <w:qFormat/>
    <w:rsid w:val="005F2CFF"/>
    <w:pPr>
      <w:tabs>
        <w:tab w:val="left" w:pos="850"/>
        <w:tab w:val="left" w:pos="1191"/>
        <w:tab w:val="left" w:pos="1531"/>
      </w:tabs>
      <w:spacing w:before="120" w:after="120" w:line="240" w:lineRule="auto"/>
      <w:jc w:val="both"/>
    </w:pPr>
    <w:rPr>
      <w:rFonts w:ascii="Times New Roman" w:eastAsia="Times New Roman" w:hAnsi="Times New Roman"/>
      <w:b/>
      <w:bCs/>
      <w:sz w:val="20"/>
      <w:szCs w:val="20"/>
      <w:lang w:val="en-GB" w:eastAsia="zh-CN"/>
    </w:rPr>
  </w:style>
  <w:style w:type="character" w:customStyle="1" w:styleId="CaptionChar1">
    <w:name w:val="Caption Char1"/>
    <w:aliases w:val="Titles Char1,Caption Char Char,Titles Char Char,Table title Char,Figure Head Char,Caption Char2 Char,Caption Char1 Char Char,Caption Char Char Char1 Char,Caption Char Char1 Char,Caption Char Char Char Char Char,Caption Char Char Char Char1"/>
    <w:link w:val="Caption"/>
    <w:rsid w:val="005F2CFF"/>
    <w:rPr>
      <w:rFonts w:ascii="Times New Roman" w:eastAsia="Times New Roman" w:hAnsi="Times New Roman"/>
      <w:b/>
      <w:bCs/>
      <w:lang w:val="en-GB" w:eastAsia="zh-CN"/>
    </w:rPr>
  </w:style>
  <w:style w:type="paragraph" w:customStyle="1" w:styleId="normalPFM-bullet">
    <w:name w:val="normal PFM -bullet"/>
    <w:basedOn w:val="NormalPFM1"/>
    <w:rsid w:val="005F2CFF"/>
    <w:pPr>
      <w:numPr>
        <w:numId w:val="3"/>
      </w:numPr>
      <w:tabs>
        <w:tab w:val="clear" w:pos="720"/>
        <w:tab w:val="num" w:pos="360"/>
      </w:tabs>
      <w:spacing w:before="20" w:after="20"/>
      <w:ind w:left="0" w:firstLine="0"/>
    </w:pPr>
    <w:rPr>
      <w:rFonts w:eastAsia="Times New Roman"/>
    </w:rPr>
  </w:style>
  <w:style w:type="character" w:customStyle="1" w:styleId="FootnoteCharacters">
    <w:name w:val="Footnote Characters"/>
    <w:rsid w:val="00CF2B56"/>
  </w:style>
  <w:style w:type="character" w:customStyle="1" w:styleId="Heading5Char">
    <w:name w:val="Heading 5 Char"/>
    <w:link w:val="Heading5"/>
    <w:uiPriority w:val="9"/>
    <w:rsid w:val="00B126C5"/>
    <w:rPr>
      <w:rFonts w:ascii="Calibri" w:eastAsia="Times New Roman" w:hAnsi="Calibri" w:cs="Times New Roman"/>
      <w:b/>
      <w:bCs/>
      <w:i/>
      <w:iCs/>
      <w:sz w:val="26"/>
      <w:szCs w:val="26"/>
      <w:lang w:eastAsia="en-US"/>
    </w:rPr>
  </w:style>
  <w:style w:type="paragraph" w:styleId="TOC3">
    <w:name w:val="toc 3"/>
    <w:basedOn w:val="Normal"/>
    <w:next w:val="Normal"/>
    <w:autoRedefine/>
    <w:uiPriority w:val="39"/>
    <w:unhideWhenUsed/>
    <w:rsid w:val="00E04B56"/>
    <w:pPr>
      <w:ind w:left="440"/>
    </w:pPr>
  </w:style>
  <w:style w:type="paragraph" w:styleId="TOC1">
    <w:name w:val="toc 1"/>
    <w:basedOn w:val="Normal"/>
    <w:next w:val="Normal"/>
    <w:autoRedefine/>
    <w:uiPriority w:val="39"/>
    <w:unhideWhenUsed/>
    <w:rsid w:val="00E04B56"/>
  </w:style>
  <w:style w:type="paragraph" w:styleId="TOC2">
    <w:name w:val="toc 2"/>
    <w:basedOn w:val="Normal"/>
    <w:next w:val="Normal"/>
    <w:autoRedefine/>
    <w:uiPriority w:val="39"/>
    <w:unhideWhenUsed/>
    <w:rsid w:val="00BF18DA"/>
    <w:pPr>
      <w:ind w:left="220"/>
    </w:pPr>
  </w:style>
  <w:style w:type="paragraph" w:styleId="CommentSubject">
    <w:name w:val="annotation subject"/>
    <w:basedOn w:val="CommentText"/>
    <w:next w:val="CommentText"/>
    <w:link w:val="CommentSubjectChar"/>
    <w:uiPriority w:val="99"/>
    <w:semiHidden/>
    <w:unhideWhenUsed/>
    <w:rsid w:val="00BD185B"/>
    <w:pPr>
      <w:spacing w:after="200" w:line="276" w:lineRule="auto"/>
      <w:jc w:val="left"/>
    </w:pPr>
    <w:rPr>
      <w:b/>
      <w:bCs/>
      <w:lang w:eastAsia="en-US"/>
    </w:rPr>
  </w:style>
  <w:style w:type="character" w:customStyle="1" w:styleId="CommentSubjectChar">
    <w:name w:val="Comment Subject Char"/>
    <w:link w:val="CommentSubject"/>
    <w:uiPriority w:val="99"/>
    <w:semiHidden/>
    <w:rsid w:val="00BD185B"/>
    <w:rPr>
      <w:rFonts w:eastAsia="MS PGothic"/>
      <w:b/>
      <w:bCs/>
      <w:lang w:val="en-GB" w:eastAsia="en-US"/>
    </w:rPr>
  </w:style>
  <w:style w:type="paragraph" w:customStyle="1" w:styleId="BVIfnrCharChar">
    <w:name w:val="BVI fnr Char Char"/>
    <w:aliases w:val="BVI fnr Car Car Char Char,BVI fnr Car Char Char,BVI fnr Car Car Car Car Char Char,BVI fnr Car Car Car Car Char Char Char1"/>
    <w:basedOn w:val="Normal"/>
    <w:uiPriority w:val="99"/>
    <w:rsid w:val="009C1870"/>
    <w:pPr>
      <w:spacing w:after="240" w:line="240" w:lineRule="exact"/>
      <w:jc w:val="both"/>
    </w:pPr>
    <w:rPr>
      <w:vertAlign w:val="superscript"/>
    </w:rPr>
  </w:style>
  <w:style w:type="character" w:customStyle="1" w:styleId="viiyi">
    <w:name w:val="viiyi"/>
    <w:rsid w:val="00B30165"/>
  </w:style>
  <w:style w:type="character" w:customStyle="1" w:styleId="tw4winMark">
    <w:name w:val="tw4winMark"/>
    <w:rsid w:val="00F53989"/>
    <w:rPr>
      <w:rFonts w:ascii="Courier New" w:hAnsi="Courier New" w:cs="Courier New"/>
      <w:b w:val="0"/>
      <w:i w:val="0"/>
      <w:dstrike w:val="0"/>
      <w:noProof/>
      <w:vanish/>
      <w:color w:val="800080"/>
      <w:spacing w:val="0"/>
      <w:kern w:val="30"/>
      <w:sz w:val="18"/>
      <w:szCs w:val="28"/>
      <w:effect w:val="none"/>
      <w:vertAlign w:val="subscript"/>
      <w:lang w:val="sl-SI" w:eastAsia="zh-CN"/>
    </w:rPr>
  </w:style>
  <w:style w:type="character" w:styleId="Emphasis">
    <w:name w:val="Emphasis"/>
    <w:uiPriority w:val="20"/>
    <w:qFormat/>
    <w:rsid w:val="00D14A15"/>
    <w:rPr>
      <w:i/>
      <w:iCs/>
    </w:rPr>
  </w:style>
  <w:style w:type="paragraph" w:customStyle="1" w:styleId="normalpfmioutcomes0">
    <w:name w:val="normalpfmioutcomes"/>
    <w:basedOn w:val="Normal"/>
    <w:rsid w:val="000523BE"/>
    <w:pPr>
      <w:spacing w:before="100" w:beforeAutospacing="1" w:after="100" w:afterAutospacing="1" w:line="240" w:lineRule="auto"/>
    </w:pPr>
    <w:rPr>
      <w:rFonts w:ascii="Times New Roman" w:eastAsia="Times New Roman" w:hAnsi="Times New Roman"/>
      <w:sz w:val="24"/>
      <w:szCs w:val="24"/>
      <w:lang w:eastAsia="mk-MK"/>
    </w:rPr>
  </w:style>
  <w:style w:type="numbering" w:customStyle="1" w:styleId="NoList1">
    <w:name w:val="No List1"/>
    <w:next w:val="NoList"/>
    <w:uiPriority w:val="99"/>
    <w:semiHidden/>
    <w:unhideWhenUsed/>
    <w:rsid w:val="00376718"/>
  </w:style>
  <w:style w:type="paragraph" w:styleId="Revision">
    <w:name w:val="Revision"/>
    <w:hidden/>
    <w:uiPriority w:val="99"/>
    <w:semiHidden/>
    <w:rsid w:val="00210F94"/>
    <w:rPr>
      <w:sz w:val="22"/>
      <w:szCs w:val="22"/>
      <w:lang w:val="mk-MK"/>
    </w:rPr>
  </w:style>
  <w:style w:type="table" w:styleId="TableGrid">
    <w:name w:val="Table Grid"/>
    <w:basedOn w:val="TableNormal"/>
    <w:uiPriority w:val="39"/>
    <w:rsid w:val="00DF4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B21FE"/>
  </w:style>
  <w:style w:type="table" w:customStyle="1" w:styleId="TableGrid1">
    <w:name w:val="Table Grid1"/>
    <w:basedOn w:val="TableNormal"/>
    <w:next w:val="TableGrid"/>
    <w:uiPriority w:val="59"/>
    <w:rsid w:val="009B21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AF4A39"/>
    <w:rPr>
      <w:color w:val="800080"/>
      <w:u w:val="single"/>
    </w:rPr>
  </w:style>
  <w:style w:type="paragraph" w:customStyle="1" w:styleId="font5">
    <w:name w:val="font5"/>
    <w:basedOn w:val="Normal"/>
    <w:rsid w:val="00AF4A39"/>
    <w:pPr>
      <w:spacing w:before="100" w:beforeAutospacing="1" w:after="100" w:afterAutospacing="1" w:line="240" w:lineRule="auto"/>
    </w:pPr>
    <w:rPr>
      <w:rFonts w:eastAsia="Times New Roman" w:cs="Calibri"/>
      <w:b/>
      <w:bCs/>
      <w:color w:val="FF0000"/>
      <w:sz w:val="20"/>
      <w:szCs w:val="20"/>
      <w:lang w:eastAsia="mk-MK"/>
    </w:rPr>
  </w:style>
  <w:style w:type="paragraph" w:customStyle="1" w:styleId="xl101">
    <w:name w:val="xl101"/>
    <w:basedOn w:val="Normal"/>
    <w:rsid w:val="00AF4A3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mk-MK"/>
    </w:rPr>
  </w:style>
  <w:style w:type="paragraph" w:customStyle="1" w:styleId="xl102">
    <w:name w:val="xl102"/>
    <w:basedOn w:val="Normal"/>
    <w:rsid w:val="00AF4A3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mk-MK"/>
    </w:rPr>
  </w:style>
  <w:style w:type="paragraph" w:customStyle="1" w:styleId="xl103">
    <w:name w:val="xl103"/>
    <w:basedOn w:val="Normal"/>
    <w:rsid w:val="00AF4A39"/>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mk-MK"/>
    </w:rPr>
  </w:style>
  <w:style w:type="paragraph" w:customStyle="1" w:styleId="xl104">
    <w:name w:val="xl104"/>
    <w:basedOn w:val="Normal"/>
    <w:rsid w:val="00AF4A3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mk-MK"/>
    </w:rPr>
  </w:style>
  <w:style w:type="paragraph" w:customStyle="1" w:styleId="xl105">
    <w:name w:val="xl105"/>
    <w:basedOn w:val="Normal"/>
    <w:rsid w:val="00AF4A3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mk-MK"/>
    </w:rPr>
  </w:style>
  <w:style w:type="paragraph" w:customStyle="1" w:styleId="xl106">
    <w:name w:val="xl106"/>
    <w:basedOn w:val="Normal"/>
    <w:rsid w:val="00AF4A3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mk-MK"/>
    </w:rPr>
  </w:style>
  <w:style w:type="paragraph" w:customStyle="1" w:styleId="xl107">
    <w:name w:val="xl107"/>
    <w:basedOn w:val="Normal"/>
    <w:rsid w:val="00AF4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mk-MK"/>
    </w:rPr>
  </w:style>
  <w:style w:type="paragraph" w:customStyle="1" w:styleId="xl108">
    <w:name w:val="xl108"/>
    <w:basedOn w:val="Normal"/>
    <w:rsid w:val="00AF4A39"/>
    <w:pPr>
      <w:spacing w:before="100" w:beforeAutospacing="1" w:after="100" w:afterAutospacing="1" w:line="240" w:lineRule="auto"/>
    </w:pPr>
    <w:rPr>
      <w:rFonts w:eastAsia="Times New Roman" w:cs="Calibri"/>
      <w:b/>
      <w:bCs/>
      <w:sz w:val="24"/>
      <w:szCs w:val="24"/>
      <w:lang w:eastAsia="mk-MK"/>
    </w:rPr>
  </w:style>
  <w:style w:type="paragraph" w:customStyle="1" w:styleId="xl109">
    <w:name w:val="xl109"/>
    <w:basedOn w:val="Normal"/>
    <w:rsid w:val="00AF4A39"/>
    <w:pPr>
      <w:spacing w:before="100" w:beforeAutospacing="1" w:after="100" w:afterAutospacing="1" w:line="240" w:lineRule="auto"/>
    </w:pPr>
    <w:rPr>
      <w:rFonts w:eastAsia="Times New Roman" w:cs="Calibri"/>
      <w:sz w:val="24"/>
      <w:szCs w:val="24"/>
      <w:lang w:eastAsia="mk-MK"/>
    </w:rPr>
  </w:style>
  <w:style w:type="paragraph" w:customStyle="1" w:styleId="xl110">
    <w:name w:val="xl110"/>
    <w:basedOn w:val="Normal"/>
    <w:rsid w:val="00AF4A39"/>
    <w:pPr>
      <w:shd w:val="clear" w:color="000000" w:fill="CCFFCC"/>
      <w:spacing w:before="100" w:beforeAutospacing="1" w:after="100" w:afterAutospacing="1" w:line="240" w:lineRule="auto"/>
      <w:jc w:val="center"/>
    </w:pPr>
    <w:rPr>
      <w:rFonts w:eastAsia="Times New Roman" w:cs="Calibri"/>
      <w:b/>
      <w:bCs/>
      <w:sz w:val="24"/>
      <w:szCs w:val="24"/>
      <w:lang w:eastAsia="mk-MK"/>
    </w:rPr>
  </w:style>
  <w:style w:type="paragraph" w:customStyle="1" w:styleId="xl111">
    <w:name w:val="xl111"/>
    <w:basedOn w:val="Normal"/>
    <w:rsid w:val="00AF4A3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eastAsia="Times New Roman" w:cs="Calibri"/>
      <w:b/>
      <w:bCs/>
      <w:sz w:val="24"/>
      <w:szCs w:val="24"/>
      <w:lang w:eastAsia="mk-MK"/>
    </w:rPr>
  </w:style>
  <w:style w:type="paragraph" w:customStyle="1" w:styleId="xl112">
    <w:name w:val="xl112"/>
    <w:basedOn w:val="Normal"/>
    <w:rsid w:val="00AF4A39"/>
    <w:pPr>
      <w:spacing w:before="100" w:beforeAutospacing="1" w:after="100" w:afterAutospacing="1" w:line="240" w:lineRule="auto"/>
    </w:pPr>
    <w:rPr>
      <w:rFonts w:eastAsia="Times New Roman" w:cs="Calibri"/>
      <w:sz w:val="24"/>
      <w:szCs w:val="24"/>
      <w:lang w:eastAsia="mk-MK"/>
    </w:rPr>
  </w:style>
  <w:style w:type="paragraph" w:customStyle="1" w:styleId="xl113">
    <w:name w:val="xl113"/>
    <w:basedOn w:val="Normal"/>
    <w:rsid w:val="00AF4A39"/>
    <w:pPr>
      <w:shd w:val="clear" w:color="000000" w:fill="00FF00"/>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14">
    <w:name w:val="xl114"/>
    <w:basedOn w:val="Normal"/>
    <w:rsid w:val="00AF4A39"/>
    <w:pPr>
      <w:shd w:val="clear" w:color="000000" w:fill="00FF00"/>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15">
    <w:name w:val="xl115"/>
    <w:basedOn w:val="Normal"/>
    <w:rsid w:val="00AF4A39"/>
    <w:pPr>
      <w:shd w:val="clear" w:color="000000" w:fill="00FF00"/>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16">
    <w:name w:val="xl116"/>
    <w:basedOn w:val="Normal"/>
    <w:rsid w:val="00AF4A39"/>
    <w:pPr>
      <w:shd w:val="clear" w:color="000000" w:fill="6FE7FF"/>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17">
    <w:name w:val="xl117"/>
    <w:basedOn w:val="Normal"/>
    <w:rsid w:val="00AF4A39"/>
    <w:pPr>
      <w:shd w:val="clear" w:color="000000" w:fill="6FE7FF"/>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18">
    <w:name w:val="xl118"/>
    <w:basedOn w:val="Normal"/>
    <w:rsid w:val="00AF4A39"/>
    <w:pPr>
      <w:pBdr>
        <w:bottom w:val="single" w:sz="4" w:space="0" w:color="auto"/>
      </w:pBdr>
      <w:shd w:val="clear" w:color="000000" w:fill="6FE7FF"/>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19">
    <w:name w:val="xl119"/>
    <w:basedOn w:val="Normal"/>
    <w:rsid w:val="00AF4A39"/>
    <w:pPr>
      <w:pBdr>
        <w:bottom w:val="single" w:sz="4" w:space="0" w:color="auto"/>
      </w:pBdr>
      <w:shd w:val="clear" w:color="000000" w:fill="6FE7FF"/>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20">
    <w:name w:val="xl120"/>
    <w:basedOn w:val="Normal"/>
    <w:rsid w:val="00AF4A39"/>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Calibri"/>
      <w:b/>
      <w:bCs/>
      <w:sz w:val="24"/>
      <w:szCs w:val="24"/>
      <w:lang w:eastAsia="mk-MK"/>
    </w:rPr>
  </w:style>
  <w:style w:type="paragraph" w:customStyle="1" w:styleId="xl121">
    <w:name w:val="xl121"/>
    <w:basedOn w:val="Normal"/>
    <w:rsid w:val="00AF4A39"/>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4"/>
      <w:szCs w:val="24"/>
      <w:lang w:eastAsia="mk-MK"/>
    </w:rPr>
  </w:style>
  <w:style w:type="paragraph" w:customStyle="1" w:styleId="xl122">
    <w:name w:val="xl122"/>
    <w:basedOn w:val="Normal"/>
    <w:rsid w:val="00AF4A39"/>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4"/>
      <w:szCs w:val="24"/>
      <w:lang w:eastAsia="mk-MK"/>
    </w:rPr>
  </w:style>
  <w:style w:type="paragraph" w:customStyle="1" w:styleId="xl123">
    <w:name w:val="xl123"/>
    <w:basedOn w:val="Normal"/>
    <w:rsid w:val="00AF4A39"/>
    <w:pPr>
      <w:pBdr>
        <w:top w:val="single" w:sz="4" w:space="0" w:color="auto"/>
        <w:bottom w:val="single" w:sz="4" w:space="0" w:color="auto"/>
      </w:pBdr>
      <w:shd w:val="clear" w:color="000000" w:fill="6FE7FF"/>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24">
    <w:name w:val="xl124"/>
    <w:basedOn w:val="Normal"/>
    <w:rsid w:val="00AF4A39"/>
    <w:pPr>
      <w:pBdr>
        <w:top w:val="single" w:sz="4" w:space="0" w:color="auto"/>
        <w:bottom w:val="single" w:sz="4" w:space="0" w:color="auto"/>
      </w:pBdr>
      <w:shd w:val="clear" w:color="000000" w:fill="6FE7FF"/>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25">
    <w:name w:val="xl125"/>
    <w:basedOn w:val="Normal"/>
    <w:rsid w:val="00AF4A39"/>
    <w:pPr>
      <w:pBdr>
        <w:bottom w:val="single" w:sz="4" w:space="0" w:color="auto"/>
      </w:pBdr>
      <w:shd w:val="clear" w:color="000000" w:fill="6FE7FF"/>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26">
    <w:name w:val="xl126"/>
    <w:basedOn w:val="Normal"/>
    <w:rsid w:val="00AF4A39"/>
    <w:pPr>
      <w:spacing w:before="100" w:beforeAutospacing="1" w:after="100" w:afterAutospacing="1" w:line="240" w:lineRule="auto"/>
    </w:pPr>
    <w:rPr>
      <w:rFonts w:eastAsia="Times New Roman" w:cs="Calibri"/>
      <w:b/>
      <w:bCs/>
      <w:sz w:val="24"/>
      <w:szCs w:val="24"/>
      <w:lang w:eastAsia="mk-MK"/>
    </w:rPr>
  </w:style>
  <w:style w:type="paragraph" w:customStyle="1" w:styleId="xl127">
    <w:name w:val="xl127"/>
    <w:basedOn w:val="Normal"/>
    <w:rsid w:val="00AF4A39"/>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Calibri"/>
      <w:b/>
      <w:bCs/>
      <w:sz w:val="24"/>
      <w:szCs w:val="24"/>
      <w:lang w:eastAsia="mk-MK"/>
    </w:rPr>
  </w:style>
  <w:style w:type="paragraph" w:customStyle="1" w:styleId="xl128">
    <w:name w:val="xl128"/>
    <w:basedOn w:val="Normal"/>
    <w:rsid w:val="00AF4A39"/>
    <w:pPr>
      <w:pBdr>
        <w:top w:val="single" w:sz="4" w:space="0" w:color="auto"/>
        <w:bottom w:val="single" w:sz="4" w:space="0" w:color="auto"/>
      </w:pBdr>
      <w:shd w:val="clear" w:color="000000" w:fill="6FE7FF"/>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29">
    <w:name w:val="xl129"/>
    <w:basedOn w:val="Normal"/>
    <w:rsid w:val="00AF4A39"/>
    <w:pPr>
      <w:pBdr>
        <w:top w:val="single" w:sz="4" w:space="0" w:color="auto"/>
      </w:pBdr>
      <w:shd w:val="clear" w:color="000000" w:fill="6FE7FF"/>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30">
    <w:name w:val="xl130"/>
    <w:basedOn w:val="Normal"/>
    <w:rsid w:val="00AF4A39"/>
    <w:pPr>
      <w:pBdr>
        <w:top w:val="single" w:sz="4" w:space="0" w:color="auto"/>
      </w:pBdr>
      <w:shd w:val="clear" w:color="000000" w:fill="6FE7FF"/>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31">
    <w:name w:val="xl131"/>
    <w:basedOn w:val="Normal"/>
    <w:rsid w:val="00AF4A39"/>
    <w:pPr>
      <w:pBdr>
        <w:top w:val="single" w:sz="4" w:space="0" w:color="auto"/>
      </w:pBdr>
      <w:shd w:val="clear" w:color="000000" w:fill="6FE7FF"/>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32">
    <w:name w:val="xl132"/>
    <w:basedOn w:val="Normal"/>
    <w:rsid w:val="00AF4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4"/>
      <w:szCs w:val="24"/>
      <w:lang w:eastAsia="mk-MK"/>
    </w:rPr>
  </w:style>
  <w:style w:type="paragraph" w:customStyle="1" w:styleId="xl133">
    <w:name w:val="xl133"/>
    <w:basedOn w:val="Normal"/>
    <w:rsid w:val="00AF4A39"/>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4"/>
      <w:szCs w:val="24"/>
      <w:lang w:eastAsia="mk-MK"/>
    </w:rPr>
  </w:style>
  <w:style w:type="paragraph" w:customStyle="1" w:styleId="xl134">
    <w:name w:val="xl134"/>
    <w:basedOn w:val="Normal"/>
    <w:rsid w:val="00AF4A39"/>
    <w:pPr>
      <w:pBdr>
        <w:bottom w:val="single" w:sz="4" w:space="0" w:color="auto"/>
        <w:right w:val="single" w:sz="4" w:space="0" w:color="auto"/>
      </w:pBdr>
      <w:spacing w:before="100" w:beforeAutospacing="1" w:after="100" w:afterAutospacing="1" w:line="240" w:lineRule="auto"/>
    </w:pPr>
    <w:rPr>
      <w:rFonts w:eastAsia="Times New Roman" w:cs="Calibri"/>
      <w:b/>
      <w:bCs/>
      <w:sz w:val="24"/>
      <w:szCs w:val="24"/>
      <w:lang w:eastAsia="mk-MK"/>
    </w:rPr>
  </w:style>
  <w:style w:type="paragraph" w:customStyle="1" w:styleId="xl135">
    <w:name w:val="xl135"/>
    <w:basedOn w:val="Normal"/>
    <w:rsid w:val="00AF4A39"/>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Calibri"/>
      <w:b/>
      <w:bCs/>
      <w:sz w:val="24"/>
      <w:szCs w:val="24"/>
      <w:lang w:eastAsia="mk-MK"/>
    </w:rPr>
  </w:style>
  <w:style w:type="paragraph" w:customStyle="1" w:styleId="xl136">
    <w:name w:val="xl136"/>
    <w:basedOn w:val="Normal"/>
    <w:rsid w:val="00AF4A39"/>
    <w:pPr>
      <w:pBdr>
        <w:top w:val="single" w:sz="4" w:space="0" w:color="auto"/>
      </w:pBdr>
      <w:shd w:val="clear" w:color="000000" w:fill="00FF00"/>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37">
    <w:name w:val="xl137"/>
    <w:basedOn w:val="Normal"/>
    <w:rsid w:val="00AF4A39"/>
    <w:pPr>
      <w:pBdr>
        <w:top w:val="single" w:sz="4" w:space="0" w:color="auto"/>
      </w:pBdr>
      <w:shd w:val="clear" w:color="000000" w:fill="00FF00"/>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38">
    <w:name w:val="xl138"/>
    <w:basedOn w:val="Normal"/>
    <w:rsid w:val="00AF4A39"/>
    <w:pPr>
      <w:pBdr>
        <w:top w:val="single" w:sz="4" w:space="0" w:color="auto"/>
      </w:pBdr>
      <w:shd w:val="clear" w:color="000000" w:fill="00FF00"/>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39">
    <w:name w:val="xl139"/>
    <w:basedOn w:val="Normal"/>
    <w:rsid w:val="00AF4A39"/>
    <w:pPr>
      <w:pBdr>
        <w:top w:val="single" w:sz="4" w:space="0" w:color="auto"/>
      </w:pBdr>
      <w:shd w:val="clear" w:color="000000" w:fill="00FF00"/>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40">
    <w:name w:val="xl140"/>
    <w:basedOn w:val="Normal"/>
    <w:rsid w:val="00AF4A39"/>
    <w:pPr>
      <w:pBdr>
        <w:right w:val="single" w:sz="4" w:space="0" w:color="auto"/>
      </w:pBdr>
      <w:spacing w:before="100" w:beforeAutospacing="1" w:after="100" w:afterAutospacing="1" w:line="240" w:lineRule="auto"/>
    </w:pPr>
    <w:rPr>
      <w:rFonts w:eastAsia="Times New Roman" w:cs="Calibri"/>
      <w:b/>
      <w:bCs/>
      <w:sz w:val="24"/>
      <w:szCs w:val="24"/>
      <w:lang w:eastAsia="mk-MK"/>
    </w:rPr>
  </w:style>
  <w:style w:type="paragraph" w:customStyle="1" w:styleId="xl141">
    <w:name w:val="xl141"/>
    <w:basedOn w:val="Normal"/>
    <w:rsid w:val="00AF4A39"/>
    <w:pPr>
      <w:pBdr>
        <w:top w:val="single" w:sz="4" w:space="0" w:color="auto"/>
        <w:bottom w:val="single" w:sz="4" w:space="0" w:color="auto"/>
      </w:pBdr>
      <w:spacing w:before="100" w:beforeAutospacing="1" w:after="100" w:afterAutospacing="1" w:line="240" w:lineRule="auto"/>
    </w:pPr>
    <w:rPr>
      <w:rFonts w:eastAsia="Times New Roman" w:cs="Calibri"/>
      <w:b/>
      <w:bCs/>
      <w:sz w:val="24"/>
      <w:szCs w:val="24"/>
      <w:lang w:eastAsia="mk-MK"/>
    </w:rPr>
  </w:style>
  <w:style w:type="paragraph" w:customStyle="1" w:styleId="xl142">
    <w:name w:val="xl142"/>
    <w:basedOn w:val="Normal"/>
    <w:rsid w:val="00AF4A39"/>
    <w:pPr>
      <w:shd w:val="clear" w:color="000000" w:fill="00FF00"/>
      <w:spacing w:before="100" w:beforeAutospacing="1" w:after="100" w:afterAutospacing="1" w:line="240" w:lineRule="auto"/>
    </w:pPr>
    <w:rPr>
      <w:rFonts w:eastAsia="Times New Roman" w:cs="Calibri"/>
      <w:b/>
      <w:bCs/>
      <w:sz w:val="24"/>
      <w:szCs w:val="24"/>
      <w:lang w:eastAsia="mk-MK"/>
    </w:rPr>
  </w:style>
  <w:style w:type="paragraph" w:customStyle="1" w:styleId="xl143">
    <w:name w:val="xl143"/>
    <w:basedOn w:val="Normal"/>
    <w:rsid w:val="00AF4A39"/>
    <w:pPr>
      <w:shd w:val="clear" w:color="000000" w:fill="00FF00"/>
      <w:spacing w:before="100" w:beforeAutospacing="1" w:after="100" w:afterAutospacing="1" w:line="240" w:lineRule="auto"/>
    </w:pPr>
    <w:rPr>
      <w:rFonts w:eastAsia="Times New Roman" w:cs="Calibri"/>
      <w:b/>
      <w:bCs/>
      <w:sz w:val="24"/>
      <w:szCs w:val="24"/>
      <w:lang w:eastAsia="mk-MK"/>
    </w:rPr>
  </w:style>
  <w:style w:type="paragraph" w:customStyle="1" w:styleId="xl144">
    <w:name w:val="xl144"/>
    <w:basedOn w:val="Normal"/>
    <w:rsid w:val="00AF4A39"/>
    <w:pPr>
      <w:spacing w:before="100" w:beforeAutospacing="1" w:after="100" w:afterAutospacing="1" w:line="240" w:lineRule="auto"/>
    </w:pPr>
    <w:rPr>
      <w:rFonts w:eastAsia="Times New Roman" w:cs="Calibri"/>
      <w:b/>
      <w:bCs/>
      <w:sz w:val="24"/>
      <w:szCs w:val="24"/>
      <w:lang w:eastAsia="mk-MK"/>
    </w:rPr>
  </w:style>
  <w:style w:type="paragraph" w:customStyle="1" w:styleId="xl145">
    <w:name w:val="xl145"/>
    <w:basedOn w:val="Normal"/>
    <w:rsid w:val="00AF4A39"/>
    <w:pPr>
      <w:shd w:val="clear" w:color="000000" w:fill="6FE7FF"/>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46">
    <w:name w:val="xl146"/>
    <w:basedOn w:val="Normal"/>
    <w:rsid w:val="00AF4A39"/>
    <w:pPr>
      <w:shd w:val="clear" w:color="000000" w:fill="00FF00"/>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47">
    <w:name w:val="xl147"/>
    <w:basedOn w:val="Normal"/>
    <w:rsid w:val="00AF4A39"/>
    <w:pPr>
      <w:shd w:val="clear" w:color="000000" w:fill="00FF00"/>
      <w:spacing w:before="100" w:beforeAutospacing="1" w:after="100" w:afterAutospacing="1" w:line="240" w:lineRule="auto"/>
      <w:jc w:val="center"/>
      <w:textAlignment w:val="top"/>
    </w:pPr>
    <w:rPr>
      <w:rFonts w:eastAsia="Times New Roman" w:cs="Calibri"/>
      <w:b/>
      <w:bCs/>
      <w:sz w:val="24"/>
      <w:szCs w:val="24"/>
      <w:lang w:eastAsia="mk-MK"/>
    </w:rPr>
  </w:style>
  <w:style w:type="paragraph" w:customStyle="1" w:styleId="xl148">
    <w:name w:val="xl148"/>
    <w:basedOn w:val="Normal"/>
    <w:rsid w:val="00AF4A39"/>
    <w:pPr>
      <w:spacing w:before="100" w:beforeAutospacing="1" w:after="100" w:afterAutospacing="1" w:line="240" w:lineRule="auto"/>
    </w:pPr>
    <w:rPr>
      <w:rFonts w:eastAsia="Times New Roman" w:cs="Calibri"/>
      <w:b/>
      <w:bCs/>
      <w:sz w:val="24"/>
      <w:szCs w:val="24"/>
      <w:lang w:eastAsia="mk-MK"/>
    </w:rPr>
  </w:style>
  <w:style w:type="paragraph" w:customStyle="1" w:styleId="xl149">
    <w:name w:val="xl149"/>
    <w:basedOn w:val="Normal"/>
    <w:rsid w:val="00AF4A39"/>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Calibri"/>
      <w:b/>
      <w:bCs/>
      <w:sz w:val="24"/>
      <w:szCs w:val="24"/>
      <w:lang w:eastAsia="mk-MK"/>
    </w:rPr>
  </w:style>
  <w:style w:type="paragraph" w:customStyle="1" w:styleId="xl150">
    <w:name w:val="xl150"/>
    <w:basedOn w:val="Normal"/>
    <w:rsid w:val="00AF4A39"/>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4"/>
      <w:szCs w:val="24"/>
      <w:lang w:eastAsia="mk-MK"/>
    </w:rPr>
  </w:style>
  <w:style w:type="paragraph" w:customStyle="1" w:styleId="xl151">
    <w:name w:val="xl151"/>
    <w:basedOn w:val="Normal"/>
    <w:rsid w:val="00AF4A39"/>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4"/>
      <w:szCs w:val="24"/>
      <w:lang w:eastAsia="mk-MK"/>
    </w:rPr>
  </w:style>
  <w:style w:type="paragraph" w:customStyle="1" w:styleId="xl152">
    <w:name w:val="xl152"/>
    <w:basedOn w:val="Normal"/>
    <w:rsid w:val="00AF4A39"/>
    <w:pPr>
      <w:shd w:val="clear" w:color="000000" w:fill="6FE7FF"/>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53">
    <w:name w:val="xl153"/>
    <w:basedOn w:val="Normal"/>
    <w:rsid w:val="00AF4A39"/>
    <w:pPr>
      <w:pBdr>
        <w:left w:val="single" w:sz="4" w:space="0" w:color="auto"/>
      </w:pBdr>
      <w:shd w:val="clear" w:color="000000" w:fill="00FF00"/>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54">
    <w:name w:val="xl154"/>
    <w:basedOn w:val="Normal"/>
    <w:rsid w:val="00AF4A39"/>
    <w:pPr>
      <w:pBdr>
        <w:top w:val="single" w:sz="4" w:space="0" w:color="auto"/>
      </w:pBdr>
      <w:shd w:val="clear" w:color="000000" w:fill="00FF00"/>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55">
    <w:name w:val="xl155"/>
    <w:basedOn w:val="Normal"/>
    <w:rsid w:val="00AF4A39"/>
    <w:pPr>
      <w:pBdr>
        <w:top w:val="single" w:sz="4" w:space="0" w:color="auto"/>
      </w:pBdr>
      <w:shd w:val="clear" w:color="000000" w:fill="6FE7FF"/>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56">
    <w:name w:val="xl156"/>
    <w:basedOn w:val="Normal"/>
    <w:rsid w:val="00AF4A39"/>
    <w:pPr>
      <w:shd w:val="clear" w:color="000000" w:fill="00FF00"/>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57">
    <w:name w:val="xl157"/>
    <w:basedOn w:val="Normal"/>
    <w:rsid w:val="00AF4A39"/>
    <w:pPr>
      <w:shd w:val="clear" w:color="000000" w:fill="FFFFFF"/>
      <w:spacing w:before="100" w:beforeAutospacing="1" w:after="100" w:afterAutospacing="1" w:line="240" w:lineRule="auto"/>
    </w:pPr>
    <w:rPr>
      <w:rFonts w:eastAsia="Times New Roman" w:cs="Calibri"/>
      <w:sz w:val="24"/>
      <w:szCs w:val="24"/>
      <w:lang w:eastAsia="mk-MK"/>
    </w:rPr>
  </w:style>
  <w:style w:type="paragraph" w:customStyle="1" w:styleId="xl158">
    <w:name w:val="xl158"/>
    <w:basedOn w:val="Normal"/>
    <w:rsid w:val="00AF4A39"/>
    <w:pPr>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59">
    <w:name w:val="xl159"/>
    <w:basedOn w:val="Normal"/>
    <w:rsid w:val="00AF4A39"/>
    <w:pPr>
      <w:shd w:val="clear" w:color="000000" w:fill="6FE7FF"/>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60">
    <w:name w:val="xl160"/>
    <w:basedOn w:val="Normal"/>
    <w:rsid w:val="00AF4A39"/>
    <w:pPr>
      <w:shd w:val="clear" w:color="000000" w:fill="00FF00"/>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61">
    <w:name w:val="xl161"/>
    <w:basedOn w:val="Normal"/>
    <w:rsid w:val="00AF4A39"/>
    <w:pPr>
      <w:pBdr>
        <w:bottom w:val="single" w:sz="4" w:space="0" w:color="auto"/>
      </w:pBdr>
      <w:shd w:val="clear" w:color="000000" w:fill="6FE7FF"/>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62">
    <w:name w:val="xl162"/>
    <w:basedOn w:val="Normal"/>
    <w:rsid w:val="00AF4A39"/>
    <w:pPr>
      <w:pBdr>
        <w:top w:val="single" w:sz="4" w:space="0" w:color="auto"/>
      </w:pBdr>
      <w:shd w:val="clear" w:color="000000" w:fill="6FE7FF"/>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63">
    <w:name w:val="xl163"/>
    <w:basedOn w:val="Normal"/>
    <w:rsid w:val="00AF4A39"/>
    <w:pPr>
      <w:pBdr>
        <w:top w:val="single" w:sz="4" w:space="0" w:color="auto"/>
      </w:pBdr>
      <w:shd w:val="clear" w:color="000000" w:fill="6FE7FF"/>
      <w:spacing w:before="100" w:beforeAutospacing="1" w:after="100" w:afterAutospacing="1" w:line="240" w:lineRule="auto"/>
      <w:textAlignment w:val="top"/>
    </w:pPr>
    <w:rPr>
      <w:rFonts w:eastAsia="Times New Roman" w:cs="Calibri"/>
      <w:b/>
      <w:bCs/>
      <w:sz w:val="24"/>
      <w:szCs w:val="24"/>
      <w:lang w:eastAsia="mk-MK"/>
    </w:rPr>
  </w:style>
  <w:style w:type="paragraph" w:customStyle="1" w:styleId="xl164">
    <w:name w:val="xl164"/>
    <w:basedOn w:val="Normal"/>
    <w:rsid w:val="00AF4A39"/>
    <w:pPr>
      <w:shd w:val="clear" w:color="000000" w:fill="33CCFF"/>
      <w:spacing w:before="100" w:beforeAutospacing="1" w:after="100" w:afterAutospacing="1" w:line="240" w:lineRule="auto"/>
    </w:pPr>
    <w:rPr>
      <w:rFonts w:eastAsia="Times New Roman" w:cs="Calibri"/>
      <w:b/>
      <w:bCs/>
      <w:sz w:val="24"/>
      <w:szCs w:val="24"/>
      <w:lang w:eastAsia="mk-MK"/>
    </w:rPr>
  </w:style>
  <w:style w:type="paragraph" w:customStyle="1" w:styleId="xl165">
    <w:name w:val="xl165"/>
    <w:basedOn w:val="Normal"/>
    <w:rsid w:val="00AF4A39"/>
    <w:pPr>
      <w:shd w:val="clear" w:color="000000" w:fill="33CCFF"/>
      <w:spacing w:before="100" w:beforeAutospacing="1" w:after="100" w:afterAutospacing="1" w:line="240" w:lineRule="auto"/>
    </w:pPr>
    <w:rPr>
      <w:rFonts w:eastAsia="Times New Roman" w:cs="Calibri"/>
      <w:b/>
      <w:bCs/>
      <w:sz w:val="24"/>
      <w:szCs w:val="24"/>
      <w:lang w:eastAsia="mk-MK"/>
    </w:rPr>
  </w:style>
  <w:style w:type="paragraph" w:customStyle="1" w:styleId="xl166">
    <w:name w:val="xl166"/>
    <w:basedOn w:val="Normal"/>
    <w:rsid w:val="00AF4A39"/>
    <w:pPr>
      <w:shd w:val="clear" w:color="000000" w:fill="33CCFF"/>
      <w:spacing w:before="100" w:beforeAutospacing="1" w:after="100" w:afterAutospacing="1" w:line="240" w:lineRule="auto"/>
    </w:pPr>
    <w:rPr>
      <w:rFonts w:eastAsia="Times New Roman" w:cs="Calibri"/>
      <w:sz w:val="24"/>
      <w:szCs w:val="24"/>
      <w:lang w:eastAsia="mk-MK"/>
    </w:rPr>
  </w:style>
  <w:style w:type="paragraph" w:customStyle="1" w:styleId="xl167">
    <w:name w:val="xl167"/>
    <w:basedOn w:val="Normal"/>
    <w:rsid w:val="00AF4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4"/>
      <w:szCs w:val="24"/>
      <w:lang w:eastAsia="mk-MK"/>
    </w:rPr>
  </w:style>
  <w:style w:type="paragraph" w:customStyle="1" w:styleId="xl168">
    <w:name w:val="xl168"/>
    <w:basedOn w:val="Normal"/>
    <w:rsid w:val="00AF4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4"/>
      <w:szCs w:val="24"/>
      <w:lang w:eastAsia="mk-MK"/>
    </w:rPr>
  </w:style>
  <w:style w:type="paragraph" w:customStyle="1" w:styleId="xl169">
    <w:name w:val="xl169"/>
    <w:basedOn w:val="Normal"/>
    <w:rsid w:val="00AF4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4"/>
      <w:szCs w:val="24"/>
      <w:lang w:eastAsia="mk-MK"/>
    </w:rPr>
  </w:style>
  <w:style w:type="paragraph" w:customStyle="1" w:styleId="xl170">
    <w:name w:val="xl170"/>
    <w:basedOn w:val="Normal"/>
    <w:rsid w:val="00AF4A39"/>
    <w:pPr>
      <w:pBdr>
        <w:top w:val="single" w:sz="4" w:space="0" w:color="auto"/>
      </w:pBdr>
      <w:spacing w:before="100" w:beforeAutospacing="1" w:after="100" w:afterAutospacing="1" w:line="240" w:lineRule="auto"/>
    </w:pPr>
    <w:rPr>
      <w:rFonts w:eastAsia="Times New Roman" w:cs="Calibri"/>
      <w:b/>
      <w:bCs/>
      <w:sz w:val="24"/>
      <w:szCs w:val="24"/>
      <w:lang w:eastAsia="mk-MK"/>
    </w:rPr>
  </w:style>
  <w:style w:type="paragraph" w:customStyle="1" w:styleId="xl171">
    <w:name w:val="xl171"/>
    <w:basedOn w:val="Normal"/>
    <w:rsid w:val="00AF4A39"/>
    <w:pPr>
      <w:shd w:val="clear" w:color="000000" w:fill="00FF00"/>
      <w:spacing w:before="100" w:beforeAutospacing="1" w:after="100" w:afterAutospacing="1" w:line="240" w:lineRule="auto"/>
    </w:pPr>
    <w:rPr>
      <w:rFonts w:eastAsia="Times New Roman" w:cs="Calibri"/>
      <w:b/>
      <w:bCs/>
      <w:sz w:val="24"/>
      <w:szCs w:val="24"/>
      <w:lang w:eastAsia="mk-MK"/>
    </w:rPr>
  </w:style>
  <w:style w:type="paragraph" w:customStyle="1" w:styleId="xl172">
    <w:name w:val="xl172"/>
    <w:basedOn w:val="Normal"/>
    <w:rsid w:val="00AF4A39"/>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jc w:val="center"/>
      <w:textAlignment w:val="center"/>
    </w:pPr>
    <w:rPr>
      <w:rFonts w:eastAsia="Times New Roman" w:cs="Calibri"/>
      <w:color w:val="FFFFFF"/>
      <w:sz w:val="18"/>
      <w:szCs w:val="18"/>
      <w:lang w:eastAsia="mk-MK"/>
    </w:rPr>
  </w:style>
  <w:style w:type="paragraph" w:customStyle="1" w:styleId="xl173">
    <w:name w:val="xl173"/>
    <w:basedOn w:val="Normal"/>
    <w:rsid w:val="00AF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color w:val="FFFFFF"/>
      <w:sz w:val="18"/>
      <w:szCs w:val="18"/>
      <w:lang w:eastAsia="mk-MK"/>
    </w:rPr>
  </w:style>
  <w:style w:type="paragraph" w:customStyle="1" w:styleId="xl174">
    <w:name w:val="xl174"/>
    <w:basedOn w:val="Normal"/>
    <w:rsid w:val="00AF4A3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8"/>
      <w:szCs w:val="18"/>
      <w:lang w:eastAsia="mk-MK"/>
    </w:rPr>
  </w:style>
  <w:style w:type="paragraph" w:customStyle="1" w:styleId="xl175">
    <w:name w:val="xl175"/>
    <w:basedOn w:val="Normal"/>
    <w:rsid w:val="00AF4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color w:val="000000"/>
      <w:sz w:val="18"/>
      <w:szCs w:val="18"/>
      <w:lang w:eastAsia="mk-MK"/>
    </w:rPr>
  </w:style>
  <w:style w:type="paragraph" w:customStyle="1" w:styleId="xl176">
    <w:name w:val="xl176"/>
    <w:basedOn w:val="Normal"/>
    <w:rsid w:val="00AF4A3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mk-MK"/>
    </w:rPr>
  </w:style>
  <w:style w:type="paragraph" w:customStyle="1" w:styleId="xl177">
    <w:name w:val="xl177"/>
    <w:basedOn w:val="Normal"/>
    <w:rsid w:val="00AF4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mk-MK"/>
    </w:rPr>
  </w:style>
  <w:style w:type="paragraph" w:customStyle="1" w:styleId="xl178">
    <w:name w:val="xl178"/>
    <w:basedOn w:val="Normal"/>
    <w:rsid w:val="00AF4A3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18"/>
      <w:szCs w:val="18"/>
      <w:lang w:eastAsia="mk-MK"/>
    </w:rPr>
  </w:style>
  <w:style w:type="paragraph" w:customStyle="1" w:styleId="xl179">
    <w:name w:val="xl179"/>
    <w:basedOn w:val="Normal"/>
    <w:rsid w:val="00AF4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FFFFFF"/>
      <w:sz w:val="18"/>
      <w:szCs w:val="18"/>
      <w:lang w:eastAsia="mk-MK"/>
    </w:rPr>
  </w:style>
  <w:style w:type="paragraph" w:customStyle="1" w:styleId="xl180">
    <w:name w:val="xl180"/>
    <w:basedOn w:val="Normal"/>
    <w:rsid w:val="00AF4A3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18"/>
      <w:szCs w:val="18"/>
      <w:lang w:eastAsia="mk-MK"/>
    </w:rPr>
  </w:style>
  <w:style w:type="paragraph" w:customStyle="1" w:styleId="xl181">
    <w:name w:val="xl181"/>
    <w:basedOn w:val="Normal"/>
    <w:rsid w:val="00AF4A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FF0000"/>
      <w:sz w:val="18"/>
      <w:szCs w:val="18"/>
      <w:lang w:eastAsia="mk-MK"/>
    </w:rPr>
  </w:style>
  <w:style w:type="paragraph" w:customStyle="1" w:styleId="xl182">
    <w:name w:val="xl182"/>
    <w:basedOn w:val="Normal"/>
    <w:rsid w:val="00AF4A39"/>
    <w:pPr>
      <w:pBdr>
        <w:top w:val="single" w:sz="4" w:space="0" w:color="auto"/>
        <w:left w:val="single" w:sz="4" w:space="0" w:color="auto"/>
      </w:pBdr>
      <w:shd w:val="clear" w:color="000000" w:fill="33CCFF"/>
      <w:spacing w:before="100" w:beforeAutospacing="1" w:after="100" w:afterAutospacing="1" w:line="240" w:lineRule="auto"/>
    </w:pPr>
    <w:rPr>
      <w:rFonts w:eastAsia="Times New Roman" w:cs="Calibri"/>
      <w:b/>
      <w:bCs/>
      <w:sz w:val="24"/>
      <w:szCs w:val="24"/>
      <w:lang w:eastAsia="mk-MK"/>
    </w:rPr>
  </w:style>
  <w:style w:type="paragraph" w:customStyle="1" w:styleId="xl183">
    <w:name w:val="xl183"/>
    <w:basedOn w:val="Normal"/>
    <w:rsid w:val="00AF4A39"/>
    <w:pPr>
      <w:pBdr>
        <w:top w:val="single" w:sz="4" w:space="0" w:color="auto"/>
      </w:pBdr>
      <w:shd w:val="clear" w:color="000000" w:fill="33CCFF"/>
      <w:spacing w:before="100" w:beforeAutospacing="1" w:after="100" w:afterAutospacing="1" w:line="240" w:lineRule="auto"/>
    </w:pPr>
    <w:rPr>
      <w:rFonts w:eastAsia="Times New Roman" w:cs="Calibri"/>
      <w:b/>
      <w:bCs/>
      <w:sz w:val="24"/>
      <w:szCs w:val="24"/>
      <w:lang w:eastAsia="mk-MK"/>
    </w:rPr>
  </w:style>
  <w:style w:type="paragraph" w:customStyle="1" w:styleId="xl184">
    <w:name w:val="xl184"/>
    <w:basedOn w:val="Normal"/>
    <w:rsid w:val="00AF4A39"/>
    <w:pPr>
      <w:pBdr>
        <w:top w:val="single" w:sz="4" w:space="0" w:color="auto"/>
      </w:pBdr>
      <w:shd w:val="clear" w:color="000000" w:fill="33CCFF"/>
      <w:spacing w:before="100" w:beforeAutospacing="1" w:after="100" w:afterAutospacing="1" w:line="240" w:lineRule="auto"/>
    </w:pPr>
    <w:rPr>
      <w:rFonts w:eastAsia="Times New Roman" w:cs="Calibri"/>
      <w:b/>
      <w:bCs/>
      <w:sz w:val="24"/>
      <w:szCs w:val="24"/>
      <w:lang w:eastAsia="mk-MK"/>
    </w:rPr>
  </w:style>
  <w:style w:type="paragraph" w:customStyle="1" w:styleId="xl185">
    <w:name w:val="xl185"/>
    <w:basedOn w:val="Normal"/>
    <w:rsid w:val="00AF4A39"/>
    <w:pPr>
      <w:pBdr>
        <w:left w:val="single" w:sz="4" w:space="0" w:color="auto"/>
      </w:pBdr>
      <w:shd w:val="clear" w:color="000000" w:fill="33CCFF"/>
      <w:spacing w:before="100" w:beforeAutospacing="1" w:after="100" w:afterAutospacing="1" w:line="240" w:lineRule="auto"/>
    </w:pPr>
    <w:rPr>
      <w:rFonts w:eastAsia="Times New Roman" w:cs="Calibri"/>
      <w:b/>
      <w:bCs/>
      <w:sz w:val="24"/>
      <w:szCs w:val="24"/>
      <w:lang w:eastAsia="mk-MK"/>
    </w:rPr>
  </w:style>
  <w:style w:type="paragraph" w:customStyle="1" w:styleId="xl186">
    <w:name w:val="xl186"/>
    <w:basedOn w:val="Normal"/>
    <w:rsid w:val="00AF4A39"/>
    <w:pPr>
      <w:pBdr>
        <w:left w:val="single" w:sz="4" w:space="0" w:color="C0C0C0"/>
      </w:pBdr>
      <w:shd w:val="clear" w:color="000000" w:fill="CCFFCC"/>
      <w:spacing w:before="100" w:beforeAutospacing="1" w:after="100" w:afterAutospacing="1" w:line="240" w:lineRule="auto"/>
      <w:jc w:val="center"/>
    </w:pPr>
    <w:rPr>
      <w:rFonts w:eastAsia="Times New Roman" w:cs="Calibri"/>
      <w:b/>
      <w:bCs/>
      <w:sz w:val="24"/>
      <w:szCs w:val="24"/>
      <w:lang w:eastAsia="mk-MK"/>
    </w:rPr>
  </w:style>
  <w:style w:type="paragraph" w:customStyle="1" w:styleId="xl187">
    <w:name w:val="xl187"/>
    <w:basedOn w:val="Normal"/>
    <w:rsid w:val="00AF4A39"/>
    <w:pPr>
      <w:pBdr>
        <w:top w:val="single" w:sz="4" w:space="0" w:color="auto"/>
        <w:left w:val="single" w:sz="4" w:space="0" w:color="auto"/>
        <w:bottom w:val="single" w:sz="4" w:space="0" w:color="auto"/>
      </w:pBdr>
      <w:shd w:val="clear" w:color="000000" w:fill="33CCFF"/>
      <w:spacing w:before="100" w:beforeAutospacing="1" w:after="100" w:afterAutospacing="1" w:line="240" w:lineRule="auto"/>
    </w:pPr>
    <w:rPr>
      <w:rFonts w:eastAsia="Times New Roman" w:cs="Calibri"/>
      <w:b/>
      <w:bCs/>
      <w:sz w:val="24"/>
      <w:szCs w:val="24"/>
      <w:lang w:eastAsia="mk-MK"/>
    </w:rPr>
  </w:style>
  <w:style w:type="paragraph" w:customStyle="1" w:styleId="xl188">
    <w:name w:val="xl188"/>
    <w:basedOn w:val="Normal"/>
    <w:rsid w:val="00AF4A39"/>
    <w:pPr>
      <w:pBdr>
        <w:top w:val="single" w:sz="4" w:space="0" w:color="auto"/>
        <w:bottom w:val="single" w:sz="4" w:space="0" w:color="auto"/>
      </w:pBdr>
      <w:shd w:val="clear" w:color="000000" w:fill="33CCFF"/>
      <w:spacing w:before="100" w:beforeAutospacing="1" w:after="100" w:afterAutospacing="1" w:line="240" w:lineRule="auto"/>
    </w:pPr>
    <w:rPr>
      <w:rFonts w:eastAsia="Times New Roman" w:cs="Calibri"/>
      <w:b/>
      <w:bCs/>
      <w:sz w:val="24"/>
      <w:szCs w:val="24"/>
      <w:lang w:eastAsia="mk-MK"/>
    </w:rPr>
  </w:style>
  <w:style w:type="paragraph" w:customStyle="1" w:styleId="xl189">
    <w:name w:val="xl189"/>
    <w:basedOn w:val="Normal"/>
    <w:rsid w:val="00AF4A39"/>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pPr>
    <w:rPr>
      <w:rFonts w:eastAsia="Times New Roman" w:cs="Calibri"/>
      <w:b/>
      <w:bCs/>
      <w:sz w:val="24"/>
      <w:szCs w:val="24"/>
      <w:lang w:eastAsia="mk-MK"/>
    </w:rPr>
  </w:style>
  <w:style w:type="paragraph" w:customStyle="1" w:styleId="xl190">
    <w:name w:val="xl190"/>
    <w:basedOn w:val="Normal"/>
    <w:rsid w:val="00AF4A39"/>
    <w:pPr>
      <w:pBdr>
        <w:top w:val="single" w:sz="4" w:space="0" w:color="auto"/>
        <w:bottom w:val="single" w:sz="4" w:space="0" w:color="auto"/>
      </w:pBdr>
      <w:shd w:val="clear" w:color="000000" w:fill="CCFFCC"/>
      <w:spacing w:before="100" w:beforeAutospacing="1" w:after="100" w:afterAutospacing="1" w:line="240" w:lineRule="auto"/>
      <w:jc w:val="center"/>
    </w:pPr>
    <w:rPr>
      <w:rFonts w:eastAsia="Times New Roman" w:cs="Calibri"/>
      <w:b/>
      <w:bCs/>
      <w:sz w:val="24"/>
      <w:szCs w:val="24"/>
      <w:lang w:eastAsia="mk-MK"/>
    </w:rPr>
  </w:style>
  <w:style w:type="paragraph" w:customStyle="1" w:styleId="xl191">
    <w:name w:val="xl191"/>
    <w:basedOn w:val="Normal"/>
    <w:rsid w:val="00AF4A39"/>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eastAsia="Times New Roman" w:cs="Calibri"/>
      <w:b/>
      <w:bCs/>
      <w:sz w:val="24"/>
      <w:szCs w:val="24"/>
      <w:lang w:eastAsia="mk-MK"/>
    </w:rPr>
  </w:style>
  <w:style w:type="paragraph" w:customStyle="1" w:styleId="xl192">
    <w:name w:val="xl192"/>
    <w:basedOn w:val="Normal"/>
    <w:rsid w:val="00AF4A39"/>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b/>
      <w:bCs/>
      <w:sz w:val="24"/>
      <w:szCs w:val="24"/>
      <w:lang w:eastAsia="mk-MK"/>
    </w:rPr>
  </w:style>
  <w:style w:type="paragraph" w:customStyle="1" w:styleId="font6">
    <w:name w:val="font6"/>
    <w:basedOn w:val="Normal"/>
    <w:rsid w:val="00FB5DF5"/>
    <w:pPr>
      <w:spacing w:before="100" w:beforeAutospacing="1" w:after="100" w:afterAutospacing="1" w:line="240" w:lineRule="auto"/>
    </w:pPr>
    <w:rPr>
      <w:rFonts w:eastAsia="Times New Roman" w:cs="Calibri"/>
      <w:sz w:val="20"/>
      <w:szCs w:val="20"/>
      <w:lang w:eastAsia="mk-MK"/>
    </w:rPr>
  </w:style>
  <w:style w:type="paragraph" w:customStyle="1" w:styleId="font7">
    <w:name w:val="font7"/>
    <w:basedOn w:val="Normal"/>
    <w:rsid w:val="00FB5DF5"/>
    <w:pPr>
      <w:spacing w:before="100" w:beforeAutospacing="1" w:after="100" w:afterAutospacing="1" w:line="240" w:lineRule="auto"/>
    </w:pPr>
    <w:rPr>
      <w:rFonts w:eastAsia="Times New Roman" w:cs="Calibri"/>
      <w:sz w:val="20"/>
      <w:szCs w:val="20"/>
      <w:lang w:eastAsia="mk-MK"/>
    </w:rPr>
  </w:style>
  <w:style w:type="paragraph" w:customStyle="1" w:styleId="font8">
    <w:name w:val="font8"/>
    <w:basedOn w:val="Normal"/>
    <w:rsid w:val="00FB5DF5"/>
    <w:pPr>
      <w:spacing w:before="100" w:beforeAutospacing="1" w:after="100" w:afterAutospacing="1" w:line="240" w:lineRule="auto"/>
    </w:pPr>
    <w:rPr>
      <w:rFonts w:eastAsia="Times New Roman" w:cs="Calibri"/>
      <w:sz w:val="20"/>
      <w:szCs w:val="20"/>
      <w:u w:val="single"/>
      <w:lang w:eastAsia="mk-MK"/>
    </w:rPr>
  </w:style>
  <w:style w:type="paragraph" w:customStyle="1" w:styleId="font9">
    <w:name w:val="font9"/>
    <w:basedOn w:val="Normal"/>
    <w:rsid w:val="00FB5DF5"/>
    <w:pPr>
      <w:spacing w:before="100" w:beforeAutospacing="1" w:after="100" w:afterAutospacing="1" w:line="240" w:lineRule="auto"/>
    </w:pPr>
    <w:rPr>
      <w:rFonts w:eastAsia="Times New Roman" w:cs="Calibri"/>
      <w:sz w:val="20"/>
      <w:szCs w:val="20"/>
      <w:lang w:eastAsia="mk-MK"/>
    </w:rPr>
  </w:style>
  <w:style w:type="paragraph" w:customStyle="1" w:styleId="xl63">
    <w:name w:val="xl63"/>
    <w:basedOn w:val="Normal"/>
    <w:rsid w:val="00FB5DF5"/>
    <w:pPr>
      <w:pBdr>
        <w:bottom w:val="single" w:sz="8" w:space="0" w:color="000000"/>
        <w:right w:val="single" w:sz="8" w:space="0" w:color="000000"/>
      </w:pBdr>
      <w:shd w:val="clear" w:color="000000" w:fill="FFFF99"/>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64">
    <w:name w:val="xl64"/>
    <w:basedOn w:val="Normal"/>
    <w:rsid w:val="00FB5DF5"/>
    <w:pPr>
      <w:pBdr>
        <w:top w:val="single" w:sz="8" w:space="0" w:color="auto"/>
        <w:left w:val="single" w:sz="8" w:space="0" w:color="auto"/>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65">
    <w:name w:val="xl65"/>
    <w:basedOn w:val="Normal"/>
    <w:rsid w:val="00FB5DF5"/>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66">
    <w:name w:val="xl66"/>
    <w:basedOn w:val="Normal"/>
    <w:rsid w:val="00FB5DF5"/>
    <w:pPr>
      <w:pBdr>
        <w:top w:val="single" w:sz="8" w:space="0" w:color="auto"/>
        <w:left w:val="single" w:sz="8" w:space="0" w:color="auto"/>
        <w:bottom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67">
    <w:name w:val="xl67"/>
    <w:basedOn w:val="Normal"/>
    <w:rsid w:val="00FB5DF5"/>
    <w:pPr>
      <w:pBdr>
        <w:top w:val="single" w:sz="8" w:space="0" w:color="auto"/>
        <w:left w:val="single" w:sz="8" w:space="0" w:color="auto"/>
        <w:bottom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68">
    <w:name w:val="xl68"/>
    <w:basedOn w:val="Normal"/>
    <w:rsid w:val="00FB5DF5"/>
    <w:pPr>
      <w:pBdr>
        <w:top w:val="single" w:sz="8" w:space="0" w:color="auto"/>
        <w:left w:val="single" w:sz="8" w:space="0" w:color="auto"/>
        <w:bottom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69">
    <w:name w:val="xl69"/>
    <w:basedOn w:val="Normal"/>
    <w:rsid w:val="00FB5DF5"/>
    <w:pPr>
      <w:pBdr>
        <w:top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70">
    <w:name w:val="xl70"/>
    <w:basedOn w:val="Normal"/>
    <w:rsid w:val="00FB5DF5"/>
    <w:pPr>
      <w:pBdr>
        <w:top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71">
    <w:name w:val="xl71"/>
    <w:basedOn w:val="Normal"/>
    <w:rsid w:val="00FB5DF5"/>
    <w:pPr>
      <w:pBdr>
        <w:top w:val="single" w:sz="8" w:space="0" w:color="auto"/>
        <w:left w:val="single" w:sz="8" w:space="0" w:color="auto"/>
        <w:bottom w:val="single" w:sz="8" w:space="0" w:color="000000"/>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72">
    <w:name w:val="xl72"/>
    <w:basedOn w:val="Normal"/>
    <w:rsid w:val="00FB5DF5"/>
    <w:pPr>
      <w:pBdr>
        <w:top w:val="single" w:sz="8" w:space="0" w:color="auto"/>
        <w:left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73">
    <w:name w:val="xl73"/>
    <w:basedOn w:val="Normal"/>
    <w:rsid w:val="00FB5DF5"/>
    <w:pPr>
      <w:pBdr>
        <w:top w:val="single" w:sz="8" w:space="0" w:color="auto"/>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74">
    <w:name w:val="xl74"/>
    <w:basedOn w:val="Normal"/>
    <w:rsid w:val="00FB5DF5"/>
    <w:pPr>
      <w:pBdr>
        <w:top w:val="single" w:sz="8" w:space="0" w:color="auto"/>
        <w:left w:val="single" w:sz="8" w:space="0" w:color="000000"/>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75">
    <w:name w:val="xl75"/>
    <w:basedOn w:val="Normal"/>
    <w:rsid w:val="00FB5DF5"/>
    <w:pPr>
      <w:pBdr>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76">
    <w:name w:val="xl76"/>
    <w:basedOn w:val="Normal"/>
    <w:rsid w:val="00FB5DF5"/>
    <w:pPr>
      <w:pBdr>
        <w:top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77">
    <w:name w:val="xl77"/>
    <w:basedOn w:val="Normal"/>
    <w:rsid w:val="00FB5DF5"/>
    <w:pPr>
      <w:pBdr>
        <w:top w:val="single" w:sz="8" w:space="0" w:color="000000"/>
        <w:left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78">
    <w:name w:val="xl78"/>
    <w:basedOn w:val="Normal"/>
    <w:rsid w:val="00FB5DF5"/>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79">
    <w:name w:val="xl79"/>
    <w:basedOn w:val="Normal"/>
    <w:rsid w:val="00FB5DF5"/>
    <w:pPr>
      <w:pBdr>
        <w:top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80">
    <w:name w:val="xl80"/>
    <w:basedOn w:val="Normal"/>
    <w:rsid w:val="00FB5DF5"/>
    <w:pPr>
      <w:pBdr>
        <w:bottom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81">
    <w:name w:val="xl81"/>
    <w:basedOn w:val="Normal"/>
    <w:rsid w:val="00FB5DF5"/>
    <w:pPr>
      <w:pBdr>
        <w:top w:val="single" w:sz="8" w:space="0" w:color="auto"/>
        <w:lef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82">
    <w:name w:val="xl82"/>
    <w:basedOn w:val="Normal"/>
    <w:rsid w:val="00FB5DF5"/>
    <w:pPr>
      <w:pBdr>
        <w:lef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83">
    <w:name w:val="xl83"/>
    <w:basedOn w:val="Normal"/>
    <w:rsid w:val="00FB5DF5"/>
    <w:pPr>
      <w:pBdr>
        <w:top w:val="single" w:sz="8" w:space="0" w:color="000000"/>
        <w:left w:val="single" w:sz="8" w:space="0" w:color="000000"/>
        <w:right w:val="single" w:sz="8" w:space="0" w:color="000000"/>
      </w:pBdr>
      <w:shd w:val="clear" w:color="000000" w:fill="FFFF99"/>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84">
    <w:name w:val="xl84"/>
    <w:basedOn w:val="Normal"/>
    <w:rsid w:val="00FB5DF5"/>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85">
    <w:name w:val="xl85"/>
    <w:basedOn w:val="Normal"/>
    <w:rsid w:val="00FB5DF5"/>
    <w:pPr>
      <w:pBdr>
        <w:top w:val="single" w:sz="8" w:space="0" w:color="000000"/>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86">
    <w:name w:val="xl86"/>
    <w:basedOn w:val="Normal"/>
    <w:rsid w:val="00FB5DF5"/>
    <w:pPr>
      <w:pBdr>
        <w:top w:val="single" w:sz="8" w:space="0" w:color="auto"/>
        <w:left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87">
    <w:name w:val="xl87"/>
    <w:basedOn w:val="Normal"/>
    <w:rsid w:val="00FB5DF5"/>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88">
    <w:name w:val="xl88"/>
    <w:basedOn w:val="Normal"/>
    <w:rsid w:val="00FB5DF5"/>
    <w:pPr>
      <w:pBdr>
        <w:top w:val="single" w:sz="8" w:space="0" w:color="000000"/>
        <w:left w:val="single" w:sz="8" w:space="0" w:color="000000"/>
        <w:bottom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89">
    <w:name w:val="xl89"/>
    <w:basedOn w:val="Normal"/>
    <w:rsid w:val="00FB5DF5"/>
    <w:pPr>
      <w:pBdr>
        <w:bottom w:val="single" w:sz="8" w:space="0" w:color="000000"/>
        <w:right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90">
    <w:name w:val="xl90"/>
    <w:basedOn w:val="Normal"/>
    <w:rsid w:val="00FB5DF5"/>
    <w:pPr>
      <w:pBdr>
        <w:top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91">
    <w:name w:val="xl91"/>
    <w:basedOn w:val="Normal"/>
    <w:rsid w:val="00FB5DF5"/>
    <w:pPr>
      <w:pBdr>
        <w:top w:val="single" w:sz="8" w:space="0" w:color="000000"/>
        <w:left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92">
    <w:name w:val="xl92"/>
    <w:basedOn w:val="Normal"/>
    <w:rsid w:val="00FB5DF5"/>
    <w:pPr>
      <w:pBdr>
        <w:left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93">
    <w:name w:val="xl93"/>
    <w:basedOn w:val="Normal"/>
    <w:rsid w:val="00FB5DF5"/>
    <w:pPr>
      <w:pBdr>
        <w:left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94">
    <w:name w:val="xl94"/>
    <w:basedOn w:val="Normal"/>
    <w:rsid w:val="00FB5DF5"/>
    <w:pPr>
      <w:pBdr>
        <w:top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95">
    <w:name w:val="xl95"/>
    <w:basedOn w:val="Normal"/>
    <w:rsid w:val="00FB5DF5"/>
    <w:pPr>
      <w:pBdr>
        <w:left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96">
    <w:name w:val="xl96"/>
    <w:basedOn w:val="Normal"/>
    <w:rsid w:val="00FB5DF5"/>
    <w:pPr>
      <w:pBdr>
        <w:top w:val="single" w:sz="8" w:space="0" w:color="auto"/>
        <w:left w:val="single" w:sz="8" w:space="0" w:color="000000"/>
        <w:right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97">
    <w:name w:val="xl97"/>
    <w:basedOn w:val="Normal"/>
    <w:rsid w:val="00FB5DF5"/>
    <w:pPr>
      <w:pBdr>
        <w:top w:val="single" w:sz="8" w:space="0" w:color="auto"/>
        <w:left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98">
    <w:name w:val="xl98"/>
    <w:basedOn w:val="Normal"/>
    <w:rsid w:val="00FB5DF5"/>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99">
    <w:name w:val="xl99"/>
    <w:basedOn w:val="Normal"/>
    <w:rsid w:val="00FB5DF5"/>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100">
    <w:name w:val="xl100"/>
    <w:basedOn w:val="Normal"/>
    <w:rsid w:val="00FB5DF5"/>
    <w:pPr>
      <w:pBdr>
        <w:top w:val="single" w:sz="8" w:space="0" w:color="auto"/>
        <w:left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193">
    <w:name w:val="xl193"/>
    <w:basedOn w:val="Normal"/>
    <w:rsid w:val="00FB5DF5"/>
    <w:pPr>
      <w:pBdr>
        <w:top w:val="single" w:sz="8" w:space="0" w:color="000000"/>
        <w:left w:val="single" w:sz="8" w:space="0" w:color="auto"/>
        <w:bottom w:val="single" w:sz="8" w:space="0" w:color="000000"/>
        <w:right w:val="single" w:sz="8" w:space="0" w:color="auto"/>
      </w:pBdr>
      <w:shd w:val="clear" w:color="000000" w:fill="FFFF99"/>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194">
    <w:name w:val="xl194"/>
    <w:basedOn w:val="Normal"/>
    <w:rsid w:val="00FB5DF5"/>
    <w:pPr>
      <w:pBdr>
        <w:top w:val="single" w:sz="8" w:space="0" w:color="000000"/>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195">
    <w:name w:val="xl195"/>
    <w:basedOn w:val="Normal"/>
    <w:rsid w:val="00FB5DF5"/>
    <w:pPr>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196">
    <w:name w:val="xl196"/>
    <w:basedOn w:val="Normal"/>
    <w:rsid w:val="00FB5DF5"/>
    <w:pPr>
      <w:pBdr>
        <w:top w:val="single" w:sz="8" w:space="0" w:color="auto"/>
        <w:left w:val="single" w:sz="8" w:space="0" w:color="auto"/>
        <w:right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197">
    <w:name w:val="xl197"/>
    <w:basedOn w:val="Normal"/>
    <w:rsid w:val="00FB5DF5"/>
    <w:pPr>
      <w:pBdr>
        <w:top w:val="single" w:sz="8" w:space="0" w:color="auto"/>
        <w:left w:val="single" w:sz="8" w:space="0" w:color="000000"/>
        <w:right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198">
    <w:name w:val="xl198"/>
    <w:basedOn w:val="Normal"/>
    <w:rsid w:val="00FB5DF5"/>
    <w:pPr>
      <w:pBdr>
        <w:top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199">
    <w:name w:val="xl199"/>
    <w:basedOn w:val="Normal"/>
    <w:rsid w:val="00FB5DF5"/>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00">
    <w:name w:val="xl200"/>
    <w:basedOn w:val="Normal"/>
    <w:rsid w:val="00FB5DF5"/>
    <w:pPr>
      <w:pBdr>
        <w:bottom w:val="single" w:sz="8" w:space="0" w:color="000000"/>
        <w:right w:val="single" w:sz="8" w:space="0" w:color="000000"/>
      </w:pBdr>
      <w:shd w:val="clear" w:color="000000" w:fill="FFFF99"/>
      <w:spacing w:before="100" w:beforeAutospacing="1" w:after="100" w:afterAutospacing="1" w:line="240" w:lineRule="auto"/>
      <w:jc w:val="right"/>
      <w:textAlignment w:val="center"/>
    </w:pPr>
    <w:rPr>
      <w:rFonts w:ascii="Times New Roman" w:eastAsia="Times New Roman" w:hAnsi="Times New Roman"/>
      <w:sz w:val="20"/>
      <w:szCs w:val="20"/>
      <w:lang w:eastAsia="mk-MK"/>
    </w:rPr>
  </w:style>
  <w:style w:type="paragraph" w:customStyle="1" w:styleId="xl201">
    <w:name w:val="xl201"/>
    <w:basedOn w:val="Normal"/>
    <w:rsid w:val="00FB5DF5"/>
    <w:pPr>
      <w:pBdr>
        <w:right w:val="single" w:sz="8" w:space="0" w:color="000000"/>
      </w:pBdr>
      <w:shd w:val="clear" w:color="000000" w:fill="FFFF99"/>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202">
    <w:name w:val="xl202"/>
    <w:basedOn w:val="Normal"/>
    <w:rsid w:val="00FB5DF5"/>
    <w:pPr>
      <w:pBdr>
        <w:top w:val="single" w:sz="8" w:space="0" w:color="000000"/>
        <w:left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203">
    <w:name w:val="xl203"/>
    <w:basedOn w:val="Normal"/>
    <w:rsid w:val="00FB5DF5"/>
    <w:pPr>
      <w:pBdr>
        <w:top w:val="single" w:sz="8" w:space="0" w:color="auto"/>
        <w:right w:val="single" w:sz="8" w:space="0" w:color="auto"/>
      </w:pBdr>
      <w:shd w:val="clear" w:color="000000" w:fill="FFFF99"/>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204">
    <w:name w:val="xl204"/>
    <w:basedOn w:val="Normal"/>
    <w:rsid w:val="00FB5DF5"/>
    <w:pPr>
      <w:pBdr>
        <w:top w:val="single" w:sz="8" w:space="0" w:color="auto"/>
        <w:bottom w:val="single" w:sz="8" w:space="0" w:color="auto"/>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05">
    <w:name w:val="xl205"/>
    <w:basedOn w:val="Normal"/>
    <w:rsid w:val="00FB5DF5"/>
    <w:pPr>
      <w:pBdr>
        <w:top w:val="single" w:sz="8" w:space="0" w:color="000000"/>
        <w:left w:val="single" w:sz="8" w:space="0" w:color="000000"/>
        <w:bottom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06">
    <w:name w:val="xl206"/>
    <w:basedOn w:val="Normal"/>
    <w:rsid w:val="00FB5DF5"/>
    <w:pPr>
      <w:pBdr>
        <w:top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07">
    <w:name w:val="xl207"/>
    <w:basedOn w:val="Normal"/>
    <w:rsid w:val="00FB5DF5"/>
    <w:pPr>
      <w:pBdr>
        <w:top w:val="single" w:sz="8" w:space="0" w:color="auto"/>
        <w:bottom w:val="single" w:sz="8" w:space="0" w:color="auto"/>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08">
    <w:name w:val="xl208"/>
    <w:basedOn w:val="Normal"/>
    <w:rsid w:val="00FB5DF5"/>
    <w:pPr>
      <w:pBdr>
        <w:top w:val="single" w:sz="8" w:space="0" w:color="auto"/>
        <w:left w:val="single" w:sz="8" w:space="0" w:color="000000"/>
        <w:bottom w:val="single" w:sz="8" w:space="0" w:color="auto"/>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09">
    <w:name w:val="xl209"/>
    <w:basedOn w:val="Normal"/>
    <w:rsid w:val="00FB5DF5"/>
    <w:pPr>
      <w:pBdr>
        <w:top w:val="single" w:sz="8" w:space="0" w:color="auto"/>
        <w:left w:val="single" w:sz="8" w:space="0" w:color="000000"/>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10">
    <w:name w:val="xl210"/>
    <w:basedOn w:val="Normal"/>
    <w:rsid w:val="00FB5DF5"/>
    <w:pPr>
      <w:pBdr>
        <w:top w:val="single" w:sz="8" w:space="0" w:color="000000"/>
        <w:left w:val="single" w:sz="8" w:space="0" w:color="auto"/>
        <w:right w:val="single" w:sz="8" w:space="0" w:color="000000"/>
      </w:pBdr>
      <w:shd w:val="clear" w:color="000000" w:fill="FFFF99"/>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211">
    <w:name w:val="xl211"/>
    <w:basedOn w:val="Normal"/>
    <w:rsid w:val="00FB5DF5"/>
    <w:pPr>
      <w:pBdr>
        <w:top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12">
    <w:name w:val="xl212"/>
    <w:basedOn w:val="Normal"/>
    <w:rsid w:val="00FB5DF5"/>
    <w:pPr>
      <w:pBdr>
        <w:top w:val="single" w:sz="8" w:space="0" w:color="auto"/>
        <w:left w:val="single" w:sz="8" w:space="0" w:color="auto"/>
        <w:bottom w:val="single" w:sz="8" w:space="0" w:color="auto"/>
        <w:right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13">
    <w:name w:val="xl213"/>
    <w:basedOn w:val="Normal"/>
    <w:rsid w:val="00FB5DF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14">
    <w:name w:val="xl214"/>
    <w:basedOn w:val="Normal"/>
    <w:rsid w:val="00FB5DF5"/>
    <w:pPr>
      <w:pBdr>
        <w:left w:val="single" w:sz="8" w:space="0" w:color="000000"/>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15">
    <w:name w:val="xl215"/>
    <w:basedOn w:val="Normal"/>
    <w:rsid w:val="00FB5DF5"/>
    <w:pPr>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216">
    <w:name w:val="xl216"/>
    <w:basedOn w:val="Normal"/>
    <w:rsid w:val="00FB5DF5"/>
    <w:pPr>
      <w:pBdr>
        <w:bottom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17">
    <w:name w:val="xl217"/>
    <w:basedOn w:val="Normal"/>
    <w:rsid w:val="00FB5DF5"/>
    <w:pPr>
      <w:pBdr>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18">
    <w:name w:val="xl218"/>
    <w:basedOn w:val="Normal"/>
    <w:rsid w:val="00FB5DF5"/>
    <w:pPr>
      <w:pBdr>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219">
    <w:name w:val="xl219"/>
    <w:basedOn w:val="Normal"/>
    <w:rsid w:val="00FB5DF5"/>
    <w:pPr>
      <w:pBdr>
        <w:top w:val="single" w:sz="8" w:space="0" w:color="000000"/>
        <w:left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20">
    <w:name w:val="xl220"/>
    <w:basedOn w:val="Normal"/>
    <w:rsid w:val="00FB5DF5"/>
    <w:pPr>
      <w:pBdr>
        <w:left w:val="single" w:sz="8" w:space="0" w:color="000000"/>
      </w:pBdr>
      <w:shd w:val="clear" w:color="000000" w:fill="9BD2ED"/>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221">
    <w:name w:val="xl221"/>
    <w:basedOn w:val="Normal"/>
    <w:rsid w:val="00FB5DF5"/>
    <w:pPr>
      <w:pBdr>
        <w:left w:val="single" w:sz="8" w:space="0" w:color="auto"/>
        <w:right w:val="single" w:sz="8" w:space="0" w:color="auto"/>
      </w:pBdr>
      <w:shd w:val="clear" w:color="000000" w:fill="9BD2ED"/>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222">
    <w:name w:val="xl222"/>
    <w:basedOn w:val="Normal"/>
    <w:rsid w:val="00FB5DF5"/>
    <w:pPr>
      <w:pBdr>
        <w:bottom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u w:val="single"/>
      <w:lang w:eastAsia="mk-MK"/>
    </w:rPr>
  </w:style>
  <w:style w:type="paragraph" w:customStyle="1" w:styleId="xl223">
    <w:name w:val="xl223"/>
    <w:basedOn w:val="Normal"/>
    <w:rsid w:val="00FB5DF5"/>
    <w:pPr>
      <w:pBdr>
        <w:left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u w:val="single"/>
      <w:lang w:eastAsia="mk-MK"/>
    </w:rPr>
  </w:style>
  <w:style w:type="paragraph" w:customStyle="1" w:styleId="xl224">
    <w:name w:val="xl224"/>
    <w:basedOn w:val="Normal"/>
    <w:rsid w:val="00FB5DF5"/>
    <w:pPr>
      <w:pBdr>
        <w:top w:val="single" w:sz="8" w:space="0" w:color="000000"/>
        <w:left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25">
    <w:name w:val="xl225"/>
    <w:basedOn w:val="Normal"/>
    <w:rsid w:val="00FB5DF5"/>
    <w:pPr>
      <w:pBdr>
        <w:top w:val="single" w:sz="8" w:space="0" w:color="000000"/>
        <w:left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u w:val="single"/>
      <w:lang w:eastAsia="mk-MK"/>
    </w:rPr>
  </w:style>
  <w:style w:type="paragraph" w:customStyle="1" w:styleId="xl226">
    <w:name w:val="xl226"/>
    <w:basedOn w:val="Normal"/>
    <w:rsid w:val="00FB5DF5"/>
    <w:pPr>
      <w:shd w:val="clear" w:color="000000" w:fill="FFFF99"/>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227">
    <w:name w:val="xl227"/>
    <w:basedOn w:val="Normal"/>
    <w:rsid w:val="00FB5DF5"/>
    <w:pPr>
      <w:pBdr>
        <w:top w:val="single" w:sz="8" w:space="0" w:color="auto"/>
        <w:left w:val="single" w:sz="8" w:space="0" w:color="000000"/>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28">
    <w:name w:val="xl228"/>
    <w:basedOn w:val="Normal"/>
    <w:rsid w:val="00FB5DF5"/>
    <w:pPr>
      <w:pBdr>
        <w:left w:val="single" w:sz="8" w:space="0" w:color="000000"/>
        <w:right w:val="single" w:sz="8" w:space="0" w:color="000000"/>
      </w:pBdr>
      <w:shd w:val="clear" w:color="000000" w:fill="FFFF99"/>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229">
    <w:name w:val="xl229"/>
    <w:basedOn w:val="Normal"/>
    <w:rsid w:val="00FB5DF5"/>
    <w:pPr>
      <w:pBdr>
        <w:top w:val="single" w:sz="8" w:space="0" w:color="000000"/>
        <w:left w:val="single" w:sz="8" w:space="0" w:color="000000"/>
      </w:pBdr>
      <w:shd w:val="clear" w:color="000000" w:fill="9BD2ED"/>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230">
    <w:name w:val="xl230"/>
    <w:basedOn w:val="Normal"/>
    <w:rsid w:val="00FB5DF5"/>
    <w:pPr>
      <w:pBdr>
        <w:top w:val="single" w:sz="8" w:space="0" w:color="000000"/>
        <w:left w:val="single" w:sz="8" w:space="0" w:color="auto"/>
        <w:right w:val="single" w:sz="8" w:space="0" w:color="auto"/>
      </w:pBdr>
      <w:shd w:val="clear" w:color="000000" w:fill="9BD2ED"/>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231">
    <w:name w:val="xl231"/>
    <w:basedOn w:val="Normal"/>
    <w:rsid w:val="00FB5DF5"/>
    <w:pPr>
      <w:pBdr>
        <w:top w:val="single" w:sz="8" w:space="0" w:color="auto"/>
        <w:lef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32">
    <w:name w:val="xl232"/>
    <w:basedOn w:val="Normal"/>
    <w:rsid w:val="00FB5DF5"/>
    <w:pPr>
      <w:pBdr>
        <w:top w:val="single" w:sz="8" w:space="0" w:color="auto"/>
        <w:left w:val="single" w:sz="8" w:space="0" w:color="auto"/>
        <w:bottom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33">
    <w:name w:val="xl233"/>
    <w:basedOn w:val="Normal"/>
    <w:rsid w:val="00FB5DF5"/>
    <w:pPr>
      <w:pBdr>
        <w:bottom w:val="single" w:sz="8" w:space="0" w:color="auto"/>
        <w:right w:val="single" w:sz="8" w:space="0" w:color="000000"/>
      </w:pBdr>
      <w:shd w:val="clear" w:color="000000" w:fill="9BD2ED"/>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234">
    <w:name w:val="xl234"/>
    <w:basedOn w:val="Normal"/>
    <w:rsid w:val="00FB5DF5"/>
    <w:pPr>
      <w:pBdr>
        <w:bottom w:val="single" w:sz="8" w:space="0" w:color="auto"/>
        <w:right w:val="single" w:sz="8" w:space="0" w:color="000000"/>
      </w:pBdr>
      <w:shd w:val="clear" w:color="000000" w:fill="9BD2ED"/>
      <w:spacing w:before="100" w:beforeAutospacing="1" w:after="100" w:afterAutospacing="1" w:line="240" w:lineRule="auto"/>
      <w:jc w:val="both"/>
      <w:textAlignment w:val="center"/>
    </w:pPr>
    <w:rPr>
      <w:rFonts w:ascii="Times New Roman" w:eastAsia="Times New Roman" w:hAnsi="Times New Roman"/>
      <w:b/>
      <w:bCs/>
      <w:sz w:val="20"/>
      <w:szCs w:val="20"/>
      <w:lang w:eastAsia="mk-MK"/>
    </w:rPr>
  </w:style>
  <w:style w:type="paragraph" w:customStyle="1" w:styleId="xl235">
    <w:name w:val="xl235"/>
    <w:basedOn w:val="Normal"/>
    <w:rsid w:val="00FB5DF5"/>
    <w:pPr>
      <w:pBdr>
        <w:top w:val="single" w:sz="8" w:space="0" w:color="000000"/>
        <w:left w:val="single" w:sz="8" w:space="0" w:color="auto"/>
        <w:bottom w:val="single" w:sz="8" w:space="0" w:color="000000"/>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36">
    <w:name w:val="xl236"/>
    <w:basedOn w:val="Normal"/>
    <w:rsid w:val="00FB5DF5"/>
    <w:pPr>
      <w:pBdr>
        <w:top w:val="single" w:sz="8" w:space="0" w:color="000000"/>
        <w:bottom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37">
    <w:name w:val="xl237"/>
    <w:basedOn w:val="Normal"/>
    <w:rsid w:val="00FB5DF5"/>
    <w:pPr>
      <w:pBdr>
        <w:left w:val="single" w:sz="8" w:space="0" w:color="auto"/>
        <w:bottom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38">
    <w:name w:val="xl238"/>
    <w:basedOn w:val="Normal"/>
    <w:rsid w:val="00FB5DF5"/>
    <w:pPr>
      <w:pBdr>
        <w:left w:val="single" w:sz="8" w:space="0" w:color="auto"/>
        <w:bottom w:val="single" w:sz="8" w:space="0" w:color="000000"/>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39">
    <w:name w:val="xl239"/>
    <w:basedOn w:val="Normal"/>
    <w:rsid w:val="00FB5DF5"/>
    <w:pPr>
      <w:pBdr>
        <w:top w:val="single" w:sz="8" w:space="0" w:color="auto"/>
        <w:lef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40">
    <w:name w:val="xl240"/>
    <w:basedOn w:val="Normal"/>
    <w:rsid w:val="00FB5DF5"/>
    <w:pPr>
      <w:pBdr>
        <w:top w:val="single" w:sz="8" w:space="0" w:color="auto"/>
        <w:left w:val="single" w:sz="8" w:space="0" w:color="000000"/>
        <w:bottom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41">
    <w:name w:val="xl241"/>
    <w:basedOn w:val="Normal"/>
    <w:rsid w:val="00FB5DF5"/>
    <w:pPr>
      <w:pBdr>
        <w:top w:val="single" w:sz="8" w:space="0" w:color="auto"/>
        <w:left w:val="single" w:sz="8" w:space="0" w:color="auto"/>
      </w:pBdr>
      <w:shd w:val="clear" w:color="000000" w:fill="FFFF99"/>
      <w:spacing w:before="100" w:beforeAutospacing="1" w:after="100" w:afterAutospacing="1" w:line="240" w:lineRule="auto"/>
      <w:textAlignment w:val="top"/>
    </w:pPr>
    <w:rPr>
      <w:rFonts w:ascii="Times New Roman" w:eastAsia="Times New Roman" w:hAnsi="Times New Roman"/>
      <w:sz w:val="20"/>
      <w:szCs w:val="20"/>
      <w:lang w:eastAsia="mk-MK"/>
    </w:rPr>
  </w:style>
  <w:style w:type="paragraph" w:customStyle="1" w:styleId="xl242">
    <w:name w:val="xl242"/>
    <w:basedOn w:val="Normal"/>
    <w:rsid w:val="00FB5DF5"/>
    <w:pPr>
      <w:pBdr>
        <w:top w:val="single" w:sz="8" w:space="0" w:color="auto"/>
      </w:pBdr>
      <w:shd w:val="clear" w:color="000000" w:fill="FFFF99"/>
      <w:spacing w:before="100" w:beforeAutospacing="1" w:after="100" w:afterAutospacing="1" w:line="240" w:lineRule="auto"/>
      <w:textAlignment w:val="top"/>
    </w:pPr>
    <w:rPr>
      <w:rFonts w:ascii="Times New Roman" w:eastAsia="Times New Roman" w:hAnsi="Times New Roman"/>
      <w:sz w:val="20"/>
      <w:szCs w:val="20"/>
      <w:lang w:eastAsia="mk-MK"/>
    </w:rPr>
  </w:style>
  <w:style w:type="paragraph" w:customStyle="1" w:styleId="xl243">
    <w:name w:val="xl243"/>
    <w:basedOn w:val="Normal"/>
    <w:rsid w:val="00FB5DF5"/>
    <w:pPr>
      <w:pBdr>
        <w:top w:val="single" w:sz="8" w:space="0" w:color="auto"/>
        <w:left w:val="single" w:sz="8" w:space="0" w:color="auto"/>
      </w:pBdr>
      <w:shd w:val="clear" w:color="000000" w:fill="FFFF99"/>
      <w:spacing w:before="100" w:beforeAutospacing="1" w:after="100" w:afterAutospacing="1" w:line="240" w:lineRule="auto"/>
      <w:textAlignment w:val="top"/>
    </w:pPr>
    <w:rPr>
      <w:rFonts w:ascii="Times New Roman" w:eastAsia="Times New Roman" w:hAnsi="Times New Roman"/>
      <w:sz w:val="20"/>
      <w:szCs w:val="20"/>
      <w:lang w:eastAsia="mk-MK"/>
    </w:rPr>
  </w:style>
  <w:style w:type="paragraph" w:customStyle="1" w:styleId="xl244">
    <w:name w:val="xl244"/>
    <w:basedOn w:val="Normal"/>
    <w:rsid w:val="00FB5DF5"/>
    <w:pPr>
      <w:pBdr>
        <w:top w:val="single" w:sz="8" w:space="0" w:color="auto"/>
        <w:left w:val="single" w:sz="8" w:space="0" w:color="auto"/>
        <w:right w:val="single" w:sz="8" w:space="0" w:color="auto"/>
      </w:pBdr>
      <w:shd w:val="clear" w:color="000000" w:fill="FFFF99"/>
      <w:spacing w:before="100" w:beforeAutospacing="1" w:after="100" w:afterAutospacing="1" w:line="240" w:lineRule="auto"/>
      <w:textAlignment w:val="top"/>
    </w:pPr>
    <w:rPr>
      <w:rFonts w:ascii="Times New Roman" w:eastAsia="Times New Roman" w:hAnsi="Times New Roman"/>
      <w:sz w:val="20"/>
      <w:szCs w:val="20"/>
      <w:lang w:eastAsia="mk-MK"/>
    </w:rPr>
  </w:style>
  <w:style w:type="paragraph" w:customStyle="1" w:styleId="xl245">
    <w:name w:val="xl245"/>
    <w:basedOn w:val="Normal"/>
    <w:rsid w:val="00FB5DF5"/>
    <w:pPr>
      <w:pBdr>
        <w:top w:val="single" w:sz="8" w:space="0" w:color="auto"/>
        <w:bottom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46">
    <w:name w:val="xl246"/>
    <w:basedOn w:val="Normal"/>
    <w:rsid w:val="00FB5DF5"/>
    <w:pPr>
      <w:pBdr>
        <w:top w:val="single" w:sz="8" w:space="0" w:color="auto"/>
        <w:left w:val="single" w:sz="8" w:space="0" w:color="000000"/>
        <w:bottom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47">
    <w:name w:val="xl247"/>
    <w:basedOn w:val="Normal"/>
    <w:rsid w:val="00FB5DF5"/>
    <w:pPr>
      <w:pBdr>
        <w:top w:val="single" w:sz="8" w:space="0" w:color="auto"/>
        <w:left w:val="single" w:sz="8" w:space="0" w:color="000000"/>
        <w:bottom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48">
    <w:name w:val="xl248"/>
    <w:basedOn w:val="Normal"/>
    <w:rsid w:val="00FB5DF5"/>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49">
    <w:name w:val="xl249"/>
    <w:basedOn w:val="Normal"/>
    <w:rsid w:val="00FB5DF5"/>
    <w:pPr>
      <w:pBdr>
        <w:top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50">
    <w:name w:val="xl250"/>
    <w:basedOn w:val="Normal"/>
    <w:rsid w:val="00FB5DF5"/>
    <w:pPr>
      <w:pBdr>
        <w:top w:val="single" w:sz="8" w:space="0" w:color="auto"/>
        <w:left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51">
    <w:name w:val="xl251"/>
    <w:basedOn w:val="Normal"/>
    <w:rsid w:val="00FB5DF5"/>
    <w:pPr>
      <w:pBdr>
        <w:top w:val="single" w:sz="8" w:space="0" w:color="auto"/>
        <w:left w:val="single" w:sz="8" w:space="0" w:color="000000"/>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52">
    <w:name w:val="xl252"/>
    <w:basedOn w:val="Normal"/>
    <w:rsid w:val="00FB5DF5"/>
    <w:pPr>
      <w:pBdr>
        <w:lef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53">
    <w:name w:val="xl253"/>
    <w:basedOn w:val="Normal"/>
    <w:rsid w:val="00FB5DF5"/>
    <w:pPr>
      <w:pBdr>
        <w:top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54">
    <w:name w:val="xl254"/>
    <w:basedOn w:val="Normal"/>
    <w:rsid w:val="00FB5DF5"/>
    <w:pPr>
      <w:pBdr>
        <w:top w:val="single" w:sz="8" w:space="0" w:color="000000"/>
        <w:left w:val="single" w:sz="8" w:space="0" w:color="auto"/>
        <w:bottom w:val="single" w:sz="8" w:space="0" w:color="000000"/>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b/>
      <w:bCs/>
      <w:sz w:val="20"/>
      <w:szCs w:val="20"/>
      <w:lang w:eastAsia="mk-MK"/>
    </w:rPr>
  </w:style>
  <w:style w:type="paragraph" w:customStyle="1" w:styleId="xl255">
    <w:name w:val="xl255"/>
    <w:basedOn w:val="Normal"/>
    <w:rsid w:val="00FB5DF5"/>
    <w:pPr>
      <w:pBdr>
        <w:bottom w:val="single" w:sz="8" w:space="0" w:color="000000"/>
        <w:right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b/>
      <w:bCs/>
      <w:sz w:val="20"/>
      <w:szCs w:val="20"/>
      <w:lang w:eastAsia="mk-MK"/>
    </w:rPr>
  </w:style>
  <w:style w:type="paragraph" w:customStyle="1" w:styleId="xl256">
    <w:name w:val="xl256"/>
    <w:basedOn w:val="Normal"/>
    <w:rsid w:val="00FB5DF5"/>
    <w:pPr>
      <w:pBdr>
        <w:top w:val="single" w:sz="8" w:space="0" w:color="auto"/>
        <w:left w:val="single" w:sz="8" w:space="0" w:color="000000"/>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57">
    <w:name w:val="xl257"/>
    <w:basedOn w:val="Normal"/>
    <w:rsid w:val="00FB5DF5"/>
    <w:pPr>
      <w:pBdr>
        <w:top w:val="single" w:sz="8" w:space="0" w:color="auto"/>
        <w:left w:val="single" w:sz="8" w:space="0" w:color="auto"/>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258">
    <w:name w:val="xl258"/>
    <w:basedOn w:val="Normal"/>
    <w:rsid w:val="00FB5DF5"/>
    <w:pPr>
      <w:pBdr>
        <w:top w:val="single" w:sz="8" w:space="0" w:color="auto"/>
        <w:left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259">
    <w:name w:val="xl259"/>
    <w:basedOn w:val="Normal"/>
    <w:rsid w:val="00FB5DF5"/>
    <w:pPr>
      <w:pBdr>
        <w:top w:val="single" w:sz="8" w:space="0" w:color="auto"/>
        <w:left w:val="single" w:sz="8" w:space="0" w:color="000000"/>
        <w:right w:val="single" w:sz="8" w:space="0" w:color="000000"/>
      </w:pBdr>
      <w:shd w:val="clear" w:color="000000" w:fill="FFFF99"/>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260">
    <w:name w:val="xl260"/>
    <w:basedOn w:val="Normal"/>
    <w:rsid w:val="00FB5DF5"/>
    <w:pPr>
      <w:pBdr>
        <w:top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61">
    <w:name w:val="xl261"/>
    <w:basedOn w:val="Normal"/>
    <w:rsid w:val="00FB5DF5"/>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62">
    <w:name w:val="xl262"/>
    <w:basedOn w:val="Normal"/>
    <w:rsid w:val="00FB5DF5"/>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63">
    <w:name w:val="xl263"/>
    <w:basedOn w:val="Normal"/>
    <w:rsid w:val="00FB5DF5"/>
    <w:pPr>
      <w:pBdr>
        <w:top w:val="single" w:sz="8" w:space="0" w:color="000000"/>
        <w:lef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64">
    <w:name w:val="xl264"/>
    <w:basedOn w:val="Normal"/>
    <w:rsid w:val="00FB5DF5"/>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265">
    <w:name w:val="xl265"/>
    <w:basedOn w:val="Normal"/>
    <w:rsid w:val="00FB5DF5"/>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266">
    <w:name w:val="xl266"/>
    <w:basedOn w:val="Normal"/>
    <w:rsid w:val="00FB5DF5"/>
    <w:pPr>
      <w:pBdr>
        <w:bottom w:val="single" w:sz="8" w:space="0" w:color="000000"/>
      </w:pBdr>
      <w:shd w:val="clear" w:color="000000" w:fill="9BD2ED"/>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267">
    <w:name w:val="xl267"/>
    <w:basedOn w:val="Normal"/>
    <w:rsid w:val="00FB5DF5"/>
    <w:pPr>
      <w:pBdr>
        <w:bottom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68">
    <w:name w:val="xl268"/>
    <w:basedOn w:val="Normal"/>
    <w:rsid w:val="00FB5DF5"/>
    <w:pPr>
      <w:pBdr>
        <w:top w:val="single" w:sz="8" w:space="0" w:color="auto"/>
        <w:left w:val="single" w:sz="8" w:space="0" w:color="000000"/>
        <w:bottom w:val="single" w:sz="8" w:space="0" w:color="auto"/>
        <w:right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69">
    <w:name w:val="xl269"/>
    <w:basedOn w:val="Normal"/>
    <w:rsid w:val="00FB5DF5"/>
    <w:pPr>
      <w:pBdr>
        <w:left w:val="single" w:sz="8" w:space="0" w:color="auto"/>
        <w:bottom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70">
    <w:name w:val="xl270"/>
    <w:basedOn w:val="Normal"/>
    <w:rsid w:val="00FB5DF5"/>
    <w:pPr>
      <w:pBdr>
        <w:bottom w:val="single" w:sz="8" w:space="0" w:color="000000"/>
        <w:right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71">
    <w:name w:val="xl271"/>
    <w:basedOn w:val="Normal"/>
    <w:rsid w:val="00FB5DF5"/>
    <w:pPr>
      <w:pBdr>
        <w:left w:val="single" w:sz="8" w:space="0" w:color="000000"/>
        <w:bottom w:val="single" w:sz="8" w:space="0" w:color="000000"/>
        <w:right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272">
    <w:name w:val="xl272"/>
    <w:basedOn w:val="Normal"/>
    <w:rsid w:val="00FB5DF5"/>
    <w:pPr>
      <w:pBdr>
        <w:left w:val="single" w:sz="8" w:space="0" w:color="000000"/>
        <w:bottom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73">
    <w:name w:val="xl273"/>
    <w:basedOn w:val="Normal"/>
    <w:rsid w:val="00FB5DF5"/>
    <w:pPr>
      <w:pBdr>
        <w:top w:val="single" w:sz="8" w:space="0" w:color="000000"/>
        <w:left w:val="single" w:sz="8" w:space="0" w:color="auto"/>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74">
    <w:name w:val="xl274"/>
    <w:basedOn w:val="Normal"/>
    <w:rsid w:val="00FB5DF5"/>
    <w:pPr>
      <w:pBdr>
        <w:top w:val="single" w:sz="8" w:space="0" w:color="auto"/>
        <w:left w:val="single" w:sz="8" w:space="0" w:color="000000"/>
        <w:bottom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75">
    <w:name w:val="xl275"/>
    <w:basedOn w:val="Normal"/>
    <w:rsid w:val="00FB5DF5"/>
    <w:pPr>
      <w:pBdr>
        <w:left w:val="single" w:sz="8" w:space="0" w:color="000000"/>
        <w:bottom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76">
    <w:name w:val="xl276"/>
    <w:basedOn w:val="Normal"/>
    <w:rsid w:val="00FB5DF5"/>
    <w:pPr>
      <w:pBdr>
        <w:left w:val="single" w:sz="8" w:space="0" w:color="000000"/>
        <w:bottom w:val="single" w:sz="8" w:space="0" w:color="000000"/>
        <w:right w:val="single" w:sz="8" w:space="0" w:color="000000"/>
      </w:pBdr>
      <w:shd w:val="clear" w:color="000000" w:fill="FFFF99"/>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277">
    <w:name w:val="xl277"/>
    <w:basedOn w:val="Normal"/>
    <w:rsid w:val="00FB5DF5"/>
    <w:pPr>
      <w:pBdr>
        <w:top w:val="single" w:sz="8" w:space="0" w:color="000000"/>
        <w:left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78">
    <w:name w:val="xl278"/>
    <w:basedOn w:val="Normal"/>
    <w:rsid w:val="00FB5DF5"/>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line="240" w:lineRule="auto"/>
    </w:pPr>
    <w:rPr>
      <w:rFonts w:ascii="Times New Roman" w:eastAsia="Times New Roman" w:hAnsi="Times New Roman"/>
      <w:sz w:val="20"/>
      <w:szCs w:val="20"/>
      <w:lang w:eastAsia="mk-MK"/>
    </w:rPr>
  </w:style>
  <w:style w:type="paragraph" w:customStyle="1" w:styleId="xl279">
    <w:name w:val="xl279"/>
    <w:basedOn w:val="Normal"/>
    <w:rsid w:val="00FB5DF5"/>
    <w:pPr>
      <w:shd w:val="clear" w:color="000000" w:fill="9BD2ED"/>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280">
    <w:name w:val="xl280"/>
    <w:basedOn w:val="Normal"/>
    <w:rsid w:val="00FB5DF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mk-MK"/>
    </w:rPr>
  </w:style>
  <w:style w:type="paragraph" w:customStyle="1" w:styleId="xl281">
    <w:name w:val="xl281"/>
    <w:basedOn w:val="Normal"/>
    <w:rsid w:val="00FB5DF5"/>
    <w:pPr>
      <w:pBdr>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82">
    <w:name w:val="xl282"/>
    <w:basedOn w:val="Normal"/>
    <w:rsid w:val="00FB5DF5"/>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83">
    <w:name w:val="xl283"/>
    <w:basedOn w:val="Normal"/>
    <w:rsid w:val="00FB5DF5"/>
    <w:pPr>
      <w:pBdr>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mk-MK"/>
    </w:rPr>
  </w:style>
  <w:style w:type="paragraph" w:customStyle="1" w:styleId="xl284">
    <w:name w:val="xl284"/>
    <w:basedOn w:val="Normal"/>
    <w:rsid w:val="00FB5DF5"/>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85">
    <w:name w:val="xl285"/>
    <w:basedOn w:val="Normal"/>
    <w:rsid w:val="00FB5DF5"/>
    <w:pPr>
      <w:pBdr>
        <w:top w:val="single" w:sz="8" w:space="0" w:color="auto"/>
      </w:pBdr>
      <w:spacing w:before="100" w:beforeAutospacing="1" w:after="100" w:afterAutospacing="1" w:line="240" w:lineRule="auto"/>
      <w:jc w:val="center"/>
    </w:pPr>
    <w:rPr>
      <w:rFonts w:ascii="Times New Roman" w:eastAsia="Times New Roman" w:hAnsi="Times New Roman"/>
      <w:sz w:val="20"/>
      <w:szCs w:val="20"/>
      <w:lang w:eastAsia="mk-MK"/>
    </w:rPr>
  </w:style>
  <w:style w:type="paragraph" w:customStyle="1" w:styleId="xl286">
    <w:name w:val="xl286"/>
    <w:basedOn w:val="Normal"/>
    <w:rsid w:val="00FB5DF5"/>
    <w:pPr>
      <w:spacing w:before="100" w:beforeAutospacing="1" w:after="100" w:afterAutospacing="1" w:line="240" w:lineRule="auto"/>
      <w:jc w:val="center"/>
    </w:pPr>
    <w:rPr>
      <w:rFonts w:ascii="Times New Roman" w:eastAsia="Times New Roman" w:hAnsi="Times New Roman"/>
      <w:sz w:val="20"/>
      <w:szCs w:val="20"/>
      <w:lang w:eastAsia="mk-MK"/>
    </w:rPr>
  </w:style>
  <w:style w:type="paragraph" w:customStyle="1" w:styleId="xl287">
    <w:name w:val="xl287"/>
    <w:basedOn w:val="Normal"/>
    <w:rsid w:val="00FB5DF5"/>
    <w:pPr>
      <w:pBdr>
        <w:top w:val="single" w:sz="8" w:space="0" w:color="auto"/>
        <w:left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88">
    <w:name w:val="xl288"/>
    <w:basedOn w:val="Normal"/>
    <w:rsid w:val="00FB5DF5"/>
    <w:pPr>
      <w:pBdr>
        <w:left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89">
    <w:name w:val="xl289"/>
    <w:basedOn w:val="Normal"/>
    <w:rsid w:val="00FB5DF5"/>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90">
    <w:name w:val="xl290"/>
    <w:basedOn w:val="Normal"/>
    <w:rsid w:val="00FB5DF5"/>
    <w:pPr>
      <w:pBdr>
        <w:lef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91">
    <w:name w:val="xl291"/>
    <w:basedOn w:val="Normal"/>
    <w:rsid w:val="00FB5DF5"/>
    <w:pPr>
      <w:pBdr>
        <w:top w:val="single" w:sz="8" w:space="0" w:color="auto"/>
        <w:left w:val="single" w:sz="8" w:space="0" w:color="auto"/>
        <w:bottom w:val="single" w:sz="8" w:space="0" w:color="auto"/>
      </w:pBdr>
      <w:shd w:val="clear" w:color="000000" w:fill="FFFF99"/>
      <w:spacing w:before="100" w:beforeAutospacing="1" w:after="100" w:afterAutospacing="1" w:line="240" w:lineRule="auto"/>
      <w:textAlignment w:val="top"/>
    </w:pPr>
    <w:rPr>
      <w:rFonts w:ascii="Times New Roman" w:eastAsia="Times New Roman" w:hAnsi="Times New Roman"/>
      <w:sz w:val="20"/>
      <w:szCs w:val="20"/>
      <w:lang w:eastAsia="mk-MK"/>
    </w:rPr>
  </w:style>
  <w:style w:type="paragraph" w:customStyle="1" w:styleId="xl292">
    <w:name w:val="xl292"/>
    <w:basedOn w:val="Normal"/>
    <w:rsid w:val="00FB5DF5"/>
    <w:pPr>
      <w:pBdr>
        <w:top w:val="single" w:sz="8" w:space="0" w:color="000000"/>
        <w:lef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93">
    <w:name w:val="xl293"/>
    <w:basedOn w:val="Normal"/>
    <w:rsid w:val="00FB5DF5"/>
    <w:pPr>
      <w:pBdr>
        <w:top w:val="single" w:sz="8" w:space="0" w:color="000000"/>
        <w:left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94">
    <w:name w:val="xl294"/>
    <w:basedOn w:val="Normal"/>
    <w:rsid w:val="00FB5DF5"/>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mk-MK"/>
    </w:rPr>
  </w:style>
  <w:style w:type="paragraph" w:customStyle="1" w:styleId="xl295">
    <w:name w:val="xl295"/>
    <w:basedOn w:val="Normal"/>
    <w:rsid w:val="00FB5DF5"/>
    <w:pPr>
      <w:pBdr>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mk-MK"/>
    </w:rPr>
  </w:style>
  <w:style w:type="paragraph" w:customStyle="1" w:styleId="xl296">
    <w:name w:val="xl296"/>
    <w:basedOn w:val="Normal"/>
    <w:rsid w:val="00FB5DF5"/>
    <w:pPr>
      <w:pBdr>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97">
    <w:name w:val="xl297"/>
    <w:basedOn w:val="Normal"/>
    <w:rsid w:val="00FB5DF5"/>
    <w:pPr>
      <w:pBdr>
        <w:top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98">
    <w:name w:val="xl298"/>
    <w:basedOn w:val="Normal"/>
    <w:rsid w:val="00FB5DF5"/>
    <w:pPr>
      <w:pBdr>
        <w:bottom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299">
    <w:name w:val="xl299"/>
    <w:basedOn w:val="Normal"/>
    <w:rsid w:val="00FB5DF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mk-MK"/>
    </w:rPr>
  </w:style>
  <w:style w:type="paragraph" w:customStyle="1" w:styleId="xl300">
    <w:name w:val="xl300"/>
    <w:basedOn w:val="Normal"/>
    <w:rsid w:val="00FB5DF5"/>
    <w:pPr>
      <w:pBdr>
        <w:bottom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01">
    <w:name w:val="xl301"/>
    <w:basedOn w:val="Normal"/>
    <w:rsid w:val="00FB5DF5"/>
    <w:pPr>
      <w:pBdr>
        <w:top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02">
    <w:name w:val="xl302"/>
    <w:basedOn w:val="Normal"/>
    <w:rsid w:val="00FB5DF5"/>
    <w:pPr>
      <w:pBdr>
        <w:top w:val="single" w:sz="8" w:space="0" w:color="000000"/>
        <w:left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03">
    <w:name w:val="xl303"/>
    <w:basedOn w:val="Normal"/>
    <w:rsid w:val="00FB5DF5"/>
    <w:pPr>
      <w:pBdr>
        <w:top w:val="single" w:sz="8" w:space="0" w:color="auto"/>
        <w:left w:val="single" w:sz="8" w:space="0" w:color="000000"/>
        <w:bottom w:val="single" w:sz="8" w:space="0" w:color="auto"/>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04">
    <w:name w:val="xl304"/>
    <w:basedOn w:val="Normal"/>
    <w:rsid w:val="00FB5DF5"/>
    <w:pPr>
      <w:spacing w:before="100" w:beforeAutospacing="1" w:after="100" w:afterAutospacing="1" w:line="240" w:lineRule="auto"/>
    </w:pPr>
    <w:rPr>
      <w:rFonts w:ascii="Times New Roman" w:eastAsia="Times New Roman" w:hAnsi="Times New Roman"/>
      <w:color w:val="FFFFFF"/>
      <w:sz w:val="20"/>
      <w:szCs w:val="20"/>
      <w:lang w:eastAsia="mk-MK"/>
    </w:rPr>
  </w:style>
  <w:style w:type="paragraph" w:customStyle="1" w:styleId="xl305">
    <w:name w:val="xl305"/>
    <w:basedOn w:val="Normal"/>
    <w:rsid w:val="00FB5DF5"/>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sz w:val="20"/>
      <w:szCs w:val="20"/>
      <w:lang w:eastAsia="mk-MK"/>
    </w:rPr>
  </w:style>
  <w:style w:type="paragraph" w:customStyle="1" w:styleId="xl306">
    <w:name w:val="xl306"/>
    <w:basedOn w:val="Normal"/>
    <w:rsid w:val="00FB5DF5"/>
    <w:pPr>
      <w:pBdr>
        <w:top w:val="single" w:sz="8" w:space="0" w:color="auto"/>
        <w:left w:val="single" w:sz="8" w:space="0" w:color="000000"/>
        <w:bottom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07">
    <w:name w:val="xl307"/>
    <w:basedOn w:val="Normal"/>
    <w:rsid w:val="00FB5DF5"/>
    <w:pPr>
      <w:pBdr>
        <w:left w:val="single" w:sz="8" w:space="0" w:color="000000"/>
        <w:right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308">
    <w:name w:val="xl308"/>
    <w:basedOn w:val="Normal"/>
    <w:rsid w:val="00FB5DF5"/>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309">
    <w:name w:val="xl309"/>
    <w:basedOn w:val="Normal"/>
    <w:rsid w:val="00FB5DF5"/>
    <w:pPr>
      <w:pBdr>
        <w:top w:val="single" w:sz="8" w:space="0" w:color="auto"/>
        <w:left w:val="single" w:sz="8" w:space="0" w:color="auto"/>
        <w:bottom w:val="single" w:sz="8" w:space="0" w:color="auto"/>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10">
    <w:name w:val="xl310"/>
    <w:basedOn w:val="Normal"/>
    <w:rsid w:val="00FB5DF5"/>
    <w:pPr>
      <w:pBdr>
        <w:left w:val="single" w:sz="8" w:space="0" w:color="auto"/>
        <w:bottom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11">
    <w:name w:val="xl311"/>
    <w:basedOn w:val="Normal"/>
    <w:rsid w:val="00FB5DF5"/>
    <w:pPr>
      <w:pBdr>
        <w:left w:val="single" w:sz="8" w:space="0" w:color="auto"/>
        <w:bottom w:val="single" w:sz="8" w:space="0" w:color="auto"/>
      </w:pBdr>
      <w:shd w:val="clear" w:color="000000" w:fill="9BD2ED"/>
      <w:spacing w:before="100" w:beforeAutospacing="1" w:after="100" w:afterAutospacing="1" w:line="240" w:lineRule="auto"/>
      <w:textAlignment w:val="center"/>
    </w:pPr>
    <w:rPr>
      <w:rFonts w:ascii="Times New Roman" w:eastAsia="Times New Roman" w:hAnsi="Times New Roman"/>
      <w:b/>
      <w:bCs/>
      <w:sz w:val="20"/>
      <w:szCs w:val="20"/>
      <w:lang w:eastAsia="mk-MK"/>
    </w:rPr>
  </w:style>
  <w:style w:type="paragraph" w:customStyle="1" w:styleId="xl312">
    <w:name w:val="xl312"/>
    <w:basedOn w:val="Normal"/>
    <w:rsid w:val="00FB5DF5"/>
    <w:pPr>
      <w:pBdr>
        <w:bottom w:val="single" w:sz="8" w:space="0" w:color="auto"/>
      </w:pBdr>
      <w:shd w:val="clear" w:color="000000" w:fill="9BD2ED"/>
      <w:spacing w:before="100" w:beforeAutospacing="1" w:after="100" w:afterAutospacing="1" w:line="240" w:lineRule="auto"/>
      <w:textAlignment w:val="center"/>
    </w:pPr>
    <w:rPr>
      <w:rFonts w:ascii="Times New Roman" w:eastAsia="Times New Roman" w:hAnsi="Times New Roman"/>
      <w:b/>
      <w:bCs/>
      <w:sz w:val="20"/>
      <w:szCs w:val="20"/>
      <w:lang w:eastAsia="mk-MK"/>
    </w:rPr>
  </w:style>
  <w:style w:type="paragraph" w:customStyle="1" w:styleId="xl313">
    <w:name w:val="xl313"/>
    <w:basedOn w:val="Normal"/>
    <w:rsid w:val="00FB5DF5"/>
    <w:pPr>
      <w:pBdr>
        <w:bottom w:val="single" w:sz="8" w:space="0" w:color="auto"/>
        <w:right w:val="single" w:sz="8" w:space="0" w:color="auto"/>
      </w:pBdr>
      <w:shd w:val="clear" w:color="000000" w:fill="9BD2ED"/>
      <w:spacing w:before="100" w:beforeAutospacing="1" w:after="100" w:afterAutospacing="1" w:line="240" w:lineRule="auto"/>
      <w:textAlignment w:val="center"/>
    </w:pPr>
    <w:rPr>
      <w:rFonts w:ascii="Times New Roman" w:eastAsia="Times New Roman" w:hAnsi="Times New Roman"/>
      <w:b/>
      <w:bCs/>
      <w:sz w:val="20"/>
      <w:szCs w:val="20"/>
      <w:lang w:eastAsia="mk-MK"/>
    </w:rPr>
  </w:style>
  <w:style w:type="paragraph" w:customStyle="1" w:styleId="xl314">
    <w:name w:val="xl314"/>
    <w:basedOn w:val="Normal"/>
    <w:rsid w:val="00FB5DF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mk-MK"/>
    </w:rPr>
  </w:style>
  <w:style w:type="paragraph" w:customStyle="1" w:styleId="xl315">
    <w:name w:val="xl315"/>
    <w:basedOn w:val="Normal"/>
    <w:rsid w:val="00FB5DF5"/>
    <w:pPr>
      <w:pBdr>
        <w:top w:val="single" w:sz="8" w:space="0" w:color="auto"/>
        <w:left w:val="single" w:sz="8" w:space="0" w:color="auto"/>
        <w:bottom w:val="single" w:sz="8" w:space="0" w:color="auto"/>
      </w:pBdr>
      <w:shd w:val="clear" w:color="000000" w:fill="9BD2ED"/>
      <w:spacing w:before="100" w:beforeAutospacing="1" w:after="100" w:afterAutospacing="1" w:line="240" w:lineRule="auto"/>
      <w:textAlignment w:val="center"/>
    </w:pPr>
    <w:rPr>
      <w:rFonts w:ascii="Times New Roman" w:eastAsia="Times New Roman" w:hAnsi="Times New Roman"/>
      <w:b/>
      <w:bCs/>
      <w:sz w:val="20"/>
      <w:szCs w:val="20"/>
      <w:lang w:eastAsia="mk-MK"/>
    </w:rPr>
  </w:style>
  <w:style w:type="paragraph" w:customStyle="1" w:styleId="xl316">
    <w:name w:val="xl316"/>
    <w:basedOn w:val="Normal"/>
    <w:rsid w:val="00FB5DF5"/>
    <w:pPr>
      <w:pBdr>
        <w:top w:val="single" w:sz="8" w:space="0" w:color="auto"/>
        <w:bottom w:val="single" w:sz="8" w:space="0" w:color="auto"/>
      </w:pBdr>
      <w:shd w:val="clear" w:color="000000" w:fill="9BD2ED"/>
      <w:spacing w:before="100" w:beforeAutospacing="1" w:after="100" w:afterAutospacing="1" w:line="240" w:lineRule="auto"/>
      <w:textAlignment w:val="center"/>
    </w:pPr>
    <w:rPr>
      <w:rFonts w:ascii="Times New Roman" w:eastAsia="Times New Roman" w:hAnsi="Times New Roman"/>
      <w:b/>
      <w:bCs/>
      <w:sz w:val="20"/>
      <w:szCs w:val="20"/>
      <w:lang w:eastAsia="mk-MK"/>
    </w:rPr>
  </w:style>
  <w:style w:type="paragraph" w:customStyle="1" w:styleId="xl317">
    <w:name w:val="xl317"/>
    <w:basedOn w:val="Normal"/>
    <w:rsid w:val="00FB5DF5"/>
    <w:pPr>
      <w:pBdr>
        <w:top w:val="single" w:sz="8" w:space="0" w:color="auto"/>
        <w:bottom w:val="single" w:sz="8" w:space="0" w:color="auto"/>
        <w:right w:val="single" w:sz="8" w:space="0" w:color="auto"/>
      </w:pBdr>
      <w:shd w:val="clear" w:color="000000" w:fill="9BD2ED"/>
      <w:spacing w:before="100" w:beforeAutospacing="1" w:after="100" w:afterAutospacing="1" w:line="240" w:lineRule="auto"/>
      <w:textAlignment w:val="center"/>
    </w:pPr>
    <w:rPr>
      <w:rFonts w:ascii="Times New Roman" w:eastAsia="Times New Roman" w:hAnsi="Times New Roman"/>
      <w:b/>
      <w:bCs/>
      <w:sz w:val="20"/>
      <w:szCs w:val="20"/>
      <w:lang w:eastAsia="mk-MK"/>
    </w:rPr>
  </w:style>
  <w:style w:type="paragraph" w:customStyle="1" w:styleId="xl318">
    <w:name w:val="xl318"/>
    <w:basedOn w:val="Normal"/>
    <w:rsid w:val="00FB5DF5"/>
    <w:pPr>
      <w:pBdr>
        <w:left w:val="single" w:sz="8" w:space="0" w:color="000000"/>
        <w:bottom w:val="single" w:sz="8" w:space="0" w:color="000000"/>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319">
    <w:name w:val="xl319"/>
    <w:basedOn w:val="Normal"/>
    <w:rsid w:val="00FB5DF5"/>
    <w:pPr>
      <w:pBdr>
        <w:bottom w:val="single" w:sz="8" w:space="0" w:color="000000"/>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320">
    <w:name w:val="xl320"/>
    <w:basedOn w:val="Normal"/>
    <w:rsid w:val="00FB5DF5"/>
    <w:pPr>
      <w:pBdr>
        <w:bottom w:val="single" w:sz="8" w:space="0" w:color="000000"/>
        <w:right w:val="single" w:sz="8" w:space="0" w:color="000000"/>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321">
    <w:name w:val="xl321"/>
    <w:basedOn w:val="Normal"/>
    <w:rsid w:val="00FB5DF5"/>
    <w:pPr>
      <w:pBdr>
        <w:top w:val="single" w:sz="8" w:space="0" w:color="000000"/>
        <w:left w:val="single" w:sz="8" w:space="0" w:color="000000"/>
        <w:bottom w:val="single" w:sz="8" w:space="0" w:color="000000"/>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322">
    <w:name w:val="xl322"/>
    <w:basedOn w:val="Normal"/>
    <w:rsid w:val="00FB5DF5"/>
    <w:pPr>
      <w:pBdr>
        <w:top w:val="single" w:sz="8" w:space="0" w:color="000000"/>
        <w:bottom w:val="single" w:sz="8" w:space="0" w:color="000000"/>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323">
    <w:name w:val="xl323"/>
    <w:basedOn w:val="Normal"/>
    <w:rsid w:val="00FB5DF5"/>
    <w:pPr>
      <w:pBdr>
        <w:top w:val="single" w:sz="8" w:space="0" w:color="000000"/>
        <w:bottom w:val="single" w:sz="8" w:space="0" w:color="000000"/>
        <w:right w:val="single" w:sz="8" w:space="0" w:color="000000"/>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324">
    <w:name w:val="xl324"/>
    <w:basedOn w:val="Normal"/>
    <w:rsid w:val="00FB5DF5"/>
    <w:pPr>
      <w:pBdr>
        <w:top w:val="single" w:sz="8" w:space="0" w:color="000000"/>
        <w:bottom w:val="single" w:sz="8" w:space="0" w:color="000000"/>
        <w:right w:val="single" w:sz="8" w:space="0" w:color="000000"/>
      </w:pBdr>
      <w:shd w:val="clear" w:color="000000" w:fill="9BD2ED"/>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325">
    <w:name w:val="xl325"/>
    <w:basedOn w:val="Normal"/>
    <w:rsid w:val="00FB5DF5"/>
    <w:pPr>
      <w:pBdr>
        <w:left w:val="single" w:sz="8" w:space="0" w:color="000000"/>
        <w:bottom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326">
    <w:name w:val="xl326"/>
    <w:basedOn w:val="Normal"/>
    <w:rsid w:val="00FB5DF5"/>
    <w:pPr>
      <w:pBdr>
        <w:bottom w:val="single" w:sz="8" w:space="0" w:color="auto"/>
        <w:right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327">
    <w:name w:val="xl327"/>
    <w:basedOn w:val="Normal"/>
    <w:rsid w:val="00FB5DF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28">
    <w:name w:val="xl328"/>
    <w:basedOn w:val="Normal"/>
    <w:rsid w:val="00FB5DF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29">
    <w:name w:val="xl329"/>
    <w:basedOn w:val="Normal"/>
    <w:rsid w:val="00FB5DF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30">
    <w:name w:val="xl330"/>
    <w:basedOn w:val="Normal"/>
    <w:rsid w:val="00FB5D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31">
    <w:name w:val="xl331"/>
    <w:basedOn w:val="Normal"/>
    <w:rsid w:val="00FB5DF5"/>
    <w:pPr>
      <w:pBdr>
        <w:bottom w:val="single" w:sz="8"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32">
    <w:name w:val="xl332"/>
    <w:basedOn w:val="Normal"/>
    <w:rsid w:val="00FB5DF5"/>
    <w:pPr>
      <w:pBdr>
        <w:top w:val="single" w:sz="8" w:space="0" w:color="000000"/>
        <w:left w:val="single" w:sz="8" w:space="0" w:color="000000"/>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333">
    <w:name w:val="xl333"/>
    <w:basedOn w:val="Normal"/>
    <w:rsid w:val="00FB5DF5"/>
    <w:pPr>
      <w:pBdr>
        <w:top w:val="single" w:sz="8" w:space="0" w:color="000000"/>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334">
    <w:name w:val="xl334"/>
    <w:basedOn w:val="Normal"/>
    <w:rsid w:val="00FB5DF5"/>
    <w:pPr>
      <w:pBdr>
        <w:top w:val="single" w:sz="8" w:space="0" w:color="000000"/>
        <w:right w:val="single" w:sz="8" w:space="0" w:color="000000"/>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335">
    <w:name w:val="xl335"/>
    <w:basedOn w:val="Normal"/>
    <w:rsid w:val="00FB5DF5"/>
    <w:pPr>
      <w:pBdr>
        <w:top w:val="single" w:sz="8" w:space="0" w:color="000000"/>
        <w:left w:val="single" w:sz="8" w:space="0" w:color="000000"/>
        <w:bottom w:val="single" w:sz="8" w:space="0" w:color="auto"/>
      </w:pBdr>
      <w:shd w:val="clear" w:color="000000" w:fill="9BD2ED"/>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336">
    <w:name w:val="xl336"/>
    <w:basedOn w:val="Normal"/>
    <w:rsid w:val="00FB5DF5"/>
    <w:pPr>
      <w:pBdr>
        <w:top w:val="single" w:sz="8" w:space="0" w:color="000000"/>
        <w:bottom w:val="single" w:sz="8" w:space="0" w:color="auto"/>
        <w:right w:val="single" w:sz="8" w:space="0" w:color="000000"/>
      </w:pBdr>
      <w:shd w:val="clear" w:color="000000" w:fill="9BD2ED"/>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337">
    <w:name w:val="xl337"/>
    <w:basedOn w:val="Normal"/>
    <w:rsid w:val="00FB5DF5"/>
    <w:pPr>
      <w:pBdr>
        <w:top w:val="single" w:sz="8" w:space="0" w:color="auto"/>
        <w:bottom w:val="single" w:sz="8" w:space="0" w:color="auto"/>
        <w:right w:val="single" w:sz="8" w:space="0" w:color="auto"/>
      </w:pBdr>
      <w:shd w:val="clear" w:color="000000" w:fill="FFFF99"/>
      <w:spacing w:before="100" w:beforeAutospacing="1" w:after="100" w:afterAutospacing="1" w:line="240" w:lineRule="auto"/>
      <w:textAlignment w:val="top"/>
    </w:pPr>
    <w:rPr>
      <w:rFonts w:ascii="Times New Roman" w:eastAsia="Times New Roman" w:hAnsi="Times New Roman"/>
      <w:sz w:val="20"/>
      <w:szCs w:val="20"/>
      <w:lang w:eastAsia="mk-MK"/>
    </w:rPr>
  </w:style>
  <w:style w:type="paragraph" w:customStyle="1" w:styleId="xl338">
    <w:name w:val="xl338"/>
    <w:basedOn w:val="Normal"/>
    <w:rsid w:val="00FB5DF5"/>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39">
    <w:name w:val="xl339"/>
    <w:basedOn w:val="Normal"/>
    <w:rsid w:val="00FB5DF5"/>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40">
    <w:name w:val="xl340"/>
    <w:basedOn w:val="Normal"/>
    <w:rsid w:val="00FB5DF5"/>
    <w:pPr>
      <w:pBdr>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341">
    <w:name w:val="xl341"/>
    <w:basedOn w:val="Normal"/>
    <w:rsid w:val="00FB5DF5"/>
    <w:pPr>
      <w:pBdr>
        <w:bottom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342">
    <w:name w:val="xl342"/>
    <w:basedOn w:val="Normal"/>
    <w:rsid w:val="00FB5DF5"/>
    <w:pPr>
      <w:pBdr>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343">
    <w:name w:val="xl343"/>
    <w:basedOn w:val="Normal"/>
    <w:rsid w:val="00FB5DF5"/>
    <w:pPr>
      <w:pBdr>
        <w:left w:val="single" w:sz="8" w:space="0" w:color="000000"/>
        <w:bottom w:val="single" w:sz="8" w:space="0" w:color="auto"/>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44">
    <w:name w:val="xl344"/>
    <w:basedOn w:val="Normal"/>
    <w:rsid w:val="00FB5DF5"/>
    <w:pPr>
      <w:pBdr>
        <w:left w:val="single" w:sz="8" w:space="0" w:color="auto"/>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45">
    <w:name w:val="xl345"/>
    <w:basedOn w:val="Normal"/>
    <w:rsid w:val="00FB5DF5"/>
    <w:pPr>
      <w:pBdr>
        <w:left w:val="single" w:sz="8" w:space="0" w:color="000000"/>
      </w:pBdr>
      <w:shd w:val="clear" w:color="000000" w:fill="FFFF99"/>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346">
    <w:name w:val="xl346"/>
    <w:basedOn w:val="Normal"/>
    <w:rsid w:val="00FB5DF5"/>
    <w:pPr>
      <w:pBdr>
        <w:left w:val="single" w:sz="8" w:space="0" w:color="auto"/>
        <w:bottom w:val="single" w:sz="8" w:space="0" w:color="auto"/>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47">
    <w:name w:val="xl347"/>
    <w:basedOn w:val="Normal"/>
    <w:rsid w:val="00FB5DF5"/>
    <w:pPr>
      <w:pBdr>
        <w:left w:val="single" w:sz="8" w:space="0" w:color="000000"/>
        <w:bottom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348">
    <w:name w:val="xl348"/>
    <w:basedOn w:val="Normal"/>
    <w:rsid w:val="00FB5DF5"/>
    <w:pPr>
      <w:pBdr>
        <w:left w:val="single" w:sz="8" w:space="0" w:color="000000"/>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49">
    <w:name w:val="xl349"/>
    <w:basedOn w:val="Normal"/>
    <w:rsid w:val="00FB5DF5"/>
    <w:pPr>
      <w:pBdr>
        <w:top w:val="single" w:sz="8" w:space="0" w:color="auto"/>
        <w:left w:val="single" w:sz="8" w:space="0" w:color="000000"/>
      </w:pBdr>
      <w:shd w:val="clear" w:color="000000" w:fill="9BD2ED"/>
      <w:spacing w:before="100" w:beforeAutospacing="1" w:after="100" w:afterAutospacing="1" w:line="240" w:lineRule="auto"/>
      <w:jc w:val="both"/>
      <w:textAlignment w:val="center"/>
    </w:pPr>
    <w:rPr>
      <w:rFonts w:ascii="Times New Roman" w:eastAsia="Times New Roman" w:hAnsi="Times New Roman"/>
      <w:b/>
      <w:bCs/>
      <w:sz w:val="20"/>
      <w:szCs w:val="20"/>
      <w:lang w:eastAsia="mk-MK"/>
    </w:rPr>
  </w:style>
  <w:style w:type="paragraph" w:customStyle="1" w:styleId="xl350">
    <w:name w:val="xl350"/>
    <w:basedOn w:val="Normal"/>
    <w:rsid w:val="00FB5DF5"/>
    <w:pPr>
      <w:pBdr>
        <w:top w:val="single" w:sz="8" w:space="0" w:color="auto"/>
      </w:pBdr>
      <w:shd w:val="clear" w:color="000000" w:fill="9BD2ED"/>
      <w:spacing w:before="100" w:beforeAutospacing="1" w:after="100" w:afterAutospacing="1" w:line="240" w:lineRule="auto"/>
      <w:jc w:val="both"/>
      <w:textAlignment w:val="center"/>
    </w:pPr>
    <w:rPr>
      <w:rFonts w:ascii="Times New Roman" w:eastAsia="Times New Roman" w:hAnsi="Times New Roman"/>
      <w:b/>
      <w:bCs/>
      <w:sz w:val="20"/>
      <w:szCs w:val="20"/>
      <w:lang w:eastAsia="mk-MK"/>
    </w:rPr>
  </w:style>
  <w:style w:type="paragraph" w:customStyle="1" w:styleId="xl351">
    <w:name w:val="xl351"/>
    <w:basedOn w:val="Normal"/>
    <w:rsid w:val="00FB5DF5"/>
    <w:pPr>
      <w:pBdr>
        <w:top w:val="single" w:sz="8" w:space="0" w:color="auto"/>
        <w:right w:val="single" w:sz="8" w:space="0" w:color="000000"/>
      </w:pBdr>
      <w:shd w:val="clear" w:color="000000" w:fill="9BD2ED"/>
      <w:spacing w:before="100" w:beforeAutospacing="1" w:after="100" w:afterAutospacing="1" w:line="240" w:lineRule="auto"/>
      <w:jc w:val="both"/>
      <w:textAlignment w:val="center"/>
    </w:pPr>
    <w:rPr>
      <w:rFonts w:ascii="Times New Roman" w:eastAsia="Times New Roman" w:hAnsi="Times New Roman"/>
      <w:b/>
      <w:bCs/>
      <w:sz w:val="20"/>
      <w:szCs w:val="20"/>
      <w:lang w:eastAsia="mk-MK"/>
    </w:rPr>
  </w:style>
  <w:style w:type="paragraph" w:customStyle="1" w:styleId="xl352">
    <w:name w:val="xl352"/>
    <w:basedOn w:val="Normal"/>
    <w:rsid w:val="00FB5DF5"/>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53">
    <w:name w:val="xl353"/>
    <w:basedOn w:val="Normal"/>
    <w:rsid w:val="00FB5DF5"/>
    <w:pPr>
      <w:pBdr>
        <w:top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54">
    <w:name w:val="xl354"/>
    <w:basedOn w:val="Normal"/>
    <w:rsid w:val="00FB5DF5"/>
    <w:pPr>
      <w:pBdr>
        <w:top w:val="single" w:sz="8" w:space="0" w:color="auto"/>
        <w:left w:val="single" w:sz="8" w:space="0" w:color="auto"/>
        <w:bottom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355">
    <w:name w:val="xl355"/>
    <w:basedOn w:val="Normal"/>
    <w:rsid w:val="00FB5DF5"/>
    <w:pPr>
      <w:pBdr>
        <w:top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356">
    <w:name w:val="xl356"/>
    <w:basedOn w:val="Normal"/>
    <w:rsid w:val="00FB5DF5"/>
    <w:pPr>
      <w:pBdr>
        <w:left w:val="single" w:sz="8" w:space="0" w:color="000000"/>
        <w:bottom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57">
    <w:name w:val="xl357"/>
    <w:basedOn w:val="Normal"/>
    <w:rsid w:val="00FB5DF5"/>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58">
    <w:name w:val="xl358"/>
    <w:basedOn w:val="Normal"/>
    <w:rsid w:val="00FB5DF5"/>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59">
    <w:name w:val="xl359"/>
    <w:basedOn w:val="Normal"/>
    <w:rsid w:val="00FB5DF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60">
    <w:name w:val="xl360"/>
    <w:basedOn w:val="Normal"/>
    <w:rsid w:val="00FB5DF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61">
    <w:name w:val="xl361"/>
    <w:basedOn w:val="Normal"/>
    <w:rsid w:val="00FB5DF5"/>
    <w:pPr>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62">
    <w:name w:val="xl362"/>
    <w:basedOn w:val="Normal"/>
    <w:rsid w:val="00FB5DF5"/>
    <w:pPr>
      <w:pBdr>
        <w:bottom w:val="single" w:sz="8"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363">
    <w:name w:val="xl363"/>
    <w:basedOn w:val="Normal"/>
    <w:rsid w:val="00FB5DF5"/>
    <w:pPr>
      <w:pBdr>
        <w:bottom w:val="single" w:sz="8" w:space="0" w:color="auto"/>
        <w:right w:val="single" w:sz="8" w:space="0" w:color="000000"/>
      </w:pBdr>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364">
    <w:name w:val="xl364"/>
    <w:basedOn w:val="Normal"/>
    <w:rsid w:val="00FB5DF5"/>
    <w:pPr>
      <w:pBdr>
        <w:right w:val="single" w:sz="8"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365">
    <w:name w:val="xl365"/>
    <w:basedOn w:val="Normal"/>
    <w:rsid w:val="00FB5DF5"/>
    <w:pPr>
      <w:pBdr>
        <w:top w:val="single" w:sz="8" w:space="0" w:color="000000"/>
        <w:left w:val="single" w:sz="8" w:space="0" w:color="000000"/>
        <w:bottom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366">
    <w:name w:val="xl366"/>
    <w:basedOn w:val="Normal"/>
    <w:rsid w:val="00FB5DF5"/>
    <w:pPr>
      <w:pBdr>
        <w:top w:val="single" w:sz="8" w:space="0" w:color="000000"/>
        <w:bottom w:val="single" w:sz="8" w:space="0" w:color="auto"/>
        <w:right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367">
    <w:name w:val="xl367"/>
    <w:basedOn w:val="Normal"/>
    <w:rsid w:val="00FB5DF5"/>
    <w:pPr>
      <w:pBdr>
        <w:top w:val="single" w:sz="8" w:space="0" w:color="000000"/>
        <w:bottom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68">
    <w:name w:val="xl368"/>
    <w:basedOn w:val="Normal"/>
    <w:rsid w:val="00FB5DF5"/>
    <w:pPr>
      <w:pBdr>
        <w:top w:val="single" w:sz="8" w:space="0" w:color="000000"/>
        <w:bottom w:val="single" w:sz="8" w:space="0" w:color="auto"/>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69">
    <w:name w:val="xl369"/>
    <w:basedOn w:val="Normal"/>
    <w:rsid w:val="00FB5DF5"/>
    <w:pPr>
      <w:pBdr>
        <w:top w:val="single" w:sz="8" w:space="0" w:color="auto"/>
        <w:left w:val="single" w:sz="8" w:space="0" w:color="auto"/>
        <w:bottom w:val="single" w:sz="8" w:space="0" w:color="auto"/>
      </w:pBdr>
      <w:shd w:val="clear" w:color="000000" w:fill="9BD2ED"/>
      <w:spacing w:before="100" w:beforeAutospacing="1" w:after="100" w:afterAutospacing="1" w:line="240" w:lineRule="auto"/>
      <w:jc w:val="both"/>
      <w:textAlignment w:val="center"/>
    </w:pPr>
    <w:rPr>
      <w:rFonts w:ascii="Times New Roman" w:eastAsia="Times New Roman" w:hAnsi="Times New Roman"/>
      <w:b/>
      <w:bCs/>
      <w:sz w:val="20"/>
      <w:szCs w:val="20"/>
      <w:lang w:eastAsia="mk-MK"/>
    </w:rPr>
  </w:style>
  <w:style w:type="paragraph" w:customStyle="1" w:styleId="xl370">
    <w:name w:val="xl370"/>
    <w:basedOn w:val="Normal"/>
    <w:rsid w:val="00FB5DF5"/>
    <w:pPr>
      <w:pBdr>
        <w:top w:val="single" w:sz="8" w:space="0" w:color="auto"/>
        <w:bottom w:val="single" w:sz="8" w:space="0" w:color="auto"/>
      </w:pBdr>
      <w:shd w:val="clear" w:color="000000" w:fill="9BD2ED"/>
      <w:spacing w:before="100" w:beforeAutospacing="1" w:after="100" w:afterAutospacing="1" w:line="240" w:lineRule="auto"/>
      <w:jc w:val="both"/>
      <w:textAlignment w:val="center"/>
    </w:pPr>
    <w:rPr>
      <w:rFonts w:ascii="Times New Roman" w:eastAsia="Times New Roman" w:hAnsi="Times New Roman"/>
      <w:b/>
      <w:bCs/>
      <w:sz w:val="20"/>
      <w:szCs w:val="20"/>
      <w:lang w:eastAsia="mk-MK"/>
    </w:rPr>
  </w:style>
  <w:style w:type="paragraph" w:customStyle="1" w:styleId="xl371">
    <w:name w:val="xl371"/>
    <w:basedOn w:val="Normal"/>
    <w:rsid w:val="00FB5DF5"/>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72">
    <w:name w:val="xl372"/>
    <w:basedOn w:val="Normal"/>
    <w:rsid w:val="00FB5DF5"/>
    <w:pPr>
      <w:pBdr>
        <w:top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373">
    <w:name w:val="xl373"/>
    <w:basedOn w:val="Normal"/>
    <w:rsid w:val="00FB5DF5"/>
    <w:pPr>
      <w:pBdr>
        <w:bottom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374">
    <w:name w:val="xl374"/>
    <w:basedOn w:val="Normal"/>
    <w:rsid w:val="00FB5DF5"/>
    <w:pPr>
      <w:pBdr>
        <w:top w:val="single" w:sz="8"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375">
    <w:name w:val="xl375"/>
    <w:basedOn w:val="Normal"/>
    <w:rsid w:val="00FB5DF5"/>
    <w:pPr>
      <w:pBdr>
        <w:top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376">
    <w:name w:val="xl376"/>
    <w:basedOn w:val="Normal"/>
    <w:rsid w:val="00FB5DF5"/>
    <w:pPr>
      <w:pBdr>
        <w:right w:val="single" w:sz="8" w:space="0" w:color="000000"/>
      </w:pBdr>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377">
    <w:name w:val="xl377"/>
    <w:basedOn w:val="Normal"/>
    <w:rsid w:val="00FB5DF5"/>
    <w:pPr>
      <w:pBdr>
        <w:bottom w:val="single" w:sz="8" w:space="0" w:color="000000"/>
      </w:pBdr>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378">
    <w:name w:val="xl378"/>
    <w:basedOn w:val="Normal"/>
    <w:rsid w:val="00FB5DF5"/>
    <w:pPr>
      <w:pBdr>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379">
    <w:name w:val="xl379"/>
    <w:basedOn w:val="Normal"/>
    <w:rsid w:val="00FB5DF5"/>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80">
    <w:name w:val="xl380"/>
    <w:basedOn w:val="Normal"/>
    <w:rsid w:val="00FB5DF5"/>
    <w:pPr>
      <w:pBdr>
        <w:top w:val="single" w:sz="8" w:space="0" w:color="auto"/>
        <w:left w:val="single" w:sz="8" w:space="0" w:color="000000"/>
        <w:bottom w:val="single" w:sz="8" w:space="0" w:color="000000"/>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381">
    <w:name w:val="xl381"/>
    <w:basedOn w:val="Normal"/>
    <w:rsid w:val="00FB5DF5"/>
    <w:pPr>
      <w:pBdr>
        <w:top w:val="single" w:sz="8" w:space="0" w:color="auto"/>
        <w:bottom w:val="single" w:sz="8" w:space="0" w:color="000000"/>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382">
    <w:name w:val="xl382"/>
    <w:basedOn w:val="Normal"/>
    <w:rsid w:val="00FB5DF5"/>
    <w:pPr>
      <w:pBdr>
        <w:top w:val="single" w:sz="8" w:space="0" w:color="auto"/>
        <w:bottom w:val="single" w:sz="8" w:space="0" w:color="000000"/>
        <w:right w:val="single" w:sz="8" w:space="0" w:color="000000"/>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383">
    <w:name w:val="xl383"/>
    <w:basedOn w:val="Normal"/>
    <w:rsid w:val="00FB5DF5"/>
    <w:pPr>
      <w:pBdr>
        <w:top w:val="single" w:sz="8" w:space="0" w:color="000000"/>
        <w:lef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84">
    <w:name w:val="xl384"/>
    <w:basedOn w:val="Normal"/>
    <w:rsid w:val="00FB5DF5"/>
    <w:pPr>
      <w:pBdr>
        <w:bottom w:val="single" w:sz="8" w:space="0" w:color="auto"/>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85">
    <w:name w:val="xl385"/>
    <w:basedOn w:val="Normal"/>
    <w:rsid w:val="00FB5DF5"/>
    <w:pPr>
      <w:pBdr>
        <w:top w:val="single" w:sz="8" w:space="0" w:color="auto"/>
        <w:left w:val="single" w:sz="8" w:space="0" w:color="auto"/>
        <w:bottom w:val="single" w:sz="8" w:space="0" w:color="auto"/>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386">
    <w:name w:val="xl386"/>
    <w:basedOn w:val="Normal"/>
    <w:rsid w:val="00FB5DF5"/>
    <w:pPr>
      <w:pBdr>
        <w:top w:val="single" w:sz="8" w:space="0" w:color="auto"/>
        <w:bottom w:val="single" w:sz="8" w:space="0" w:color="auto"/>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387">
    <w:name w:val="xl387"/>
    <w:basedOn w:val="Normal"/>
    <w:rsid w:val="00FB5DF5"/>
    <w:pPr>
      <w:pBdr>
        <w:top w:val="single" w:sz="8" w:space="0" w:color="auto"/>
        <w:bottom w:val="single" w:sz="8" w:space="0" w:color="auto"/>
        <w:right w:val="single" w:sz="8" w:space="0" w:color="auto"/>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388">
    <w:name w:val="xl388"/>
    <w:basedOn w:val="Normal"/>
    <w:rsid w:val="00FB5DF5"/>
    <w:pPr>
      <w:pBdr>
        <w:top w:val="single" w:sz="8" w:space="0" w:color="auto"/>
        <w:left w:val="single" w:sz="8" w:space="0" w:color="000000"/>
        <w:bottom w:val="single" w:sz="8" w:space="0" w:color="auto"/>
      </w:pBdr>
      <w:shd w:val="clear" w:color="000000" w:fill="9BD2ED"/>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389">
    <w:name w:val="xl389"/>
    <w:basedOn w:val="Normal"/>
    <w:rsid w:val="00FB5DF5"/>
    <w:pPr>
      <w:pBdr>
        <w:bottom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90">
    <w:name w:val="xl390"/>
    <w:basedOn w:val="Normal"/>
    <w:rsid w:val="00FB5DF5"/>
    <w:pPr>
      <w:pBdr>
        <w:left w:val="single" w:sz="8" w:space="0" w:color="auto"/>
        <w:bottom w:val="single" w:sz="8" w:space="0" w:color="000000"/>
        <w:right w:val="single" w:sz="8" w:space="0" w:color="000000"/>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91">
    <w:name w:val="xl391"/>
    <w:basedOn w:val="Normal"/>
    <w:rsid w:val="00FB5DF5"/>
    <w:pPr>
      <w:pBdr>
        <w:left w:val="single" w:sz="8" w:space="0" w:color="000000"/>
        <w:bottom w:val="single" w:sz="8" w:space="0" w:color="000000"/>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392">
    <w:name w:val="xl392"/>
    <w:basedOn w:val="Normal"/>
    <w:rsid w:val="00FB5DF5"/>
    <w:pPr>
      <w:pBdr>
        <w:top w:val="single" w:sz="8" w:space="0" w:color="auto"/>
        <w:left w:val="single" w:sz="8" w:space="0" w:color="000000"/>
        <w:bottom w:val="single" w:sz="8" w:space="0" w:color="000000"/>
      </w:pBdr>
      <w:shd w:val="clear" w:color="000000" w:fill="9BD2ED"/>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393">
    <w:name w:val="xl393"/>
    <w:basedOn w:val="Normal"/>
    <w:rsid w:val="00FB5DF5"/>
    <w:pPr>
      <w:pBdr>
        <w:top w:val="single" w:sz="8" w:space="0" w:color="auto"/>
        <w:bottom w:val="single" w:sz="8" w:space="0" w:color="000000"/>
        <w:right w:val="single" w:sz="8" w:space="0" w:color="000000"/>
      </w:pBdr>
      <w:shd w:val="clear" w:color="000000" w:fill="9BD2ED"/>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394">
    <w:name w:val="xl394"/>
    <w:basedOn w:val="Normal"/>
    <w:rsid w:val="00FB5DF5"/>
    <w:pPr>
      <w:pBdr>
        <w:top w:val="single" w:sz="8" w:space="0" w:color="000000"/>
        <w:left w:val="single" w:sz="8" w:space="0" w:color="000000"/>
        <w:bottom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395">
    <w:name w:val="xl395"/>
    <w:basedOn w:val="Normal"/>
    <w:rsid w:val="00FB5DF5"/>
    <w:pPr>
      <w:pBdr>
        <w:top w:val="single" w:sz="8" w:space="0" w:color="000000"/>
        <w:bottom w:val="single" w:sz="8" w:space="0" w:color="auto"/>
        <w:right w:val="single" w:sz="8" w:space="0" w:color="000000"/>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396">
    <w:name w:val="xl396"/>
    <w:basedOn w:val="Normal"/>
    <w:rsid w:val="00FB5DF5"/>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397">
    <w:name w:val="xl397"/>
    <w:basedOn w:val="Normal"/>
    <w:rsid w:val="00FB5DF5"/>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398">
    <w:name w:val="xl398"/>
    <w:basedOn w:val="Normal"/>
    <w:rsid w:val="00FB5DF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399">
    <w:name w:val="xl399"/>
    <w:basedOn w:val="Normal"/>
    <w:rsid w:val="00FB5DF5"/>
    <w:pPr>
      <w:pBdr>
        <w:top w:val="single" w:sz="8" w:space="0" w:color="000000"/>
        <w:left w:val="single" w:sz="8" w:space="0" w:color="auto"/>
        <w:bottom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400">
    <w:name w:val="xl400"/>
    <w:basedOn w:val="Normal"/>
    <w:rsid w:val="00FB5DF5"/>
    <w:pPr>
      <w:pBdr>
        <w:top w:val="single" w:sz="8" w:space="0" w:color="000000"/>
        <w:bottom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401">
    <w:name w:val="xl401"/>
    <w:basedOn w:val="Normal"/>
    <w:rsid w:val="00FB5DF5"/>
    <w:pP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402">
    <w:name w:val="xl402"/>
    <w:basedOn w:val="Normal"/>
    <w:rsid w:val="00FB5DF5"/>
    <w:pPr>
      <w:pBdr>
        <w:left w:val="single" w:sz="8" w:space="0" w:color="auto"/>
        <w:bottom w:val="single" w:sz="8" w:space="0" w:color="auto"/>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403">
    <w:name w:val="xl403"/>
    <w:basedOn w:val="Normal"/>
    <w:rsid w:val="00FB5DF5"/>
    <w:pPr>
      <w:pBdr>
        <w:bottom w:val="single" w:sz="8" w:space="0" w:color="auto"/>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404">
    <w:name w:val="xl404"/>
    <w:basedOn w:val="Normal"/>
    <w:rsid w:val="00FB5DF5"/>
    <w:pPr>
      <w:pBdr>
        <w:bottom w:val="single" w:sz="8" w:space="0" w:color="auto"/>
        <w:right w:val="single" w:sz="8" w:space="0" w:color="auto"/>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405">
    <w:name w:val="xl405"/>
    <w:basedOn w:val="Normal"/>
    <w:rsid w:val="00FB5DF5"/>
    <w:pPr>
      <w:pBdr>
        <w:bottom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mk-MK"/>
    </w:rPr>
  </w:style>
  <w:style w:type="paragraph" w:customStyle="1" w:styleId="xl406">
    <w:name w:val="xl406"/>
    <w:basedOn w:val="Normal"/>
    <w:rsid w:val="00FB5DF5"/>
    <w:pPr>
      <w:pBdr>
        <w:top w:val="single" w:sz="8" w:space="0" w:color="auto"/>
        <w:left w:val="single" w:sz="8" w:space="0" w:color="000000"/>
        <w:bottom w:val="single" w:sz="8" w:space="0" w:color="auto"/>
      </w:pBdr>
      <w:shd w:val="clear" w:color="000000" w:fill="9BD2ED"/>
      <w:spacing w:before="100" w:beforeAutospacing="1" w:after="100" w:afterAutospacing="1" w:line="240" w:lineRule="auto"/>
      <w:jc w:val="both"/>
      <w:textAlignment w:val="center"/>
    </w:pPr>
    <w:rPr>
      <w:rFonts w:ascii="Times New Roman" w:eastAsia="Times New Roman" w:hAnsi="Times New Roman"/>
      <w:b/>
      <w:bCs/>
      <w:sz w:val="20"/>
      <w:szCs w:val="20"/>
      <w:lang w:eastAsia="mk-MK"/>
    </w:rPr>
  </w:style>
  <w:style w:type="paragraph" w:customStyle="1" w:styleId="xl407">
    <w:name w:val="xl407"/>
    <w:basedOn w:val="Normal"/>
    <w:rsid w:val="00FB5DF5"/>
    <w:pPr>
      <w:pBdr>
        <w:top w:val="single" w:sz="8" w:space="0" w:color="auto"/>
        <w:left w:val="single" w:sz="8" w:space="0" w:color="auto"/>
        <w:bottom w:val="single" w:sz="8" w:space="0" w:color="000000"/>
      </w:pBdr>
      <w:shd w:val="clear" w:color="000000" w:fill="9BD2ED"/>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408">
    <w:name w:val="xl408"/>
    <w:basedOn w:val="Normal"/>
    <w:rsid w:val="00FB5DF5"/>
    <w:pPr>
      <w:pBdr>
        <w:top w:val="single" w:sz="8" w:space="0" w:color="auto"/>
        <w:bottom w:val="single" w:sz="8" w:space="0" w:color="000000"/>
        <w:right w:val="single" w:sz="8" w:space="0" w:color="auto"/>
      </w:pBdr>
      <w:shd w:val="clear" w:color="000000" w:fill="9BD2ED"/>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409">
    <w:name w:val="xl409"/>
    <w:basedOn w:val="Normal"/>
    <w:rsid w:val="00FB5DF5"/>
    <w:pPr>
      <w:pBdr>
        <w:top w:val="single" w:sz="8" w:space="0" w:color="000000"/>
        <w:left w:val="single" w:sz="8" w:space="0" w:color="auto"/>
        <w:bottom w:val="single" w:sz="8" w:space="0" w:color="auto"/>
      </w:pBdr>
      <w:shd w:val="clear" w:color="000000" w:fill="9BD2ED"/>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410">
    <w:name w:val="xl410"/>
    <w:basedOn w:val="Normal"/>
    <w:rsid w:val="00FB5DF5"/>
    <w:pPr>
      <w:pBdr>
        <w:top w:val="single" w:sz="8" w:space="0" w:color="000000"/>
        <w:bottom w:val="single" w:sz="8" w:space="0" w:color="auto"/>
        <w:right w:val="single" w:sz="8" w:space="0" w:color="auto"/>
      </w:pBdr>
      <w:shd w:val="clear" w:color="000000" w:fill="9BD2ED"/>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411">
    <w:name w:val="xl411"/>
    <w:basedOn w:val="Normal"/>
    <w:rsid w:val="00FB5DF5"/>
    <w:pPr>
      <w:pBdr>
        <w:top w:val="single" w:sz="8" w:space="0" w:color="000000"/>
        <w:left w:val="single" w:sz="8" w:space="0" w:color="000000"/>
        <w:bottom w:val="single" w:sz="8" w:space="0" w:color="auto"/>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412">
    <w:name w:val="xl412"/>
    <w:basedOn w:val="Normal"/>
    <w:rsid w:val="00FB5DF5"/>
    <w:pPr>
      <w:pBdr>
        <w:top w:val="single" w:sz="8" w:space="0" w:color="000000"/>
        <w:bottom w:val="single" w:sz="8" w:space="0" w:color="auto"/>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413">
    <w:name w:val="xl413"/>
    <w:basedOn w:val="Normal"/>
    <w:rsid w:val="00FB5DF5"/>
    <w:pPr>
      <w:pBdr>
        <w:bottom w:val="single" w:sz="8" w:space="0" w:color="auto"/>
        <w:right w:val="single" w:sz="8" w:space="0" w:color="000000"/>
      </w:pBdr>
      <w:shd w:val="clear" w:color="000000" w:fill="1F3864"/>
      <w:spacing w:before="100" w:beforeAutospacing="1" w:after="100" w:afterAutospacing="1" w:line="240" w:lineRule="auto"/>
      <w:jc w:val="both"/>
      <w:textAlignment w:val="center"/>
    </w:pPr>
    <w:rPr>
      <w:rFonts w:ascii="Times New Roman" w:eastAsia="Times New Roman" w:hAnsi="Times New Roman"/>
      <w:b/>
      <w:bCs/>
      <w:color w:val="FFFFFF"/>
      <w:sz w:val="20"/>
      <w:szCs w:val="20"/>
      <w:lang w:eastAsia="mk-MK"/>
    </w:rPr>
  </w:style>
  <w:style w:type="paragraph" w:customStyle="1" w:styleId="xl414">
    <w:name w:val="xl414"/>
    <w:basedOn w:val="Normal"/>
    <w:rsid w:val="00FB5DF5"/>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mk-MK"/>
    </w:rPr>
  </w:style>
  <w:style w:type="paragraph" w:customStyle="1" w:styleId="xl415">
    <w:name w:val="xl415"/>
    <w:basedOn w:val="Normal"/>
    <w:rsid w:val="00FB5DF5"/>
    <w:pPr>
      <w:pBdr>
        <w:bottom w:val="single" w:sz="8" w:space="0" w:color="000000"/>
        <w:right w:val="single" w:sz="8"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mk-MK"/>
    </w:rPr>
  </w:style>
  <w:style w:type="paragraph" w:customStyle="1" w:styleId="xl416">
    <w:name w:val="xl416"/>
    <w:basedOn w:val="Normal"/>
    <w:rsid w:val="00FB5DF5"/>
    <w:pPr>
      <w:pBdr>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417">
    <w:name w:val="xl417"/>
    <w:basedOn w:val="Normal"/>
    <w:rsid w:val="00FB5DF5"/>
    <w:pPr>
      <w:pBdr>
        <w:top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sz w:val="20"/>
      <w:szCs w:val="20"/>
      <w:lang w:eastAsia="mk-MK"/>
    </w:rPr>
  </w:style>
  <w:style w:type="paragraph" w:customStyle="1" w:styleId="xl418">
    <w:name w:val="xl418"/>
    <w:basedOn w:val="Normal"/>
    <w:rsid w:val="00FB5DF5"/>
    <w:pPr>
      <w:shd w:val="clear" w:color="000000" w:fill="ED7D31"/>
      <w:spacing w:before="100" w:beforeAutospacing="1" w:after="100" w:afterAutospacing="1" w:line="240" w:lineRule="auto"/>
      <w:jc w:val="center"/>
    </w:pPr>
    <w:rPr>
      <w:rFonts w:ascii="Times New Roman" w:eastAsia="Times New Roman" w:hAnsi="Times New Roman"/>
      <w:b/>
      <w:bCs/>
      <w:sz w:val="20"/>
      <w:szCs w:val="20"/>
      <w:lang w:eastAsia="mk-MK"/>
    </w:rPr>
  </w:style>
  <w:style w:type="paragraph" w:customStyle="1" w:styleId="xl419">
    <w:name w:val="xl419"/>
    <w:basedOn w:val="Normal"/>
    <w:rsid w:val="00FB5DF5"/>
    <w:pPr>
      <w:pBdr>
        <w:bottom w:val="single" w:sz="8" w:space="0" w:color="000000"/>
      </w:pBdr>
      <w:shd w:val="clear" w:color="000000" w:fill="ED7D31"/>
      <w:spacing w:before="100" w:beforeAutospacing="1" w:after="100" w:afterAutospacing="1" w:line="240" w:lineRule="auto"/>
      <w:jc w:val="center"/>
    </w:pPr>
    <w:rPr>
      <w:rFonts w:ascii="Times New Roman" w:eastAsia="Times New Roman" w:hAnsi="Times New Roman"/>
      <w:b/>
      <w:bCs/>
      <w:sz w:val="20"/>
      <w:szCs w:val="20"/>
      <w:lang w:eastAsia="mk-MK"/>
    </w:rPr>
  </w:style>
  <w:style w:type="paragraph" w:customStyle="1" w:styleId="xl420">
    <w:name w:val="xl420"/>
    <w:basedOn w:val="Normal"/>
    <w:rsid w:val="00FB5DF5"/>
    <w:pPr>
      <w:pBdr>
        <w:top w:val="single" w:sz="8" w:space="0" w:color="000000"/>
        <w:left w:val="single" w:sz="8" w:space="0" w:color="000000"/>
        <w:bottom w:val="single" w:sz="8" w:space="0" w:color="000000"/>
      </w:pBdr>
      <w:shd w:val="clear" w:color="000000" w:fill="1F3864"/>
      <w:spacing w:before="100" w:beforeAutospacing="1" w:after="100" w:afterAutospacing="1" w:line="240" w:lineRule="auto"/>
      <w:jc w:val="both"/>
      <w:textAlignment w:val="center"/>
    </w:pPr>
    <w:rPr>
      <w:rFonts w:ascii="Times New Roman" w:eastAsia="Times New Roman" w:hAnsi="Times New Roman"/>
      <w:b/>
      <w:bCs/>
      <w:sz w:val="20"/>
      <w:szCs w:val="20"/>
      <w:lang w:eastAsia="mk-MK"/>
    </w:rPr>
  </w:style>
  <w:style w:type="paragraph" w:customStyle="1" w:styleId="xl421">
    <w:name w:val="xl421"/>
    <w:basedOn w:val="Normal"/>
    <w:rsid w:val="00FB5DF5"/>
    <w:pPr>
      <w:pBdr>
        <w:top w:val="single" w:sz="8" w:space="0" w:color="000000"/>
        <w:bottom w:val="single" w:sz="8" w:space="0" w:color="000000"/>
      </w:pBdr>
      <w:shd w:val="clear" w:color="000000" w:fill="1F3864"/>
      <w:spacing w:before="100" w:beforeAutospacing="1" w:after="100" w:afterAutospacing="1" w:line="240" w:lineRule="auto"/>
      <w:jc w:val="both"/>
      <w:textAlignment w:val="center"/>
    </w:pPr>
    <w:rPr>
      <w:rFonts w:ascii="Times New Roman" w:eastAsia="Times New Roman" w:hAnsi="Times New Roman"/>
      <w:b/>
      <w:bCs/>
      <w:sz w:val="20"/>
      <w:szCs w:val="20"/>
      <w:lang w:eastAsia="mk-MK"/>
    </w:rPr>
  </w:style>
  <w:style w:type="paragraph" w:customStyle="1" w:styleId="xl422">
    <w:name w:val="xl422"/>
    <w:basedOn w:val="Normal"/>
    <w:rsid w:val="00FB5DF5"/>
    <w:pPr>
      <w:pBdr>
        <w:top w:val="single" w:sz="8" w:space="0" w:color="000000"/>
        <w:bottom w:val="single" w:sz="8" w:space="0" w:color="000000"/>
        <w:right w:val="single" w:sz="8" w:space="0" w:color="000000"/>
      </w:pBdr>
      <w:shd w:val="clear" w:color="000000" w:fill="1F3864"/>
      <w:spacing w:before="100" w:beforeAutospacing="1" w:after="100" w:afterAutospacing="1" w:line="240" w:lineRule="auto"/>
      <w:jc w:val="both"/>
      <w:textAlignment w:val="center"/>
    </w:pPr>
    <w:rPr>
      <w:rFonts w:ascii="Times New Roman" w:eastAsia="Times New Roman" w:hAnsi="Times New Roman"/>
      <w:b/>
      <w:bCs/>
      <w:sz w:val="20"/>
      <w:szCs w:val="20"/>
      <w:lang w:eastAsia="mk-MK"/>
    </w:rPr>
  </w:style>
  <w:style w:type="paragraph" w:customStyle="1" w:styleId="xl423">
    <w:name w:val="xl423"/>
    <w:basedOn w:val="Normal"/>
    <w:rsid w:val="00485BAA"/>
    <w:pPr>
      <w:pBdr>
        <w:top w:val="single" w:sz="8" w:space="0" w:color="000000"/>
        <w:right w:val="single" w:sz="8" w:space="0" w:color="000000"/>
      </w:pBdr>
      <w:shd w:val="clear" w:color="000000" w:fill="FFFF99"/>
      <w:spacing w:before="100" w:beforeAutospacing="1" w:after="100" w:afterAutospacing="1" w:line="240" w:lineRule="auto"/>
      <w:jc w:val="center"/>
      <w:textAlignment w:val="top"/>
    </w:pPr>
    <w:rPr>
      <w:rFonts w:ascii="Times New Roman" w:eastAsia="Times New Roman" w:hAnsi="Times New Roman"/>
      <w:sz w:val="20"/>
      <w:szCs w:val="20"/>
      <w:lang w:eastAsia="mk-MK"/>
    </w:rPr>
  </w:style>
  <w:style w:type="paragraph" w:customStyle="1" w:styleId="xl424">
    <w:name w:val="xl424"/>
    <w:basedOn w:val="Normal"/>
    <w:rsid w:val="00485BAA"/>
    <w:pPr>
      <w:pBdr>
        <w:top w:val="single" w:sz="8" w:space="0" w:color="000000"/>
        <w:left w:val="single" w:sz="8" w:space="0" w:color="000000"/>
        <w:right w:val="single" w:sz="8" w:space="0" w:color="000000"/>
      </w:pBdr>
      <w:shd w:val="clear" w:color="000000" w:fill="FFFF99"/>
      <w:spacing w:before="100" w:beforeAutospacing="1" w:after="100" w:afterAutospacing="1" w:line="240" w:lineRule="auto"/>
      <w:textAlignment w:val="top"/>
    </w:pPr>
    <w:rPr>
      <w:rFonts w:ascii="Times New Roman" w:eastAsia="Times New Roman" w:hAnsi="Times New Roman"/>
      <w:sz w:val="20"/>
      <w:szCs w:val="20"/>
      <w:lang w:eastAsia="mk-MK"/>
    </w:rPr>
  </w:style>
  <w:style w:type="paragraph" w:customStyle="1" w:styleId="xl425">
    <w:name w:val="xl425"/>
    <w:basedOn w:val="Normal"/>
    <w:rsid w:val="00485BAA"/>
    <w:pPr>
      <w:pBdr>
        <w:top w:val="single" w:sz="8" w:space="0" w:color="000000"/>
        <w:right w:val="single" w:sz="8" w:space="0" w:color="000000"/>
      </w:pBdr>
      <w:shd w:val="clear" w:color="000000" w:fill="FFFF99"/>
      <w:spacing w:before="100" w:beforeAutospacing="1" w:after="100" w:afterAutospacing="1" w:line="240" w:lineRule="auto"/>
      <w:jc w:val="center"/>
      <w:textAlignment w:val="top"/>
    </w:pPr>
    <w:rPr>
      <w:rFonts w:ascii="Times New Roman" w:eastAsia="Times New Roman" w:hAnsi="Times New Roman"/>
      <w:sz w:val="20"/>
      <w:szCs w:val="20"/>
      <w:lang w:eastAsia="mk-MK"/>
    </w:rPr>
  </w:style>
  <w:style w:type="paragraph" w:customStyle="1" w:styleId="Para">
    <w:name w:val="Para"/>
    <w:link w:val="ParaChar"/>
    <w:uiPriority w:val="4"/>
    <w:qFormat/>
    <w:rsid w:val="0069157C"/>
    <w:pPr>
      <w:spacing w:before="120" w:after="120"/>
      <w:jc w:val="both"/>
    </w:pPr>
    <w:rPr>
      <w:rFonts w:ascii="Arial" w:eastAsia="Arial" w:hAnsi="Arial"/>
      <w:color w:val="000000"/>
      <w:szCs w:val="22"/>
      <w:lang w:val="en-GB" w:eastAsia="mk-MK"/>
    </w:rPr>
  </w:style>
  <w:style w:type="character" w:customStyle="1" w:styleId="ParaChar">
    <w:name w:val="Para Char"/>
    <w:link w:val="Para"/>
    <w:uiPriority w:val="4"/>
    <w:rsid w:val="0069157C"/>
    <w:rPr>
      <w:rFonts w:ascii="Arial" w:eastAsia="Arial" w:hAnsi="Arial"/>
      <w:color w:val="000000"/>
      <w:szCs w:val="22"/>
      <w:lang w:val="en-GB" w:bidi="ar-SA"/>
    </w:rPr>
  </w:style>
  <w:style w:type="paragraph" w:customStyle="1" w:styleId="xmsonormal">
    <w:name w:val="x_msonormal"/>
    <w:basedOn w:val="Normal"/>
    <w:rsid w:val="00790347"/>
    <w:pPr>
      <w:spacing w:before="100" w:beforeAutospacing="1" w:after="100" w:afterAutospacing="1" w:line="240" w:lineRule="auto"/>
    </w:pPr>
    <w:rPr>
      <w:rFonts w:ascii="Times New Roman" w:eastAsia="Times New Roman" w:hAnsi="Times New Roman"/>
      <w:sz w:val="24"/>
      <w:szCs w:val="24"/>
      <w:lang w:eastAsia="mk-MK"/>
    </w:rPr>
  </w:style>
  <w:style w:type="character" w:customStyle="1" w:styleId="rynqvb">
    <w:name w:val="rynqvb"/>
    <w:rsid w:val="00AB3E94"/>
  </w:style>
  <w:style w:type="paragraph" w:customStyle="1" w:styleId="msonormal0">
    <w:name w:val="msonormal"/>
    <w:basedOn w:val="Normal"/>
    <w:rsid w:val="00C9372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wtze">
    <w:name w:val="hwtze"/>
    <w:basedOn w:val="DefaultParagraphFont"/>
    <w:rsid w:val="00907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50978">
      <w:bodyDiv w:val="1"/>
      <w:marLeft w:val="0"/>
      <w:marRight w:val="0"/>
      <w:marTop w:val="0"/>
      <w:marBottom w:val="0"/>
      <w:divBdr>
        <w:top w:val="none" w:sz="0" w:space="0" w:color="auto"/>
        <w:left w:val="none" w:sz="0" w:space="0" w:color="auto"/>
        <w:bottom w:val="none" w:sz="0" w:space="0" w:color="auto"/>
        <w:right w:val="none" w:sz="0" w:space="0" w:color="auto"/>
      </w:divBdr>
      <w:divsChild>
        <w:div w:id="911163769">
          <w:marLeft w:val="0"/>
          <w:marRight w:val="0"/>
          <w:marTop w:val="0"/>
          <w:marBottom w:val="0"/>
          <w:divBdr>
            <w:top w:val="none" w:sz="0" w:space="0" w:color="auto"/>
            <w:left w:val="none" w:sz="0" w:space="0" w:color="auto"/>
            <w:bottom w:val="none" w:sz="0" w:space="0" w:color="auto"/>
            <w:right w:val="none" w:sz="0" w:space="0" w:color="auto"/>
          </w:divBdr>
        </w:div>
      </w:divsChild>
    </w:div>
    <w:div w:id="288165494">
      <w:bodyDiv w:val="1"/>
      <w:marLeft w:val="0"/>
      <w:marRight w:val="0"/>
      <w:marTop w:val="0"/>
      <w:marBottom w:val="0"/>
      <w:divBdr>
        <w:top w:val="none" w:sz="0" w:space="0" w:color="auto"/>
        <w:left w:val="none" w:sz="0" w:space="0" w:color="auto"/>
        <w:bottom w:val="none" w:sz="0" w:space="0" w:color="auto"/>
        <w:right w:val="none" w:sz="0" w:space="0" w:color="auto"/>
      </w:divBdr>
    </w:div>
    <w:div w:id="332221769">
      <w:bodyDiv w:val="1"/>
      <w:marLeft w:val="0"/>
      <w:marRight w:val="0"/>
      <w:marTop w:val="0"/>
      <w:marBottom w:val="0"/>
      <w:divBdr>
        <w:top w:val="none" w:sz="0" w:space="0" w:color="auto"/>
        <w:left w:val="none" w:sz="0" w:space="0" w:color="auto"/>
        <w:bottom w:val="none" w:sz="0" w:space="0" w:color="auto"/>
        <w:right w:val="none" w:sz="0" w:space="0" w:color="auto"/>
      </w:divBdr>
    </w:div>
    <w:div w:id="370686363">
      <w:bodyDiv w:val="1"/>
      <w:marLeft w:val="0"/>
      <w:marRight w:val="0"/>
      <w:marTop w:val="0"/>
      <w:marBottom w:val="0"/>
      <w:divBdr>
        <w:top w:val="none" w:sz="0" w:space="0" w:color="auto"/>
        <w:left w:val="none" w:sz="0" w:space="0" w:color="auto"/>
        <w:bottom w:val="none" w:sz="0" w:space="0" w:color="auto"/>
        <w:right w:val="none" w:sz="0" w:space="0" w:color="auto"/>
      </w:divBdr>
      <w:divsChild>
        <w:div w:id="819006792">
          <w:marLeft w:val="0"/>
          <w:marRight w:val="0"/>
          <w:marTop w:val="0"/>
          <w:marBottom w:val="0"/>
          <w:divBdr>
            <w:top w:val="none" w:sz="0" w:space="0" w:color="auto"/>
            <w:left w:val="none" w:sz="0" w:space="0" w:color="auto"/>
            <w:bottom w:val="none" w:sz="0" w:space="0" w:color="auto"/>
            <w:right w:val="none" w:sz="0" w:space="0" w:color="auto"/>
          </w:divBdr>
        </w:div>
      </w:divsChild>
    </w:div>
    <w:div w:id="385565765">
      <w:bodyDiv w:val="1"/>
      <w:marLeft w:val="0"/>
      <w:marRight w:val="0"/>
      <w:marTop w:val="0"/>
      <w:marBottom w:val="0"/>
      <w:divBdr>
        <w:top w:val="none" w:sz="0" w:space="0" w:color="auto"/>
        <w:left w:val="none" w:sz="0" w:space="0" w:color="auto"/>
        <w:bottom w:val="none" w:sz="0" w:space="0" w:color="auto"/>
        <w:right w:val="none" w:sz="0" w:space="0" w:color="auto"/>
      </w:divBdr>
    </w:div>
    <w:div w:id="436294004">
      <w:bodyDiv w:val="1"/>
      <w:marLeft w:val="0"/>
      <w:marRight w:val="0"/>
      <w:marTop w:val="0"/>
      <w:marBottom w:val="0"/>
      <w:divBdr>
        <w:top w:val="none" w:sz="0" w:space="0" w:color="auto"/>
        <w:left w:val="none" w:sz="0" w:space="0" w:color="auto"/>
        <w:bottom w:val="none" w:sz="0" w:space="0" w:color="auto"/>
        <w:right w:val="none" w:sz="0" w:space="0" w:color="auto"/>
      </w:divBdr>
    </w:div>
    <w:div w:id="443423046">
      <w:bodyDiv w:val="1"/>
      <w:marLeft w:val="0"/>
      <w:marRight w:val="0"/>
      <w:marTop w:val="0"/>
      <w:marBottom w:val="0"/>
      <w:divBdr>
        <w:top w:val="none" w:sz="0" w:space="0" w:color="auto"/>
        <w:left w:val="none" w:sz="0" w:space="0" w:color="auto"/>
        <w:bottom w:val="none" w:sz="0" w:space="0" w:color="auto"/>
        <w:right w:val="none" w:sz="0" w:space="0" w:color="auto"/>
      </w:divBdr>
    </w:div>
    <w:div w:id="757361111">
      <w:bodyDiv w:val="1"/>
      <w:marLeft w:val="0"/>
      <w:marRight w:val="0"/>
      <w:marTop w:val="0"/>
      <w:marBottom w:val="0"/>
      <w:divBdr>
        <w:top w:val="none" w:sz="0" w:space="0" w:color="auto"/>
        <w:left w:val="none" w:sz="0" w:space="0" w:color="auto"/>
        <w:bottom w:val="none" w:sz="0" w:space="0" w:color="auto"/>
        <w:right w:val="none" w:sz="0" w:space="0" w:color="auto"/>
      </w:divBdr>
    </w:div>
    <w:div w:id="851644702">
      <w:bodyDiv w:val="1"/>
      <w:marLeft w:val="0"/>
      <w:marRight w:val="0"/>
      <w:marTop w:val="0"/>
      <w:marBottom w:val="0"/>
      <w:divBdr>
        <w:top w:val="none" w:sz="0" w:space="0" w:color="auto"/>
        <w:left w:val="none" w:sz="0" w:space="0" w:color="auto"/>
        <w:bottom w:val="none" w:sz="0" w:space="0" w:color="auto"/>
        <w:right w:val="none" w:sz="0" w:space="0" w:color="auto"/>
      </w:divBdr>
    </w:div>
    <w:div w:id="853685797">
      <w:bodyDiv w:val="1"/>
      <w:marLeft w:val="0"/>
      <w:marRight w:val="0"/>
      <w:marTop w:val="0"/>
      <w:marBottom w:val="0"/>
      <w:divBdr>
        <w:top w:val="none" w:sz="0" w:space="0" w:color="auto"/>
        <w:left w:val="none" w:sz="0" w:space="0" w:color="auto"/>
        <w:bottom w:val="none" w:sz="0" w:space="0" w:color="auto"/>
        <w:right w:val="none" w:sz="0" w:space="0" w:color="auto"/>
      </w:divBdr>
    </w:div>
    <w:div w:id="951665595">
      <w:bodyDiv w:val="1"/>
      <w:marLeft w:val="0"/>
      <w:marRight w:val="0"/>
      <w:marTop w:val="0"/>
      <w:marBottom w:val="0"/>
      <w:divBdr>
        <w:top w:val="none" w:sz="0" w:space="0" w:color="auto"/>
        <w:left w:val="none" w:sz="0" w:space="0" w:color="auto"/>
        <w:bottom w:val="none" w:sz="0" w:space="0" w:color="auto"/>
        <w:right w:val="none" w:sz="0" w:space="0" w:color="auto"/>
      </w:divBdr>
    </w:div>
    <w:div w:id="1000159107">
      <w:bodyDiv w:val="1"/>
      <w:marLeft w:val="0"/>
      <w:marRight w:val="0"/>
      <w:marTop w:val="0"/>
      <w:marBottom w:val="0"/>
      <w:divBdr>
        <w:top w:val="none" w:sz="0" w:space="0" w:color="auto"/>
        <w:left w:val="none" w:sz="0" w:space="0" w:color="auto"/>
        <w:bottom w:val="none" w:sz="0" w:space="0" w:color="auto"/>
        <w:right w:val="none" w:sz="0" w:space="0" w:color="auto"/>
      </w:divBdr>
    </w:div>
    <w:div w:id="1256136793">
      <w:bodyDiv w:val="1"/>
      <w:marLeft w:val="0"/>
      <w:marRight w:val="0"/>
      <w:marTop w:val="0"/>
      <w:marBottom w:val="0"/>
      <w:divBdr>
        <w:top w:val="none" w:sz="0" w:space="0" w:color="auto"/>
        <w:left w:val="none" w:sz="0" w:space="0" w:color="auto"/>
        <w:bottom w:val="none" w:sz="0" w:space="0" w:color="auto"/>
        <w:right w:val="none" w:sz="0" w:space="0" w:color="auto"/>
      </w:divBdr>
    </w:div>
    <w:div w:id="1288925954">
      <w:bodyDiv w:val="1"/>
      <w:marLeft w:val="0"/>
      <w:marRight w:val="0"/>
      <w:marTop w:val="0"/>
      <w:marBottom w:val="0"/>
      <w:divBdr>
        <w:top w:val="none" w:sz="0" w:space="0" w:color="auto"/>
        <w:left w:val="none" w:sz="0" w:space="0" w:color="auto"/>
        <w:bottom w:val="none" w:sz="0" w:space="0" w:color="auto"/>
        <w:right w:val="none" w:sz="0" w:space="0" w:color="auto"/>
      </w:divBdr>
    </w:div>
    <w:div w:id="1302274304">
      <w:bodyDiv w:val="1"/>
      <w:marLeft w:val="0"/>
      <w:marRight w:val="0"/>
      <w:marTop w:val="0"/>
      <w:marBottom w:val="0"/>
      <w:divBdr>
        <w:top w:val="none" w:sz="0" w:space="0" w:color="auto"/>
        <w:left w:val="none" w:sz="0" w:space="0" w:color="auto"/>
        <w:bottom w:val="none" w:sz="0" w:space="0" w:color="auto"/>
        <w:right w:val="none" w:sz="0" w:space="0" w:color="auto"/>
      </w:divBdr>
      <w:divsChild>
        <w:div w:id="326325802">
          <w:marLeft w:val="0"/>
          <w:marRight w:val="0"/>
          <w:marTop w:val="0"/>
          <w:marBottom w:val="0"/>
          <w:divBdr>
            <w:top w:val="none" w:sz="0" w:space="0" w:color="auto"/>
            <w:left w:val="none" w:sz="0" w:space="0" w:color="auto"/>
            <w:bottom w:val="none" w:sz="0" w:space="0" w:color="auto"/>
            <w:right w:val="none" w:sz="0" w:space="0" w:color="auto"/>
          </w:divBdr>
        </w:div>
      </w:divsChild>
    </w:div>
    <w:div w:id="1327321996">
      <w:bodyDiv w:val="1"/>
      <w:marLeft w:val="0"/>
      <w:marRight w:val="0"/>
      <w:marTop w:val="0"/>
      <w:marBottom w:val="0"/>
      <w:divBdr>
        <w:top w:val="none" w:sz="0" w:space="0" w:color="auto"/>
        <w:left w:val="none" w:sz="0" w:space="0" w:color="auto"/>
        <w:bottom w:val="none" w:sz="0" w:space="0" w:color="auto"/>
        <w:right w:val="none" w:sz="0" w:space="0" w:color="auto"/>
      </w:divBdr>
    </w:div>
    <w:div w:id="1381006240">
      <w:bodyDiv w:val="1"/>
      <w:marLeft w:val="0"/>
      <w:marRight w:val="0"/>
      <w:marTop w:val="0"/>
      <w:marBottom w:val="0"/>
      <w:divBdr>
        <w:top w:val="none" w:sz="0" w:space="0" w:color="auto"/>
        <w:left w:val="none" w:sz="0" w:space="0" w:color="auto"/>
        <w:bottom w:val="none" w:sz="0" w:space="0" w:color="auto"/>
        <w:right w:val="none" w:sz="0" w:space="0" w:color="auto"/>
      </w:divBdr>
    </w:div>
    <w:div w:id="1486240701">
      <w:bodyDiv w:val="1"/>
      <w:marLeft w:val="0"/>
      <w:marRight w:val="0"/>
      <w:marTop w:val="0"/>
      <w:marBottom w:val="0"/>
      <w:divBdr>
        <w:top w:val="none" w:sz="0" w:space="0" w:color="auto"/>
        <w:left w:val="none" w:sz="0" w:space="0" w:color="auto"/>
        <w:bottom w:val="none" w:sz="0" w:space="0" w:color="auto"/>
        <w:right w:val="none" w:sz="0" w:space="0" w:color="auto"/>
      </w:divBdr>
    </w:div>
    <w:div w:id="1523855855">
      <w:bodyDiv w:val="1"/>
      <w:marLeft w:val="0"/>
      <w:marRight w:val="0"/>
      <w:marTop w:val="0"/>
      <w:marBottom w:val="0"/>
      <w:divBdr>
        <w:top w:val="none" w:sz="0" w:space="0" w:color="auto"/>
        <w:left w:val="none" w:sz="0" w:space="0" w:color="auto"/>
        <w:bottom w:val="none" w:sz="0" w:space="0" w:color="auto"/>
        <w:right w:val="none" w:sz="0" w:space="0" w:color="auto"/>
      </w:divBdr>
    </w:div>
    <w:div w:id="1627662334">
      <w:bodyDiv w:val="1"/>
      <w:marLeft w:val="0"/>
      <w:marRight w:val="0"/>
      <w:marTop w:val="0"/>
      <w:marBottom w:val="0"/>
      <w:divBdr>
        <w:top w:val="none" w:sz="0" w:space="0" w:color="auto"/>
        <w:left w:val="none" w:sz="0" w:space="0" w:color="auto"/>
        <w:bottom w:val="none" w:sz="0" w:space="0" w:color="auto"/>
        <w:right w:val="none" w:sz="0" w:space="0" w:color="auto"/>
      </w:divBdr>
    </w:div>
    <w:div w:id="1800024735">
      <w:bodyDiv w:val="1"/>
      <w:marLeft w:val="0"/>
      <w:marRight w:val="0"/>
      <w:marTop w:val="0"/>
      <w:marBottom w:val="0"/>
      <w:divBdr>
        <w:top w:val="none" w:sz="0" w:space="0" w:color="auto"/>
        <w:left w:val="none" w:sz="0" w:space="0" w:color="auto"/>
        <w:bottom w:val="none" w:sz="0" w:space="0" w:color="auto"/>
        <w:right w:val="none" w:sz="0" w:space="0" w:color="auto"/>
      </w:divBdr>
      <w:divsChild>
        <w:div w:id="1748377503">
          <w:marLeft w:val="0"/>
          <w:marRight w:val="0"/>
          <w:marTop w:val="0"/>
          <w:marBottom w:val="0"/>
          <w:divBdr>
            <w:top w:val="none" w:sz="0" w:space="0" w:color="auto"/>
            <w:left w:val="none" w:sz="0" w:space="0" w:color="auto"/>
            <w:bottom w:val="none" w:sz="0" w:space="0" w:color="auto"/>
            <w:right w:val="none" w:sz="0" w:space="0" w:color="auto"/>
          </w:divBdr>
        </w:div>
      </w:divsChild>
    </w:div>
    <w:div w:id="1875384229">
      <w:bodyDiv w:val="1"/>
      <w:marLeft w:val="0"/>
      <w:marRight w:val="0"/>
      <w:marTop w:val="0"/>
      <w:marBottom w:val="0"/>
      <w:divBdr>
        <w:top w:val="none" w:sz="0" w:space="0" w:color="auto"/>
        <w:left w:val="none" w:sz="0" w:space="0" w:color="auto"/>
        <w:bottom w:val="none" w:sz="0" w:space="0" w:color="auto"/>
        <w:right w:val="none" w:sz="0" w:space="0" w:color="auto"/>
      </w:divBdr>
    </w:div>
    <w:div w:id="1884365941">
      <w:bodyDiv w:val="1"/>
      <w:marLeft w:val="0"/>
      <w:marRight w:val="0"/>
      <w:marTop w:val="0"/>
      <w:marBottom w:val="0"/>
      <w:divBdr>
        <w:top w:val="none" w:sz="0" w:space="0" w:color="auto"/>
        <w:left w:val="none" w:sz="0" w:space="0" w:color="auto"/>
        <w:bottom w:val="none" w:sz="0" w:space="0" w:color="auto"/>
        <w:right w:val="none" w:sz="0" w:space="0" w:color="auto"/>
      </w:divBdr>
    </w:div>
    <w:div w:id="195166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719F8-CEDF-4058-9E0F-AC7D988C0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191</Pages>
  <Words>74789</Words>
  <Characters>426301</Characters>
  <Application>Microsoft Office Word</Application>
  <DocSecurity>0</DocSecurity>
  <Lines>3552</Lines>
  <Paragraphs>1000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500090</CharactersWithSpaces>
  <SharedDoc>false</SharedDoc>
  <HLinks>
    <vt:vector size="228" baseType="variant">
      <vt:variant>
        <vt:i4>1507376</vt:i4>
      </vt:variant>
      <vt:variant>
        <vt:i4>224</vt:i4>
      </vt:variant>
      <vt:variant>
        <vt:i4>0</vt:i4>
      </vt:variant>
      <vt:variant>
        <vt:i4>5</vt:i4>
      </vt:variant>
      <vt:variant>
        <vt:lpwstr/>
      </vt:variant>
      <vt:variant>
        <vt:lpwstr>_Toc106968112</vt:lpwstr>
      </vt:variant>
      <vt:variant>
        <vt:i4>1507376</vt:i4>
      </vt:variant>
      <vt:variant>
        <vt:i4>218</vt:i4>
      </vt:variant>
      <vt:variant>
        <vt:i4>0</vt:i4>
      </vt:variant>
      <vt:variant>
        <vt:i4>5</vt:i4>
      </vt:variant>
      <vt:variant>
        <vt:lpwstr/>
      </vt:variant>
      <vt:variant>
        <vt:lpwstr>_Toc106968111</vt:lpwstr>
      </vt:variant>
      <vt:variant>
        <vt:i4>1507376</vt:i4>
      </vt:variant>
      <vt:variant>
        <vt:i4>212</vt:i4>
      </vt:variant>
      <vt:variant>
        <vt:i4>0</vt:i4>
      </vt:variant>
      <vt:variant>
        <vt:i4>5</vt:i4>
      </vt:variant>
      <vt:variant>
        <vt:lpwstr/>
      </vt:variant>
      <vt:variant>
        <vt:lpwstr>_Toc106968110</vt:lpwstr>
      </vt:variant>
      <vt:variant>
        <vt:i4>1441840</vt:i4>
      </vt:variant>
      <vt:variant>
        <vt:i4>206</vt:i4>
      </vt:variant>
      <vt:variant>
        <vt:i4>0</vt:i4>
      </vt:variant>
      <vt:variant>
        <vt:i4>5</vt:i4>
      </vt:variant>
      <vt:variant>
        <vt:lpwstr/>
      </vt:variant>
      <vt:variant>
        <vt:lpwstr>_Toc106968109</vt:lpwstr>
      </vt:variant>
      <vt:variant>
        <vt:i4>1441840</vt:i4>
      </vt:variant>
      <vt:variant>
        <vt:i4>200</vt:i4>
      </vt:variant>
      <vt:variant>
        <vt:i4>0</vt:i4>
      </vt:variant>
      <vt:variant>
        <vt:i4>5</vt:i4>
      </vt:variant>
      <vt:variant>
        <vt:lpwstr/>
      </vt:variant>
      <vt:variant>
        <vt:lpwstr>_Toc106968108</vt:lpwstr>
      </vt:variant>
      <vt:variant>
        <vt:i4>1441840</vt:i4>
      </vt:variant>
      <vt:variant>
        <vt:i4>194</vt:i4>
      </vt:variant>
      <vt:variant>
        <vt:i4>0</vt:i4>
      </vt:variant>
      <vt:variant>
        <vt:i4>5</vt:i4>
      </vt:variant>
      <vt:variant>
        <vt:lpwstr/>
      </vt:variant>
      <vt:variant>
        <vt:lpwstr>_Toc106968107</vt:lpwstr>
      </vt:variant>
      <vt:variant>
        <vt:i4>1441840</vt:i4>
      </vt:variant>
      <vt:variant>
        <vt:i4>188</vt:i4>
      </vt:variant>
      <vt:variant>
        <vt:i4>0</vt:i4>
      </vt:variant>
      <vt:variant>
        <vt:i4>5</vt:i4>
      </vt:variant>
      <vt:variant>
        <vt:lpwstr/>
      </vt:variant>
      <vt:variant>
        <vt:lpwstr>_Toc106968106</vt:lpwstr>
      </vt:variant>
      <vt:variant>
        <vt:i4>1441840</vt:i4>
      </vt:variant>
      <vt:variant>
        <vt:i4>182</vt:i4>
      </vt:variant>
      <vt:variant>
        <vt:i4>0</vt:i4>
      </vt:variant>
      <vt:variant>
        <vt:i4>5</vt:i4>
      </vt:variant>
      <vt:variant>
        <vt:lpwstr/>
      </vt:variant>
      <vt:variant>
        <vt:lpwstr>_Toc106968105</vt:lpwstr>
      </vt:variant>
      <vt:variant>
        <vt:i4>1441840</vt:i4>
      </vt:variant>
      <vt:variant>
        <vt:i4>176</vt:i4>
      </vt:variant>
      <vt:variant>
        <vt:i4>0</vt:i4>
      </vt:variant>
      <vt:variant>
        <vt:i4>5</vt:i4>
      </vt:variant>
      <vt:variant>
        <vt:lpwstr/>
      </vt:variant>
      <vt:variant>
        <vt:lpwstr>_Toc106968104</vt:lpwstr>
      </vt:variant>
      <vt:variant>
        <vt:i4>1441840</vt:i4>
      </vt:variant>
      <vt:variant>
        <vt:i4>170</vt:i4>
      </vt:variant>
      <vt:variant>
        <vt:i4>0</vt:i4>
      </vt:variant>
      <vt:variant>
        <vt:i4>5</vt:i4>
      </vt:variant>
      <vt:variant>
        <vt:lpwstr/>
      </vt:variant>
      <vt:variant>
        <vt:lpwstr>_Toc106968103</vt:lpwstr>
      </vt:variant>
      <vt:variant>
        <vt:i4>1441840</vt:i4>
      </vt:variant>
      <vt:variant>
        <vt:i4>164</vt:i4>
      </vt:variant>
      <vt:variant>
        <vt:i4>0</vt:i4>
      </vt:variant>
      <vt:variant>
        <vt:i4>5</vt:i4>
      </vt:variant>
      <vt:variant>
        <vt:lpwstr/>
      </vt:variant>
      <vt:variant>
        <vt:lpwstr>_Toc106968102</vt:lpwstr>
      </vt:variant>
      <vt:variant>
        <vt:i4>1441840</vt:i4>
      </vt:variant>
      <vt:variant>
        <vt:i4>158</vt:i4>
      </vt:variant>
      <vt:variant>
        <vt:i4>0</vt:i4>
      </vt:variant>
      <vt:variant>
        <vt:i4>5</vt:i4>
      </vt:variant>
      <vt:variant>
        <vt:lpwstr/>
      </vt:variant>
      <vt:variant>
        <vt:lpwstr>_Toc106968101</vt:lpwstr>
      </vt:variant>
      <vt:variant>
        <vt:i4>1441840</vt:i4>
      </vt:variant>
      <vt:variant>
        <vt:i4>152</vt:i4>
      </vt:variant>
      <vt:variant>
        <vt:i4>0</vt:i4>
      </vt:variant>
      <vt:variant>
        <vt:i4>5</vt:i4>
      </vt:variant>
      <vt:variant>
        <vt:lpwstr/>
      </vt:variant>
      <vt:variant>
        <vt:lpwstr>_Toc106968100</vt:lpwstr>
      </vt:variant>
      <vt:variant>
        <vt:i4>2031665</vt:i4>
      </vt:variant>
      <vt:variant>
        <vt:i4>146</vt:i4>
      </vt:variant>
      <vt:variant>
        <vt:i4>0</vt:i4>
      </vt:variant>
      <vt:variant>
        <vt:i4>5</vt:i4>
      </vt:variant>
      <vt:variant>
        <vt:lpwstr/>
      </vt:variant>
      <vt:variant>
        <vt:lpwstr>_Toc106968099</vt:lpwstr>
      </vt:variant>
      <vt:variant>
        <vt:i4>2031665</vt:i4>
      </vt:variant>
      <vt:variant>
        <vt:i4>140</vt:i4>
      </vt:variant>
      <vt:variant>
        <vt:i4>0</vt:i4>
      </vt:variant>
      <vt:variant>
        <vt:i4>5</vt:i4>
      </vt:variant>
      <vt:variant>
        <vt:lpwstr/>
      </vt:variant>
      <vt:variant>
        <vt:lpwstr>_Toc106968098</vt:lpwstr>
      </vt:variant>
      <vt:variant>
        <vt:i4>2031665</vt:i4>
      </vt:variant>
      <vt:variant>
        <vt:i4>134</vt:i4>
      </vt:variant>
      <vt:variant>
        <vt:i4>0</vt:i4>
      </vt:variant>
      <vt:variant>
        <vt:i4>5</vt:i4>
      </vt:variant>
      <vt:variant>
        <vt:lpwstr/>
      </vt:variant>
      <vt:variant>
        <vt:lpwstr>_Toc106968097</vt:lpwstr>
      </vt:variant>
      <vt:variant>
        <vt:i4>2031665</vt:i4>
      </vt:variant>
      <vt:variant>
        <vt:i4>128</vt:i4>
      </vt:variant>
      <vt:variant>
        <vt:i4>0</vt:i4>
      </vt:variant>
      <vt:variant>
        <vt:i4>5</vt:i4>
      </vt:variant>
      <vt:variant>
        <vt:lpwstr/>
      </vt:variant>
      <vt:variant>
        <vt:lpwstr>_Toc106968096</vt:lpwstr>
      </vt:variant>
      <vt:variant>
        <vt:i4>2031665</vt:i4>
      </vt:variant>
      <vt:variant>
        <vt:i4>122</vt:i4>
      </vt:variant>
      <vt:variant>
        <vt:i4>0</vt:i4>
      </vt:variant>
      <vt:variant>
        <vt:i4>5</vt:i4>
      </vt:variant>
      <vt:variant>
        <vt:lpwstr/>
      </vt:variant>
      <vt:variant>
        <vt:lpwstr>_Toc106968095</vt:lpwstr>
      </vt:variant>
      <vt:variant>
        <vt:i4>2031665</vt:i4>
      </vt:variant>
      <vt:variant>
        <vt:i4>116</vt:i4>
      </vt:variant>
      <vt:variant>
        <vt:i4>0</vt:i4>
      </vt:variant>
      <vt:variant>
        <vt:i4>5</vt:i4>
      </vt:variant>
      <vt:variant>
        <vt:lpwstr/>
      </vt:variant>
      <vt:variant>
        <vt:lpwstr>_Toc106968094</vt:lpwstr>
      </vt:variant>
      <vt:variant>
        <vt:i4>2031665</vt:i4>
      </vt:variant>
      <vt:variant>
        <vt:i4>110</vt:i4>
      </vt:variant>
      <vt:variant>
        <vt:i4>0</vt:i4>
      </vt:variant>
      <vt:variant>
        <vt:i4>5</vt:i4>
      </vt:variant>
      <vt:variant>
        <vt:lpwstr/>
      </vt:variant>
      <vt:variant>
        <vt:lpwstr>_Toc106968093</vt:lpwstr>
      </vt:variant>
      <vt:variant>
        <vt:i4>2031665</vt:i4>
      </vt:variant>
      <vt:variant>
        <vt:i4>104</vt:i4>
      </vt:variant>
      <vt:variant>
        <vt:i4>0</vt:i4>
      </vt:variant>
      <vt:variant>
        <vt:i4>5</vt:i4>
      </vt:variant>
      <vt:variant>
        <vt:lpwstr/>
      </vt:variant>
      <vt:variant>
        <vt:lpwstr>_Toc106968092</vt:lpwstr>
      </vt:variant>
      <vt:variant>
        <vt:i4>2031665</vt:i4>
      </vt:variant>
      <vt:variant>
        <vt:i4>98</vt:i4>
      </vt:variant>
      <vt:variant>
        <vt:i4>0</vt:i4>
      </vt:variant>
      <vt:variant>
        <vt:i4>5</vt:i4>
      </vt:variant>
      <vt:variant>
        <vt:lpwstr/>
      </vt:variant>
      <vt:variant>
        <vt:lpwstr>_Toc106968091</vt:lpwstr>
      </vt:variant>
      <vt:variant>
        <vt:i4>2031665</vt:i4>
      </vt:variant>
      <vt:variant>
        <vt:i4>92</vt:i4>
      </vt:variant>
      <vt:variant>
        <vt:i4>0</vt:i4>
      </vt:variant>
      <vt:variant>
        <vt:i4>5</vt:i4>
      </vt:variant>
      <vt:variant>
        <vt:lpwstr/>
      </vt:variant>
      <vt:variant>
        <vt:lpwstr>_Toc106968090</vt:lpwstr>
      </vt:variant>
      <vt:variant>
        <vt:i4>1966129</vt:i4>
      </vt:variant>
      <vt:variant>
        <vt:i4>86</vt:i4>
      </vt:variant>
      <vt:variant>
        <vt:i4>0</vt:i4>
      </vt:variant>
      <vt:variant>
        <vt:i4>5</vt:i4>
      </vt:variant>
      <vt:variant>
        <vt:lpwstr/>
      </vt:variant>
      <vt:variant>
        <vt:lpwstr>_Toc106968089</vt:lpwstr>
      </vt:variant>
      <vt:variant>
        <vt:i4>1966129</vt:i4>
      </vt:variant>
      <vt:variant>
        <vt:i4>80</vt:i4>
      </vt:variant>
      <vt:variant>
        <vt:i4>0</vt:i4>
      </vt:variant>
      <vt:variant>
        <vt:i4>5</vt:i4>
      </vt:variant>
      <vt:variant>
        <vt:lpwstr/>
      </vt:variant>
      <vt:variant>
        <vt:lpwstr>_Toc106968088</vt:lpwstr>
      </vt:variant>
      <vt:variant>
        <vt:i4>1966129</vt:i4>
      </vt:variant>
      <vt:variant>
        <vt:i4>74</vt:i4>
      </vt:variant>
      <vt:variant>
        <vt:i4>0</vt:i4>
      </vt:variant>
      <vt:variant>
        <vt:i4>5</vt:i4>
      </vt:variant>
      <vt:variant>
        <vt:lpwstr/>
      </vt:variant>
      <vt:variant>
        <vt:lpwstr>_Toc106968087</vt:lpwstr>
      </vt:variant>
      <vt:variant>
        <vt:i4>1966129</vt:i4>
      </vt:variant>
      <vt:variant>
        <vt:i4>68</vt:i4>
      </vt:variant>
      <vt:variant>
        <vt:i4>0</vt:i4>
      </vt:variant>
      <vt:variant>
        <vt:i4>5</vt:i4>
      </vt:variant>
      <vt:variant>
        <vt:lpwstr/>
      </vt:variant>
      <vt:variant>
        <vt:lpwstr>_Toc106968086</vt:lpwstr>
      </vt:variant>
      <vt:variant>
        <vt:i4>1966129</vt:i4>
      </vt:variant>
      <vt:variant>
        <vt:i4>62</vt:i4>
      </vt:variant>
      <vt:variant>
        <vt:i4>0</vt:i4>
      </vt:variant>
      <vt:variant>
        <vt:i4>5</vt:i4>
      </vt:variant>
      <vt:variant>
        <vt:lpwstr/>
      </vt:variant>
      <vt:variant>
        <vt:lpwstr>_Toc106968085</vt:lpwstr>
      </vt:variant>
      <vt:variant>
        <vt:i4>1966129</vt:i4>
      </vt:variant>
      <vt:variant>
        <vt:i4>56</vt:i4>
      </vt:variant>
      <vt:variant>
        <vt:i4>0</vt:i4>
      </vt:variant>
      <vt:variant>
        <vt:i4>5</vt:i4>
      </vt:variant>
      <vt:variant>
        <vt:lpwstr/>
      </vt:variant>
      <vt:variant>
        <vt:lpwstr>_Toc106968084</vt:lpwstr>
      </vt:variant>
      <vt:variant>
        <vt:i4>1966129</vt:i4>
      </vt:variant>
      <vt:variant>
        <vt:i4>50</vt:i4>
      </vt:variant>
      <vt:variant>
        <vt:i4>0</vt:i4>
      </vt:variant>
      <vt:variant>
        <vt:i4>5</vt:i4>
      </vt:variant>
      <vt:variant>
        <vt:lpwstr/>
      </vt:variant>
      <vt:variant>
        <vt:lpwstr>_Toc106968083</vt:lpwstr>
      </vt:variant>
      <vt:variant>
        <vt:i4>1966129</vt:i4>
      </vt:variant>
      <vt:variant>
        <vt:i4>44</vt:i4>
      </vt:variant>
      <vt:variant>
        <vt:i4>0</vt:i4>
      </vt:variant>
      <vt:variant>
        <vt:i4>5</vt:i4>
      </vt:variant>
      <vt:variant>
        <vt:lpwstr/>
      </vt:variant>
      <vt:variant>
        <vt:lpwstr>_Toc106968082</vt:lpwstr>
      </vt:variant>
      <vt:variant>
        <vt:i4>1966129</vt:i4>
      </vt:variant>
      <vt:variant>
        <vt:i4>38</vt:i4>
      </vt:variant>
      <vt:variant>
        <vt:i4>0</vt:i4>
      </vt:variant>
      <vt:variant>
        <vt:i4>5</vt:i4>
      </vt:variant>
      <vt:variant>
        <vt:lpwstr/>
      </vt:variant>
      <vt:variant>
        <vt:lpwstr>_Toc106968081</vt:lpwstr>
      </vt:variant>
      <vt:variant>
        <vt:i4>1966129</vt:i4>
      </vt:variant>
      <vt:variant>
        <vt:i4>32</vt:i4>
      </vt:variant>
      <vt:variant>
        <vt:i4>0</vt:i4>
      </vt:variant>
      <vt:variant>
        <vt:i4>5</vt:i4>
      </vt:variant>
      <vt:variant>
        <vt:lpwstr/>
      </vt:variant>
      <vt:variant>
        <vt:lpwstr>_Toc106968080</vt:lpwstr>
      </vt:variant>
      <vt:variant>
        <vt:i4>1114161</vt:i4>
      </vt:variant>
      <vt:variant>
        <vt:i4>26</vt:i4>
      </vt:variant>
      <vt:variant>
        <vt:i4>0</vt:i4>
      </vt:variant>
      <vt:variant>
        <vt:i4>5</vt:i4>
      </vt:variant>
      <vt:variant>
        <vt:lpwstr/>
      </vt:variant>
      <vt:variant>
        <vt:lpwstr>_Toc106968079</vt:lpwstr>
      </vt:variant>
      <vt:variant>
        <vt:i4>1114161</vt:i4>
      </vt:variant>
      <vt:variant>
        <vt:i4>20</vt:i4>
      </vt:variant>
      <vt:variant>
        <vt:i4>0</vt:i4>
      </vt:variant>
      <vt:variant>
        <vt:i4>5</vt:i4>
      </vt:variant>
      <vt:variant>
        <vt:lpwstr/>
      </vt:variant>
      <vt:variant>
        <vt:lpwstr>_Toc106968078</vt:lpwstr>
      </vt:variant>
      <vt:variant>
        <vt:i4>1114161</vt:i4>
      </vt:variant>
      <vt:variant>
        <vt:i4>14</vt:i4>
      </vt:variant>
      <vt:variant>
        <vt:i4>0</vt:i4>
      </vt:variant>
      <vt:variant>
        <vt:i4>5</vt:i4>
      </vt:variant>
      <vt:variant>
        <vt:lpwstr/>
      </vt:variant>
      <vt:variant>
        <vt:lpwstr>_Toc106968077</vt:lpwstr>
      </vt:variant>
      <vt:variant>
        <vt:i4>1114161</vt:i4>
      </vt:variant>
      <vt:variant>
        <vt:i4>8</vt:i4>
      </vt:variant>
      <vt:variant>
        <vt:i4>0</vt:i4>
      </vt:variant>
      <vt:variant>
        <vt:i4>5</vt:i4>
      </vt:variant>
      <vt:variant>
        <vt:lpwstr/>
      </vt:variant>
      <vt:variant>
        <vt:lpwstr>_Toc106968076</vt:lpwstr>
      </vt:variant>
      <vt:variant>
        <vt:i4>1114161</vt:i4>
      </vt:variant>
      <vt:variant>
        <vt:i4>2</vt:i4>
      </vt:variant>
      <vt:variant>
        <vt:i4>0</vt:i4>
      </vt:variant>
      <vt:variant>
        <vt:i4>5</vt:i4>
      </vt:variant>
      <vt:variant>
        <vt:lpwstr/>
      </vt:variant>
      <vt:variant>
        <vt:lpwstr>_Toc106968075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Koleva</dc:creator>
  <cp:keywords/>
  <cp:lastModifiedBy>Tanja Koleva</cp:lastModifiedBy>
  <cp:revision>25</cp:revision>
  <cp:lastPrinted>2022-06-24T11:10:00Z</cp:lastPrinted>
  <dcterms:created xsi:type="dcterms:W3CDTF">2025-01-17T13:30:00Z</dcterms:created>
  <dcterms:modified xsi:type="dcterms:W3CDTF">2025-04-16T07:15:00Z</dcterms:modified>
</cp:coreProperties>
</file>